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7C4E9E" w14:textId="6A2B37DF" w:rsidR="00600CC6" w:rsidRPr="001B4473" w:rsidRDefault="002975E5" w:rsidP="003121D0">
      <w:pPr>
        <w:spacing w:after="0"/>
        <w:rPr>
          <w:rFonts w:asciiTheme="minorBidi" w:hAnsiTheme="minorBidi"/>
          <w:b/>
          <w:color w:val="FF0000"/>
          <w:sz w:val="24"/>
          <w:szCs w:val="24"/>
        </w:rPr>
      </w:pPr>
      <w:r w:rsidRPr="000A3D16">
        <w:rPr>
          <w:rFonts w:asciiTheme="minorBidi" w:hAnsiTheme="minorBidi"/>
          <w:b/>
          <w:sz w:val="24"/>
          <w:szCs w:val="24"/>
          <w:lang w:val="fr-FR"/>
        </w:rPr>
        <w:t>II.1 RESURSELE DE AP</w:t>
      </w:r>
      <w:r w:rsidRPr="000A3D16">
        <w:rPr>
          <w:rFonts w:asciiTheme="minorBidi" w:hAnsiTheme="minorBidi"/>
          <w:b/>
          <w:sz w:val="24"/>
          <w:szCs w:val="24"/>
        </w:rPr>
        <w:t>Ă. CANTITĂȚI ȘI DEBITE</w:t>
      </w:r>
    </w:p>
    <w:p w14:paraId="3945F642" w14:textId="77777777" w:rsidR="003121D0" w:rsidRPr="001B4473" w:rsidRDefault="003121D0" w:rsidP="003121D0">
      <w:pPr>
        <w:spacing w:after="0" w:line="240" w:lineRule="auto"/>
        <w:ind w:firstLine="720"/>
        <w:jc w:val="both"/>
        <w:rPr>
          <w:rFonts w:asciiTheme="minorBidi" w:hAnsiTheme="minorBidi"/>
          <w:color w:val="FF0000"/>
          <w:sz w:val="24"/>
          <w:szCs w:val="24"/>
        </w:rPr>
      </w:pPr>
    </w:p>
    <w:p w14:paraId="019F3418" w14:textId="77777777" w:rsidR="000A3D16" w:rsidRPr="00804B8B" w:rsidRDefault="000A3D16" w:rsidP="000A3D16">
      <w:pPr>
        <w:spacing w:after="0" w:line="240" w:lineRule="auto"/>
        <w:ind w:firstLine="720"/>
        <w:jc w:val="both"/>
        <w:rPr>
          <w:rFonts w:ascii="Arial" w:hAnsi="Arial" w:cs="Arial"/>
          <w:b/>
          <w:i/>
        </w:rPr>
      </w:pPr>
      <w:r w:rsidRPr="00804B8B">
        <w:rPr>
          <w:rFonts w:ascii="Arial" w:hAnsi="Arial" w:cs="Arial"/>
          <w:b/>
          <w:i/>
        </w:rPr>
        <w:t>Resursele naturale de apă la nivelul anului 2022</w:t>
      </w:r>
    </w:p>
    <w:p w14:paraId="539E1B83" w14:textId="77777777" w:rsidR="000A3D16" w:rsidRPr="00804B8B" w:rsidRDefault="000A3D16" w:rsidP="000A3D16">
      <w:pPr>
        <w:spacing w:after="0" w:line="240" w:lineRule="auto"/>
        <w:ind w:firstLine="720"/>
        <w:jc w:val="both"/>
        <w:rPr>
          <w:rFonts w:ascii="Arial" w:hAnsi="Arial" w:cs="Arial"/>
        </w:rPr>
      </w:pPr>
    </w:p>
    <w:p w14:paraId="73926387"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Resursele naturale de apă reprezintă rezervele de apă de suprafață și subterane ale unui teritoriu care pot fi folosite pentru diverse scopuri.</w:t>
      </w:r>
    </w:p>
    <w:p w14:paraId="52012FC6"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Resursa naturală este cantitatea de apă exprimată în unități de volum acumulată în corpurile de apă într-un interval de timp dat, în cazul de față în cursul anului 2022.</w:t>
      </w:r>
    </w:p>
    <w:p w14:paraId="129290FB"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i/>
        </w:rPr>
        <w:t xml:space="preserve">Resursa teoretică </w:t>
      </w:r>
      <w:r w:rsidRPr="00804B8B">
        <w:rPr>
          <w:rFonts w:ascii="Arial" w:hAnsi="Arial" w:cs="Arial"/>
        </w:rPr>
        <w:t>este dată de stocul mediu anual reprezentând totalitatea resurselor naturale de apă atât de suprafață cât și subterane.</w:t>
      </w:r>
    </w:p>
    <w:p w14:paraId="1BD09CB1"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i/>
        </w:rPr>
        <w:t xml:space="preserve">Resursa tehnic utilizabilă </w:t>
      </w:r>
      <w:r w:rsidRPr="00804B8B">
        <w:rPr>
          <w:rFonts w:ascii="Arial" w:hAnsi="Arial" w:cs="Arial"/>
        </w:rPr>
        <w:t>este cota parte din resursa teoretică care poate fi prelevată pentru a servi la satisfacerea cerințelor de apă ale economiei.</w:t>
      </w:r>
    </w:p>
    <w:p w14:paraId="30889182" w14:textId="77777777" w:rsidR="002975E5" w:rsidRPr="00BB1EB7" w:rsidRDefault="002975E5" w:rsidP="002975E5">
      <w:pPr>
        <w:spacing w:after="0" w:line="240" w:lineRule="auto"/>
        <w:ind w:firstLine="720"/>
        <w:jc w:val="both"/>
        <w:rPr>
          <w:rFonts w:asciiTheme="minorBidi" w:hAnsiTheme="minorBidi"/>
          <w:i/>
          <w:sz w:val="24"/>
          <w:szCs w:val="24"/>
        </w:rPr>
      </w:pPr>
    </w:p>
    <w:p w14:paraId="534D1EC0" w14:textId="77777777" w:rsidR="0014396E" w:rsidRPr="00C96E79" w:rsidRDefault="0014396E" w:rsidP="0014396E">
      <w:pPr>
        <w:rPr>
          <w:rFonts w:asciiTheme="minorBidi" w:hAnsiTheme="minorBidi"/>
          <w:b/>
          <w:iCs/>
          <w:sz w:val="24"/>
          <w:szCs w:val="24"/>
        </w:rPr>
      </w:pPr>
      <w:r w:rsidRPr="00BB1EB7">
        <w:rPr>
          <w:rFonts w:asciiTheme="minorBidi" w:hAnsiTheme="minorBidi"/>
          <w:b/>
          <w:iCs/>
          <w:sz w:val="24"/>
          <w:szCs w:val="24"/>
        </w:rPr>
        <w:t xml:space="preserve">II.1.1. </w:t>
      </w:r>
      <w:r w:rsidRPr="00C96E79">
        <w:rPr>
          <w:rFonts w:asciiTheme="minorBidi" w:hAnsiTheme="minorBidi"/>
          <w:b/>
          <w:iCs/>
          <w:sz w:val="24"/>
          <w:szCs w:val="24"/>
        </w:rPr>
        <w:t>STARE, PRESIUNI ȘI CONSECINȚE</w:t>
      </w:r>
    </w:p>
    <w:p w14:paraId="50A17BD9" w14:textId="77777777" w:rsidR="0014396E" w:rsidRPr="00C96E79" w:rsidRDefault="0014396E" w:rsidP="0014396E">
      <w:pPr>
        <w:rPr>
          <w:rFonts w:asciiTheme="minorBidi" w:hAnsiTheme="minorBidi"/>
          <w:b/>
          <w:sz w:val="24"/>
          <w:szCs w:val="24"/>
        </w:rPr>
      </w:pPr>
      <w:r w:rsidRPr="00C96E79">
        <w:rPr>
          <w:rFonts w:asciiTheme="minorBidi" w:hAnsiTheme="minorBidi"/>
          <w:b/>
          <w:sz w:val="24"/>
          <w:szCs w:val="24"/>
        </w:rPr>
        <w:t>II.1.1.1 Resurse de apă potențiale și tehnic utilizabile (teoretică și utilizabilă)</w:t>
      </w:r>
    </w:p>
    <w:p w14:paraId="5E191457" w14:textId="77777777" w:rsidR="0014396E" w:rsidRPr="00C96E79" w:rsidRDefault="0014396E" w:rsidP="0014396E">
      <w:pPr>
        <w:shd w:val="clear" w:color="auto" w:fill="99FF66"/>
        <w:jc w:val="center"/>
        <w:rPr>
          <w:rFonts w:asciiTheme="minorBidi" w:hAnsiTheme="minorBidi"/>
          <w:b/>
          <w:sz w:val="24"/>
          <w:szCs w:val="24"/>
          <w:u w:val="single"/>
        </w:rPr>
      </w:pPr>
      <w:r w:rsidRPr="00C96E79">
        <w:rPr>
          <w:rFonts w:asciiTheme="minorBidi" w:hAnsiTheme="minorBidi"/>
          <w:b/>
          <w:sz w:val="24"/>
          <w:szCs w:val="24"/>
          <w:u w:val="single"/>
        </w:rPr>
        <w:t>INDICATOR CSI 18. UTILIZAREA RESURSELOR DE APĂ DULCE (RO 18)</w:t>
      </w:r>
    </w:p>
    <w:tbl>
      <w:tblPr>
        <w:tblW w:w="5670" w:type="dxa"/>
        <w:jc w:val="center"/>
        <w:tblLook w:val="04A0" w:firstRow="1" w:lastRow="0" w:firstColumn="1" w:lastColumn="0" w:noHBand="0" w:noVBand="1"/>
      </w:tblPr>
      <w:tblGrid>
        <w:gridCol w:w="1700"/>
        <w:gridCol w:w="1700"/>
        <w:gridCol w:w="2270"/>
      </w:tblGrid>
      <w:tr w:rsidR="00C96E79" w:rsidRPr="00C96E79" w14:paraId="70560807" w14:textId="77777777" w:rsidTr="00E30C2C">
        <w:trPr>
          <w:trHeight w:val="399"/>
          <w:jc w:val="center"/>
        </w:trPr>
        <w:tc>
          <w:tcPr>
            <w:tcW w:w="1700" w:type="dxa"/>
            <w:tcBorders>
              <w:top w:val="nil"/>
              <w:left w:val="nil"/>
              <w:bottom w:val="nil"/>
              <w:right w:val="nil"/>
            </w:tcBorders>
            <w:shd w:val="clear" w:color="auto" w:fill="auto"/>
            <w:noWrap/>
            <w:vAlign w:val="bottom"/>
            <w:hideMark/>
          </w:tcPr>
          <w:p w14:paraId="1CB803CE" w14:textId="77777777" w:rsidR="0014396E" w:rsidRPr="00C96E79" w:rsidRDefault="0014396E" w:rsidP="00E30C2C">
            <w:pPr>
              <w:spacing w:after="0" w:line="240" w:lineRule="auto"/>
              <w:rPr>
                <w:rFonts w:asciiTheme="minorBidi" w:eastAsia="Times New Roman" w:hAnsiTheme="minorBidi"/>
                <w:sz w:val="24"/>
                <w:szCs w:val="24"/>
                <w:lang w:eastAsia="ro-RO"/>
              </w:rPr>
            </w:pPr>
          </w:p>
        </w:tc>
        <w:tc>
          <w:tcPr>
            <w:tcW w:w="1700" w:type="dxa"/>
            <w:tcBorders>
              <w:top w:val="nil"/>
              <w:left w:val="nil"/>
              <w:bottom w:val="nil"/>
              <w:right w:val="nil"/>
            </w:tcBorders>
            <w:shd w:val="clear" w:color="auto" w:fill="auto"/>
            <w:noWrap/>
            <w:vAlign w:val="bottom"/>
            <w:hideMark/>
          </w:tcPr>
          <w:p w14:paraId="5A76A9C3"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p>
        </w:tc>
        <w:tc>
          <w:tcPr>
            <w:tcW w:w="2270" w:type="dxa"/>
            <w:tcBorders>
              <w:top w:val="nil"/>
              <w:left w:val="nil"/>
              <w:bottom w:val="nil"/>
              <w:right w:val="nil"/>
            </w:tcBorders>
            <w:shd w:val="clear" w:color="auto" w:fill="auto"/>
            <w:noWrap/>
            <w:vAlign w:val="bottom"/>
            <w:hideMark/>
          </w:tcPr>
          <w:p w14:paraId="155B72F6" w14:textId="77777777" w:rsidR="0014396E" w:rsidRPr="00C96E79" w:rsidRDefault="0014396E" w:rsidP="00E30C2C">
            <w:pPr>
              <w:spacing w:after="0" w:line="240" w:lineRule="auto"/>
              <w:jc w:val="center"/>
              <w:rPr>
                <w:rFonts w:asciiTheme="minorBidi" w:eastAsia="Times New Roman" w:hAnsiTheme="minorBidi"/>
                <w:b/>
                <w:bCs/>
                <w:i/>
                <w:iCs/>
                <w:sz w:val="24"/>
                <w:szCs w:val="24"/>
                <w:lang w:eastAsia="ro-RO"/>
              </w:rPr>
            </w:pPr>
            <w:r w:rsidRPr="00C96E79">
              <w:rPr>
                <w:rFonts w:asciiTheme="minorBidi" w:eastAsia="Times New Roman" w:hAnsiTheme="minorBidi"/>
                <w:b/>
                <w:bCs/>
                <w:i/>
                <w:iCs/>
                <w:sz w:val="24"/>
                <w:szCs w:val="24"/>
                <w:lang w:eastAsia="ro-RO"/>
              </w:rPr>
              <w:t>Tabelul II.1.1.1</w:t>
            </w:r>
          </w:p>
        </w:tc>
      </w:tr>
      <w:tr w:rsidR="00C96E79" w:rsidRPr="00C96E79" w14:paraId="1DC5D144" w14:textId="77777777" w:rsidTr="00E30C2C">
        <w:trPr>
          <w:trHeight w:val="903"/>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F7EEB61"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Anii</w:t>
            </w:r>
          </w:p>
        </w:tc>
        <w:tc>
          <w:tcPr>
            <w:tcW w:w="1700" w:type="dxa"/>
            <w:tcBorders>
              <w:top w:val="single" w:sz="4" w:space="0" w:color="auto"/>
              <w:left w:val="nil"/>
              <w:bottom w:val="single" w:sz="8" w:space="0" w:color="auto"/>
              <w:right w:val="single" w:sz="4" w:space="0" w:color="auto"/>
            </w:tcBorders>
            <w:shd w:val="clear" w:color="auto" w:fill="auto"/>
            <w:vAlign w:val="center"/>
            <w:hideMark/>
          </w:tcPr>
          <w:p w14:paraId="3318C560"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Resursa teoretică</w:t>
            </w:r>
          </w:p>
          <w:p w14:paraId="5858C53F" w14:textId="77777777" w:rsidR="0014396E" w:rsidRPr="00C96E79" w:rsidRDefault="0014396E" w:rsidP="00E30C2C">
            <w:pPr>
              <w:jc w:val="center"/>
              <w:rPr>
                <w:rFonts w:asciiTheme="minorBidi" w:hAnsiTheme="minorBidi"/>
                <w:sz w:val="24"/>
                <w:szCs w:val="24"/>
                <w:lang w:eastAsia="ro-RO"/>
              </w:rPr>
            </w:pPr>
            <w:r w:rsidRPr="00C96E79">
              <w:rPr>
                <w:rFonts w:asciiTheme="minorBidi" w:eastAsia="Times New Roman" w:hAnsiTheme="minorBidi"/>
                <w:sz w:val="24"/>
                <w:szCs w:val="24"/>
                <w:lang w:val="en-US" w:eastAsia="ro-RO"/>
              </w:rPr>
              <w:t xml:space="preserve">(mii </w:t>
            </w:r>
            <w:r w:rsidRPr="00C96E79">
              <w:rPr>
                <w:rFonts w:asciiTheme="minorBidi" w:eastAsia="Times New Roman" w:hAnsiTheme="minorBidi"/>
                <w:sz w:val="24"/>
                <w:szCs w:val="24"/>
                <w:lang w:eastAsia="ro-RO"/>
              </w:rPr>
              <w:t>m</w:t>
            </w:r>
            <w:r w:rsidRPr="00C96E79">
              <w:rPr>
                <w:rFonts w:asciiTheme="minorBidi" w:eastAsia="Times New Roman" w:hAnsiTheme="minorBidi"/>
                <w:sz w:val="24"/>
                <w:szCs w:val="24"/>
                <w:vertAlign w:val="superscript"/>
                <w:lang w:eastAsia="ro-RO"/>
              </w:rPr>
              <w:t>3</w:t>
            </w:r>
            <w:r w:rsidRPr="00C96E79">
              <w:rPr>
                <w:rFonts w:asciiTheme="minorBidi" w:eastAsia="Times New Roman" w:hAnsiTheme="minorBidi"/>
                <w:sz w:val="24"/>
                <w:szCs w:val="24"/>
                <w:lang w:val="en-US" w:eastAsia="ro-RO"/>
              </w:rPr>
              <w:t>)</w:t>
            </w:r>
          </w:p>
        </w:tc>
        <w:tc>
          <w:tcPr>
            <w:tcW w:w="2270" w:type="dxa"/>
            <w:tcBorders>
              <w:top w:val="single" w:sz="4" w:space="0" w:color="auto"/>
              <w:left w:val="nil"/>
              <w:bottom w:val="single" w:sz="8" w:space="0" w:color="auto"/>
              <w:right w:val="single" w:sz="4" w:space="0" w:color="auto"/>
            </w:tcBorders>
            <w:shd w:val="clear" w:color="auto" w:fill="auto"/>
            <w:vAlign w:val="center"/>
            <w:hideMark/>
          </w:tcPr>
          <w:p w14:paraId="6093E5C4"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Resursa utilizabilă</w:t>
            </w:r>
          </w:p>
          <w:p w14:paraId="24E26EEA"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val="en-US" w:eastAsia="ro-RO"/>
              </w:rPr>
              <w:t xml:space="preserve">(mii </w:t>
            </w:r>
            <w:r w:rsidRPr="00C96E79">
              <w:rPr>
                <w:rFonts w:asciiTheme="minorBidi" w:eastAsia="Times New Roman" w:hAnsiTheme="minorBidi"/>
                <w:sz w:val="24"/>
                <w:szCs w:val="24"/>
                <w:lang w:eastAsia="ro-RO"/>
              </w:rPr>
              <w:t>m</w:t>
            </w:r>
            <w:r w:rsidRPr="00C96E79">
              <w:rPr>
                <w:rFonts w:asciiTheme="minorBidi" w:eastAsia="Times New Roman" w:hAnsiTheme="minorBidi"/>
                <w:sz w:val="24"/>
                <w:szCs w:val="24"/>
                <w:vertAlign w:val="superscript"/>
                <w:lang w:eastAsia="ro-RO"/>
              </w:rPr>
              <w:t>3</w:t>
            </w:r>
            <w:r w:rsidRPr="00C96E79">
              <w:rPr>
                <w:rFonts w:asciiTheme="minorBidi" w:eastAsia="Times New Roman" w:hAnsiTheme="minorBidi"/>
                <w:sz w:val="24"/>
                <w:szCs w:val="24"/>
                <w:lang w:val="en-US" w:eastAsia="ro-RO"/>
              </w:rPr>
              <w:t>)</w:t>
            </w:r>
          </w:p>
        </w:tc>
      </w:tr>
      <w:tr w:rsidR="00C96E79" w:rsidRPr="00C96E79" w14:paraId="0949321C" w14:textId="77777777" w:rsidTr="00E30C2C">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14:paraId="48F9D167"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2016</w:t>
            </w:r>
          </w:p>
        </w:tc>
        <w:tc>
          <w:tcPr>
            <w:tcW w:w="1700" w:type="dxa"/>
            <w:tcBorders>
              <w:top w:val="nil"/>
              <w:left w:val="single" w:sz="4" w:space="0" w:color="auto"/>
              <w:bottom w:val="single" w:sz="4" w:space="0" w:color="auto"/>
              <w:right w:val="single" w:sz="4" w:space="0" w:color="auto"/>
            </w:tcBorders>
            <w:shd w:val="clear" w:color="auto" w:fill="auto"/>
            <w:noWrap/>
            <w:vAlign w:val="bottom"/>
          </w:tcPr>
          <w:p w14:paraId="32E342FF"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14:paraId="538DFDAA"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38346760</w:t>
            </w:r>
          </w:p>
        </w:tc>
      </w:tr>
      <w:tr w:rsidR="00C96E79" w:rsidRPr="00C96E79" w14:paraId="442A8EF3" w14:textId="77777777" w:rsidTr="00E30C2C">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14:paraId="58141D5C"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2017</w:t>
            </w:r>
          </w:p>
        </w:tc>
        <w:tc>
          <w:tcPr>
            <w:tcW w:w="1700" w:type="dxa"/>
            <w:tcBorders>
              <w:top w:val="nil"/>
              <w:left w:val="single" w:sz="4" w:space="0" w:color="auto"/>
              <w:bottom w:val="single" w:sz="4" w:space="0" w:color="auto"/>
              <w:right w:val="single" w:sz="4" w:space="0" w:color="auto"/>
            </w:tcBorders>
            <w:shd w:val="clear" w:color="auto" w:fill="auto"/>
            <w:noWrap/>
            <w:vAlign w:val="bottom"/>
          </w:tcPr>
          <w:p w14:paraId="16B72D50"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14:paraId="0C521634"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38346760</w:t>
            </w:r>
          </w:p>
        </w:tc>
      </w:tr>
      <w:tr w:rsidR="00C96E79" w:rsidRPr="00C96E79" w14:paraId="559E4CF3" w14:textId="77777777" w:rsidTr="00E30C2C">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14:paraId="2FBAD3C0"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2018</w:t>
            </w:r>
          </w:p>
        </w:tc>
        <w:tc>
          <w:tcPr>
            <w:tcW w:w="1700" w:type="dxa"/>
            <w:tcBorders>
              <w:top w:val="nil"/>
              <w:left w:val="single" w:sz="4" w:space="0" w:color="auto"/>
              <w:bottom w:val="single" w:sz="4" w:space="0" w:color="auto"/>
              <w:right w:val="single" w:sz="4" w:space="0" w:color="auto"/>
            </w:tcBorders>
            <w:shd w:val="clear" w:color="auto" w:fill="auto"/>
            <w:noWrap/>
            <w:vAlign w:val="bottom"/>
          </w:tcPr>
          <w:p w14:paraId="2D5A2D90"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14:paraId="7792CBB8"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38346760</w:t>
            </w:r>
          </w:p>
        </w:tc>
      </w:tr>
      <w:tr w:rsidR="00C96E79" w:rsidRPr="00C96E79" w14:paraId="61AB399B" w14:textId="77777777" w:rsidTr="00E30C2C">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14:paraId="34FAF0E7"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2019</w:t>
            </w:r>
          </w:p>
        </w:tc>
        <w:tc>
          <w:tcPr>
            <w:tcW w:w="1700" w:type="dxa"/>
            <w:tcBorders>
              <w:top w:val="nil"/>
              <w:left w:val="nil"/>
              <w:bottom w:val="single" w:sz="4" w:space="0" w:color="auto"/>
              <w:right w:val="single" w:sz="4" w:space="0" w:color="auto"/>
            </w:tcBorders>
            <w:shd w:val="clear" w:color="auto" w:fill="auto"/>
            <w:noWrap/>
            <w:vAlign w:val="bottom"/>
          </w:tcPr>
          <w:p w14:paraId="19F8939B"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14:paraId="704351EF"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38346760</w:t>
            </w:r>
          </w:p>
        </w:tc>
      </w:tr>
      <w:tr w:rsidR="00C96E79" w:rsidRPr="00C96E79" w14:paraId="28652C42" w14:textId="77777777" w:rsidTr="00C96E79">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14:paraId="00CDCBD9"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2020</w:t>
            </w:r>
          </w:p>
        </w:tc>
        <w:tc>
          <w:tcPr>
            <w:tcW w:w="1700" w:type="dxa"/>
            <w:tcBorders>
              <w:top w:val="nil"/>
              <w:left w:val="nil"/>
              <w:bottom w:val="single" w:sz="4" w:space="0" w:color="auto"/>
              <w:right w:val="single" w:sz="4" w:space="0" w:color="auto"/>
            </w:tcBorders>
            <w:shd w:val="clear" w:color="auto" w:fill="auto"/>
            <w:noWrap/>
            <w:vAlign w:val="bottom"/>
          </w:tcPr>
          <w:p w14:paraId="721203D1"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14:paraId="38296DC7"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38346760</w:t>
            </w:r>
          </w:p>
        </w:tc>
      </w:tr>
      <w:tr w:rsidR="00C96E79" w:rsidRPr="00C96E79" w14:paraId="267B1EF3" w14:textId="77777777" w:rsidTr="00C96E79">
        <w:trPr>
          <w:trHeight w:val="312"/>
          <w:jc w:val="center"/>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5FA5F6" w14:textId="77777777" w:rsidR="0014396E" w:rsidRPr="00C96E79" w:rsidRDefault="0014396E" w:rsidP="00E30C2C">
            <w:pPr>
              <w:spacing w:after="0" w:line="240" w:lineRule="auto"/>
              <w:jc w:val="center"/>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2021</w:t>
            </w:r>
          </w:p>
        </w:tc>
        <w:tc>
          <w:tcPr>
            <w:tcW w:w="1700" w:type="dxa"/>
            <w:tcBorders>
              <w:top w:val="single" w:sz="4" w:space="0" w:color="auto"/>
              <w:left w:val="nil"/>
              <w:bottom w:val="single" w:sz="4" w:space="0" w:color="auto"/>
              <w:right w:val="single" w:sz="4" w:space="0" w:color="auto"/>
            </w:tcBorders>
            <w:shd w:val="clear" w:color="auto" w:fill="auto"/>
            <w:noWrap/>
            <w:vAlign w:val="bottom"/>
          </w:tcPr>
          <w:p w14:paraId="0C6E9ADF"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134600000</w:t>
            </w:r>
          </w:p>
        </w:tc>
        <w:tc>
          <w:tcPr>
            <w:tcW w:w="2270" w:type="dxa"/>
            <w:tcBorders>
              <w:top w:val="single" w:sz="4" w:space="0" w:color="auto"/>
              <w:left w:val="nil"/>
              <w:bottom w:val="single" w:sz="4" w:space="0" w:color="auto"/>
              <w:right w:val="single" w:sz="4" w:space="0" w:color="auto"/>
            </w:tcBorders>
            <w:shd w:val="clear" w:color="auto" w:fill="auto"/>
            <w:noWrap/>
            <w:vAlign w:val="bottom"/>
          </w:tcPr>
          <w:p w14:paraId="0A3821F3" w14:textId="77777777" w:rsidR="0014396E" w:rsidRPr="00C96E79" w:rsidRDefault="0014396E" w:rsidP="00E30C2C">
            <w:pPr>
              <w:spacing w:after="0" w:line="240" w:lineRule="auto"/>
              <w:jc w:val="right"/>
              <w:rPr>
                <w:rFonts w:asciiTheme="minorBidi" w:eastAsia="Times New Roman" w:hAnsiTheme="minorBidi"/>
                <w:sz w:val="24"/>
                <w:szCs w:val="24"/>
                <w:lang w:eastAsia="ro-RO"/>
              </w:rPr>
            </w:pPr>
            <w:r w:rsidRPr="00C96E79">
              <w:rPr>
                <w:rFonts w:asciiTheme="minorBidi" w:eastAsia="Times New Roman" w:hAnsiTheme="minorBidi"/>
                <w:sz w:val="24"/>
                <w:szCs w:val="24"/>
                <w:lang w:eastAsia="ro-RO"/>
              </w:rPr>
              <w:t>38346760</w:t>
            </w:r>
          </w:p>
        </w:tc>
      </w:tr>
      <w:tr w:rsidR="00C96E79" w:rsidRPr="00C96E79" w14:paraId="0ACB2BEC" w14:textId="77777777" w:rsidTr="00C96E79">
        <w:trPr>
          <w:trHeight w:val="312"/>
          <w:jc w:val="center"/>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DF8C97" w14:textId="304B711C" w:rsidR="00C96E79" w:rsidRPr="00C96E79" w:rsidRDefault="00C96E79" w:rsidP="00C96E79">
            <w:pPr>
              <w:spacing w:after="0" w:line="240" w:lineRule="auto"/>
              <w:jc w:val="center"/>
              <w:rPr>
                <w:rFonts w:asciiTheme="minorBidi" w:eastAsia="Times New Roman" w:hAnsiTheme="minorBidi"/>
                <w:sz w:val="24"/>
                <w:szCs w:val="24"/>
                <w:lang w:eastAsia="ro-RO"/>
              </w:rPr>
            </w:pPr>
            <w:r w:rsidRPr="00C96E79">
              <w:rPr>
                <w:rFonts w:ascii="Arial" w:eastAsia="Times New Roman" w:hAnsi="Arial" w:cs="Arial"/>
                <w:sz w:val="24"/>
                <w:szCs w:val="24"/>
                <w:lang w:eastAsia="ro-RO"/>
              </w:rPr>
              <w:t>2022</w:t>
            </w:r>
          </w:p>
        </w:tc>
        <w:tc>
          <w:tcPr>
            <w:tcW w:w="1700" w:type="dxa"/>
            <w:tcBorders>
              <w:top w:val="single" w:sz="4" w:space="0" w:color="auto"/>
              <w:left w:val="nil"/>
              <w:bottom w:val="single" w:sz="4" w:space="0" w:color="auto"/>
              <w:right w:val="single" w:sz="4" w:space="0" w:color="auto"/>
            </w:tcBorders>
            <w:shd w:val="clear" w:color="auto" w:fill="auto"/>
            <w:noWrap/>
            <w:vAlign w:val="bottom"/>
          </w:tcPr>
          <w:p w14:paraId="3F216D06" w14:textId="593F1437" w:rsidR="00C96E79" w:rsidRPr="00C96E79" w:rsidRDefault="00C96E79" w:rsidP="00C96E79">
            <w:pPr>
              <w:spacing w:after="0" w:line="240" w:lineRule="auto"/>
              <w:jc w:val="right"/>
              <w:rPr>
                <w:rFonts w:asciiTheme="minorBidi" w:eastAsia="Times New Roman" w:hAnsiTheme="minorBidi"/>
                <w:sz w:val="24"/>
                <w:szCs w:val="24"/>
                <w:lang w:eastAsia="ro-RO"/>
              </w:rPr>
            </w:pPr>
            <w:r w:rsidRPr="00C96E79">
              <w:rPr>
                <w:rFonts w:ascii="Arial" w:eastAsia="Times New Roman" w:hAnsi="Arial" w:cs="Arial"/>
                <w:sz w:val="24"/>
                <w:szCs w:val="24"/>
                <w:lang w:eastAsia="ro-RO"/>
              </w:rPr>
              <w:t>134600000</w:t>
            </w:r>
          </w:p>
        </w:tc>
        <w:tc>
          <w:tcPr>
            <w:tcW w:w="2270" w:type="dxa"/>
            <w:tcBorders>
              <w:top w:val="single" w:sz="4" w:space="0" w:color="auto"/>
              <w:left w:val="nil"/>
              <w:bottom w:val="single" w:sz="4" w:space="0" w:color="auto"/>
              <w:right w:val="single" w:sz="4" w:space="0" w:color="auto"/>
            </w:tcBorders>
            <w:shd w:val="clear" w:color="auto" w:fill="auto"/>
            <w:noWrap/>
            <w:vAlign w:val="bottom"/>
          </w:tcPr>
          <w:p w14:paraId="006055E0" w14:textId="63F76209" w:rsidR="00C96E79" w:rsidRPr="00C96E79" w:rsidRDefault="00C96E79" w:rsidP="00C96E79">
            <w:pPr>
              <w:spacing w:after="0" w:line="240" w:lineRule="auto"/>
              <w:jc w:val="right"/>
              <w:rPr>
                <w:rFonts w:asciiTheme="minorBidi" w:eastAsia="Times New Roman" w:hAnsiTheme="minorBidi"/>
                <w:sz w:val="24"/>
                <w:szCs w:val="24"/>
                <w:lang w:eastAsia="ro-RO"/>
              </w:rPr>
            </w:pPr>
            <w:r w:rsidRPr="00C96E79">
              <w:rPr>
                <w:rFonts w:ascii="Arial" w:eastAsia="Times New Roman" w:hAnsi="Arial" w:cs="Arial"/>
                <w:sz w:val="24"/>
                <w:szCs w:val="24"/>
                <w:lang w:eastAsia="ro-RO"/>
              </w:rPr>
              <w:t>38346760</w:t>
            </w:r>
          </w:p>
        </w:tc>
      </w:tr>
    </w:tbl>
    <w:p w14:paraId="460474C5" w14:textId="77777777" w:rsidR="0014396E" w:rsidRPr="001B4473" w:rsidRDefault="0014396E" w:rsidP="0014396E">
      <w:pPr>
        <w:spacing w:after="0"/>
        <w:jc w:val="center"/>
        <w:rPr>
          <w:rFonts w:asciiTheme="minorBidi" w:hAnsiTheme="minorBidi"/>
          <w:b/>
          <w:color w:val="FF0000"/>
          <w:sz w:val="24"/>
          <w:szCs w:val="24"/>
          <w:u w:val="single"/>
        </w:rPr>
      </w:pPr>
    </w:p>
    <w:p w14:paraId="4AF296A5" w14:textId="4F0EABE8" w:rsidR="0014396E" w:rsidRPr="00C96E79" w:rsidRDefault="00C96E79" w:rsidP="00C96E79">
      <w:pPr>
        <w:spacing w:after="0" w:line="276" w:lineRule="auto"/>
        <w:jc w:val="lowKashida"/>
        <w:rPr>
          <w:rFonts w:asciiTheme="minorBidi" w:hAnsiTheme="minorBidi"/>
          <w:b/>
          <w:color w:val="FF0000"/>
          <w:sz w:val="24"/>
          <w:szCs w:val="24"/>
          <w:u w:val="single"/>
        </w:rPr>
      </w:pPr>
      <w:r w:rsidRPr="002A1BEA">
        <w:rPr>
          <w:rFonts w:asciiTheme="minorBidi" w:hAnsiTheme="minorBidi"/>
          <w:noProof/>
          <w:lang w:val="en-GB" w:eastAsia="en-GB"/>
        </w:rPr>
        <w:drawing>
          <wp:inline distT="0" distB="0" distL="0" distR="0" wp14:anchorId="5CECC8A5" wp14:editId="279B1C71">
            <wp:extent cx="6291072" cy="3562350"/>
            <wp:effectExtent l="0" t="0" r="14605" b="0"/>
            <wp:docPr id="242675353" name="Chart 242675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0014396E" w:rsidRPr="001B4473">
        <w:rPr>
          <w:rFonts w:asciiTheme="minorBidi" w:hAnsiTheme="minorBidi"/>
          <w:b/>
          <w:color w:val="FF0000"/>
          <w:sz w:val="24"/>
          <w:szCs w:val="24"/>
          <w:u w:val="single"/>
        </w:rPr>
        <w:br/>
      </w:r>
      <w:r w:rsidR="0014396E" w:rsidRPr="00BB1EB7">
        <w:rPr>
          <w:rFonts w:asciiTheme="minorBidi" w:hAnsiTheme="minorBidi"/>
          <w:bCs/>
          <w:sz w:val="24"/>
          <w:szCs w:val="24"/>
        </w:rPr>
        <w:t>Figura II.1.1</w:t>
      </w:r>
      <w:r w:rsidR="00BB1EB7" w:rsidRPr="00BB1EB7">
        <w:rPr>
          <w:rFonts w:asciiTheme="minorBidi" w:hAnsiTheme="minorBidi"/>
          <w:bCs/>
          <w:sz w:val="24"/>
          <w:szCs w:val="24"/>
        </w:rPr>
        <w:t>.1</w:t>
      </w:r>
      <w:r w:rsidR="0014396E" w:rsidRPr="00BB1EB7">
        <w:rPr>
          <w:rFonts w:asciiTheme="minorBidi" w:hAnsiTheme="minorBidi"/>
          <w:bCs/>
          <w:sz w:val="24"/>
          <w:szCs w:val="24"/>
        </w:rPr>
        <w:t xml:space="preserve"> Evoluția resursei de apă (teoretică și utilizabilă) </w:t>
      </w:r>
      <w:r w:rsidRPr="00BB1EB7">
        <w:rPr>
          <w:rFonts w:asciiTheme="minorBidi" w:hAnsiTheme="minorBidi"/>
          <w:bCs/>
          <w:sz w:val="24"/>
          <w:szCs w:val="24"/>
        </w:rPr>
        <w:t>î</w:t>
      </w:r>
      <w:r w:rsidR="0014396E" w:rsidRPr="00BB1EB7">
        <w:rPr>
          <w:rFonts w:asciiTheme="minorBidi" w:hAnsiTheme="minorBidi"/>
          <w:bCs/>
          <w:sz w:val="24"/>
          <w:szCs w:val="24"/>
        </w:rPr>
        <w:t xml:space="preserve">n </w:t>
      </w:r>
      <w:r w:rsidRPr="00BB1EB7">
        <w:rPr>
          <w:rFonts w:asciiTheme="minorBidi" w:hAnsiTheme="minorBidi"/>
          <w:bCs/>
          <w:sz w:val="24"/>
          <w:szCs w:val="24"/>
        </w:rPr>
        <w:t>perioada 2017 – 2022 (</w:t>
      </w:r>
      <w:r w:rsidR="0014396E" w:rsidRPr="00BB1EB7">
        <w:rPr>
          <w:rFonts w:asciiTheme="minorBidi" w:hAnsiTheme="minorBidi"/>
          <w:bCs/>
          <w:sz w:val="24"/>
          <w:szCs w:val="24"/>
        </w:rPr>
        <w:t>mii m</w:t>
      </w:r>
      <w:r w:rsidR="0014396E" w:rsidRPr="00BB1EB7">
        <w:rPr>
          <w:rFonts w:asciiTheme="minorBidi" w:hAnsiTheme="minorBidi"/>
          <w:bCs/>
          <w:sz w:val="24"/>
          <w:szCs w:val="24"/>
          <w:vertAlign w:val="superscript"/>
        </w:rPr>
        <w:t>3</w:t>
      </w:r>
      <w:r w:rsidRPr="00BB1EB7">
        <w:rPr>
          <w:rFonts w:asciiTheme="minorBidi" w:hAnsiTheme="minorBidi"/>
          <w:bCs/>
          <w:sz w:val="24"/>
          <w:szCs w:val="24"/>
        </w:rPr>
        <w:t>)</w:t>
      </w:r>
    </w:p>
    <w:p w14:paraId="0D625348" w14:textId="77777777" w:rsidR="00C96E79" w:rsidRDefault="00C96E79" w:rsidP="00C96E79">
      <w:pPr>
        <w:spacing w:after="0" w:line="276" w:lineRule="auto"/>
        <w:rPr>
          <w:rFonts w:ascii="Arial" w:hAnsi="Arial" w:cs="Arial"/>
          <w:sz w:val="24"/>
          <w:szCs w:val="24"/>
          <w:lang w:val="pt-BR"/>
        </w:rPr>
      </w:pPr>
    </w:p>
    <w:p w14:paraId="781C8FEC" w14:textId="43E44222" w:rsidR="00C96E79" w:rsidRPr="00930EF6" w:rsidRDefault="00C96E79" w:rsidP="00C96E79">
      <w:pPr>
        <w:spacing w:after="0"/>
        <w:ind w:firstLine="708"/>
        <w:jc w:val="both"/>
        <w:rPr>
          <w:rFonts w:ascii="Arial" w:hAnsi="Arial" w:cs="Arial"/>
          <w:sz w:val="24"/>
          <w:szCs w:val="24"/>
        </w:rPr>
      </w:pPr>
      <w:r w:rsidRPr="00930EF6">
        <w:rPr>
          <w:rFonts w:ascii="Arial" w:hAnsi="Arial" w:cs="Arial"/>
          <w:sz w:val="24"/>
          <w:szCs w:val="24"/>
          <w:lang w:val="pt-BR"/>
        </w:rPr>
        <w:t>Resursa utilizabilă, potrivit gradului de amenajare a bazinelor hidrografice</w:t>
      </w:r>
      <w:r>
        <w:rPr>
          <w:rFonts w:ascii="Arial" w:hAnsi="Arial" w:cs="Arial"/>
          <w:sz w:val="24"/>
          <w:szCs w:val="24"/>
        </w:rPr>
        <w:t>, c</w:t>
      </w:r>
      <w:r w:rsidRPr="00930EF6">
        <w:rPr>
          <w:rFonts w:ascii="Arial" w:hAnsi="Arial" w:cs="Arial"/>
          <w:sz w:val="24"/>
          <w:szCs w:val="24"/>
          <w:lang w:val="pt-BR"/>
        </w:rPr>
        <w:t>uprinde şi resursa aferentă lacurilor litorale, precum şi resursa asigurată prin refolosire externă indirectă în lungul râului.</w:t>
      </w:r>
    </w:p>
    <w:p w14:paraId="0A575463" w14:textId="77777777" w:rsidR="0014396E" w:rsidRPr="001B4473" w:rsidRDefault="0014396E" w:rsidP="002975E5">
      <w:pPr>
        <w:spacing w:after="0" w:line="240" w:lineRule="auto"/>
        <w:ind w:firstLine="720"/>
        <w:jc w:val="both"/>
        <w:rPr>
          <w:rFonts w:asciiTheme="minorBidi" w:hAnsiTheme="minorBidi"/>
          <w:b/>
          <w:i/>
          <w:color w:val="FF0000"/>
          <w:sz w:val="24"/>
          <w:szCs w:val="24"/>
        </w:rPr>
      </w:pPr>
    </w:p>
    <w:p w14:paraId="241E2590" w14:textId="77777777" w:rsidR="000A3D16" w:rsidRPr="00CC0263" w:rsidRDefault="000A3D16" w:rsidP="000A3D16">
      <w:pPr>
        <w:spacing w:after="0" w:line="240" w:lineRule="auto"/>
        <w:ind w:firstLine="720"/>
        <w:jc w:val="both"/>
        <w:rPr>
          <w:rFonts w:ascii="Arial" w:hAnsi="Arial" w:cs="Arial"/>
          <w:lang w:val="fr-FR"/>
        </w:rPr>
      </w:pPr>
      <w:r w:rsidRPr="00804B8B">
        <w:rPr>
          <w:rFonts w:ascii="Arial" w:hAnsi="Arial" w:cs="Arial"/>
        </w:rPr>
        <w:t>Resursele de apă de suprafață ale României provin din 2 categorii de surse, respectiv</w:t>
      </w:r>
      <w:r w:rsidRPr="00CC0263">
        <w:rPr>
          <w:rFonts w:ascii="Arial" w:hAnsi="Arial" w:cs="Arial"/>
          <w:lang w:val="fr-FR"/>
        </w:rPr>
        <w:t>:</w:t>
      </w:r>
    </w:p>
    <w:p w14:paraId="3393CD3F" w14:textId="77777777" w:rsidR="000A3D16" w:rsidRPr="00804B8B" w:rsidRDefault="000A3D16" w:rsidP="0054709F">
      <w:pPr>
        <w:pStyle w:val="ListParagraph"/>
        <w:numPr>
          <w:ilvl w:val="0"/>
          <w:numId w:val="1"/>
        </w:numPr>
        <w:spacing w:after="0" w:line="240" w:lineRule="auto"/>
        <w:ind w:left="1248" w:hanging="284"/>
        <w:jc w:val="both"/>
        <w:rPr>
          <w:rFonts w:ascii="Arial" w:hAnsi="Arial" w:cs="Arial"/>
        </w:rPr>
      </w:pPr>
      <w:r w:rsidRPr="00804B8B">
        <w:rPr>
          <w:rFonts w:ascii="Arial" w:hAnsi="Arial" w:cs="Arial"/>
        </w:rPr>
        <w:t>râurile interioare (inclusiv lacurile naturale)</w:t>
      </w:r>
    </w:p>
    <w:p w14:paraId="4835ABC0" w14:textId="77777777" w:rsidR="000A3D16" w:rsidRPr="00804B8B" w:rsidRDefault="000A3D16" w:rsidP="0054709F">
      <w:pPr>
        <w:pStyle w:val="ListParagraph"/>
        <w:numPr>
          <w:ilvl w:val="0"/>
          <w:numId w:val="1"/>
        </w:numPr>
        <w:spacing w:after="0" w:line="240" w:lineRule="auto"/>
        <w:ind w:left="1248" w:hanging="284"/>
        <w:jc w:val="both"/>
        <w:rPr>
          <w:rFonts w:ascii="Arial" w:hAnsi="Arial" w:cs="Arial"/>
        </w:rPr>
      </w:pPr>
      <w:r w:rsidRPr="00804B8B">
        <w:rPr>
          <w:rFonts w:ascii="Arial" w:hAnsi="Arial" w:cs="Arial"/>
        </w:rPr>
        <w:t>fluviul Dunărea</w:t>
      </w:r>
    </w:p>
    <w:p w14:paraId="4E0AB1A0"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14:paraId="0B4D2EE7"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14:paraId="2B0D1D59" w14:textId="77777777" w:rsidR="000A3D16" w:rsidRPr="003551EE" w:rsidRDefault="000A3D16" w:rsidP="000A3D16">
      <w:pPr>
        <w:spacing w:after="0" w:line="240" w:lineRule="auto"/>
        <w:ind w:firstLine="720"/>
        <w:jc w:val="both"/>
        <w:rPr>
          <w:rFonts w:ascii="Arial" w:hAnsi="Arial" w:cs="Arial"/>
        </w:rPr>
      </w:pPr>
      <w:r w:rsidRPr="003551EE">
        <w:rPr>
          <w:rFonts w:ascii="Arial" w:hAnsi="Arial" w:cs="Arial"/>
          <w:i/>
          <w:u w:val="single"/>
        </w:rPr>
        <w:t>Resursa naturală de apă a anului 2022</w:t>
      </w:r>
      <w:r w:rsidRPr="003551EE">
        <w:rPr>
          <w:rFonts w:ascii="Arial" w:hAnsi="Arial" w:cs="Arial"/>
          <w:i/>
        </w:rPr>
        <w:t xml:space="preserve"> </w:t>
      </w:r>
      <w:r w:rsidRPr="003551EE">
        <w:rPr>
          <w:rFonts w:ascii="Arial" w:hAnsi="Arial" w:cs="Arial"/>
        </w:rPr>
        <w:t>provenită din râurile interioare a reprezentat un volum scurs de 28967*10</w:t>
      </w:r>
      <w:r w:rsidRPr="003551EE">
        <w:rPr>
          <w:rFonts w:ascii="Arial" w:hAnsi="Arial" w:cs="Arial"/>
          <w:vertAlign w:val="superscript"/>
        </w:rPr>
        <w:t>6</w:t>
      </w:r>
      <w:r w:rsidRPr="003551EE">
        <w:rPr>
          <w:rFonts w:ascii="Arial" w:hAnsi="Arial" w:cs="Arial"/>
        </w:rPr>
        <w:t>m</w:t>
      </w:r>
      <w:r w:rsidRPr="003551EE">
        <w:rPr>
          <w:rFonts w:ascii="Arial" w:hAnsi="Arial" w:cs="Arial"/>
          <w:vertAlign w:val="superscript"/>
        </w:rPr>
        <w:t>3</w:t>
      </w:r>
      <w:r w:rsidRPr="003551EE">
        <w:rPr>
          <w:rFonts w:ascii="Arial" w:hAnsi="Arial" w:cs="Arial"/>
        </w:rPr>
        <w:t xml:space="preserve"> care îl situează cu 32% sub nivelul volumului mediu multianual calculat pentru o perioadă îndelungată, respectiv 38363.64 *10</w:t>
      </w:r>
      <w:r w:rsidRPr="003551EE">
        <w:rPr>
          <w:rFonts w:ascii="Arial" w:hAnsi="Arial" w:cs="Arial"/>
          <w:vertAlign w:val="superscript"/>
        </w:rPr>
        <w:t>6</w:t>
      </w:r>
      <w:r w:rsidRPr="003551EE">
        <w:rPr>
          <w:rFonts w:ascii="Arial" w:hAnsi="Arial" w:cs="Arial"/>
        </w:rPr>
        <w:t>m</w:t>
      </w:r>
      <w:r w:rsidRPr="003551EE">
        <w:rPr>
          <w:rFonts w:ascii="Arial" w:hAnsi="Arial" w:cs="Arial"/>
          <w:vertAlign w:val="superscript"/>
        </w:rPr>
        <w:t>3</w:t>
      </w:r>
    </w:p>
    <w:p w14:paraId="312BB979" w14:textId="77777777" w:rsidR="000A3D16" w:rsidRPr="003551EE" w:rsidRDefault="000A3D16" w:rsidP="000A3D16">
      <w:pPr>
        <w:spacing w:after="0" w:line="240" w:lineRule="auto"/>
        <w:ind w:firstLine="720"/>
        <w:jc w:val="both"/>
        <w:rPr>
          <w:rFonts w:ascii="Arial" w:hAnsi="Arial" w:cs="Arial"/>
        </w:rPr>
      </w:pPr>
      <w:r w:rsidRPr="003551EE">
        <w:rPr>
          <w:rFonts w:ascii="Arial" w:hAnsi="Arial" w:cs="Arial"/>
        </w:rPr>
        <w:t>În acest context anul 2022 poate fi considerat un an secetos.</w:t>
      </w:r>
    </w:p>
    <w:p w14:paraId="75771E23" w14:textId="1EC984A4" w:rsidR="000A3D16" w:rsidRPr="00804B8B" w:rsidRDefault="000A3D16" w:rsidP="000A3D16">
      <w:pPr>
        <w:spacing w:after="0" w:line="240" w:lineRule="auto"/>
        <w:ind w:firstLine="720"/>
        <w:jc w:val="both"/>
        <w:rPr>
          <w:rFonts w:ascii="Arial" w:hAnsi="Arial" w:cs="Arial"/>
        </w:rPr>
      </w:pPr>
      <w:r w:rsidRPr="003551EE">
        <w:rPr>
          <w:rFonts w:ascii="Arial" w:hAnsi="Arial" w:cs="Arial"/>
        </w:rPr>
        <w:t>Comparativ cu ultimii 5 ani (2017 – 2021), volumul scurs în anul 2022 este mai mic  20% față de media multianuală a stocului anual (34734 * 10</w:t>
      </w:r>
      <w:r w:rsidRPr="003551EE">
        <w:rPr>
          <w:rFonts w:ascii="Arial" w:hAnsi="Arial" w:cs="Arial"/>
          <w:vertAlign w:val="superscript"/>
        </w:rPr>
        <w:t>6</w:t>
      </w:r>
      <w:r w:rsidRPr="003551EE">
        <w:rPr>
          <w:rFonts w:ascii="Arial" w:hAnsi="Arial" w:cs="Arial"/>
        </w:rPr>
        <w:t>m</w:t>
      </w:r>
      <w:r w:rsidRPr="003551EE">
        <w:rPr>
          <w:rFonts w:ascii="Arial" w:hAnsi="Arial" w:cs="Arial"/>
          <w:vertAlign w:val="superscript"/>
        </w:rPr>
        <w:t>3</w:t>
      </w:r>
      <w:r w:rsidRPr="003551EE">
        <w:rPr>
          <w:rFonts w:ascii="Arial" w:hAnsi="Arial" w:cs="Arial"/>
        </w:rPr>
        <w:t xml:space="preserve">) scurs în intervalul amintit (vezi tabel </w:t>
      </w:r>
      <w:r w:rsidRPr="000A3D16">
        <w:rPr>
          <w:rFonts w:ascii="Arial" w:hAnsi="Arial" w:cs="Arial"/>
        </w:rPr>
        <w:t xml:space="preserve">nr. </w:t>
      </w:r>
      <w:r w:rsidRPr="000A3D16">
        <w:rPr>
          <w:rFonts w:asciiTheme="minorBidi" w:hAnsiTheme="minorBidi"/>
          <w:sz w:val="24"/>
          <w:szCs w:val="24"/>
        </w:rPr>
        <w:t xml:space="preserve">II.1.1 </w:t>
      </w:r>
      <w:r w:rsidRPr="000A3D16">
        <w:rPr>
          <w:rFonts w:ascii="Arial" w:hAnsi="Arial" w:cs="Arial"/>
        </w:rPr>
        <w:t xml:space="preserve">și figura </w:t>
      </w:r>
      <w:r>
        <w:rPr>
          <w:rFonts w:ascii="Arial" w:hAnsi="Arial" w:cs="Arial"/>
        </w:rPr>
        <w:t>II</w:t>
      </w:r>
      <w:r w:rsidRPr="000A3D16">
        <w:rPr>
          <w:rFonts w:ascii="Arial" w:hAnsi="Arial" w:cs="Arial"/>
        </w:rPr>
        <w:t>.</w:t>
      </w:r>
      <w:r>
        <w:rPr>
          <w:rFonts w:ascii="Arial" w:hAnsi="Arial" w:cs="Arial"/>
        </w:rPr>
        <w:t>1.</w:t>
      </w:r>
      <w:r w:rsidRPr="000A3D16">
        <w:rPr>
          <w:rFonts w:ascii="Arial" w:hAnsi="Arial" w:cs="Arial"/>
        </w:rPr>
        <w:t>1.).</w:t>
      </w:r>
    </w:p>
    <w:p w14:paraId="513AE2F1" w14:textId="77777777" w:rsidR="002975E5" w:rsidRPr="001B4473" w:rsidRDefault="002975E5" w:rsidP="002975E5">
      <w:pPr>
        <w:spacing w:after="0" w:line="240" w:lineRule="auto"/>
        <w:ind w:firstLine="720"/>
        <w:jc w:val="both"/>
        <w:rPr>
          <w:rFonts w:asciiTheme="minorBidi" w:hAnsiTheme="minorBidi"/>
          <w:color w:val="FF0000"/>
          <w:sz w:val="24"/>
          <w:szCs w:val="24"/>
        </w:rPr>
      </w:pPr>
    </w:p>
    <w:p w14:paraId="5A2A8DBC" w14:textId="77777777" w:rsidR="000A3D16" w:rsidRPr="00804B8B" w:rsidRDefault="00D71E48" w:rsidP="000A3D16">
      <w:pPr>
        <w:spacing w:after="0" w:line="240" w:lineRule="auto"/>
        <w:jc w:val="center"/>
        <w:rPr>
          <w:rFonts w:ascii="Arial" w:eastAsia="Times New Roman" w:hAnsi="Arial" w:cs="Arial"/>
          <w:i/>
          <w:sz w:val="20"/>
          <w:szCs w:val="20"/>
          <w:lang w:eastAsia="ro-RO"/>
        </w:rPr>
      </w:pPr>
      <w:r w:rsidRPr="000A3D16">
        <w:rPr>
          <w:rFonts w:asciiTheme="minorBidi" w:eastAsia="Times New Roman" w:hAnsiTheme="minorBidi"/>
          <w:i/>
          <w:sz w:val="24"/>
          <w:szCs w:val="24"/>
          <w:lang w:eastAsia="ro-RO"/>
        </w:rPr>
        <w:t xml:space="preserve">Tabelul nr. II.1.1. </w:t>
      </w:r>
      <w:r w:rsidR="000A3D16" w:rsidRPr="000A3D16">
        <w:rPr>
          <w:rFonts w:ascii="Arial" w:eastAsia="Times New Roman" w:hAnsi="Arial" w:cs="Arial"/>
          <w:i/>
          <w:sz w:val="20"/>
          <w:szCs w:val="20"/>
          <w:lang w:eastAsia="ro-RO"/>
        </w:rPr>
        <w:t>R</w:t>
      </w:r>
      <w:r w:rsidR="000A3D16" w:rsidRPr="00804B8B">
        <w:rPr>
          <w:rFonts w:ascii="Arial" w:eastAsia="Times New Roman" w:hAnsi="Arial" w:cs="Arial"/>
          <w:i/>
          <w:sz w:val="20"/>
          <w:szCs w:val="20"/>
          <w:lang w:eastAsia="ro-RO"/>
        </w:rPr>
        <w:t>esursele de apă ale anului 2022, comparativ cu perioada anterioară (2017-2021)</w:t>
      </w: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1"/>
        <w:gridCol w:w="1127"/>
        <w:gridCol w:w="750"/>
        <w:gridCol w:w="706"/>
        <w:gridCol w:w="795"/>
        <w:gridCol w:w="795"/>
        <w:gridCol w:w="825"/>
        <w:gridCol w:w="825"/>
        <w:gridCol w:w="919"/>
        <w:gridCol w:w="880"/>
        <w:gridCol w:w="1053"/>
      </w:tblGrid>
      <w:tr w:rsidR="000A3D16" w:rsidRPr="00804B8B" w14:paraId="11E81BAE" w14:textId="77777777" w:rsidTr="00E30C2C">
        <w:trPr>
          <w:tblHeader/>
          <w:jc w:val="center"/>
        </w:trPr>
        <w:tc>
          <w:tcPr>
            <w:tcW w:w="1191" w:type="dxa"/>
            <w:vMerge w:val="restart"/>
            <w:tcBorders>
              <w:top w:val="single" w:sz="8" w:space="0" w:color="auto"/>
              <w:left w:val="single" w:sz="8" w:space="0" w:color="auto"/>
            </w:tcBorders>
            <w:shd w:val="clear" w:color="000000" w:fill="auto"/>
            <w:noWrap/>
            <w:vAlign w:val="center"/>
            <w:hideMark/>
          </w:tcPr>
          <w:p w14:paraId="5FA6F4C7"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bookmarkStart w:id="0" w:name="OLE_LINK1"/>
            <w:r w:rsidRPr="00804B8B">
              <w:rPr>
                <w:rFonts w:ascii="Arial" w:eastAsia="Times New Roman" w:hAnsi="Arial" w:cs="Arial"/>
                <w:b/>
                <w:bCs/>
                <w:color w:val="000000"/>
                <w:sz w:val="16"/>
                <w:szCs w:val="16"/>
              </w:rPr>
              <w:t>Bazinul hidrografic</w:t>
            </w:r>
          </w:p>
        </w:tc>
        <w:tc>
          <w:tcPr>
            <w:tcW w:w="1127" w:type="dxa"/>
            <w:vMerge w:val="restart"/>
            <w:tcBorders>
              <w:top w:val="single" w:sz="8" w:space="0" w:color="auto"/>
            </w:tcBorders>
            <w:shd w:val="clear" w:color="000000" w:fill="auto"/>
            <w:noWrap/>
            <w:vAlign w:val="center"/>
            <w:hideMark/>
          </w:tcPr>
          <w:p w14:paraId="2309584D"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lang w:val="en-US"/>
              </w:rPr>
              <w:t>Parametrul</w:t>
            </w:r>
          </w:p>
        </w:tc>
        <w:tc>
          <w:tcPr>
            <w:tcW w:w="750" w:type="dxa"/>
            <w:vMerge w:val="restart"/>
            <w:tcBorders>
              <w:top w:val="single" w:sz="8" w:space="0" w:color="auto"/>
            </w:tcBorders>
            <w:shd w:val="clear" w:color="000000" w:fill="auto"/>
            <w:noWrap/>
            <w:vAlign w:val="center"/>
            <w:hideMark/>
          </w:tcPr>
          <w:p w14:paraId="388D4BED"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rPr>
              <w:t>F (km</w:t>
            </w:r>
            <w:r w:rsidRPr="00804B8B">
              <w:rPr>
                <w:rFonts w:ascii="Arial" w:eastAsia="Times New Roman" w:hAnsi="Arial" w:cs="Arial"/>
                <w:b/>
                <w:bCs/>
                <w:color w:val="000000"/>
                <w:sz w:val="16"/>
                <w:szCs w:val="16"/>
                <w:vertAlign w:val="superscript"/>
              </w:rPr>
              <w:t>2</w:t>
            </w:r>
            <w:r w:rsidRPr="00804B8B">
              <w:rPr>
                <w:rFonts w:ascii="Arial" w:eastAsia="Times New Roman" w:hAnsi="Arial" w:cs="Arial"/>
                <w:b/>
                <w:bCs/>
                <w:color w:val="000000"/>
                <w:sz w:val="16"/>
                <w:szCs w:val="16"/>
              </w:rPr>
              <w:t>)</w:t>
            </w:r>
          </w:p>
        </w:tc>
        <w:tc>
          <w:tcPr>
            <w:tcW w:w="5745" w:type="dxa"/>
            <w:gridSpan w:val="7"/>
            <w:tcBorders>
              <w:top w:val="single" w:sz="8" w:space="0" w:color="auto"/>
              <w:bottom w:val="single" w:sz="4" w:space="0" w:color="auto"/>
            </w:tcBorders>
            <w:shd w:val="clear" w:color="000000" w:fill="auto"/>
            <w:noWrap/>
            <w:vAlign w:val="center"/>
            <w:hideMark/>
          </w:tcPr>
          <w:p w14:paraId="1FA6A7A7"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rPr>
              <w:t xml:space="preserve">Q </w:t>
            </w:r>
            <w:r w:rsidRPr="00804B8B">
              <w:rPr>
                <w:rFonts w:ascii="Arial" w:eastAsia="Times New Roman" w:hAnsi="Arial" w:cs="Arial"/>
                <w:b/>
                <w:bCs/>
                <w:color w:val="000000"/>
                <w:sz w:val="16"/>
                <w:szCs w:val="16"/>
                <w:vertAlign w:val="subscript"/>
              </w:rPr>
              <w:t xml:space="preserve">med anual </w:t>
            </w:r>
            <w:r w:rsidRPr="00804B8B">
              <w:rPr>
                <w:rFonts w:ascii="Arial" w:eastAsia="Times New Roman" w:hAnsi="Arial" w:cs="Arial"/>
                <w:b/>
                <w:bCs/>
                <w:color w:val="000000"/>
                <w:sz w:val="16"/>
                <w:szCs w:val="16"/>
              </w:rPr>
              <w:t>(m</w:t>
            </w:r>
            <w:r w:rsidRPr="00804B8B">
              <w:rPr>
                <w:rFonts w:ascii="Arial" w:eastAsia="Times New Roman" w:hAnsi="Arial" w:cs="Arial"/>
                <w:b/>
                <w:bCs/>
                <w:color w:val="000000"/>
                <w:sz w:val="16"/>
                <w:szCs w:val="16"/>
                <w:vertAlign w:val="superscript"/>
              </w:rPr>
              <w:t>3</w:t>
            </w:r>
            <w:r w:rsidRPr="00804B8B">
              <w:rPr>
                <w:rFonts w:ascii="Arial" w:eastAsia="Times New Roman" w:hAnsi="Arial" w:cs="Arial"/>
                <w:b/>
                <w:bCs/>
                <w:color w:val="000000"/>
                <w:sz w:val="16"/>
                <w:szCs w:val="16"/>
              </w:rPr>
              <w:t>/s)</w:t>
            </w:r>
          </w:p>
        </w:tc>
        <w:tc>
          <w:tcPr>
            <w:tcW w:w="1053" w:type="dxa"/>
            <w:vMerge w:val="restart"/>
            <w:tcBorders>
              <w:top w:val="single" w:sz="8" w:space="0" w:color="auto"/>
              <w:right w:val="single" w:sz="8" w:space="0" w:color="auto"/>
            </w:tcBorders>
            <w:shd w:val="clear" w:color="000000" w:fill="auto"/>
            <w:noWrap/>
            <w:vAlign w:val="center"/>
            <w:hideMark/>
          </w:tcPr>
          <w:p w14:paraId="577A825D"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rPr>
              <w:t>Q</w:t>
            </w:r>
            <w:r w:rsidRPr="00804B8B">
              <w:rPr>
                <w:rFonts w:ascii="Arial" w:eastAsia="Times New Roman" w:hAnsi="Arial" w:cs="Arial"/>
                <w:b/>
                <w:bCs/>
                <w:color w:val="000000"/>
                <w:sz w:val="16"/>
                <w:szCs w:val="16"/>
                <w:vertAlign w:val="subscript"/>
              </w:rPr>
              <w:t>2021</w:t>
            </w:r>
            <w:r w:rsidRPr="00804B8B">
              <w:rPr>
                <w:rFonts w:ascii="Arial" w:eastAsia="Times New Roman" w:hAnsi="Arial" w:cs="Arial"/>
                <w:b/>
                <w:bCs/>
                <w:color w:val="000000"/>
                <w:sz w:val="16"/>
                <w:szCs w:val="16"/>
              </w:rPr>
              <w:t>/Q</w:t>
            </w:r>
            <w:r w:rsidRPr="00804B8B">
              <w:rPr>
                <w:rFonts w:ascii="Arial" w:eastAsia="Times New Roman" w:hAnsi="Arial" w:cs="Arial"/>
                <w:b/>
                <w:bCs/>
                <w:color w:val="000000"/>
                <w:sz w:val="16"/>
                <w:szCs w:val="16"/>
                <w:vertAlign w:val="subscript"/>
              </w:rPr>
              <w:t>med</w:t>
            </w:r>
            <w:r w:rsidRPr="00804B8B">
              <w:rPr>
                <w:rFonts w:ascii="Arial" w:eastAsia="Times New Roman" w:hAnsi="Arial" w:cs="Arial"/>
                <w:b/>
                <w:bCs/>
                <w:color w:val="000000"/>
                <w:sz w:val="16"/>
                <w:szCs w:val="16"/>
              </w:rPr>
              <w:t xml:space="preserve"> (%)</w:t>
            </w:r>
          </w:p>
        </w:tc>
      </w:tr>
      <w:tr w:rsidR="000A3D16" w:rsidRPr="00804B8B" w14:paraId="73391260" w14:textId="77777777" w:rsidTr="00E30C2C">
        <w:trPr>
          <w:tblHeader/>
          <w:jc w:val="center"/>
        </w:trPr>
        <w:tc>
          <w:tcPr>
            <w:tcW w:w="1191" w:type="dxa"/>
            <w:vMerge/>
            <w:tcBorders>
              <w:left w:val="single" w:sz="8" w:space="0" w:color="auto"/>
              <w:bottom w:val="single" w:sz="8" w:space="0" w:color="auto"/>
            </w:tcBorders>
            <w:shd w:val="clear" w:color="000000" w:fill="FFFF00"/>
            <w:noWrap/>
            <w:vAlign w:val="center"/>
            <w:hideMark/>
          </w:tcPr>
          <w:p w14:paraId="107A994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vMerge/>
            <w:tcBorders>
              <w:bottom w:val="single" w:sz="8" w:space="0" w:color="auto"/>
            </w:tcBorders>
            <w:shd w:val="clear" w:color="000000" w:fill="FFFF00"/>
            <w:noWrap/>
            <w:vAlign w:val="center"/>
            <w:hideMark/>
          </w:tcPr>
          <w:p w14:paraId="4A574C6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50" w:type="dxa"/>
            <w:vMerge/>
            <w:tcBorders>
              <w:bottom w:val="single" w:sz="8" w:space="0" w:color="auto"/>
            </w:tcBorders>
            <w:shd w:val="clear" w:color="000000" w:fill="FFFF00"/>
            <w:noWrap/>
            <w:vAlign w:val="center"/>
            <w:hideMark/>
          </w:tcPr>
          <w:p w14:paraId="121ADED1"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tcBorders>
              <w:bottom w:val="single" w:sz="8" w:space="0" w:color="auto"/>
            </w:tcBorders>
            <w:shd w:val="clear" w:color="000000" w:fill="auto"/>
            <w:noWrap/>
            <w:vAlign w:val="center"/>
          </w:tcPr>
          <w:p w14:paraId="2BE2B1C6"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rPr>
              <w:t>2017</w:t>
            </w:r>
          </w:p>
        </w:tc>
        <w:tc>
          <w:tcPr>
            <w:tcW w:w="795" w:type="dxa"/>
            <w:tcBorders>
              <w:bottom w:val="single" w:sz="8" w:space="0" w:color="auto"/>
            </w:tcBorders>
            <w:shd w:val="clear" w:color="000000" w:fill="auto"/>
            <w:noWrap/>
            <w:vAlign w:val="center"/>
          </w:tcPr>
          <w:p w14:paraId="32CAB519"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lang w:val="en-US"/>
              </w:rPr>
              <w:t>2018</w:t>
            </w:r>
          </w:p>
        </w:tc>
        <w:tc>
          <w:tcPr>
            <w:tcW w:w="795" w:type="dxa"/>
            <w:tcBorders>
              <w:bottom w:val="single" w:sz="8" w:space="0" w:color="auto"/>
            </w:tcBorders>
            <w:shd w:val="clear" w:color="000000" w:fill="auto"/>
            <w:noWrap/>
            <w:vAlign w:val="center"/>
          </w:tcPr>
          <w:p w14:paraId="25925474"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lang w:val="en-US"/>
              </w:rPr>
              <w:t>2019</w:t>
            </w:r>
          </w:p>
        </w:tc>
        <w:tc>
          <w:tcPr>
            <w:tcW w:w="825" w:type="dxa"/>
            <w:tcBorders>
              <w:bottom w:val="single" w:sz="8" w:space="0" w:color="auto"/>
            </w:tcBorders>
            <w:shd w:val="clear" w:color="000000" w:fill="auto"/>
            <w:noWrap/>
            <w:vAlign w:val="center"/>
          </w:tcPr>
          <w:p w14:paraId="79BEADD8"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rPr>
              <w:t>2020</w:t>
            </w:r>
            <w:r w:rsidRPr="00804B8B">
              <w:rPr>
                <w:rFonts w:ascii="Arial" w:eastAsia="Times New Roman" w:hAnsi="Arial" w:cs="Arial"/>
                <w:b/>
                <w:bCs/>
                <w:color w:val="000000"/>
                <w:sz w:val="16"/>
                <w:szCs w:val="16"/>
                <w:vertAlign w:val="superscript"/>
              </w:rPr>
              <w:t>*</w:t>
            </w:r>
          </w:p>
        </w:tc>
        <w:tc>
          <w:tcPr>
            <w:tcW w:w="825" w:type="dxa"/>
            <w:tcBorders>
              <w:bottom w:val="single" w:sz="8" w:space="0" w:color="auto"/>
            </w:tcBorders>
            <w:shd w:val="clear" w:color="000000" w:fill="auto"/>
            <w:noWrap/>
            <w:vAlign w:val="center"/>
          </w:tcPr>
          <w:p w14:paraId="23203128"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lang w:val="en-US"/>
              </w:rPr>
              <w:t>2021</w:t>
            </w:r>
          </w:p>
        </w:tc>
        <w:tc>
          <w:tcPr>
            <w:tcW w:w="919" w:type="dxa"/>
            <w:tcBorders>
              <w:bottom w:val="single" w:sz="8" w:space="0" w:color="auto"/>
            </w:tcBorders>
            <w:shd w:val="clear" w:color="000000" w:fill="auto"/>
            <w:noWrap/>
            <w:vAlign w:val="center"/>
            <w:hideMark/>
          </w:tcPr>
          <w:p w14:paraId="250A7E69" w14:textId="77777777" w:rsidR="000A3D16" w:rsidRPr="00804B8B" w:rsidRDefault="000A3D16" w:rsidP="00E30C2C">
            <w:pPr>
              <w:spacing w:after="0" w:line="240" w:lineRule="auto"/>
              <w:jc w:val="center"/>
              <w:rPr>
                <w:rFonts w:ascii="Arial" w:eastAsia="Times New Roman" w:hAnsi="Arial" w:cs="Arial"/>
                <w:b/>
                <w:bCs/>
                <w:color w:val="000000"/>
                <w:sz w:val="16"/>
                <w:szCs w:val="16"/>
              </w:rPr>
            </w:pPr>
            <w:r w:rsidRPr="00804B8B">
              <w:rPr>
                <w:rFonts w:ascii="Arial" w:eastAsia="Times New Roman" w:hAnsi="Arial" w:cs="Arial"/>
                <w:b/>
                <w:bCs/>
                <w:color w:val="000000"/>
                <w:sz w:val="16"/>
                <w:szCs w:val="16"/>
              </w:rPr>
              <w:t>MED</w:t>
            </w:r>
          </w:p>
          <w:p w14:paraId="1EA0426F"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sz w:val="16"/>
                <w:szCs w:val="16"/>
                <w:vertAlign w:val="subscript"/>
              </w:rPr>
              <w:t>2017-2021</w:t>
            </w:r>
          </w:p>
        </w:tc>
        <w:tc>
          <w:tcPr>
            <w:tcW w:w="880" w:type="dxa"/>
            <w:tcBorders>
              <w:bottom w:val="single" w:sz="8" w:space="0" w:color="auto"/>
            </w:tcBorders>
            <w:shd w:val="clear" w:color="000000" w:fill="auto"/>
            <w:noWrap/>
            <w:vAlign w:val="center"/>
          </w:tcPr>
          <w:p w14:paraId="05217053" w14:textId="77777777" w:rsidR="000A3D16" w:rsidRPr="00804B8B" w:rsidRDefault="000A3D16" w:rsidP="00E30C2C">
            <w:pPr>
              <w:spacing w:after="0" w:line="240" w:lineRule="auto"/>
              <w:jc w:val="center"/>
              <w:rPr>
                <w:rFonts w:ascii="Arial" w:eastAsia="Times New Roman" w:hAnsi="Arial" w:cs="Arial"/>
                <w:b/>
                <w:bCs/>
                <w:color w:val="000000"/>
                <w:sz w:val="16"/>
                <w:szCs w:val="16"/>
                <w:lang w:val="en-US"/>
              </w:rPr>
            </w:pPr>
            <w:r w:rsidRPr="00804B8B">
              <w:rPr>
                <w:rFonts w:ascii="Arial" w:eastAsia="Times New Roman" w:hAnsi="Arial" w:cs="Arial"/>
                <w:b/>
                <w:bCs/>
                <w:color w:val="000000"/>
                <w:sz w:val="16"/>
                <w:szCs w:val="16"/>
                <w:lang w:val="en-US"/>
              </w:rPr>
              <w:t>2022</w:t>
            </w:r>
          </w:p>
        </w:tc>
        <w:tc>
          <w:tcPr>
            <w:tcW w:w="1053" w:type="dxa"/>
            <w:vMerge/>
            <w:tcBorders>
              <w:bottom w:val="single" w:sz="8" w:space="0" w:color="auto"/>
              <w:right w:val="single" w:sz="8" w:space="0" w:color="auto"/>
            </w:tcBorders>
            <w:shd w:val="clear" w:color="000000" w:fill="FFFF00"/>
            <w:noWrap/>
            <w:vAlign w:val="center"/>
            <w:hideMark/>
          </w:tcPr>
          <w:p w14:paraId="6EDEC50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r>
      <w:tr w:rsidR="000A3D16" w:rsidRPr="00804B8B" w14:paraId="2C22050B" w14:textId="77777777" w:rsidTr="00E30C2C">
        <w:trPr>
          <w:jc w:val="center"/>
        </w:trPr>
        <w:tc>
          <w:tcPr>
            <w:tcW w:w="1191" w:type="dxa"/>
            <w:vMerge w:val="restart"/>
            <w:tcBorders>
              <w:top w:val="single" w:sz="8" w:space="0" w:color="auto"/>
              <w:left w:val="single" w:sz="8" w:space="0" w:color="auto"/>
            </w:tcBorders>
            <w:shd w:val="clear" w:color="auto" w:fill="auto"/>
            <w:noWrap/>
            <w:vAlign w:val="center"/>
            <w:hideMark/>
          </w:tcPr>
          <w:p w14:paraId="6F82EAAD" w14:textId="77777777" w:rsidR="000A3D16" w:rsidRPr="00804B8B" w:rsidRDefault="000A3D16" w:rsidP="00E30C2C">
            <w:pPr>
              <w:spacing w:after="0" w:line="240" w:lineRule="auto"/>
              <w:jc w:val="center"/>
              <w:rPr>
                <w:rFonts w:ascii="Arial" w:eastAsia="Times New Roman" w:hAnsi="Arial" w:cs="Arial"/>
                <w:color w:val="000000"/>
                <w:sz w:val="16"/>
                <w:szCs w:val="16"/>
                <w:vertAlign w:val="superscript"/>
                <w:lang w:val="en-US"/>
              </w:rPr>
            </w:pPr>
            <w:r w:rsidRPr="00804B8B">
              <w:rPr>
                <w:rFonts w:ascii="Arial" w:eastAsia="Times New Roman" w:hAnsi="Arial" w:cs="Arial"/>
                <w:color w:val="000000"/>
                <w:sz w:val="16"/>
                <w:szCs w:val="16"/>
              </w:rPr>
              <w:t>TISA</w:t>
            </w:r>
            <w:r w:rsidRPr="00804B8B">
              <w:rPr>
                <w:rFonts w:ascii="Arial" w:eastAsia="Times New Roman" w:hAnsi="Arial" w:cs="Arial"/>
                <w:color w:val="000000"/>
                <w:sz w:val="16"/>
                <w:szCs w:val="16"/>
                <w:vertAlign w:val="superscript"/>
              </w:rPr>
              <w:t>*</w:t>
            </w:r>
          </w:p>
        </w:tc>
        <w:tc>
          <w:tcPr>
            <w:tcW w:w="1127" w:type="dxa"/>
            <w:tcBorders>
              <w:top w:val="single" w:sz="8" w:space="0" w:color="auto"/>
            </w:tcBorders>
            <w:shd w:val="clear" w:color="auto" w:fill="auto"/>
            <w:noWrap/>
            <w:vAlign w:val="center"/>
            <w:hideMark/>
          </w:tcPr>
          <w:p w14:paraId="0C71EE28"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tcBorders>
              <w:top w:val="single" w:sz="8" w:space="0" w:color="auto"/>
            </w:tcBorders>
            <w:shd w:val="clear" w:color="auto" w:fill="auto"/>
            <w:noWrap/>
            <w:vAlign w:val="center"/>
            <w:hideMark/>
          </w:tcPr>
          <w:p w14:paraId="09CA190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4540</w:t>
            </w:r>
          </w:p>
        </w:tc>
        <w:tc>
          <w:tcPr>
            <w:tcW w:w="706" w:type="dxa"/>
            <w:tcBorders>
              <w:top w:val="single" w:sz="8" w:space="0" w:color="auto"/>
            </w:tcBorders>
            <w:shd w:val="clear" w:color="auto" w:fill="auto"/>
            <w:noWrap/>
            <w:vAlign w:val="center"/>
          </w:tcPr>
          <w:p w14:paraId="292EC04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74.57</w:t>
            </w:r>
          </w:p>
        </w:tc>
        <w:tc>
          <w:tcPr>
            <w:tcW w:w="795" w:type="dxa"/>
            <w:tcBorders>
              <w:top w:val="single" w:sz="8" w:space="0" w:color="auto"/>
            </w:tcBorders>
            <w:shd w:val="clear" w:color="auto" w:fill="auto"/>
            <w:noWrap/>
            <w:vAlign w:val="center"/>
          </w:tcPr>
          <w:p w14:paraId="0192B65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70.7</w:t>
            </w:r>
          </w:p>
        </w:tc>
        <w:tc>
          <w:tcPr>
            <w:tcW w:w="795" w:type="dxa"/>
            <w:tcBorders>
              <w:top w:val="single" w:sz="8" w:space="0" w:color="auto"/>
            </w:tcBorders>
            <w:shd w:val="clear" w:color="auto" w:fill="auto"/>
            <w:noWrap/>
            <w:vAlign w:val="center"/>
          </w:tcPr>
          <w:p w14:paraId="7468EB1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65.87</w:t>
            </w:r>
          </w:p>
        </w:tc>
        <w:tc>
          <w:tcPr>
            <w:tcW w:w="825" w:type="dxa"/>
            <w:tcBorders>
              <w:top w:val="single" w:sz="8" w:space="0" w:color="auto"/>
            </w:tcBorders>
            <w:shd w:val="clear" w:color="auto" w:fill="auto"/>
            <w:noWrap/>
            <w:vAlign w:val="center"/>
          </w:tcPr>
          <w:p w14:paraId="780F8488"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62,1</w:t>
            </w:r>
          </w:p>
        </w:tc>
        <w:tc>
          <w:tcPr>
            <w:tcW w:w="825" w:type="dxa"/>
            <w:tcBorders>
              <w:top w:val="single" w:sz="8" w:space="0" w:color="auto"/>
            </w:tcBorders>
            <w:shd w:val="clear" w:color="auto" w:fill="auto"/>
            <w:noWrap/>
            <w:vAlign w:val="center"/>
          </w:tcPr>
          <w:p w14:paraId="065C3D3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73.8</w:t>
            </w:r>
          </w:p>
        </w:tc>
        <w:tc>
          <w:tcPr>
            <w:tcW w:w="919" w:type="dxa"/>
            <w:tcBorders>
              <w:top w:val="single" w:sz="8" w:space="0" w:color="auto"/>
            </w:tcBorders>
            <w:shd w:val="clear" w:color="auto" w:fill="auto"/>
            <w:noWrap/>
            <w:vAlign w:val="center"/>
          </w:tcPr>
          <w:p w14:paraId="1BA3FD95"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69.4</w:t>
            </w:r>
          </w:p>
        </w:tc>
        <w:tc>
          <w:tcPr>
            <w:tcW w:w="880" w:type="dxa"/>
            <w:tcBorders>
              <w:top w:val="single" w:sz="8" w:space="0" w:color="auto"/>
            </w:tcBorders>
            <w:shd w:val="clear" w:color="auto" w:fill="auto"/>
            <w:noWrap/>
            <w:vAlign w:val="center"/>
          </w:tcPr>
          <w:p w14:paraId="7D43F7DF"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66.0</w:t>
            </w:r>
          </w:p>
        </w:tc>
        <w:tc>
          <w:tcPr>
            <w:tcW w:w="1053" w:type="dxa"/>
            <w:vMerge w:val="restart"/>
            <w:tcBorders>
              <w:top w:val="single" w:sz="8" w:space="0" w:color="auto"/>
              <w:right w:val="single" w:sz="8" w:space="0" w:color="auto"/>
            </w:tcBorders>
            <w:shd w:val="clear" w:color="auto" w:fill="auto"/>
            <w:noWrap/>
            <w:vAlign w:val="center"/>
          </w:tcPr>
          <w:p w14:paraId="33890F70"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0,952</w:t>
            </w:r>
          </w:p>
        </w:tc>
      </w:tr>
      <w:tr w:rsidR="000A3D16" w:rsidRPr="00804B8B" w14:paraId="666BC206" w14:textId="77777777" w:rsidTr="00E30C2C">
        <w:trPr>
          <w:jc w:val="center"/>
        </w:trPr>
        <w:tc>
          <w:tcPr>
            <w:tcW w:w="1191" w:type="dxa"/>
            <w:vMerge/>
            <w:tcBorders>
              <w:left w:val="single" w:sz="8" w:space="0" w:color="auto"/>
            </w:tcBorders>
            <w:shd w:val="clear" w:color="auto" w:fill="auto"/>
            <w:noWrap/>
            <w:vAlign w:val="center"/>
            <w:hideMark/>
          </w:tcPr>
          <w:p w14:paraId="30284A2B"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14B21EED"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105932A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48F81DB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2352</w:t>
            </w:r>
          </w:p>
        </w:tc>
        <w:tc>
          <w:tcPr>
            <w:tcW w:w="795" w:type="dxa"/>
            <w:shd w:val="clear" w:color="auto" w:fill="auto"/>
            <w:noWrap/>
            <w:vAlign w:val="center"/>
          </w:tcPr>
          <w:p w14:paraId="7199879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2230</w:t>
            </w:r>
          </w:p>
        </w:tc>
        <w:tc>
          <w:tcPr>
            <w:tcW w:w="795" w:type="dxa"/>
            <w:shd w:val="clear" w:color="auto" w:fill="auto"/>
            <w:noWrap/>
            <w:vAlign w:val="center"/>
          </w:tcPr>
          <w:p w14:paraId="29F2B07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2077</w:t>
            </w:r>
          </w:p>
        </w:tc>
        <w:tc>
          <w:tcPr>
            <w:tcW w:w="825" w:type="dxa"/>
            <w:shd w:val="clear" w:color="auto" w:fill="auto"/>
            <w:noWrap/>
            <w:vAlign w:val="center"/>
          </w:tcPr>
          <w:p w14:paraId="5E67FF7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lang w:val="en-US"/>
              </w:rPr>
              <w:t>1964</w:t>
            </w:r>
          </w:p>
        </w:tc>
        <w:tc>
          <w:tcPr>
            <w:tcW w:w="825" w:type="dxa"/>
            <w:shd w:val="clear" w:color="auto" w:fill="auto"/>
            <w:noWrap/>
            <w:vAlign w:val="center"/>
          </w:tcPr>
          <w:p w14:paraId="56C09AA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lang w:val="en-US"/>
              </w:rPr>
              <w:t>2327</w:t>
            </w:r>
          </w:p>
        </w:tc>
        <w:tc>
          <w:tcPr>
            <w:tcW w:w="919" w:type="dxa"/>
            <w:shd w:val="clear" w:color="auto" w:fill="auto"/>
            <w:noWrap/>
            <w:vAlign w:val="center"/>
          </w:tcPr>
          <w:p w14:paraId="35FAB0E5"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2190</w:t>
            </w:r>
          </w:p>
        </w:tc>
        <w:tc>
          <w:tcPr>
            <w:tcW w:w="880" w:type="dxa"/>
            <w:shd w:val="clear" w:color="auto" w:fill="auto"/>
            <w:noWrap/>
            <w:vAlign w:val="center"/>
          </w:tcPr>
          <w:p w14:paraId="6D61170F"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Pr>
                <w:rFonts w:ascii="Arial" w:hAnsi="Arial" w:cs="Arial"/>
                <w:color w:val="000000"/>
                <w:sz w:val="16"/>
                <w:szCs w:val="16"/>
              </w:rPr>
              <w:t>2083</w:t>
            </w:r>
          </w:p>
        </w:tc>
        <w:tc>
          <w:tcPr>
            <w:tcW w:w="1053" w:type="dxa"/>
            <w:vMerge/>
            <w:tcBorders>
              <w:right w:val="single" w:sz="8" w:space="0" w:color="auto"/>
            </w:tcBorders>
            <w:shd w:val="clear" w:color="auto" w:fill="auto"/>
            <w:noWrap/>
            <w:vAlign w:val="center"/>
          </w:tcPr>
          <w:p w14:paraId="40BE7A6F"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66E5F781" w14:textId="77777777" w:rsidTr="00E30C2C">
        <w:trPr>
          <w:jc w:val="center"/>
        </w:trPr>
        <w:tc>
          <w:tcPr>
            <w:tcW w:w="1191" w:type="dxa"/>
            <w:vMerge w:val="restart"/>
            <w:tcBorders>
              <w:left w:val="single" w:sz="8" w:space="0" w:color="auto"/>
            </w:tcBorders>
            <w:shd w:val="clear" w:color="auto" w:fill="auto"/>
            <w:noWrap/>
            <w:vAlign w:val="center"/>
            <w:hideMark/>
          </w:tcPr>
          <w:p w14:paraId="4EFF47E1"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SOMEȘ</w:t>
            </w:r>
          </w:p>
        </w:tc>
        <w:tc>
          <w:tcPr>
            <w:tcW w:w="1127" w:type="dxa"/>
            <w:shd w:val="clear" w:color="auto" w:fill="auto"/>
            <w:noWrap/>
            <w:vAlign w:val="center"/>
            <w:hideMark/>
          </w:tcPr>
          <w:p w14:paraId="32756B9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5DAC519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17840</w:t>
            </w:r>
          </w:p>
        </w:tc>
        <w:tc>
          <w:tcPr>
            <w:tcW w:w="706" w:type="dxa"/>
            <w:shd w:val="clear" w:color="auto" w:fill="auto"/>
            <w:noWrap/>
            <w:vAlign w:val="center"/>
          </w:tcPr>
          <w:p w14:paraId="36C23B3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95.21</w:t>
            </w:r>
          </w:p>
        </w:tc>
        <w:tc>
          <w:tcPr>
            <w:tcW w:w="795" w:type="dxa"/>
            <w:shd w:val="clear" w:color="auto" w:fill="auto"/>
            <w:noWrap/>
            <w:vAlign w:val="center"/>
          </w:tcPr>
          <w:p w14:paraId="5466530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93.21</w:t>
            </w:r>
          </w:p>
        </w:tc>
        <w:tc>
          <w:tcPr>
            <w:tcW w:w="795" w:type="dxa"/>
            <w:shd w:val="clear" w:color="auto" w:fill="auto"/>
            <w:noWrap/>
            <w:vAlign w:val="center"/>
          </w:tcPr>
          <w:p w14:paraId="748CB15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109.38</w:t>
            </w:r>
          </w:p>
        </w:tc>
        <w:tc>
          <w:tcPr>
            <w:tcW w:w="825" w:type="dxa"/>
            <w:shd w:val="clear" w:color="auto" w:fill="auto"/>
            <w:noWrap/>
            <w:vAlign w:val="center"/>
          </w:tcPr>
          <w:p w14:paraId="547B9F4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80,3</w:t>
            </w:r>
          </w:p>
        </w:tc>
        <w:tc>
          <w:tcPr>
            <w:tcW w:w="825" w:type="dxa"/>
            <w:shd w:val="clear" w:color="auto" w:fill="auto"/>
            <w:noWrap/>
            <w:vAlign w:val="center"/>
          </w:tcPr>
          <w:p w14:paraId="259B71B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136</w:t>
            </w:r>
          </w:p>
        </w:tc>
        <w:tc>
          <w:tcPr>
            <w:tcW w:w="919" w:type="dxa"/>
            <w:shd w:val="clear" w:color="auto" w:fill="auto"/>
            <w:noWrap/>
            <w:vAlign w:val="center"/>
          </w:tcPr>
          <w:p w14:paraId="576749E8"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102.8</w:t>
            </w:r>
          </w:p>
        </w:tc>
        <w:tc>
          <w:tcPr>
            <w:tcW w:w="880" w:type="dxa"/>
            <w:shd w:val="clear" w:color="auto" w:fill="auto"/>
            <w:noWrap/>
            <w:vAlign w:val="center"/>
          </w:tcPr>
          <w:p w14:paraId="308B38DA"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121</w:t>
            </w:r>
          </w:p>
        </w:tc>
        <w:tc>
          <w:tcPr>
            <w:tcW w:w="1053" w:type="dxa"/>
            <w:vMerge w:val="restart"/>
            <w:tcBorders>
              <w:right w:val="single" w:sz="8" w:space="0" w:color="auto"/>
            </w:tcBorders>
            <w:shd w:val="clear" w:color="auto" w:fill="auto"/>
            <w:noWrap/>
            <w:vAlign w:val="center"/>
          </w:tcPr>
          <w:p w14:paraId="6810C86D"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1,17</w:t>
            </w:r>
          </w:p>
        </w:tc>
      </w:tr>
      <w:tr w:rsidR="000A3D16" w:rsidRPr="00804B8B" w14:paraId="0B328B59" w14:textId="77777777" w:rsidTr="00E30C2C">
        <w:trPr>
          <w:jc w:val="center"/>
        </w:trPr>
        <w:tc>
          <w:tcPr>
            <w:tcW w:w="1191" w:type="dxa"/>
            <w:vMerge/>
            <w:tcBorders>
              <w:left w:val="single" w:sz="8" w:space="0" w:color="auto"/>
            </w:tcBorders>
            <w:shd w:val="clear" w:color="auto" w:fill="auto"/>
            <w:noWrap/>
            <w:vAlign w:val="center"/>
            <w:hideMark/>
          </w:tcPr>
          <w:p w14:paraId="1F54FE03"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1AA16D05"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3DE0079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568F531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3003</w:t>
            </w:r>
          </w:p>
        </w:tc>
        <w:tc>
          <w:tcPr>
            <w:tcW w:w="795" w:type="dxa"/>
            <w:shd w:val="clear" w:color="auto" w:fill="auto"/>
            <w:noWrap/>
            <w:vAlign w:val="center"/>
          </w:tcPr>
          <w:p w14:paraId="537283A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2939</w:t>
            </w:r>
          </w:p>
        </w:tc>
        <w:tc>
          <w:tcPr>
            <w:tcW w:w="795" w:type="dxa"/>
            <w:shd w:val="clear" w:color="auto" w:fill="auto"/>
            <w:noWrap/>
            <w:vAlign w:val="center"/>
          </w:tcPr>
          <w:p w14:paraId="6B31544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3450</w:t>
            </w:r>
          </w:p>
        </w:tc>
        <w:tc>
          <w:tcPr>
            <w:tcW w:w="825" w:type="dxa"/>
            <w:shd w:val="clear" w:color="auto" w:fill="auto"/>
            <w:noWrap/>
            <w:vAlign w:val="center"/>
          </w:tcPr>
          <w:p w14:paraId="5E7B84A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2539</w:t>
            </w:r>
          </w:p>
        </w:tc>
        <w:tc>
          <w:tcPr>
            <w:tcW w:w="825" w:type="dxa"/>
            <w:shd w:val="clear" w:color="auto" w:fill="auto"/>
            <w:noWrap/>
            <w:vAlign w:val="center"/>
          </w:tcPr>
          <w:p w14:paraId="439DF35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4302</w:t>
            </w:r>
          </w:p>
        </w:tc>
        <w:tc>
          <w:tcPr>
            <w:tcW w:w="919" w:type="dxa"/>
            <w:shd w:val="clear" w:color="auto" w:fill="auto"/>
            <w:noWrap/>
            <w:vAlign w:val="center"/>
          </w:tcPr>
          <w:p w14:paraId="1D8CE1D7"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3247</w:t>
            </w:r>
          </w:p>
        </w:tc>
        <w:tc>
          <w:tcPr>
            <w:tcW w:w="880" w:type="dxa"/>
            <w:shd w:val="clear" w:color="auto" w:fill="auto"/>
            <w:noWrap/>
            <w:vAlign w:val="center"/>
          </w:tcPr>
          <w:p w14:paraId="40C0C667"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3803</w:t>
            </w:r>
          </w:p>
        </w:tc>
        <w:tc>
          <w:tcPr>
            <w:tcW w:w="1053" w:type="dxa"/>
            <w:vMerge/>
            <w:tcBorders>
              <w:right w:val="single" w:sz="8" w:space="0" w:color="auto"/>
            </w:tcBorders>
            <w:shd w:val="clear" w:color="auto" w:fill="auto"/>
            <w:noWrap/>
            <w:vAlign w:val="center"/>
          </w:tcPr>
          <w:p w14:paraId="3E883A54"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26BE0E81" w14:textId="77777777" w:rsidTr="00E30C2C">
        <w:trPr>
          <w:jc w:val="center"/>
        </w:trPr>
        <w:tc>
          <w:tcPr>
            <w:tcW w:w="1191" w:type="dxa"/>
            <w:vMerge w:val="restart"/>
            <w:tcBorders>
              <w:left w:val="single" w:sz="8" w:space="0" w:color="auto"/>
            </w:tcBorders>
            <w:shd w:val="clear" w:color="auto" w:fill="auto"/>
            <w:noWrap/>
            <w:vAlign w:val="center"/>
            <w:hideMark/>
          </w:tcPr>
          <w:p w14:paraId="2D189F3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CRIȘURI</w:t>
            </w:r>
          </w:p>
        </w:tc>
        <w:tc>
          <w:tcPr>
            <w:tcW w:w="1127" w:type="dxa"/>
            <w:shd w:val="clear" w:color="auto" w:fill="auto"/>
            <w:noWrap/>
            <w:vAlign w:val="center"/>
            <w:hideMark/>
          </w:tcPr>
          <w:p w14:paraId="24A0B83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44C777B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14860</w:t>
            </w:r>
          </w:p>
        </w:tc>
        <w:tc>
          <w:tcPr>
            <w:tcW w:w="706" w:type="dxa"/>
            <w:shd w:val="clear" w:color="auto" w:fill="auto"/>
            <w:noWrap/>
            <w:vAlign w:val="center"/>
          </w:tcPr>
          <w:p w14:paraId="33484C4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64.92</w:t>
            </w:r>
          </w:p>
        </w:tc>
        <w:tc>
          <w:tcPr>
            <w:tcW w:w="795" w:type="dxa"/>
            <w:shd w:val="clear" w:color="auto" w:fill="auto"/>
            <w:noWrap/>
            <w:vAlign w:val="center"/>
          </w:tcPr>
          <w:p w14:paraId="77A2D40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81.48</w:t>
            </w:r>
          </w:p>
        </w:tc>
        <w:tc>
          <w:tcPr>
            <w:tcW w:w="795" w:type="dxa"/>
            <w:shd w:val="clear" w:color="auto" w:fill="auto"/>
            <w:noWrap/>
            <w:vAlign w:val="center"/>
          </w:tcPr>
          <w:p w14:paraId="3CACC5A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79.88</w:t>
            </w:r>
          </w:p>
        </w:tc>
        <w:tc>
          <w:tcPr>
            <w:tcW w:w="825" w:type="dxa"/>
            <w:shd w:val="clear" w:color="auto" w:fill="auto"/>
            <w:noWrap/>
            <w:vAlign w:val="center"/>
          </w:tcPr>
          <w:p w14:paraId="4B2802B8"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52,1</w:t>
            </w:r>
          </w:p>
        </w:tc>
        <w:tc>
          <w:tcPr>
            <w:tcW w:w="825" w:type="dxa"/>
            <w:shd w:val="clear" w:color="auto" w:fill="auto"/>
            <w:noWrap/>
            <w:vAlign w:val="center"/>
          </w:tcPr>
          <w:p w14:paraId="58FD1F4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89.9</w:t>
            </w:r>
          </w:p>
        </w:tc>
        <w:tc>
          <w:tcPr>
            <w:tcW w:w="919" w:type="dxa"/>
            <w:shd w:val="clear" w:color="auto" w:fill="auto"/>
            <w:noWrap/>
            <w:vAlign w:val="center"/>
          </w:tcPr>
          <w:p w14:paraId="01A5460E"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73.7</w:t>
            </w:r>
          </w:p>
        </w:tc>
        <w:tc>
          <w:tcPr>
            <w:tcW w:w="880" w:type="dxa"/>
            <w:shd w:val="clear" w:color="auto" w:fill="auto"/>
            <w:noWrap/>
            <w:vAlign w:val="center"/>
          </w:tcPr>
          <w:p w14:paraId="3C7D2C1A"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73</w:t>
            </w:r>
          </w:p>
        </w:tc>
        <w:tc>
          <w:tcPr>
            <w:tcW w:w="1053" w:type="dxa"/>
            <w:vMerge w:val="restart"/>
            <w:tcBorders>
              <w:right w:val="single" w:sz="8" w:space="0" w:color="auto"/>
            </w:tcBorders>
            <w:shd w:val="clear" w:color="auto" w:fill="auto"/>
            <w:noWrap/>
            <w:vAlign w:val="center"/>
          </w:tcPr>
          <w:p w14:paraId="2911B0F2"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0,991</w:t>
            </w:r>
          </w:p>
        </w:tc>
      </w:tr>
      <w:tr w:rsidR="000A3D16" w:rsidRPr="00804B8B" w14:paraId="5C49E4DE" w14:textId="77777777" w:rsidTr="00E30C2C">
        <w:trPr>
          <w:jc w:val="center"/>
        </w:trPr>
        <w:tc>
          <w:tcPr>
            <w:tcW w:w="1191" w:type="dxa"/>
            <w:vMerge/>
            <w:tcBorders>
              <w:left w:val="single" w:sz="8" w:space="0" w:color="auto"/>
            </w:tcBorders>
            <w:shd w:val="clear" w:color="auto" w:fill="auto"/>
            <w:noWrap/>
            <w:vAlign w:val="center"/>
            <w:hideMark/>
          </w:tcPr>
          <w:p w14:paraId="643F357D"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67F3F95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15B06A6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2BEE99F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2047</w:t>
            </w:r>
          </w:p>
        </w:tc>
        <w:tc>
          <w:tcPr>
            <w:tcW w:w="795" w:type="dxa"/>
            <w:shd w:val="clear" w:color="auto" w:fill="auto"/>
            <w:noWrap/>
            <w:vAlign w:val="center"/>
          </w:tcPr>
          <w:p w14:paraId="7B9509B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2569</w:t>
            </w:r>
          </w:p>
        </w:tc>
        <w:tc>
          <w:tcPr>
            <w:tcW w:w="795" w:type="dxa"/>
            <w:shd w:val="clear" w:color="auto" w:fill="auto"/>
            <w:noWrap/>
            <w:vAlign w:val="center"/>
          </w:tcPr>
          <w:p w14:paraId="1FA3B1A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2519</w:t>
            </w:r>
          </w:p>
        </w:tc>
        <w:tc>
          <w:tcPr>
            <w:tcW w:w="825" w:type="dxa"/>
            <w:shd w:val="clear" w:color="auto" w:fill="auto"/>
            <w:noWrap/>
            <w:vAlign w:val="center"/>
          </w:tcPr>
          <w:p w14:paraId="65E29E8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1648</w:t>
            </w:r>
          </w:p>
        </w:tc>
        <w:tc>
          <w:tcPr>
            <w:tcW w:w="825" w:type="dxa"/>
            <w:shd w:val="clear" w:color="auto" w:fill="auto"/>
            <w:noWrap/>
            <w:vAlign w:val="center"/>
          </w:tcPr>
          <w:p w14:paraId="41E91CA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2836</w:t>
            </w:r>
          </w:p>
        </w:tc>
        <w:tc>
          <w:tcPr>
            <w:tcW w:w="919" w:type="dxa"/>
            <w:shd w:val="clear" w:color="auto" w:fill="auto"/>
            <w:noWrap/>
            <w:vAlign w:val="center"/>
          </w:tcPr>
          <w:p w14:paraId="26FD0A90"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2324</w:t>
            </w:r>
          </w:p>
        </w:tc>
        <w:tc>
          <w:tcPr>
            <w:tcW w:w="880" w:type="dxa"/>
            <w:shd w:val="clear" w:color="auto" w:fill="auto"/>
            <w:noWrap/>
            <w:vAlign w:val="center"/>
          </w:tcPr>
          <w:p w14:paraId="548AEC43"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2302</w:t>
            </w:r>
          </w:p>
        </w:tc>
        <w:tc>
          <w:tcPr>
            <w:tcW w:w="1053" w:type="dxa"/>
            <w:vMerge/>
            <w:tcBorders>
              <w:right w:val="single" w:sz="8" w:space="0" w:color="auto"/>
            </w:tcBorders>
            <w:shd w:val="clear" w:color="auto" w:fill="auto"/>
            <w:noWrap/>
            <w:vAlign w:val="center"/>
          </w:tcPr>
          <w:p w14:paraId="709697C9"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32100C06" w14:textId="77777777" w:rsidTr="00E30C2C">
        <w:trPr>
          <w:jc w:val="center"/>
        </w:trPr>
        <w:tc>
          <w:tcPr>
            <w:tcW w:w="1191" w:type="dxa"/>
            <w:vMerge w:val="restart"/>
            <w:tcBorders>
              <w:left w:val="single" w:sz="8" w:space="0" w:color="auto"/>
            </w:tcBorders>
            <w:shd w:val="clear" w:color="auto" w:fill="auto"/>
            <w:noWrap/>
            <w:vAlign w:val="center"/>
            <w:hideMark/>
          </w:tcPr>
          <w:p w14:paraId="19DDF36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MUREȘ</w:t>
            </w:r>
          </w:p>
        </w:tc>
        <w:tc>
          <w:tcPr>
            <w:tcW w:w="1127" w:type="dxa"/>
            <w:shd w:val="clear" w:color="auto" w:fill="auto"/>
            <w:noWrap/>
            <w:vAlign w:val="center"/>
            <w:hideMark/>
          </w:tcPr>
          <w:p w14:paraId="72CEF58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08AE30B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29390</w:t>
            </w:r>
          </w:p>
        </w:tc>
        <w:tc>
          <w:tcPr>
            <w:tcW w:w="706" w:type="dxa"/>
            <w:shd w:val="clear" w:color="auto" w:fill="auto"/>
            <w:noWrap/>
            <w:vAlign w:val="center"/>
          </w:tcPr>
          <w:p w14:paraId="1D8F628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116.1</w:t>
            </w:r>
          </w:p>
        </w:tc>
        <w:tc>
          <w:tcPr>
            <w:tcW w:w="795" w:type="dxa"/>
            <w:shd w:val="clear" w:color="auto" w:fill="auto"/>
            <w:noWrap/>
            <w:vAlign w:val="center"/>
          </w:tcPr>
          <w:p w14:paraId="20C48A0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159.4</w:t>
            </w:r>
          </w:p>
        </w:tc>
        <w:tc>
          <w:tcPr>
            <w:tcW w:w="795" w:type="dxa"/>
            <w:shd w:val="clear" w:color="auto" w:fill="auto"/>
            <w:noWrap/>
            <w:vAlign w:val="center"/>
          </w:tcPr>
          <w:p w14:paraId="2EF0CB7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139.2</w:t>
            </w:r>
          </w:p>
        </w:tc>
        <w:tc>
          <w:tcPr>
            <w:tcW w:w="825" w:type="dxa"/>
            <w:shd w:val="clear" w:color="auto" w:fill="auto"/>
            <w:noWrap/>
            <w:vAlign w:val="center"/>
          </w:tcPr>
          <w:p w14:paraId="66BB988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135,2</w:t>
            </w:r>
          </w:p>
        </w:tc>
        <w:tc>
          <w:tcPr>
            <w:tcW w:w="825" w:type="dxa"/>
            <w:shd w:val="clear" w:color="auto" w:fill="auto"/>
            <w:noWrap/>
            <w:vAlign w:val="center"/>
          </w:tcPr>
          <w:p w14:paraId="45D6971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132</w:t>
            </w:r>
          </w:p>
        </w:tc>
        <w:tc>
          <w:tcPr>
            <w:tcW w:w="919" w:type="dxa"/>
            <w:shd w:val="clear" w:color="auto" w:fill="auto"/>
            <w:noWrap/>
            <w:vAlign w:val="center"/>
          </w:tcPr>
          <w:p w14:paraId="546FC584"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136.4</w:t>
            </w:r>
          </w:p>
        </w:tc>
        <w:tc>
          <w:tcPr>
            <w:tcW w:w="880" w:type="dxa"/>
            <w:shd w:val="clear" w:color="auto" w:fill="auto"/>
            <w:noWrap/>
            <w:vAlign w:val="center"/>
          </w:tcPr>
          <w:p w14:paraId="5EF94992"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134</w:t>
            </w:r>
          </w:p>
        </w:tc>
        <w:tc>
          <w:tcPr>
            <w:tcW w:w="1053" w:type="dxa"/>
            <w:vMerge w:val="restart"/>
            <w:tcBorders>
              <w:right w:val="single" w:sz="8" w:space="0" w:color="auto"/>
            </w:tcBorders>
            <w:shd w:val="clear" w:color="auto" w:fill="auto"/>
            <w:noWrap/>
            <w:vAlign w:val="center"/>
          </w:tcPr>
          <w:p w14:paraId="1C88401B"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0,984</w:t>
            </w:r>
          </w:p>
        </w:tc>
      </w:tr>
      <w:tr w:rsidR="000A3D16" w:rsidRPr="00804B8B" w14:paraId="63DEDDD2" w14:textId="77777777" w:rsidTr="00E30C2C">
        <w:trPr>
          <w:jc w:val="center"/>
        </w:trPr>
        <w:tc>
          <w:tcPr>
            <w:tcW w:w="1191" w:type="dxa"/>
            <w:vMerge/>
            <w:tcBorders>
              <w:left w:val="single" w:sz="8" w:space="0" w:color="auto"/>
            </w:tcBorders>
            <w:shd w:val="clear" w:color="auto" w:fill="auto"/>
            <w:noWrap/>
            <w:vAlign w:val="center"/>
            <w:hideMark/>
          </w:tcPr>
          <w:p w14:paraId="2CAA0F35"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1316339B"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55C6827F"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3B891D0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3661</w:t>
            </w:r>
          </w:p>
        </w:tc>
        <w:tc>
          <w:tcPr>
            <w:tcW w:w="795" w:type="dxa"/>
            <w:shd w:val="clear" w:color="auto" w:fill="auto"/>
            <w:noWrap/>
            <w:vAlign w:val="center"/>
          </w:tcPr>
          <w:p w14:paraId="162B55A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5027</w:t>
            </w:r>
          </w:p>
        </w:tc>
        <w:tc>
          <w:tcPr>
            <w:tcW w:w="795" w:type="dxa"/>
            <w:shd w:val="clear" w:color="auto" w:fill="auto"/>
            <w:noWrap/>
            <w:vAlign w:val="center"/>
          </w:tcPr>
          <w:p w14:paraId="1782E0A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4391</w:t>
            </w:r>
          </w:p>
        </w:tc>
        <w:tc>
          <w:tcPr>
            <w:tcW w:w="825" w:type="dxa"/>
            <w:shd w:val="clear" w:color="auto" w:fill="auto"/>
            <w:noWrap/>
            <w:vAlign w:val="center"/>
          </w:tcPr>
          <w:p w14:paraId="12F07A5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4275</w:t>
            </w:r>
          </w:p>
        </w:tc>
        <w:tc>
          <w:tcPr>
            <w:tcW w:w="825" w:type="dxa"/>
            <w:shd w:val="clear" w:color="auto" w:fill="auto"/>
            <w:noWrap/>
            <w:vAlign w:val="center"/>
          </w:tcPr>
          <w:p w14:paraId="2E9182F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4168</w:t>
            </w:r>
          </w:p>
        </w:tc>
        <w:tc>
          <w:tcPr>
            <w:tcW w:w="919" w:type="dxa"/>
            <w:shd w:val="clear" w:color="auto" w:fill="auto"/>
            <w:noWrap/>
            <w:vAlign w:val="center"/>
          </w:tcPr>
          <w:p w14:paraId="1F5A1C24"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4304</w:t>
            </w:r>
          </w:p>
        </w:tc>
        <w:tc>
          <w:tcPr>
            <w:tcW w:w="880" w:type="dxa"/>
            <w:shd w:val="clear" w:color="auto" w:fill="auto"/>
            <w:noWrap/>
            <w:vAlign w:val="center"/>
          </w:tcPr>
          <w:p w14:paraId="5EF665D2"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4232</w:t>
            </w:r>
          </w:p>
        </w:tc>
        <w:tc>
          <w:tcPr>
            <w:tcW w:w="1053" w:type="dxa"/>
            <w:vMerge/>
            <w:tcBorders>
              <w:right w:val="single" w:sz="8" w:space="0" w:color="auto"/>
            </w:tcBorders>
            <w:shd w:val="clear" w:color="auto" w:fill="auto"/>
            <w:noWrap/>
            <w:vAlign w:val="center"/>
          </w:tcPr>
          <w:p w14:paraId="2DAD13D7"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7F2FB564" w14:textId="77777777" w:rsidTr="00E30C2C">
        <w:trPr>
          <w:jc w:val="center"/>
        </w:trPr>
        <w:tc>
          <w:tcPr>
            <w:tcW w:w="1191" w:type="dxa"/>
            <w:vMerge w:val="restart"/>
            <w:tcBorders>
              <w:left w:val="single" w:sz="8" w:space="0" w:color="auto"/>
            </w:tcBorders>
            <w:shd w:val="clear" w:color="auto" w:fill="auto"/>
            <w:noWrap/>
            <w:vAlign w:val="center"/>
            <w:hideMark/>
          </w:tcPr>
          <w:p w14:paraId="77F09C6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BEGA – TIMIȘ - CARAȘ</w:t>
            </w:r>
          </w:p>
        </w:tc>
        <w:tc>
          <w:tcPr>
            <w:tcW w:w="1127" w:type="dxa"/>
            <w:shd w:val="clear" w:color="auto" w:fill="auto"/>
            <w:noWrap/>
            <w:vAlign w:val="center"/>
            <w:hideMark/>
          </w:tcPr>
          <w:p w14:paraId="64ACF07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5991BF0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13060</w:t>
            </w:r>
          </w:p>
        </w:tc>
        <w:tc>
          <w:tcPr>
            <w:tcW w:w="706" w:type="dxa"/>
            <w:shd w:val="clear" w:color="auto" w:fill="auto"/>
            <w:noWrap/>
            <w:vAlign w:val="center"/>
          </w:tcPr>
          <w:p w14:paraId="47593E9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46.61</w:t>
            </w:r>
          </w:p>
        </w:tc>
        <w:tc>
          <w:tcPr>
            <w:tcW w:w="795" w:type="dxa"/>
            <w:shd w:val="clear" w:color="auto" w:fill="auto"/>
            <w:noWrap/>
            <w:vAlign w:val="center"/>
          </w:tcPr>
          <w:p w14:paraId="45C1F2C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66.3</w:t>
            </w:r>
          </w:p>
        </w:tc>
        <w:tc>
          <w:tcPr>
            <w:tcW w:w="795" w:type="dxa"/>
            <w:shd w:val="clear" w:color="auto" w:fill="auto"/>
            <w:noWrap/>
            <w:vAlign w:val="center"/>
          </w:tcPr>
          <w:p w14:paraId="3C8C902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80.86</w:t>
            </w:r>
          </w:p>
        </w:tc>
        <w:tc>
          <w:tcPr>
            <w:tcW w:w="825" w:type="dxa"/>
            <w:shd w:val="clear" w:color="auto" w:fill="auto"/>
            <w:noWrap/>
            <w:vAlign w:val="center"/>
          </w:tcPr>
          <w:p w14:paraId="7783987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65,9</w:t>
            </w:r>
          </w:p>
        </w:tc>
        <w:tc>
          <w:tcPr>
            <w:tcW w:w="825" w:type="dxa"/>
            <w:shd w:val="clear" w:color="auto" w:fill="auto"/>
            <w:noWrap/>
            <w:vAlign w:val="center"/>
          </w:tcPr>
          <w:p w14:paraId="0E7CD4B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74.7</w:t>
            </w:r>
          </w:p>
        </w:tc>
        <w:tc>
          <w:tcPr>
            <w:tcW w:w="919" w:type="dxa"/>
            <w:shd w:val="clear" w:color="auto" w:fill="auto"/>
            <w:noWrap/>
            <w:vAlign w:val="center"/>
          </w:tcPr>
          <w:p w14:paraId="65F92F0B"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66.9</w:t>
            </w:r>
          </w:p>
        </w:tc>
        <w:tc>
          <w:tcPr>
            <w:tcW w:w="880" w:type="dxa"/>
            <w:shd w:val="clear" w:color="auto" w:fill="auto"/>
            <w:noWrap/>
            <w:vAlign w:val="center"/>
          </w:tcPr>
          <w:p w14:paraId="238EAC8A"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52.9</w:t>
            </w:r>
          </w:p>
        </w:tc>
        <w:tc>
          <w:tcPr>
            <w:tcW w:w="1053" w:type="dxa"/>
            <w:vMerge w:val="restart"/>
            <w:tcBorders>
              <w:right w:val="single" w:sz="8" w:space="0" w:color="auto"/>
            </w:tcBorders>
            <w:shd w:val="clear" w:color="auto" w:fill="auto"/>
            <w:noWrap/>
            <w:vAlign w:val="center"/>
          </w:tcPr>
          <w:p w14:paraId="337DE10E"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0,791</w:t>
            </w:r>
          </w:p>
        </w:tc>
      </w:tr>
      <w:tr w:rsidR="000A3D16" w:rsidRPr="00804B8B" w14:paraId="3F9DC8C7" w14:textId="77777777" w:rsidTr="00E30C2C">
        <w:trPr>
          <w:trHeight w:val="159"/>
          <w:jc w:val="center"/>
        </w:trPr>
        <w:tc>
          <w:tcPr>
            <w:tcW w:w="1191" w:type="dxa"/>
            <w:vMerge/>
            <w:tcBorders>
              <w:left w:val="single" w:sz="8" w:space="0" w:color="auto"/>
            </w:tcBorders>
            <w:shd w:val="clear" w:color="auto" w:fill="auto"/>
            <w:noWrap/>
            <w:vAlign w:val="center"/>
            <w:hideMark/>
          </w:tcPr>
          <w:p w14:paraId="644EBF5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3C0ED90D"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20A991E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244F1E0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1470</w:t>
            </w:r>
          </w:p>
        </w:tc>
        <w:tc>
          <w:tcPr>
            <w:tcW w:w="795" w:type="dxa"/>
            <w:shd w:val="clear" w:color="auto" w:fill="auto"/>
            <w:noWrap/>
            <w:vAlign w:val="center"/>
          </w:tcPr>
          <w:p w14:paraId="0A3F43C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2091</w:t>
            </w:r>
          </w:p>
        </w:tc>
        <w:tc>
          <w:tcPr>
            <w:tcW w:w="795" w:type="dxa"/>
            <w:shd w:val="clear" w:color="auto" w:fill="auto"/>
            <w:noWrap/>
            <w:vAlign w:val="center"/>
          </w:tcPr>
          <w:p w14:paraId="3818690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2550</w:t>
            </w:r>
          </w:p>
        </w:tc>
        <w:tc>
          <w:tcPr>
            <w:tcW w:w="825" w:type="dxa"/>
            <w:shd w:val="clear" w:color="auto" w:fill="auto"/>
            <w:noWrap/>
            <w:vAlign w:val="center"/>
          </w:tcPr>
          <w:p w14:paraId="1B82512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2084</w:t>
            </w:r>
          </w:p>
        </w:tc>
        <w:tc>
          <w:tcPr>
            <w:tcW w:w="825" w:type="dxa"/>
            <w:shd w:val="clear" w:color="auto" w:fill="auto"/>
            <w:noWrap/>
            <w:vAlign w:val="center"/>
          </w:tcPr>
          <w:p w14:paraId="716FA7D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2356</w:t>
            </w:r>
          </w:p>
        </w:tc>
        <w:tc>
          <w:tcPr>
            <w:tcW w:w="919" w:type="dxa"/>
            <w:shd w:val="clear" w:color="auto" w:fill="auto"/>
            <w:noWrap/>
            <w:vAlign w:val="center"/>
          </w:tcPr>
          <w:p w14:paraId="6387EF06"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2110</w:t>
            </w:r>
          </w:p>
        </w:tc>
        <w:tc>
          <w:tcPr>
            <w:tcW w:w="880" w:type="dxa"/>
            <w:shd w:val="clear" w:color="auto" w:fill="auto"/>
            <w:noWrap/>
            <w:vAlign w:val="center"/>
          </w:tcPr>
          <w:p w14:paraId="70E9B149"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1668</w:t>
            </w:r>
          </w:p>
        </w:tc>
        <w:tc>
          <w:tcPr>
            <w:tcW w:w="1053" w:type="dxa"/>
            <w:vMerge/>
            <w:tcBorders>
              <w:right w:val="single" w:sz="8" w:space="0" w:color="auto"/>
            </w:tcBorders>
            <w:shd w:val="clear" w:color="auto" w:fill="auto"/>
            <w:noWrap/>
            <w:vAlign w:val="center"/>
          </w:tcPr>
          <w:p w14:paraId="5043443D"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3C1C1638" w14:textId="77777777" w:rsidTr="00E30C2C">
        <w:trPr>
          <w:jc w:val="center"/>
        </w:trPr>
        <w:tc>
          <w:tcPr>
            <w:tcW w:w="1191" w:type="dxa"/>
            <w:vMerge w:val="restart"/>
            <w:tcBorders>
              <w:left w:val="single" w:sz="8" w:space="0" w:color="auto"/>
            </w:tcBorders>
            <w:shd w:val="clear" w:color="auto" w:fill="auto"/>
            <w:noWrap/>
            <w:vAlign w:val="center"/>
            <w:hideMark/>
          </w:tcPr>
          <w:p w14:paraId="232C545C"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NERA - CERNA</w:t>
            </w:r>
          </w:p>
        </w:tc>
        <w:tc>
          <w:tcPr>
            <w:tcW w:w="1127" w:type="dxa"/>
            <w:shd w:val="clear" w:color="auto" w:fill="auto"/>
            <w:noWrap/>
            <w:vAlign w:val="center"/>
            <w:hideMark/>
          </w:tcPr>
          <w:p w14:paraId="76AD0DA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67F0F33D"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2740</w:t>
            </w:r>
          </w:p>
        </w:tc>
        <w:tc>
          <w:tcPr>
            <w:tcW w:w="706" w:type="dxa"/>
            <w:shd w:val="clear" w:color="auto" w:fill="auto"/>
            <w:noWrap/>
            <w:vAlign w:val="center"/>
          </w:tcPr>
          <w:p w14:paraId="21B060E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19.38</w:t>
            </w:r>
          </w:p>
        </w:tc>
        <w:tc>
          <w:tcPr>
            <w:tcW w:w="795" w:type="dxa"/>
            <w:shd w:val="clear" w:color="auto" w:fill="auto"/>
            <w:noWrap/>
            <w:vAlign w:val="center"/>
          </w:tcPr>
          <w:p w14:paraId="0681329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33.01</w:t>
            </w:r>
          </w:p>
        </w:tc>
        <w:tc>
          <w:tcPr>
            <w:tcW w:w="795" w:type="dxa"/>
            <w:shd w:val="clear" w:color="auto" w:fill="auto"/>
            <w:noWrap/>
            <w:vAlign w:val="center"/>
          </w:tcPr>
          <w:p w14:paraId="257D993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32.4</w:t>
            </w:r>
          </w:p>
        </w:tc>
        <w:tc>
          <w:tcPr>
            <w:tcW w:w="825" w:type="dxa"/>
            <w:shd w:val="clear" w:color="auto" w:fill="auto"/>
            <w:noWrap/>
            <w:vAlign w:val="center"/>
          </w:tcPr>
          <w:p w14:paraId="5E6B200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31,1</w:t>
            </w:r>
          </w:p>
        </w:tc>
        <w:tc>
          <w:tcPr>
            <w:tcW w:w="825" w:type="dxa"/>
            <w:shd w:val="clear" w:color="auto" w:fill="auto"/>
            <w:noWrap/>
            <w:vAlign w:val="center"/>
          </w:tcPr>
          <w:p w14:paraId="4EB898F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28.0</w:t>
            </w:r>
          </w:p>
        </w:tc>
        <w:tc>
          <w:tcPr>
            <w:tcW w:w="919" w:type="dxa"/>
            <w:shd w:val="clear" w:color="auto" w:fill="auto"/>
            <w:noWrap/>
            <w:vAlign w:val="center"/>
          </w:tcPr>
          <w:p w14:paraId="1AD10F34"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28.8</w:t>
            </w:r>
          </w:p>
        </w:tc>
        <w:tc>
          <w:tcPr>
            <w:tcW w:w="880" w:type="dxa"/>
            <w:shd w:val="clear" w:color="auto" w:fill="auto"/>
            <w:noWrap/>
            <w:vAlign w:val="center"/>
          </w:tcPr>
          <w:p w14:paraId="6140FEB4"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27.9</w:t>
            </w:r>
          </w:p>
        </w:tc>
        <w:tc>
          <w:tcPr>
            <w:tcW w:w="1053" w:type="dxa"/>
            <w:vMerge w:val="restart"/>
            <w:tcBorders>
              <w:right w:val="single" w:sz="8" w:space="0" w:color="auto"/>
            </w:tcBorders>
            <w:shd w:val="clear" w:color="auto" w:fill="auto"/>
            <w:noWrap/>
            <w:vAlign w:val="center"/>
          </w:tcPr>
          <w:p w14:paraId="15781DCE"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0,968</w:t>
            </w:r>
          </w:p>
        </w:tc>
      </w:tr>
      <w:tr w:rsidR="000A3D16" w:rsidRPr="00804B8B" w14:paraId="077256A9" w14:textId="77777777" w:rsidTr="00E30C2C">
        <w:trPr>
          <w:jc w:val="center"/>
        </w:trPr>
        <w:tc>
          <w:tcPr>
            <w:tcW w:w="1191" w:type="dxa"/>
            <w:vMerge/>
            <w:tcBorders>
              <w:left w:val="single" w:sz="8" w:space="0" w:color="auto"/>
            </w:tcBorders>
            <w:shd w:val="clear" w:color="auto" w:fill="auto"/>
            <w:noWrap/>
            <w:vAlign w:val="center"/>
            <w:hideMark/>
          </w:tcPr>
          <w:p w14:paraId="1C8D2688"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6E0BEE1E"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5ABAF66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518A95E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611</w:t>
            </w:r>
          </w:p>
        </w:tc>
        <w:tc>
          <w:tcPr>
            <w:tcW w:w="795" w:type="dxa"/>
            <w:shd w:val="clear" w:color="auto" w:fill="auto"/>
            <w:noWrap/>
            <w:vAlign w:val="center"/>
          </w:tcPr>
          <w:p w14:paraId="4CA6386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1041</w:t>
            </w:r>
          </w:p>
        </w:tc>
        <w:tc>
          <w:tcPr>
            <w:tcW w:w="795" w:type="dxa"/>
            <w:shd w:val="clear" w:color="auto" w:fill="auto"/>
            <w:noWrap/>
            <w:vAlign w:val="center"/>
          </w:tcPr>
          <w:p w14:paraId="1FCFA88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1022</w:t>
            </w:r>
          </w:p>
        </w:tc>
        <w:tc>
          <w:tcPr>
            <w:tcW w:w="825" w:type="dxa"/>
            <w:shd w:val="clear" w:color="auto" w:fill="auto"/>
            <w:noWrap/>
            <w:vAlign w:val="center"/>
          </w:tcPr>
          <w:p w14:paraId="7C822C3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983</w:t>
            </w:r>
          </w:p>
        </w:tc>
        <w:tc>
          <w:tcPr>
            <w:tcW w:w="825" w:type="dxa"/>
            <w:shd w:val="clear" w:color="auto" w:fill="auto"/>
            <w:noWrap/>
            <w:vAlign w:val="center"/>
          </w:tcPr>
          <w:p w14:paraId="28E6677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884</w:t>
            </w:r>
          </w:p>
        </w:tc>
        <w:tc>
          <w:tcPr>
            <w:tcW w:w="919" w:type="dxa"/>
            <w:shd w:val="clear" w:color="auto" w:fill="auto"/>
            <w:noWrap/>
            <w:vAlign w:val="center"/>
          </w:tcPr>
          <w:p w14:paraId="2A1CDA7D"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908</w:t>
            </w:r>
          </w:p>
        </w:tc>
        <w:tc>
          <w:tcPr>
            <w:tcW w:w="880" w:type="dxa"/>
            <w:shd w:val="clear" w:color="auto" w:fill="auto"/>
            <w:noWrap/>
            <w:vAlign w:val="center"/>
          </w:tcPr>
          <w:p w14:paraId="2FF6AA1A"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880</w:t>
            </w:r>
          </w:p>
        </w:tc>
        <w:tc>
          <w:tcPr>
            <w:tcW w:w="1053" w:type="dxa"/>
            <w:vMerge/>
            <w:tcBorders>
              <w:right w:val="single" w:sz="8" w:space="0" w:color="auto"/>
            </w:tcBorders>
            <w:shd w:val="clear" w:color="auto" w:fill="auto"/>
            <w:noWrap/>
            <w:vAlign w:val="center"/>
          </w:tcPr>
          <w:p w14:paraId="24E8863B"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31FEE029" w14:textId="77777777" w:rsidTr="00E30C2C">
        <w:trPr>
          <w:jc w:val="center"/>
        </w:trPr>
        <w:tc>
          <w:tcPr>
            <w:tcW w:w="1191" w:type="dxa"/>
            <w:vMerge w:val="restart"/>
            <w:tcBorders>
              <w:left w:val="single" w:sz="8" w:space="0" w:color="auto"/>
            </w:tcBorders>
            <w:shd w:val="clear" w:color="auto" w:fill="auto"/>
            <w:noWrap/>
            <w:vAlign w:val="center"/>
            <w:hideMark/>
          </w:tcPr>
          <w:p w14:paraId="487340F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JIU</w:t>
            </w:r>
          </w:p>
        </w:tc>
        <w:tc>
          <w:tcPr>
            <w:tcW w:w="1127" w:type="dxa"/>
            <w:shd w:val="clear" w:color="auto" w:fill="auto"/>
            <w:noWrap/>
            <w:vAlign w:val="center"/>
            <w:hideMark/>
          </w:tcPr>
          <w:p w14:paraId="0890776A"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2941C0A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10080</w:t>
            </w:r>
          </w:p>
        </w:tc>
        <w:tc>
          <w:tcPr>
            <w:tcW w:w="706" w:type="dxa"/>
            <w:shd w:val="clear" w:color="auto" w:fill="auto"/>
            <w:noWrap/>
            <w:vAlign w:val="center"/>
          </w:tcPr>
          <w:p w14:paraId="5A88816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70.8</w:t>
            </w:r>
          </w:p>
        </w:tc>
        <w:tc>
          <w:tcPr>
            <w:tcW w:w="795" w:type="dxa"/>
            <w:shd w:val="clear" w:color="auto" w:fill="auto"/>
            <w:noWrap/>
            <w:vAlign w:val="center"/>
          </w:tcPr>
          <w:p w14:paraId="41D9829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111</w:t>
            </w:r>
          </w:p>
        </w:tc>
        <w:tc>
          <w:tcPr>
            <w:tcW w:w="795" w:type="dxa"/>
            <w:shd w:val="clear" w:color="auto" w:fill="auto"/>
            <w:noWrap/>
            <w:vAlign w:val="center"/>
          </w:tcPr>
          <w:p w14:paraId="5072E45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92.7</w:t>
            </w:r>
          </w:p>
        </w:tc>
        <w:tc>
          <w:tcPr>
            <w:tcW w:w="825" w:type="dxa"/>
            <w:shd w:val="clear" w:color="auto" w:fill="auto"/>
            <w:noWrap/>
            <w:vAlign w:val="center"/>
          </w:tcPr>
          <w:p w14:paraId="62ADE9F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79,0</w:t>
            </w:r>
          </w:p>
        </w:tc>
        <w:tc>
          <w:tcPr>
            <w:tcW w:w="825" w:type="dxa"/>
            <w:shd w:val="clear" w:color="auto" w:fill="auto"/>
            <w:noWrap/>
            <w:vAlign w:val="center"/>
          </w:tcPr>
          <w:p w14:paraId="44F684B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124</w:t>
            </w:r>
          </w:p>
        </w:tc>
        <w:tc>
          <w:tcPr>
            <w:tcW w:w="919" w:type="dxa"/>
            <w:shd w:val="clear" w:color="auto" w:fill="auto"/>
            <w:noWrap/>
            <w:vAlign w:val="center"/>
          </w:tcPr>
          <w:p w14:paraId="404D8F2F"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95.5</w:t>
            </w:r>
          </w:p>
        </w:tc>
        <w:tc>
          <w:tcPr>
            <w:tcW w:w="880" w:type="dxa"/>
            <w:shd w:val="clear" w:color="auto" w:fill="auto"/>
            <w:noWrap/>
            <w:vAlign w:val="center"/>
          </w:tcPr>
          <w:p w14:paraId="7A7AD4D7"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90.2</w:t>
            </w:r>
          </w:p>
        </w:tc>
        <w:tc>
          <w:tcPr>
            <w:tcW w:w="1053" w:type="dxa"/>
            <w:vMerge w:val="restart"/>
            <w:tcBorders>
              <w:right w:val="single" w:sz="8" w:space="0" w:color="auto"/>
            </w:tcBorders>
            <w:shd w:val="clear" w:color="auto" w:fill="auto"/>
            <w:noWrap/>
            <w:vAlign w:val="center"/>
          </w:tcPr>
          <w:p w14:paraId="554422FB"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0,945</w:t>
            </w:r>
          </w:p>
        </w:tc>
      </w:tr>
      <w:tr w:rsidR="000A3D16" w:rsidRPr="00804B8B" w14:paraId="242F740E" w14:textId="77777777" w:rsidTr="00E30C2C">
        <w:trPr>
          <w:jc w:val="center"/>
        </w:trPr>
        <w:tc>
          <w:tcPr>
            <w:tcW w:w="1191" w:type="dxa"/>
            <w:vMerge/>
            <w:tcBorders>
              <w:left w:val="single" w:sz="8" w:space="0" w:color="auto"/>
            </w:tcBorders>
            <w:shd w:val="clear" w:color="auto" w:fill="auto"/>
            <w:noWrap/>
            <w:vAlign w:val="center"/>
            <w:hideMark/>
          </w:tcPr>
          <w:p w14:paraId="19EA4ABB"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4C41A68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0D9D49AE"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66204F2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2233</w:t>
            </w:r>
          </w:p>
        </w:tc>
        <w:tc>
          <w:tcPr>
            <w:tcW w:w="795" w:type="dxa"/>
            <w:shd w:val="clear" w:color="auto" w:fill="auto"/>
            <w:noWrap/>
            <w:vAlign w:val="center"/>
          </w:tcPr>
          <w:p w14:paraId="0088AAA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3500</w:t>
            </w:r>
          </w:p>
        </w:tc>
        <w:tc>
          <w:tcPr>
            <w:tcW w:w="795" w:type="dxa"/>
            <w:shd w:val="clear" w:color="auto" w:fill="auto"/>
            <w:noWrap/>
            <w:vAlign w:val="center"/>
          </w:tcPr>
          <w:p w14:paraId="1607F10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2923</w:t>
            </w:r>
          </w:p>
        </w:tc>
        <w:tc>
          <w:tcPr>
            <w:tcW w:w="825" w:type="dxa"/>
            <w:shd w:val="clear" w:color="auto" w:fill="auto"/>
            <w:noWrap/>
            <w:vAlign w:val="center"/>
          </w:tcPr>
          <w:p w14:paraId="49B69F5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2498</w:t>
            </w:r>
          </w:p>
        </w:tc>
        <w:tc>
          <w:tcPr>
            <w:tcW w:w="825" w:type="dxa"/>
            <w:shd w:val="clear" w:color="auto" w:fill="auto"/>
            <w:noWrap/>
            <w:vAlign w:val="center"/>
          </w:tcPr>
          <w:p w14:paraId="7E0CA7D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3910</w:t>
            </w:r>
          </w:p>
        </w:tc>
        <w:tc>
          <w:tcPr>
            <w:tcW w:w="919" w:type="dxa"/>
            <w:shd w:val="clear" w:color="auto" w:fill="auto"/>
            <w:noWrap/>
            <w:vAlign w:val="center"/>
          </w:tcPr>
          <w:p w14:paraId="469088D3"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3013</w:t>
            </w:r>
          </w:p>
        </w:tc>
        <w:tc>
          <w:tcPr>
            <w:tcW w:w="880" w:type="dxa"/>
            <w:shd w:val="clear" w:color="auto" w:fill="auto"/>
            <w:noWrap/>
            <w:vAlign w:val="center"/>
          </w:tcPr>
          <w:p w14:paraId="31DDE1B1"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2845</w:t>
            </w:r>
          </w:p>
        </w:tc>
        <w:tc>
          <w:tcPr>
            <w:tcW w:w="1053" w:type="dxa"/>
            <w:vMerge/>
            <w:tcBorders>
              <w:right w:val="single" w:sz="8" w:space="0" w:color="auto"/>
            </w:tcBorders>
            <w:shd w:val="clear" w:color="auto" w:fill="auto"/>
            <w:noWrap/>
            <w:vAlign w:val="center"/>
          </w:tcPr>
          <w:p w14:paraId="28281161"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1FB757F6" w14:textId="77777777" w:rsidTr="00E30C2C">
        <w:trPr>
          <w:jc w:val="center"/>
        </w:trPr>
        <w:tc>
          <w:tcPr>
            <w:tcW w:w="1191" w:type="dxa"/>
            <w:vMerge w:val="restart"/>
            <w:tcBorders>
              <w:left w:val="single" w:sz="8" w:space="0" w:color="auto"/>
            </w:tcBorders>
            <w:shd w:val="clear" w:color="auto" w:fill="auto"/>
            <w:noWrap/>
            <w:vAlign w:val="center"/>
            <w:hideMark/>
          </w:tcPr>
          <w:p w14:paraId="4B84114E"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OLT</w:t>
            </w:r>
          </w:p>
        </w:tc>
        <w:tc>
          <w:tcPr>
            <w:tcW w:w="1127" w:type="dxa"/>
            <w:shd w:val="clear" w:color="auto" w:fill="auto"/>
            <w:noWrap/>
            <w:vAlign w:val="center"/>
            <w:hideMark/>
          </w:tcPr>
          <w:p w14:paraId="2498BD7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12A9802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24050</w:t>
            </w:r>
          </w:p>
        </w:tc>
        <w:tc>
          <w:tcPr>
            <w:tcW w:w="706" w:type="dxa"/>
            <w:shd w:val="clear" w:color="auto" w:fill="auto"/>
            <w:noWrap/>
            <w:vAlign w:val="center"/>
          </w:tcPr>
          <w:p w14:paraId="0BA6570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134</w:t>
            </w:r>
          </w:p>
        </w:tc>
        <w:tc>
          <w:tcPr>
            <w:tcW w:w="795" w:type="dxa"/>
            <w:shd w:val="clear" w:color="auto" w:fill="auto"/>
            <w:noWrap/>
            <w:vAlign w:val="center"/>
          </w:tcPr>
          <w:p w14:paraId="0765488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205</w:t>
            </w:r>
          </w:p>
        </w:tc>
        <w:tc>
          <w:tcPr>
            <w:tcW w:w="795" w:type="dxa"/>
            <w:shd w:val="clear" w:color="auto" w:fill="auto"/>
            <w:noWrap/>
            <w:vAlign w:val="center"/>
          </w:tcPr>
          <w:p w14:paraId="539BA06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156</w:t>
            </w:r>
          </w:p>
        </w:tc>
        <w:tc>
          <w:tcPr>
            <w:tcW w:w="825" w:type="dxa"/>
            <w:shd w:val="clear" w:color="auto" w:fill="auto"/>
            <w:noWrap/>
            <w:vAlign w:val="center"/>
          </w:tcPr>
          <w:p w14:paraId="146689C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135</w:t>
            </w:r>
          </w:p>
        </w:tc>
        <w:tc>
          <w:tcPr>
            <w:tcW w:w="825" w:type="dxa"/>
            <w:shd w:val="clear" w:color="auto" w:fill="auto"/>
            <w:noWrap/>
            <w:vAlign w:val="center"/>
          </w:tcPr>
          <w:p w14:paraId="3CC1889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188</w:t>
            </w:r>
          </w:p>
        </w:tc>
        <w:tc>
          <w:tcPr>
            <w:tcW w:w="919" w:type="dxa"/>
            <w:shd w:val="clear" w:color="auto" w:fill="auto"/>
            <w:noWrap/>
            <w:vAlign w:val="center"/>
          </w:tcPr>
          <w:p w14:paraId="67A2D4A3"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163.6</w:t>
            </w:r>
          </w:p>
        </w:tc>
        <w:tc>
          <w:tcPr>
            <w:tcW w:w="880" w:type="dxa"/>
            <w:shd w:val="clear" w:color="auto" w:fill="auto"/>
            <w:noWrap/>
            <w:vAlign w:val="center"/>
          </w:tcPr>
          <w:p w14:paraId="6CC456BE"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116</w:t>
            </w:r>
          </w:p>
        </w:tc>
        <w:tc>
          <w:tcPr>
            <w:tcW w:w="1053" w:type="dxa"/>
            <w:vMerge w:val="restart"/>
            <w:tcBorders>
              <w:right w:val="single" w:sz="8" w:space="0" w:color="auto"/>
            </w:tcBorders>
            <w:shd w:val="clear" w:color="auto" w:fill="auto"/>
            <w:noWrap/>
            <w:vAlign w:val="center"/>
          </w:tcPr>
          <w:p w14:paraId="43409595"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0,709</w:t>
            </w:r>
          </w:p>
        </w:tc>
      </w:tr>
      <w:tr w:rsidR="000A3D16" w:rsidRPr="00804B8B" w14:paraId="60D61B6A" w14:textId="77777777" w:rsidTr="00E30C2C">
        <w:trPr>
          <w:jc w:val="center"/>
        </w:trPr>
        <w:tc>
          <w:tcPr>
            <w:tcW w:w="1191" w:type="dxa"/>
            <w:vMerge/>
            <w:tcBorders>
              <w:left w:val="single" w:sz="8" w:space="0" w:color="auto"/>
            </w:tcBorders>
            <w:shd w:val="clear" w:color="auto" w:fill="auto"/>
            <w:noWrap/>
            <w:vAlign w:val="center"/>
            <w:hideMark/>
          </w:tcPr>
          <w:p w14:paraId="57B6423F"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0618487A"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6CA11EC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7C26837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4226</w:t>
            </w:r>
          </w:p>
        </w:tc>
        <w:tc>
          <w:tcPr>
            <w:tcW w:w="795" w:type="dxa"/>
            <w:shd w:val="clear" w:color="auto" w:fill="auto"/>
            <w:noWrap/>
            <w:vAlign w:val="center"/>
          </w:tcPr>
          <w:p w14:paraId="6C8D8D7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6465</w:t>
            </w:r>
          </w:p>
        </w:tc>
        <w:tc>
          <w:tcPr>
            <w:tcW w:w="795" w:type="dxa"/>
            <w:shd w:val="clear" w:color="auto" w:fill="auto"/>
            <w:noWrap/>
            <w:vAlign w:val="center"/>
          </w:tcPr>
          <w:p w14:paraId="0D7830F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4920</w:t>
            </w:r>
          </w:p>
        </w:tc>
        <w:tc>
          <w:tcPr>
            <w:tcW w:w="825" w:type="dxa"/>
            <w:shd w:val="clear" w:color="auto" w:fill="auto"/>
            <w:noWrap/>
            <w:vAlign w:val="center"/>
          </w:tcPr>
          <w:p w14:paraId="56FA885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4269</w:t>
            </w:r>
          </w:p>
        </w:tc>
        <w:tc>
          <w:tcPr>
            <w:tcW w:w="825" w:type="dxa"/>
            <w:shd w:val="clear" w:color="auto" w:fill="auto"/>
            <w:noWrap/>
            <w:vAlign w:val="center"/>
          </w:tcPr>
          <w:p w14:paraId="644E0018"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5929</w:t>
            </w:r>
          </w:p>
        </w:tc>
        <w:tc>
          <w:tcPr>
            <w:tcW w:w="919" w:type="dxa"/>
            <w:shd w:val="clear" w:color="auto" w:fill="auto"/>
            <w:noWrap/>
            <w:vAlign w:val="center"/>
          </w:tcPr>
          <w:p w14:paraId="1F668E49"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5162</w:t>
            </w:r>
          </w:p>
        </w:tc>
        <w:tc>
          <w:tcPr>
            <w:tcW w:w="880" w:type="dxa"/>
            <w:shd w:val="clear" w:color="auto" w:fill="auto"/>
            <w:noWrap/>
            <w:vAlign w:val="center"/>
          </w:tcPr>
          <w:p w14:paraId="3C6D39C5"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3658</w:t>
            </w:r>
          </w:p>
        </w:tc>
        <w:tc>
          <w:tcPr>
            <w:tcW w:w="1053" w:type="dxa"/>
            <w:vMerge/>
            <w:tcBorders>
              <w:right w:val="single" w:sz="8" w:space="0" w:color="auto"/>
            </w:tcBorders>
            <w:shd w:val="clear" w:color="auto" w:fill="auto"/>
            <w:noWrap/>
            <w:vAlign w:val="center"/>
          </w:tcPr>
          <w:p w14:paraId="454E1DB2"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6F144D6C" w14:textId="77777777" w:rsidTr="00E30C2C">
        <w:trPr>
          <w:jc w:val="center"/>
        </w:trPr>
        <w:tc>
          <w:tcPr>
            <w:tcW w:w="1191" w:type="dxa"/>
            <w:vMerge w:val="restart"/>
            <w:tcBorders>
              <w:left w:val="single" w:sz="8" w:space="0" w:color="auto"/>
            </w:tcBorders>
            <w:shd w:val="clear" w:color="auto" w:fill="auto"/>
            <w:noWrap/>
            <w:vAlign w:val="center"/>
            <w:hideMark/>
          </w:tcPr>
          <w:p w14:paraId="10E6A4FA"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VEDEA</w:t>
            </w:r>
          </w:p>
        </w:tc>
        <w:tc>
          <w:tcPr>
            <w:tcW w:w="1127" w:type="dxa"/>
            <w:shd w:val="clear" w:color="auto" w:fill="auto"/>
            <w:noWrap/>
            <w:vAlign w:val="center"/>
            <w:hideMark/>
          </w:tcPr>
          <w:p w14:paraId="7B53BAC5"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5631215C"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5430</w:t>
            </w:r>
          </w:p>
        </w:tc>
        <w:tc>
          <w:tcPr>
            <w:tcW w:w="706" w:type="dxa"/>
            <w:shd w:val="clear" w:color="auto" w:fill="auto"/>
            <w:noWrap/>
            <w:vAlign w:val="center"/>
          </w:tcPr>
          <w:p w14:paraId="35D9A1C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7.15</w:t>
            </w:r>
          </w:p>
        </w:tc>
        <w:tc>
          <w:tcPr>
            <w:tcW w:w="795" w:type="dxa"/>
            <w:shd w:val="clear" w:color="auto" w:fill="auto"/>
            <w:noWrap/>
            <w:vAlign w:val="center"/>
          </w:tcPr>
          <w:p w14:paraId="791F796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25.1</w:t>
            </w:r>
          </w:p>
        </w:tc>
        <w:tc>
          <w:tcPr>
            <w:tcW w:w="795" w:type="dxa"/>
            <w:shd w:val="clear" w:color="auto" w:fill="auto"/>
            <w:noWrap/>
            <w:vAlign w:val="center"/>
          </w:tcPr>
          <w:p w14:paraId="47821E4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10.28</w:t>
            </w:r>
          </w:p>
        </w:tc>
        <w:tc>
          <w:tcPr>
            <w:tcW w:w="825" w:type="dxa"/>
            <w:shd w:val="clear" w:color="auto" w:fill="auto"/>
            <w:noWrap/>
            <w:vAlign w:val="center"/>
          </w:tcPr>
          <w:p w14:paraId="65D0F90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4,81</w:t>
            </w:r>
          </w:p>
        </w:tc>
        <w:tc>
          <w:tcPr>
            <w:tcW w:w="825" w:type="dxa"/>
            <w:shd w:val="clear" w:color="auto" w:fill="auto"/>
            <w:noWrap/>
            <w:vAlign w:val="center"/>
          </w:tcPr>
          <w:p w14:paraId="1CEECDA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9.72</w:t>
            </w:r>
          </w:p>
        </w:tc>
        <w:tc>
          <w:tcPr>
            <w:tcW w:w="919" w:type="dxa"/>
            <w:shd w:val="clear" w:color="auto" w:fill="auto"/>
            <w:noWrap/>
            <w:vAlign w:val="center"/>
          </w:tcPr>
          <w:p w14:paraId="10542B0E"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11.4</w:t>
            </w:r>
          </w:p>
        </w:tc>
        <w:tc>
          <w:tcPr>
            <w:tcW w:w="880" w:type="dxa"/>
            <w:shd w:val="clear" w:color="auto" w:fill="auto"/>
            <w:noWrap/>
            <w:vAlign w:val="center"/>
          </w:tcPr>
          <w:p w14:paraId="08047216"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5.2</w:t>
            </w:r>
          </w:p>
        </w:tc>
        <w:tc>
          <w:tcPr>
            <w:tcW w:w="1053" w:type="dxa"/>
            <w:vMerge w:val="restart"/>
            <w:tcBorders>
              <w:right w:val="single" w:sz="8" w:space="0" w:color="auto"/>
            </w:tcBorders>
            <w:shd w:val="clear" w:color="auto" w:fill="auto"/>
            <w:noWrap/>
            <w:vAlign w:val="center"/>
          </w:tcPr>
          <w:p w14:paraId="2D9959BC"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0,457</w:t>
            </w:r>
          </w:p>
        </w:tc>
      </w:tr>
      <w:tr w:rsidR="000A3D16" w:rsidRPr="00804B8B" w14:paraId="299AD586" w14:textId="77777777" w:rsidTr="00E30C2C">
        <w:trPr>
          <w:jc w:val="center"/>
        </w:trPr>
        <w:tc>
          <w:tcPr>
            <w:tcW w:w="1191" w:type="dxa"/>
            <w:vMerge/>
            <w:tcBorders>
              <w:left w:val="single" w:sz="8" w:space="0" w:color="auto"/>
            </w:tcBorders>
            <w:shd w:val="clear" w:color="auto" w:fill="auto"/>
            <w:noWrap/>
            <w:vAlign w:val="center"/>
            <w:hideMark/>
          </w:tcPr>
          <w:p w14:paraId="78EB170D"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6DE0406F"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4F14E61F"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6FCD209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225</w:t>
            </w:r>
          </w:p>
        </w:tc>
        <w:tc>
          <w:tcPr>
            <w:tcW w:w="795" w:type="dxa"/>
            <w:shd w:val="clear" w:color="auto" w:fill="auto"/>
            <w:noWrap/>
            <w:vAlign w:val="center"/>
          </w:tcPr>
          <w:p w14:paraId="2B67CE7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791</w:t>
            </w:r>
          </w:p>
        </w:tc>
        <w:tc>
          <w:tcPr>
            <w:tcW w:w="795" w:type="dxa"/>
            <w:shd w:val="clear" w:color="auto" w:fill="auto"/>
            <w:noWrap/>
            <w:vAlign w:val="center"/>
          </w:tcPr>
          <w:p w14:paraId="4869940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324</w:t>
            </w:r>
          </w:p>
        </w:tc>
        <w:tc>
          <w:tcPr>
            <w:tcW w:w="825" w:type="dxa"/>
            <w:shd w:val="clear" w:color="auto" w:fill="auto"/>
            <w:noWrap/>
            <w:vAlign w:val="center"/>
          </w:tcPr>
          <w:p w14:paraId="1560019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152</w:t>
            </w:r>
          </w:p>
        </w:tc>
        <w:tc>
          <w:tcPr>
            <w:tcW w:w="825" w:type="dxa"/>
            <w:shd w:val="clear" w:color="auto" w:fill="auto"/>
            <w:noWrap/>
            <w:vAlign w:val="center"/>
          </w:tcPr>
          <w:p w14:paraId="1F2906A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307</w:t>
            </w:r>
          </w:p>
        </w:tc>
        <w:tc>
          <w:tcPr>
            <w:tcW w:w="919" w:type="dxa"/>
            <w:shd w:val="clear" w:color="auto" w:fill="auto"/>
            <w:noWrap/>
            <w:vAlign w:val="center"/>
          </w:tcPr>
          <w:p w14:paraId="03F0C229"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360</w:t>
            </w:r>
          </w:p>
        </w:tc>
        <w:tc>
          <w:tcPr>
            <w:tcW w:w="880" w:type="dxa"/>
            <w:shd w:val="clear" w:color="auto" w:fill="auto"/>
            <w:noWrap/>
            <w:vAlign w:val="center"/>
          </w:tcPr>
          <w:p w14:paraId="465546AE"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164</w:t>
            </w:r>
          </w:p>
        </w:tc>
        <w:tc>
          <w:tcPr>
            <w:tcW w:w="1053" w:type="dxa"/>
            <w:vMerge/>
            <w:tcBorders>
              <w:right w:val="single" w:sz="8" w:space="0" w:color="auto"/>
            </w:tcBorders>
            <w:shd w:val="clear" w:color="auto" w:fill="auto"/>
            <w:noWrap/>
            <w:vAlign w:val="center"/>
          </w:tcPr>
          <w:p w14:paraId="50856C5C"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61CB721B" w14:textId="77777777" w:rsidTr="00E30C2C">
        <w:trPr>
          <w:jc w:val="center"/>
        </w:trPr>
        <w:tc>
          <w:tcPr>
            <w:tcW w:w="1191" w:type="dxa"/>
            <w:vMerge w:val="restart"/>
            <w:tcBorders>
              <w:left w:val="single" w:sz="8" w:space="0" w:color="auto"/>
            </w:tcBorders>
            <w:shd w:val="clear" w:color="auto" w:fill="auto"/>
            <w:noWrap/>
            <w:vAlign w:val="center"/>
            <w:hideMark/>
          </w:tcPr>
          <w:p w14:paraId="33FE2FD3"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ARGEȘ</w:t>
            </w:r>
          </w:p>
        </w:tc>
        <w:tc>
          <w:tcPr>
            <w:tcW w:w="1127" w:type="dxa"/>
            <w:shd w:val="clear" w:color="auto" w:fill="auto"/>
            <w:noWrap/>
            <w:vAlign w:val="center"/>
            <w:hideMark/>
          </w:tcPr>
          <w:p w14:paraId="397D89B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2018358D"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12550</w:t>
            </w:r>
          </w:p>
        </w:tc>
        <w:tc>
          <w:tcPr>
            <w:tcW w:w="706" w:type="dxa"/>
            <w:shd w:val="clear" w:color="auto" w:fill="auto"/>
            <w:noWrap/>
            <w:vAlign w:val="center"/>
          </w:tcPr>
          <w:p w14:paraId="5BCB2B6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57.68</w:t>
            </w:r>
          </w:p>
        </w:tc>
        <w:tc>
          <w:tcPr>
            <w:tcW w:w="795" w:type="dxa"/>
            <w:shd w:val="clear" w:color="auto" w:fill="auto"/>
            <w:noWrap/>
            <w:vAlign w:val="center"/>
          </w:tcPr>
          <w:p w14:paraId="1C4DE03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74.85</w:t>
            </w:r>
          </w:p>
        </w:tc>
        <w:tc>
          <w:tcPr>
            <w:tcW w:w="795" w:type="dxa"/>
            <w:shd w:val="clear" w:color="auto" w:fill="auto"/>
            <w:noWrap/>
            <w:vAlign w:val="center"/>
          </w:tcPr>
          <w:p w14:paraId="729EB1B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89.27</w:t>
            </w:r>
          </w:p>
        </w:tc>
        <w:tc>
          <w:tcPr>
            <w:tcW w:w="825" w:type="dxa"/>
            <w:shd w:val="clear" w:color="auto" w:fill="auto"/>
            <w:noWrap/>
            <w:vAlign w:val="center"/>
          </w:tcPr>
          <w:p w14:paraId="4D145AE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48,8</w:t>
            </w:r>
          </w:p>
        </w:tc>
        <w:tc>
          <w:tcPr>
            <w:tcW w:w="825" w:type="dxa"/>
            <w:shd w:val="clear" w:color="auto" w:fill="auto"/>
            <w:noWrap/>
            <w:vAlign w:val="center"/>
          </w:tcPr>
          <w:p w14:paraId="20F003F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49.8</w:t>
            </w:r>
          </w:p>
        </w:tc>
        <w:tc>
          <w:tcPr>
            <w:tcW w:w="919" w:type="dxa"/>
            <w:shd w:val="clear" w:color="auto" w:fill="auto"/>
            <w:noWrap/>
            <w:vAlign w:val="center"/>
          </w:tcPr>
          <w:p w14:paraId="32D60A54"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64.1</w:t>
            </w:r>
          </w:p>
        </w:tc>
        <w:tc>
          <w:tcPr>
            <w:tcW w:w="880" w:type="dxa"/>
            <w:shd w:val="clear" w:color="auto" w:fill="auto"/>
            <w:noWrap/>
            <w:vAlign w:val="center"/>
          </w:tcPr>
          <w:p w14:paraId="5857174C" w14:textId="77777777" w:rsidR="000A3D16" w:rsidRPr="00872E19" w:rsidRDefault="000A3D16" w:rsidP="00E30C2C">
            <w:pPr>
              <w:spacing w:after="0" w:line="240" w:lineRule="auto"/>
              <w:jc w:val="center"/>
              <w:rPr>
                <w:rFonts w:ascii="Arial" w:eastAsia="Times New Roman" w:hAnsi="Arial" w:cs="Arial"/>
                <w:sz w:val="16"/>
                <w:szCs w:val="16"/>
              </w:rPr>
            </w:pPr>
            <w:r>
              <w:rPr>
                <w:rFonts w:ascii="Arial" w:hAnsi="Arial" w:cs="Arial"/>
                <w:color w:val="000000"/>
                <w:sz w:val="16"/>
                <w:szCs w:val="16"/>
              </w:rPr>
              <w:t>55.5</w:t>
            </w:r>
          </w:p>
        </w:tc>
        <w:tc>
          <w:tcPr>
            <w:tcW w:w="1053" w:type="dxa"/>
            <w:vMerge w:val="restart"/>
            <w:tcBorders>
              <w:right w:val="single" w:sz="8" w:space="0" w:color="auto"/>
            </w:tcBorders>
            <w:shd w:val="clear" w:color="auto" w:fill="auto"/>
            <w:noWrap/>
            <w:vAlign w:val="center"/>
          </w:tcPr>
          <w:p w14:paraId="2025B632"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0,866</w:t>
            </w:r>
          </w:p>
        </w:tc>
      </w:tr>
      <w:tr w:rsidR="000A3D16" w:rsidRPr="00804B8B" w14:paraId="75709EDD" w14:textId="77777777" w:rsidTr="00E30C2C">
        <w:trPr>
          <w:jc w:val="center"/>
        </w:trPr>
        <w:tc>
          <w:tcPr>
            <w:tcW w:w="1191" w:type="dxa"/>
            <w:vMerge/>
            <w:tcBorders>
              <w:left w:val="single" w:sz="8" w:space="0" w:color="auto"/>
            </w:tcBorders>
            <w:shd w:val="clear" w:color="auto" w:fill="auto"/>
            <w:noWrap/>
            <w:vAlign w:val="center"/>
            <w:hideMark/>
          </w:tcPr>
          <w:p w14:paraId="54E55CC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7E246E5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56AA0713"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53DE4D5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1819</w:t>
            </w:r>
          </w:p>
        </w:tc>
        <w:tc>
          <w:tcPr>
            <w:tcW w:w="795" w:type="dxa"/>
            <w:shd w:val="clear" w:color="auto" w:fill="auto"/>
            <w:noWrap/>
            <w:vAlign w:val="center"/>
          </w:tcPr>
          <w:p w14:paraId="124958C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2361</w:t>
            </w:r>
          </w:p>
        </w:tc>
        <w:tc>
          <w:tcPr>
            <w:tcW w:w="795" w:type="dxa"/>
            <w:shd w:val="clear" w:color="auto" w:fill="auto"/>
            <w:noWrap/>
            <w:vAlign w:val="center"/>
          </w:tcPr>
          <w:p w14:paraId="22E0565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2815</w:t>
            </w:r>
          </w:p>
        </w:tc>
        <w:tc>
          <w:tcPr>
            <w:tcW w:w="825" w:type="dxa"/>
            <w:shd w:val="clear" w:color="auto" w:fill="auto"/>
            <w:noWrap/>
            <w:vAlign w:val="center"/>
          </w:tcPr>
          <w:p w14:paraId="135C0A7D"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1543</w:t>
            </w:r>
          </w:p>
        </w:tc>
        <w:tc>
          <w:tcPr>
            <w:tcW w:w="825" w:type="dxa"/>
            <w:shd w:val="clear" w:color="auto" w:fill="auto"/>
            <w:noWrap/>
            <w:vAlign w:val="center"/>
          </w:tcPr>
          <w:p w14:paraId="4D0B259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1570</w:t>
            </w:r>
          </w:p>
        </w:tc>
        <w:tc>
          <w:tcPr>
            <w:tcW w:w="919" w:type="dxa"/>
            <w:shd w:val="clear" w:color="auto" w:fill="auto"/>
            <w:noWrap/>
            <w:vAlign w:val="center"/>
          </w:tcPr>
          <w:p w14:paraId="3FAD0271"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2022</w:t>
            </w:r>
          </w:p>
        </w:tc>
        <w:tc>
          <w:tcPr>
            <w:tcW w:w="880" w:type="dxa"/>
            <w:shd w:val="clear" w:color="auto" w:fill="auto"/>
            <w:noWrap/>
            <w:vAlign w:val="center"/>
          </w:tcPr>
          <w:p w14:paraId="6B438FED"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1750</w:t>
            </w:r>
          </w:p>
        </w:tc>
        <w:tc>
          <w:tcPr>
            <w:tcW w:w="1053" w:type="dxa"/>
            <w:vMerge/>
            <w:tcBorders>
              <w:right w:val="single" w:sz="8" w:space="0" w:color="auto"/>
            </w:tcBorders>
            <w:shd w:val="clear" w:color="auto" w:fill="auto"/>
            <w:noWrap/>
            <w:vAlign w:val="center"/>
          </w:tcPr>
          <w:p w14:paraId="19F56000"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69EE87F1" w14:textId="77777777" w:rsidTr="00E30C2C">
        <w:trPr>
          <w:jc w:val="center"/>
        </w:trPr>
        <w:tc>
          <w:tcPr>
            <w:tcW w:w="1191" w:type="dxa"/>
            <w:vMerge w:val="restart"/>
            <w:tcBorders>
              <w:left w:val="single" w:sz="8" w:space="0" w:color="auto"/>
            </w:tcBorders>
            <w:shd w:val="clear" w:color="auto" w:fill="auto"/>
            <w:noWrap/>
            <w:vAlign w:val="center"/>
            <w:hideMark/>
          </w:tcPr>
          <w:p w14:paraId="7C8B6D55"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IALOMITA</w:t>
            </w:r>
          </w:p>
        </w:tc>
        <w:tc>
          <w:tcPr>
            <w:tcW w:w="1127" w:type="dxa"/>
            <w:shd w:val="clear" w:color="auto" w:fill="auto"/>
            <w:noWrap/>
            <w:vAlign w:val="center"/>
            <w:hideMark/>
          </w:tcPr>
          <w:p w14:paraId="0BEE493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4F7ACB9E"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10350</w:t>
            </w:r>
          </w:p>
        </w:tc>
        <w:tc>
          <w:tcPr>
            <w:tcW w:w="706" w:type="dxa"/>
            <w:shd w:val="clear" w:color="auto" w:fill="auto"/>
            <w:noWrap/>
            <w:vAlign w:val="center"/>
          </w:tcPr>
          <w:p w14:paraId="34E25F0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40.2</w:t>
            </w:r>
          </w:p>
        </w:tc>
        <w:tc>
          <w:tcPr>
            <w:tcW w:w="795" w:type="dxa"/>
            <w:shd w:val="clear" w:color="auto" w:fill="auto"/>
            <w:noWrap/>
            <w:vAlign w:val="center"/>
          </w:tcPr>
          <w:p w14:paraId="6B64D90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45</w:t>
            </w:r>
          </w:p>
        </w:tc>
        <w:tc>
          <w:tcPr>
            <w:tcW w:w="795" w:type="dxa"/>
            <w:shd w:val="clear" w:color="auto" w:fill="auto"/>
            <w:noWrap/>
            <w:vAlign w:val="center"/>
          </w:tcPr>
          <w:p w14:paraId="16E6A59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33</w:t>
            </w:r>
          </w:p>
        </w:tc>
        <w:tc>
          <w:tcPr>
            <w:tcW w:w="825" w:type="dxa"/>
            <w:shd w:val="clear" w:color="auto" w:fill="auto"/>
            <w:noWrap/>
            <w:vAlign w:val="center"/>
          </w:tcPr>
          <w:p w14:paraId="296AF5E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28,8</w:t>
            </w:r>
          </w:p>
        </w:tc>
        <w:tc>
          <w:tcPr>
            <w:tcW w:w="825" w:type="dxa"/>
            <w:shd w:val="clear" w:color="auto" w:fill="auto"/>
            <w:noWrap/>
            <w:vAlign w:val="center"/>
          </w:tcPr>
          <w:p w14:paraId="0768A8A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45.4</w:t>
            </w:r>
          </w:p>
        </w:tc>
        <w:tc>
          <w:tcPr>
            <w:tcW w:w="919" w:type="dxa"/>
            <w:shd w:val="clear" w:color="auto" w:fill="auto"/>
            <w:noWrap/>
            <w:vAlign w:val="center"/>
          </w:tcPr>
          <w:p w14:paraId="551A4982"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38.5</w:t>
            </w:r>
          </w:p>
        </w:tc>
        <w:tc>
          <w:tcPr>
            <w:tcW w:w="880" w:type="dxa"/>
            <w:shd w:val="clear" w:color="auto" w:fill="auto"/>
            <w:noWrap/>
            <w:vAlign w:val="center"/>
          </w:tcPr>
          <w:p w14:paraId="6C82E753"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26.2</w:t>
            </w:r>
          </w:p>
        </w:tc>
        <w:tc>
          <w:tcPr>
            <w:tcW w:w="1053" w:type="dxa"/>
            <w:vMerge w:val="restart"/>
            <w:tcBorders>
              <w:right w:val="single" w:sz="8" w:space="0" w:color="auto"/>
            </w:tcBorders>
            <w:shd w:val="clear" w:color="auto" w:fill="auto"/>
            <w:noWrap/>
            <w:vAlign w:val="center"/>
          </w:tcPr>
          <w:p w14:paraId="74F158F4"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0,681</w:t>
            </w:r>
          </w:p>
        </w:tc>
      </w:tr>
      <w:tr w:rsidR="000A3D16" w:rsidRPr="00804B8B" w14:paraId="1A60EB67" w14:textId="77777777" w:rsidTr="00E30C2C">
        <w:trPr>
          <w:jc w:val="center"/>
        </w:trPr>
        <w:tc>
          <w:tcPr>
            <w:tcW w:w="1191" w:type="dxa"/>
            <w:vMerge/>
            <w:tcBorders>
              <w:left w:val="single" w:sz="8" w:space="0" w:color="auto"/>
            </w:tcBorders>
            <w:shd w:val="clear" w:color="auto" w:fill="auto"/>
            <w:noWrap/>
            <w:vAlign w:val="center"/>
            <w:hideMark/>
          </w:tcPr>
          <w:p w14:paraId="7EE219C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43035FA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73794F6C"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0FE8E69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1268</w:t>
            </w:r>
          </w:p>
        </w:tc>
        <w:tc>
          <w:tcPr>
            <w:tcW w:w="795" w:type="dxa"/>
            <w:shd w:val="clear" w:color="auto" w:fill="auto"/>
            <w:noWrap/>
            <w:vAlign w:val="center"/>
          </w:tcPr>
          <w:p w14:paraId="74E1CD6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1419</w:t>
            </w:r>
          </w:p>
        </w:tc>
        <w:tc>
          <w:tcPr>
            <w:tcW w:w="795" w:type="dxa"/>
            <w:shd w:val="clear" w:color="auto" w:fill="auto"/>
            <w:noWrap/>
            <w:vAlign w:val="center"/>
          </w:tcPr>
          <w:p w14:paraId="1591868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1041</w:t>
            </w:r>
          </w:p>
        </w:tc>
        <w:tc>
          <w:tcPr>
            <w:tcW w:w="825" w:type="dxa"/>
            <w:shd w:val="clear" w:color="auto" w:fill="auto"/>
            <w:noWrap/>
            <w:vAlign w:val="center"/>
          </w:tcPr>
          <w:p w14:paraId="0AE336E0"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911</w:t>
            </w:r>
          </w:p>
        </w:tc>
        <w:tc>
          <w:tcPr>
            <w:tcW w:w="825" w:type="dxa"/>
            <w:shd w:val="clear" w:color="auto" w:fill="auto"/>
            <w:noWrap/>
            <w:vAlign w:val="center"/>
          </w:tcPr>
          <w:p w14:paraId="49BCE19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1342</w:t>
            </w:r>
          </w:p>
        </w:tc>
        <w:tc>
          <w:tcPr>
            <w:tcW w:w="919" w:type="dxa"/>
            <w:shd w:val="clear" w:color="auto" w:fill="auto"/>
            <w:noWrap/>
            <w:vAlign w:val="center"/>
          </w:tcPr>
          <w:p w14:paraId="6E26B910"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1196</w:t>
            </w:r>
          </w:p>
        </w:tc>
        <w:tc>
          <w:tcPr>
            <w:tcW w:w="880" w:type="dxa"/>
            <w:shd w:val="clear" w:color="auto" w:fill="auto"/>
            <w:noWrap/>
            <w:vAlign w:val="center"/>
          </w:tcPr>
          <w:p w14:paraId="5E9693E5"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826</w:t>
            </w:r>
          </w:p>
        </w:tc>
        <w:tc>
          <w:tcPr>
            <w:tcW w:w="1053" w:type="dxa"/>
            <w:vMerge/>
            <w:tcBorders>
              <w:right w:val="single" w:sz="8" w:space="0" w:color="auto"/>
            </w:tcBorders>
            <w:shd w:val="clear" w:color="auto" w:fill="auto"/>
            <w:noWrap/>
            <w:vAlign w:val="center"/>
          </w:tcPr>
          <w:p w14:paraId="51B4A669"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4AF45958" w14:textId="77777777" w:rsidTr="00E30C2C">
        <w:trPr>
          <w:jc w:val="center"/>
        </w:trPr>
        <w:tc>
          <w:tcPr>
            <w:tcW w:w="1191" w:type="dxa"/>
            <w:vMerge w:val="restart"/>
            <w:tcBorders>
              <w:left w:val="single" w:sz="8" w:space="0" w:color="auto"/>
            </w:tcBorders>
            <w:shd w:val="clear" w:color="auto" w:fill="auto"/>
            <w:noWrap/>
            <w:vAlign w:val="center"/>
            <w:hideMark/>
          </w:tcPr>
          <w:p w14:paraId="13339F6B"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DUNĂREA</w:t>
            </w:r>
          </w:p>
        </w:tc>
        <w:tc>
          <w:tcPr>
            <w:tcW w:w="1127" w:type="dxa"/>
            <w:shd w:val="clear" w:color="auto" w:fill="auto"/>
            <w:noWrap/>
            <w:vAlign w:val="center"/>
            <w:hideMark/>
          </w:tcPr>
          <w:p w14:paraId="3E778CE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0B65939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34141</w:t>
            </w:r>
          </w:p>
        </w:tc>
        <w:tc>
          <w:tcPr>
            <w:tcW w:w="706" w:type="dxa"/>
            <w:shd w:val="clear" w:color="auto" w:fill="auto"/>
            <w:noWrap/>
            <w:vAlign w:val="center"/>
          </w:tcPr>
          <w:p w14:paraId="52DC1CF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23.55</w:t>
            </w:r>
          </w:p>
        </w:tc>
        <w:tc>
          <w:tcPr>
            <w:tcW w:w="795" w:type="dxa"/>
            <w:shd w:val="clear" w:color="auto" w:fill="auto"/>
            <w:noWrap/>
            <w:vAlign w:val="center"/>
          </w:tcPr>
          <w:p w14:paraId="614FF50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35.17</w:t>
            </w:r>
          </w:p>
        </w:tc>
        <w:tc>
          <w:tcPr>
            <w:tcW w:w="795" w:type="dxa"/>
            <w:shd w:val="clear" w:color="auto" w:fill="auto"/>
            <w:noWrap/>
            <w:vAlign w:val="center"/>
          </w:tcPr>
          <w:p w14:paraId="53785B25"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32.09</w:t>
            </w:r>
          </w:p>
        </w:tc>
        <w:tc>
          <w:tcPr>
            <w:tcW w:w="825" w:type="dxa"/>
            <w:shd w:val="clear" w:color="auto" w:fill="auto"/>
            <w:noWrap/>
            <w:vAlign w:val="center"/>
          </w:tcPr>
          <w:p w14:paraId="4B4D847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21,1</w:t>
            </w:r>
          </w:p>
        </w:tc>
        <w:tc>
          <w:tcPr>
            <w:tcW w:w="825" w:type="dxa"/>
            <w:shd w:val="clear" w:color="auto" w:fill="auto"/>
            <w:noWrap/>
            <w:vAlign w:val="center"/>
          </w:tcPr>
          <w:p w14:paraId="77DFA3E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28.2</w:t>
            </w:r>
          </w:p>
        </w:tc>
        <w:tc>
          <w:tcPr>
            <w:tcW w:w="919" w:type="dxa"/>
            <w:shd w:val="clear" w:color="auto" w:fill="auto"/>
            <w:noWrap/>
            <w:vAlign w:val="center"/>
          </w:tcPr>
          <w:p w14:paraId="599F59C9"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28.0</w:t>
            </w:r>
          </w:p>
        </w:tc>
        <w:tc>
          <w:tcPr>
            <w:tcW w:w="880" w:type="dxa"/>
            <w:shd w:val="clear" w:color="auto" w:fill="auto"/>
            <w:noWrap/>
            <w:vAlign w:val="center"/>
          </w:tcPr>
          <w:p w14:paraId="51446CE1"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18.9</w:t>
            </w:r>
          </w:p>
        </w:tc>
        <w:tc>
          <w:tcPr>
            <w:tcW w:w="1053" w:type="dxa"/>
            <w:vMerge w:val="restart"/>
            <w:tcBorders>
              <w:right w:val="single" w:sz="8" w:space="0" w:color="auto"/>
            </w:tcBorders>
            <w:shd w:val="clear" w:color="auto" w:fill="auto"/>
            <w:noWrap/>
            <w:vAlign w:val="center"/>
          </w:tcPr>
          <w:p w14:paraId="4911CD0D"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0,673</w:t>
            </w:r>
          </w:p>
        </w:tc>
      </w:tr>
      <w:tr w:rsidR="000A3D16" w:rsidRPr="00804B8B" w14:paraId="29E748DB" w14:textId="77777777" w:rsidTr="00E30C2C">
        <w:trPr>
          <w:jc w:val="center"/>
        </w:trPr>
        <w:tc>
          <w:tcPr>
            <w:tcW w:w="1191" w:type="dxa"/>
            <w:vMerge/>
            <w:tcBorders>
              <w:left w:val="single" w:sz="8" w:space="0" w:color="auto"/>
            </w:tcBorders>
            <w:shd w:val="clear" w:color="auto" w:fill="auto"/>
            <w:noWrap/>
            <w:vAlign w:val="center"/>
            <w:hideMark/>
          </w:tcPr>
          <w:p w14:paraId="1B1454D8"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7607AE1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1FADCCF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699C22A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743</w:t>
            </w:r>
          </w:p>
        </w:tc>
        <w:tc>
          <w:tcPr>
            <w:tcW w:w="795" w:type="dxa"/>
            <w:shd w:val="clear" w:color="auto" w:fill="auto"/>
            <w:noWrap/>
            <w:vAlign w:val="center"/>
          </w:tcPr>
          <w:p w14:paraId="25EB1A9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1109</w:t>
            </w:r>
          </w:p>
        </w:tc>
        <w:tc>
          <w:tcPr>
            <w:tcW w:w="795" w:type="dxa"/>
            <w:shd w:val="clear" w:color="auto" w:fill="auto"/>
            <w:noWrap/>
            <w:vAlign w:val="center"/>
          </w:tcPr>
          <w:p w14:paraId="4768FC1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1012</w:t>
            </w:r>
          </w:p>
        </w:tc>
        <w:tc>
          <w:tcPr>
            <w:tcW w:w="825" w:type="dxa"/>
            <w:shd w:val="clear" w:color="auto" w:fill="auto"/>
            <w:noWrap/>
            <w:vAlign w:val="center"/>
          </w:tcPr>
          <w:p w14:paraId="219BA5E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667</w:t>
            </w:r>
          </w:p>
        </w:tc>
        <w:tc>
          <w:tcPr>
            <w:tcW w:w="825" w:type="dxa"/>
            <w:shd w:val="clear" w:color="auto" w:fill="auto"/>
            <w:noWrap/>
            <w:vAlign w:val="center"/>
          </w:tcPr>
          <w:p w14:paraId="6B38FE9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889</w:t>
            </w:r>
          </w:p>
        </w:tc>
        <w:tc>
          <w:tcPr>
            <w:tcW w:w="919" w:type="dxa"/>
            <w:shd w:val="clear" w:color="auto" w:fill="auto"/>
            <w:noWrap/>
            <w:vAlign w:val="center"/>
          </w:tcPr>
          <w:p w14:paraId="048CA980"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884</w:t>
            </w:r>
          </w:p>
        </w:tc>
        <w:tc>
          <w:tcPr>
            <w:tcW w:w="880" w:type="dxa"/>
            <w:shd w:val="clear" w:color="auto" w:fill="auto"/>
            <w:noWrap/>
            <w:vAlign w:val="center"/>
          </w:tcPr>
          <w:p w14:paraId="234F4CAC"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594</w:t>
            </w:r>
          </w:p>
        </w:tc>
        <w:tc>
          <w:tcPr>
            <w:tcW w:w="1053" w:type="dxa"/>
            <w:vMerge/>
            <w:tcBorders>
              <w:right w:val="single" w:sz="8" w:space="0" w:color="auto"/>
            </w:tcBorders>
            <w:shd w:val="clear" w:color="auto" w:fill="auto"/>
            <w:noWrap/>
            <w:vAlign w:val="center"/>
          </w:tcPr>
          <w:p w14:paraId="343D2CAA"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605355F5" w14:textId="77777777" w:rsidTr="00E30C2C">
        <w:trPr>
          <w:jc w:val="center"/>
        </w:trPr>
        <w:tc>
          <w:tcPr>
            <w:tcW w:w="1191" w:type="dxa"/>
            <w:vMerge w:val="restart"/>
            <w:tcBorders>
              <w:left w:val="single" w:sz="8" w:space="0" w:color="auto"/>
            </w:tcBorders>
            <w:shd w:val="clear" w:color="auto" w:fill="auto"/>
            <w:noWrap/>
            <w:vAlign w:val="center"/>
            <w:hideMark/>
          </w:tcPr>
          <w:p w14:paraId="28E2BDE5"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SIRET</w:t>
            </w:r>
          </w:p>
        </w:tc>
        <w:tc>
          <w:tcPr>
            <w:tcW w:w="1127" w:type="dxa"/>
            <w:shd w:val="clear" w:color="auto" w:fill="auto"/>
            <w:noWrap/>
            <w:vAlign w:val="center"/>
            <w:hideMark/>
          </w:tcPr>
          <w:p w14:paraId="1D9BC6D8"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7C281F5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42890</w:t>
            </w:r>
          </w:p>
        </w:tc>
        <w:tc>
          <w:tcPr>
            <w:tcW w:w="706" w:type="dxa"/>
            <w:shd w:val="clear" w:color="auto" w:fill="auto"/>
            <w:noWrap/>
            <w:vAlign w:val="center"/>
          </w:tcPr>
          <w:p w14:paraId="2A47226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160.3</w:t>
            </w:r>
          </w:p>
        </w:tc>
        <w:tc>
          <w:tcPr>
            <w:tcW w:w="795" w:type="dxa"/>
            <w:shd w:val="clear" w:color="auto" w:fill="auto"/>
            <w:noWrap/>
            <w:vAlign w:val="center"/>
          </w:tcPr>
          <w:p w14:paraId="05FF7C2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272.57</w:t>
            </w:r>
          </w:p>
        </w:tc>
        <w:tc>
          <w:tcPr>
            <w:tcW w:w="795" w:type="dxa"/>
            <w:shd w:val="clear" w:color="auto" w:fill="auto"/>
            <w:noWrap/>
            <w:vAlign w:val="center"/>
          </w:tcPr>
          <w:p w14:paraId="354A7028"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241.45</w:t>
            </w:r>
          </w:p>
        </w:tc>
        <w:tc>
          <w:tcPr>
            <w:tcW w:w="825" w:type="dxa"/>
            <w:shd w:val="clear" w:color="auto" w:fill="auto"/>
            <w:noWrap/>
            <w:vAlign w:val="center"/>
          </w:tcPr>
          <w:p w14:paraId="03BD8AC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187,2</w:t>
            </w:r>
          </w:p>
        </w:tc>
        <w:tc>
          <w:tcPr>
            <w:tcW w:w="825" w:type="dxa"/>
            <w:shd w:val="clear" w:color="auto" w:fill="auto"/>
            <w:noWrap/>
            <w:vAlign w:val="center"/>
          </w:tcPr>
          <w:p w14:paraId="1981720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176</w:t>
            </w:r>
          </w:p>
        </w:tc>
        <w:tc>
          <w:tcPr>
            <w:tcW w:w="919" w:type="dxa"/>
            <w:shd w:val="clear" w:color="auto" w:fill="auto"/>
            <w:noWrap/>
            <w:vAlign w:val="center"/>
          </w:tcPr>
          <w:p w14:paraId="1600FEF8"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207.5</w:t>
            </w:r>
          </w:p>
        </w:tc>
        <w:tc>
          <w:tcPr>
            <w:tcW w:w="880" w:type="dxa"/>
            <w:shd w:val="clear" w:color="auto" w:fill="auto"/>
            <w:noWrap/>
            <w:vAlign w:val="center"/>
          </w:tcPr>
          <w:p w14:paraId="3F4223F2"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122</w:t>
            </w:r>
          </w:p>
        </w:tc>
        <w:tc>
          <w:tcPr>
            <w:tcW w:w="1053" w:type="dxa"/>
            <w:vMerge w:val="restart"/>
            <w:tcBorders>
              <w:right w:val="single" w:sz="8" w:space="0" w:color="auto"/>
            </w:tcBorders>
            <w:shd w:val="clear" w:color="auto" w:fill="auto"/>
            <w:noWrap/>
            <w:vAlign w:val="center"/>
          </w:tcPr>
          <w:p w14:paraId="6769C910"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0,588</w:t>
            </w:r>
          </w:p>
        </w:tc>
      </w:tr>
      <w:tr w:rsidR="000A3D16" w:rsidRPr="00804B8B" w14:paraId="7E158C8F" w14:textId="77777777" w:rsidTr="00E30C2C">
        <w:trPr>
          <w:jc w:val="center"/>
        </w:trPr>
        <w:tc>
          <w:tcPr>
            <w:tcW w:w="1191" w:type="dxa"/>
            <w:vMerge/>
            <w:tcBorders>
              <w:left w:val="single" w:sz="8" w:space="0" w:color="auto"/>
            </w:tcBorders>
            <w:shd w:val="clear" w:color="auto" w:fill="auto"/>
            <w:noWrap/>
            <w:vAlign w:val="center"/>
            <w:hideMark/>
          </w:tcPr>
          <w:p w14:paraId="78158E76"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6E074BBC"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28F169B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5070E25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5055</w:t>
            </w:r>
          </w:p>
        </w:tc>
        <w:tc>
          <w:tcPr>
            <w:tcW w:w="795" w:type="dxa"/>
            <w:shd w:val="clear" w:color="auto" w:fill="auto"/>
            <w:noWrap/>
            <w:vAlign w:val="center"/>
          </w:tcPr>
          <w:p w14:paraId="15A866D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8596</w:t>
            </w:r>
          </w:p>
        </w:tc>
        <w:tc>
          <w:tcPr>
            <w:tcW w:w="795" w:type="dxa"/>
            <w:shd w:val="clear" w:color="auto" w:fill="auto"/>
            <w:noWrap/>
            <w:vAlign w:val="center"/>
          </w:tcPr>
          <w:p w14:paraId="787F3A1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7614</w:t>
            </w:r>
          </w:p>
        </w:tc>
        <w:tc>
          <w:tcPr>
            <w:tcW w:w="825" w:type="dxa"/>
            <w:shd w:val="clear" w:color="auto" w:fill="auto"/>
            <w:noWrap/>
            <w:vAlign w:val="center"/>
          </w:tcPr>
          <w:p w14:paraId="43E5B18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5920</w:t>
            </w:r>
          </w:p>
        </w:tc>
        <w:tc>
          <w:tcPr>
            <w:tcW w:w="825" w:type="dxa"/>
            <w:shd w:val="clear" w:color="auto" w:fill="auto"/>
            <w:noWrap/>
            <w:vAlign w:val="center"/>
          </w:tcPr>
          <w:p w14:paraId="5DD90C1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5560</w:t>
            </w:r>
          </w:p>
        </w:tc>
        <w:tc>
          <w:tcPr>
            <w:tcW w:w="919" w:type="dxa"/>
            <w:shd w:val="clear" w:color="auto" w:fill="auto"/>
            <w:noWrap/>
            <w:vAlign w:val="center"/>
          </w:tcPr>
          <w:p w14:paraId="6AB2C6F1"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6549</w:t>
            </w:r>
          </w:p>
        </w:tc>
        <w:tc>
          <w:tcPr>
            <w:tcW w:w="880" w:type="dxa"/>
            <w:shd w:val="clear" w:color="auto" w:fill="auto"/>
            <w:noWrap/>
            <w:vAlign w:val="center"/>
          </w:tcPr>
          <w:p w14:paraId="678708E7"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3847</w:t>
            </w:r>
          </w:p>
        </w:tc>
        <w:tc>
          <w:tcPr>
            <w:tcW w:w="1053" w:type="dxa"/>
            <w:vMerge/>
            <w:tcBorders>
              <w:right w:val="single" w:sz="8" w:space="0" w:color="auto"/>
            </w:tcBorders>
            <w:shd w:val="clear" w:color="auto" w:fill="auto"/>
            <w:noWrap/>
            <w:vAlign w:val="center"/>
          </w:tcPr>
          <w:p w14:paraId="426D81B3"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39A0C7D2" w14:textId="77777777" w:rsidTr="00E30C2C">
        <w:trPr>
          <w:jc w:val="center"/>
        </w:trPr>
        <w:tc>
          <w:tcPr>
            <w:tcW w:w="1191" w:type="dxa"/>
            <w:vMerge w:val="restart"/>
            <w:tcBorders>
              <w:left w:val="single" w:sz="8" w:space="0" w:color="auto"/>
            </w:tcBorders>
            <w:shd w:val="clear" w:color="auto" w:fill="auto"/>
            <w:noWrap/>
            <w:vAlign w:val="center"/>
            <w:hideMark/>
          </w:tcPr>
          <w:p w14:paraId="1BBE56AB" w14:textId="77777777" w:rsidR="000A3D16" w:rsidRPr="00804B8B" w:rsidRDefault="000A3D16" w:rsidP="00E30C2C">
            <w:pPr>
              <w:spacing w:after="0" w:line="240" w:lineRule="auto"/>
              <w:jc w:val="center"/>
              <w:rPr>
                <w:rFonts w:ascii="Arial" w:eastAsia="Times New Roman" w:hAnsi="Arial" w:cs="Arial"/>
                <w:color w:val="000000"/>
                <w:sz w:val="16"/>
                <w:szCs w:val="16"/>
                <w:vertAlign w:val="superscript"/>
                <w:lang w:val="en-US"/>
              </w:rPr>
            </w:pPr>
            <w:r w:rsidRPr="00804B8B">
              <w:rPr>
                <w:rFonts w:ascii="Arial" w:eastAsia="Times New Roman" w:hAnsi="Arial" w:cs="Arial"/>
                <w:color w:val="000000"/>
                <w:sz w:val="16"/>
                <w:szCs w:val="16"/>
              </w:rPr>
              <w:t>PRUT</w:t>
            </w:r>
            <w:r w:rsidRPr="00804B8B">
              <w:rPr>
                <w:rFonts w:ascii="Arial" w:eastAsia="Times New Roman" w:hAnsi="Arial" w:cs="Arial"/>
                <w:color w:val="000000"/>
                <w:sz w:val="16"/>
                <w:szCs w:val="16"/>
                <w:vertAlign w:val="superscript"/>
              </w:rPr>
              <w:t>**</w:t>
            </w:r>
          </w:p>
        </w:tc>
        <w:tc>
          <w:tcPr>
            <w:tcW w:w="1127" w:type="dxa"/>
            <w:shd w:val="clear" w:color="auto" w:fill="auto"/>
            <w:noWrap/>
            <w:vAlign w:val="center"/>
            <w:hideMark/>
          </w:tcPr>
          <w:p w14:paraId="700F966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210963FB"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10990</w:t>
            </w:r>
          </w:p>
        </w:tc>
        <w:tc>
          <w:tcPr>
            <w:tcW w:w="706" w:type="dxa"/>
            <w:shd w:val="clear" w:color="auto" w:fill="auto"/>
            <w:noWrap/>
            <w:vAlign w:val="center"/>
          </w:tcPr>
          <w:p w14:paraId="004D4C2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13.72</w:t>
            </w:r>
          </w:p>
        </w:tc>
        <w:tc>
          <w:tcPr>
            <w:tcW w:w="795" w:type="dxa"/>
            <w:shd w:val="clear" w:color="auto" w:fill="auto"/>
            <w:noWrap/>
            <w:vAlign w:val="center"/>
          </w:tcPr>
          <w:p w14:paraId="306F684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15.16</w:t>
            </w:r>
          </w:p>
        </w:tc>
        <w:tc>
          <w:tcPr>
            <w:tcW w:w="795" w:type="dxa"/>
            <w:shd w:val="clear" w:color="auto" w:fill="auto"/>
            <w:noWrap/>
            <w:vAlign w:val="center"/>
          </w:tcPr>
          <w:p w14:paraId="3D01670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15.363</w:t>
            </w:r>
          </w:p>
        </w:tc>
        <w:tc>
          <w:tcPr>
            <w:tcW w:w="825" w:type="dxa"/>
            <w:shd w:val="clear" w:color="auto" w:fill="auto"/>
            <w:noWrap/>
            <w:vAlign w:val="center"/>
          </w:tcPr>
          <w:p w14:paraId="79D9847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6,86</w:t>
            </w:r>
          </w:p>
        </w:tc>
        <w:tc>
          <w:tcPr>
            <w:tcW w:w="825" w:type="dxa"/>
            <w:shd w:val="clear" w:color="auto" w:fill="auto"/>
            <w:noWrap/>
            <w:vAlign w:val="center"/>
          </w:tcPr>
          <w:p w14:paraId="28BB2FF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9.74</w:t>
            </w:r>
          </w:p>
        </w:tc>
        <w:tc>
          <w:tcPr>
            <w:tcW w:w="919" w:type="dxa"/>
            <w:shd w:val="clear" w:color="auto" w:fill="auto"/>
            <w:noWrap/>
            <w:vAlign w:val="center"/>
          </w:tcPr>
          <w:p w14:paraId="302C81EF"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12.2</w:t>
            </w:r>
          </w:p>
        </w:tc>
        <w:tc>
          <w:tcPr>
            <w:tcW w:w="880" w:type="dxa"/>
            <w:shd w:val="clear" w:color="auto" w:fill="auto"/>
            <w:noWrap/>
            <w:vAlign w:val="center"/>
          </w:tcPr>
          <w:p w14:paraId="368167D2" w14:textId="77777777" w:rsidR="000A3D16" w:rsidRPr="003551EE" w:rsidRDefault="000A3D16" w:rsidP="00E30C2C">
            <w:pPr>
              <w:spacing w:after="0" w:line="240" w:lineRule="auto"/>
              <w:jc w:val="center"/>
              <w:rPr>
                <w:rFonts w:ascii="Arial" w:eastAsia="Times New Roman" w:hAnsi="Arial" w:cs="Arial"/>
                <w:sz w:val="16"/>
                <w:szCs w:val="16"/>
              </w:rPr>
            </w:pPr>
            <w:r w:rsidRPr="003551EE">
              <w:rPr>
                <w:rFonts w:ascii="Arial" w:hAnsi="Arial" w:cs="Arial"/>
                <w:sz w:val="16"/>
                <w:szCs w:val="16"/>
              </w:rPr>
              <w:t>8.4</w:t>
            </w:r>
          </w:p>
        </w:tc>
        <w:tc>
          <w:tcPr>
            <w:tcW w:w="1053" w:type="dxa"/>
            <w:vMerge w:val="restart"/>
            <w:tcBorders>
              <w:right w:val="single" w:sz="8" w:space="0" w:color="auto"/>
            </w:tcBorders>
            <w:shd w:val="clear" w:color="auto" w:fill="auto"/>
            <w:noWrap/>
            <w:vAlign w:val="center"/>
          </w:tcPr>
          <w:p w14:paraId="1D78AD65" w14:textId="77777777" w:rsidR="000A3D16" w:rsidRPr="00804B8B" w:rsidRDefault="000A3D16" w:rsidP="00E30C2C">
            <w:pPr>
              <w:spacing w:after="0" w:line="240" w:lineRule="auto"/>
              <w:jc w:val="center"/>
              <w:rPr>
                <w:rFonts w:ascii="Arial" w:eastAsia="Times New Roman" w:hAnsi="Arial" w:cs="Arial"/>
                <w:sz w:val="16"/>
                <w:szCs w:val="16"/>
              </w:rPr>
            </w:pPr>
            <w:r>
              <w:rPr>
                <w:rFonts w:ascii="Arial" w:eastAsia="Times New Roman" w:hAnsi="Arial" w:cs="Arial"/>
                <w:sz w:val="16"/>
                <w:szCs w:val="16"/>
              </w:rPr>
              <w:t>0,689</w:t>
            </w:r>
          </w:p>
        </w:tc>
      </w:tr>
      <w:tr w:rsidR="000A3D16" w:rsidRPr="00804B8B" w14:paraId="3E422050" w14:textId="77777777" w:rsidTr="00E30C2C">
        <w:trPr>
          <w:jc w:val="center"/>
        </w:trPr>
        <w:tc>
          <w:tcPr>
            <w:tcW w:w="1191" w:type="dxa"/>
            <w:vMerge/>
            <w:tcBorders>
              <w:left w:val="single" w:sz="8" w:space="0" w:color="auto"/>
            </w:tcBorders>
            <w:shd w:val="clear" w:color="auto" w:fill="auto"/>
            <w:noWrap/>
            <w:vAlign w:val="center"/>
            <w:hideMark/>
          </w:tcPr>
          <w:p w14:paraId="681E8BBE"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76E3EAA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20AE522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5A92664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433</w:t>
            </w:r>
          </w:p>
        </w:tc>
        <w:tc>
          <w:tcPr>
            <w:tcW w:w="795" w:type="dxa"/>
            <w:shd w:val="clear" w:color="auto" w:fill="auto"/>
            <w:noWrap/>
            <w:vAlign w:val="center"/>
          </w:tcPr>
          <w:p w14:paraId="3D6A8FE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478</w:t>
            </w:r>
          </w:p>
        </w:tc>
        <w:tc>
          <w:tcPr>
            <w:tcW w:w="795" w:type="dxa"/>
            <w:shd w:val="clear" w:color="auto" w:fill="auto"/>
            <w:noWrap/>
            <w:vAlign w:val="center"/>
          </w:tcPr>
          <w:p w14:paraId="3C1F702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484</w:t>
            </w:r>
          </w:p>
        </w:tc>
        <w:tc>
          <w:tcPr>
            <w:tcW w:w="825" w:type="dxa"/>
            <w:shd w:val="clear" w:color="auto" w:fill="auto"/>
            <w:noWrap/>
            <w:vAlign w:val="center"/>
          </w:tcPr>
          <w:p w14:paraId="1D1E5CD7"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217</w:t>
            </w:r>
          </w:p>
        </w:tc>
        <w:tc>
          <w:tcPr>
            <w:tcW w:w="825" w:type="dxa"/>
            <w:shd w:val="clear" w:color="auto" w:fill="auto"/>
            <w:noWrap/>
            <w:vAlign w:val="center"/>
          </w:tcPr>
          <w:p w14:paraId="30DC6153"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307</w:t>
            </w:r>
          </w:p>
        </w:tc>
        <w:tc>
          <w:tcPr>
            <w:tcW w:w="919" w:type="dxa"/>
            <w:shd w:val="clear" w:color="auto" w:fill="auto"/>
            <w:noWrap/>
            <w:vAlign w:val="center"/>
          </w:tcPr>
          <w:p w14:paraId="118E6FFE"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384</w:t>
            </w:r>
          </w:p>
        </w:tc>
        <w:tc>
          <w:tcPr>
            <w:tcW w:w="880" w:type="dxa"/>
            <w:shd w:val="clear" w:color="auto" w:fill="auto"/>
            <w:noWrap/>
            <w:vAlign w:val="center"/>
          </w:tcPr>
          <w:p w14:paraId="206B17A7"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265</w:t>
            </w:r>
          </w:p>
        </w:tc>
        <w:tc>
          <w:tcPr>
            <w:tcW w:w="1053" w:type="dxa"/>
            <w:vMerge/>
            <w:tcBorders>
              <w:right w:val="single" w:sz="8" w:space="0" w:color="auto"/>
            </w:tcBorders>
            <w:shd w:val="clear" w:color="auto" w:fill="auto"/>
            <w:noWrap/>
            <w:vAlign w:val="center"/>
          </w:tcPr>
          <w:p w14:paraId="477713DF" w14:textId="77777777" w:rsidR="000A3D16" w:rsidRPr="00804B8B" w:rsidRDefault="000A3D16" w:rsidP="00E30C2C">
            <w:pPr>
              <w:spacing w:after="0" w:line="240" w:lineRule="auto"/>
              <w:jc w:val="center"/>
              <w:rPr>
                <w:rFonts w:ascii="Arial" w:eastAsia="Times New Roman" w:hAnsi="Arial" w:cs="Arial"/>
                <w:sz w:val="16"/>
                <w:szCs w:val="16"/>
              </w:rPr>
            </w:pPr>
          </w:p>
        </w:tc>
      </w:tr>
      <w:tr w:rsidR="000A3D16" w:rsidRPr="00804B8B" w14:paraId="55AD7955" w14:textId="77777777" w:rsidTr="00E30C2C">
        <w:trPr>
          <w:jc w:val="center"/>
        </w:trPr>
        <w:tc>
          <w:tcPr>
            <w:tcW w:w="1191" w:type="dxa"/>
            <w:vMerge w:val="restart"/>
            <w:tcBorders>
              <w:left w:val="single" w:sz="8" w:space="0" w:color="auto"/>
            </w:tcBorders>
            <w:shd w:val="clear" w:color="auto" w:fill="auto"/>
            <w:noWrap/>
            <w:vAlign w:val="center"/>
            <w:hideMark/>
          </w:tcPr>
          <w:p w14:paraId="09DE6FC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DOBROGEA</w:t>
            </w:r>
          </w:p>
        </w:tc>
        <w:tc>
          <w:tcPr>
            <w:tcW w:w="1127" w:type="dxa"/>
            <w:shd w:val="clear" w:color="auto" w:fill="auto"/>
            <w:noWrap/>
            <w:vAlign w:val="center"/>
            <w:hideMark/>
          </w:tcPr>
          <w:p w14:paraId="357339E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208027A2"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5480</w:t>
            </w:r>
          </w:p>
        </w:tc>
        <w:tc>
          <w:tcPr>
            <w:tcW w:w="706" w:type="dxa"/>
            <w:shd w:val="clear" w:color="auto" w:fill="auto"/>
            <w:noWrap/>
            <w:vAlign w:val="center"/>
          </w:tcPr>
          <w:p w14:paraId="6F7D42D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2.63</w:t>
            </w:r>
          </w:p>
        </w:tc>
        <w:tc>
          <w:tcPr>
            <w:tcW w:w="795" w:type="dxa"/>
            <w:shd w:val="clear" w:color="auto" w:fill="auto"/>
            <w:noWrap/>
            <w:vAlign w:val="center"/>
          </w:tcPr>
          <w:p w14:paraId="337A663C"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3.34</w:t>
            </w:r>
          </w:p>
        </w:tc>
        <w:tc>
          <w:tcPr>
            <w:tcW w:w="795" w:type="dxa"/>
            <w:shd w:val="clear" w:color="auto" w:fill="auto"/>
            <w:noWrap/>
            <w:vAlign w:val="center"/>
          </w:tcPr>
          <w:p w14:paraId="79B0D8B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1.67</w:t>
            </w:r>
          </w:p>
        </w:tc>
        <w:tc>
          <w:tcPr>
            <w:tcW w:w="825" w:type="dxa"/>
            <w:shd w:val="clear" w:color="auto" w:fill="auto"/>
            <w:noWrap/>
            <w:vAlign w:val="center"/>
          </w:tcPr>
          <w:p w14:paraId="1078062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1,12</w:t>
            </w:r>
          </w:p>
        </w:tc>
        <w:tc>
          <w:tcPr>
            <w:tcW w:w="825" w:type="dxa"/>
            <w:shd w:val="clear" w:color="auto" w:fill="auto"/>
            <w:noWrap/>
            <w:vAlign w:val="center"/>
          </w:tcPr>
          <w:p w14:paraId="67900BC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1.33</w:t>
            </w:r>
          </w:p>
        </w:tc>
        <w:tc>
          <w:tcPr>
            <w:tcW w:w="919" w:type="dxa"/>
            <w:shd w:val="clear" w:color="auto" w:fill="auto"/>
            <w:noWrap/>
            <w:vAlign w:val="center"/>
          </w:tcPr>
          <w:p w14:paraId="1C21ECA7"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2.0</w:t>
            </w:r>
          </w:p>
        </w:tc>
        <w:tc>
          <w:tcPr>
            <w:tcW w:w="880" w:type="dxa"/>
            <w:shd w:val="clear" w:color="auto" w:fill="auto"/>
            <w:noWrap/>
            <w:vAlign w:val="center"/>
          </w:tcPr>
          <w:p w14:paraId="5C807E16"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1.5</w:t>
            </w:r>
          </w:p>
        </w:tc>
        <w:tc>
          <w:tcPr>
            <w:tcW w:w="1053" w:type="dxa"/>
            <w:vMerge w:val="restart"/>
            <w:tcBorders>
              <w:right w:val="single" w:sz="8" w:space="0" w:color="auto"/>
            </w:tcBorders>
            <w:shd w:val="clear" w:color="auto" w:fill="auto"/>
            <w:noWrap/>
            <w:vAlign w:val="center"/>
          </w:tcPr>
          <w:p w14:paraId="4871ED68" w14:textId="77777777" w:rsidR="000A3D16" w:rsidRPr="00804B8B" w:rsidRDefault="000A3D16" w:rsidP="00E30C2C">
            <w:pPr>
              <w:spacing w:after="0" w:line="240" w:lineRule="auto"/>
              <w:jc w:val="center"/>
              <w:rPr>
                <w:rFonts w:ascii="Arial" w:eastAsia="Times New Roman" w:hAnsi="Arial" w:cs="Arial"/>
                <w:sz w:val="16"/>
                <w:szCs w:val="16"/>
              </w:rPr>
            </w:pPr>
            <w:r>
              <w:rPr>
                <w:rFonts w:ascii="Arial" w:eastAsia="Times New Roman" w:hAnsi="Arial" w:cs="Arial"/>
                <w:sz w:val="16"/>
                <w:szCs w:val="16"/>
              </w:rPr>
              <w:t>0,770</w:t>
            </w:r>
          </w:p>
        </w:tc>
      </w:tr>
      <w:tr w:rsidR="000A3D16" w:rsidRPr="00804B8B" w14:paraId="2971D766" w14:textId="77777777" w:rsidTr="00E30C2C">
        <w:trPr>
          <w:jc w:val="center"/>
        </w:trPr>
        <w:tc>
          <w:tcPr>
            <w:tcW w:w="1191" w:type="dxa"/>
            <w:vMerge/>
            <w:tcBorders>
              <w:left w:val="single" w:sz="8" w:space="0" w:color="auto"/>
            </w:tcBorders>
            <w:shd w:val="clear" w:color="auto" w:fill="auto"/>
            <w:noWrap/>
            <w:vAlign w:val="center"/>
            <w:hideMark/>
          </w:tcPr>
          <w:p w14:paraId="7B14A7D0"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shd w:val="clear" w:color="auto" w:fill="auto"/>
            <w:noWrap/>
            <w:vAlign w:val="center"/>
            <w:hideMark/>
          </w:tcPr>
          <w:p w14:paraId="6276D30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shd w:val="clear" w:color="auto" w:fill="auto"/>
            <w:noWrap/>
            <w:vAlign w:val="center"/>
            <w:hideMark/>
          </w:tcPr>
          <w:p w14:paraId="038A356C"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shd w:val="clear" w:color="auto" w:fill="auto"/>
            <w:noWrap/>
            <w:vAlign w:val="center"/>
          </w:tcPr>
          <w:p w14:paraId="6830121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82.8</w:t>
            </w:r>
          </w:p>
        </w:tc>
        <w:tc>
          <w:tcPr>
            <w:tcW w:w="795" w:type="dxa"/>
            <w:shd w:val="clear" w:color="auto" w:fill="auto"/>
            <w:noWrap/>
            <w:vAlign w:val="center"/>
          </w:tcPr>
          <w:p w14:paraId="17334D2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105</w:t>
            </w:r>
          </w:p>
        </w:tc>
        <w:tc>
          <w:tcPr>
            <w:tcW w:w="795" w:type="dxa"/>
            <w:shd w:val="clear" w:color="auto" w:fill="auto"/>
            <w:noWrap/>
            <w:vAlign w:val="center"/>
          </w:tcPr>
          <w:p w14:paraId="2624C078"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53</w:t>
            </w:r>
          </w:p>
        </w:tc>
        <w:tc>
          <w:tcPr>
            <w:tcW w:w="825" w:type="dxa"/>
            <w:shd w:val="clear" w:color="auto" w:fill="auto"/>
            <w:noWrap/>
            <w:vAlign w:val="center"/>
          </w:tcPr>
          <w:p w14:paraId="6AF87E8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35</w:t>
            </w:r>
          </w:p>
        </w:tc>
        <w:tc>
          <w:tcPr>
            <w:tcW w:w="825" w:type="dxa"/>
            <w:shd w:val="clear" w:color="auto" w:fill="auto"/>
            <w:noWrap/>
            <w:vAlign w:val="center"/>
          </w:tcPr>
          <w:p w14:paraId="5A19FC92"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41.9</w:t>
            </w:r>
          </w:p>
        </w:tc>
        <w:tc>
          <w:tcPr>
            <w:tcW w:w="919" w:type="dxa"/>
            <w:shd w:val="clear" w:color="auto" w:fill="auto"/>
            <w:noWrap/>
            <w:vAlign w:val="center"/>
          </w:tcPr>
          <w:p w14:paraId="31FB417C"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64</w:t>
            </w:r>
          </w:p>
        </w:tc>
        <w:tc>
          <w:tcPr>
            <w:tcW w:w="880" w:type="dxa"/>
            <w:shd w:val="clear" w:color="auto" w:fill="auto"/>
            <w:noWrap/>
            <w:vAlign w:val="center"/>
          </w:tcPr>
          <w:p w14:paraId="0F0C00BA"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48.6</w:t>
            </w:r>
          </w:p>
        </w:tc>
        <w:tc>
          <w:tcPr>
            <w:tcW w:w="1053" w:type="dxa"/>
            <w:vMerge/>
            <w:tcBorders>
              <w:right w:val="single" w:sz="8" w:space="0" w:color="auto"/>
            </w:tcBorders>
            <w:shd w:val="clear" w:color="auto" w:fill="auto"/>
            <w:noWrap/>
            <w:vAlign w:val="center"/>
          </w:tcPr>
          <w:p w14:paraId="5A848868" w14:textId="77777777" w:rsidR="000A3D16" w:rsidRPr="00804B8B" w:rsidRDefault="000A3D16" w:rsidP="00E30C2C">
            <w:pPr>
              <w:spacing w:after="0" w:line="240" w:lineRule="auto"/>
              <w:jc w:val="center"/>
              <w:rPr>
                <w:rFonts w:ascii="Arial" w:eastAsia="Times New Roman" w:hAnsi="Arial" w:cs="Arial"/>
                <w:color w:val="000000"/>
                <w:sz w:val="16"/>
                <w:szCs w:val="16"/>
              </w:rPr>
            </w:pPr>
          </w:p>
        </w:tc>
      </w:tr>
      <w:tr w:rsidR="000A3D16" w:rsidRPr="00804B8B" w14:paraId="6A4FEC96" w14:textId="77777777" w:rsidTr="00E30C2C">
        <w:trPr>
          <w:jc w:val="center"/>
        </w:trPr>
        <w:tc>
          <w:tcPr>
            <w:tcW w:w="1191" w:type="dxa"/>
            <w:vMerge w:val="restart"/>
            <w:tcBorders>
              <w:left w:val="single" w:sz="8" w:space="0" w:color="auto"/>
            </w:tcBorders>
            <w:shd w:val="clear" w:color="auto" w:fill="auto"/>
            <w:noWrap/>
            <w:vAlign w:val="center"/>
            <w:hideMark/>
          </w:tcPr>
          <w:p w14:paraId="0F6120D3" w14:textId="77777777" w:rsidR="000A3D16" w:rsidRPr="00CC0263"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Total România fără fluviul Dunărea</w:t>
            </w:r>
          </w:p>
        </w:tc>
        <w:tc>
          <w:tcPr>
            <w:tcW w:w="1127" w:type="dxa"/>
            <w:shd w:val="clear" w:color="auto" w:fill="auto"/>
            <w:noWrap/>
            <w:vAlign w:val="center"/>
            <w:hideMark/>
          </w:tcPr>
          <w:p w14:paraId="1C34FE0B"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lang w:val="en-US"/>
              </w:rPr>
              <w:t>Q</w:t>
            </w:r>
          </w:p>
        </w:tc>
        <w:tc>
          <w:tcPr>
            <w:tcW w:w="750" w:type="dxa"/>
            <w:vMerge w:val="restart"/>
            <w:shd w:val="clear" w:color="auto" w:fill="auto"/>
            <w:noWrap/>
            <w:vAlign w:val="center"/>
            <w:hideMark/>
          </w:tcPr>
          <w:p w14:paraId="3802B919"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238391</w:t>
            </w:r>
          </w:p>
        </w:tc>
        <w:tc>
          <w:tcPr>
            <w:tcW w:w="706" w:type="dxa"/>
            <w:shd w:val="clear" w:color="auto" w:fill="auto"/>
            <w:noWrap/>
            <w:vAlign w:val="center"/>
          </w:tcPr>
          <w:p w14:paraId="5B83CA66"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926.83</w:t>
            </w:r>
          </w:p>
        </w:tc>
        <w:tc>
          <w:tcPr>
            <w:tcW w:w="795" w:type="dxa"/>
            <w:shd w:val="clear" w:color="auto" w:fill="auto"/>
            <w:noWrap/>
            <w:vAlign w:val="center"/>
          </w:tcPr>
          <w:p w14:paraId="69F88E7B"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1291.29</w:t>
            </w:r>
          </w:p>
        </w:tc>
        <w:tc>
          <w:tcPr>
            <w:tcW w:w="795" w:type="dxa"/>
            <w:shd w:val="clear" w:color="auto" w:fill="auto"/>
            <w:noWrap/>
            <w:vAlign w:val="center"/>
          </w:tcPr>
          <w:p w14:paraId="7F7F064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1179.45</w:t>
            </w:r>
          </w:p>
        </w:tc>
        <w:tc>
          <w:tcPr>
            <w:tcW w:w="825" w:type="dxa"/>
            <w:shd w:val="clear" w:color="auto" w:fill="auto"/>
            <w:noWrap/>
            <w:vAlign w:val="center"/>
          </w:tcPr>
          <w:p w14:paraId="4721E7AE"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939.39</w:t>
            </w:r>
          </w:p>
        </w:tc>
        <w:tc>
          <w:tcPr>
            <w:tcW w:w="825" w:type="dxa"/>
            <w:shd w:val="clear" w:color="auto" w:fill="auto"/>
            <w:noWrap/>
            <w:vAlign w:val="center"/>
          </w:tcPr>
          <w:p w14:paraId="7AC1D619"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1167.48</w:t>
            </w:r>
          </w:p>
        </w:tc>
        <w:tc>
          <w:tcPr>
            <w:tcW w:w="919" w:type="dxa"/>
            <w:shd w:val="clear" w:color="auto" w:fill="auto"/>
            <w:noWrap/>
            <w:vAlign w:val="center"/>
          </w:tcPr>
          <w:p w14:paraId="793F7FC1"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1101</w:t>
            </w:r>
          </w:p>
        </w:tc>
        <w:tc>
          <w:tcPr>
            <w:tcW w:w="880" w:type="dxa"/>
            <w:shd w:val="clear" w:color="auto" w:fill="auto"/>
            <w:noWrap/>
            <w:vAlign w:val="center"/>
          </w:tcPr>
          <w:p w14:paraId="141506ED"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919</w:t>
            </w:r>
          </w:p>
        </w:tc>
        <w:tc>
          <w:tcPr>
            <w:tcW w:w="1053" w:type="dxa"/>
            <w:vMerge w:val="restart"/>
            <w:tcBorders>
              <w:right w:val="single" w:sz="8" w:space="0" w:color="auto"/>
            </w:tcBorders>
            <w:shd w:val="clear" w:color="auto" w:fill="auto"/>
            <w:noWrap/>
            <w:vAlign w:val="center"/>
          </w:tcPr>
          <w:p w14:paraId="05B776A9"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0,834</w:t>
            </w:r>
          </w:p>
        </w:tc>
      </w:tr>
      <w:tr w:rsidR="000A3D16" w:rsidRPr="00804B8B" w14:paraId="53225D39" w14:textId="77777777" w:rsidTr="00E30C2C">
        <w:trPr>
          <w:jc w:val="center"/>
        </w:trPr>
        <w:tc>
          <w:tcPr>
            <w:tcW w:w="1191" w:type="dxa"/>
            <w:vMerge/>
            <w:tcBorders>
              <w:left w:val="single" w:sz="8" w:space="0" w:color="auto"/>
              <w:bottom w:val="single" w:sz="8" w:space="0" w:color="auto"/>
            </w:tcBorders>
            <w:shd w:val="clear" w:color="auto" w:fill="auto"/>
            <w:noWrap/>
            <w:vAlign w:val="center"/>
            <w:hideMark/>
          </w:tcPr>
          <w:p w14:paraId="1734235E"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1127" w:type="dxa"/>
            <w:tcBorders>
              <w:bottom w:val="single" w:sz="8" w:space="0" w:color="auto"/>
            </w:tcBorders>
            <w:shd w:val="clear" w:color="auto" w:fill="auto"/>
            <w:noWrap/>
            <w:vAlign w:val="center"/>
            <w:hideMark/>
          </w:tcPr>
          <w:p w14:paraId="463D7DB4"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r w:rsidRPr="00804B8B">
              <w:rPr>
                <w:rFonts w:ascii="Arial" w:eastAsia="Times New Roman" w:hAnsi="Arial" w:cs="Arial"/>
                <w:color w:val="000000"/>
                <w:sz w:val="16"/>
                <w:szCs w:val="16"/>
              </w:rPr>
              <w:t>V</w:t>
            </w:r>
          </w:p>
        </w:tc>
        <w:tc>
          <w:tcPr>
            <w:tcW w:w="750" w:type="dxa"/>
            <w:vMerge/>
            <w:tcBorders>
              <w:bottom w:val="single" w:sz="8" w:space="0" w:color="auto"/>
            </w:tcBorders>
            <w:shd w:val="clear" w:color="auto" w:fill="auto"/>
            <w:noWrap/>
            <w:vAlign w:val="center"/>
            <w:hideMark/>
          </w:tcPr>
          <w:p w14:paraId="400C30D7"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c>
          <w:tcPr>
            <w:tcW w:w="706" w:type="dxa"/>
            <w:tcBorders>
              <w:bottom w:val="single" w:sz="8" w:space="0" w:color="auto"/>
            </w:tcBorders>
            <w:shd w:val="clear" w:color="auto" w:fill="auto"/>
            <w:noWrap/>
            <w:vAlign w:val="center"/>
          </w:tcPr>
          <w:p w14:paraId="2EBA88C4"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29228</w:t>
            </w:r>
          </w:p>
        </w:tc>
        <w:tc>
          <w:tcPr>
            <w:tcW w:w="795" w:type="dxa"/>
            <w:tcBorders>
              <w:bottom w:val="single" w:sz="8" w:space="0" w:color="auto"/>
            </w:tcBorders>
            <w:shd w:val="clear" w:color="auto" w:fill="auto"/>
            <w:noWrap/>
            <w:vAlign w:val="center"/>
          </w:tcPr>
          <w:p w14:paraId="451D86D1"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40722</w:t>
            </w:r>
          </w:p>
        </w:tc>
        <w:tc>
          <w:tcPr>
            <w:tcW w:w="795" w:type="dxa"/>
            <w:tcBorders>
              <w:bottom w:val="single" w:sz="8" w:space="0" w:color="auto"/>
            </w:tcBorders>
            <w:shd w:val="clear" w:color="auto" w:fill="auto"/>
            <w:noWrap/>
            <w:vAlign w:val="center"/>
          </w:tcPr>
          <w:p w14:paraId="18C9E1EF"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37195</w:t>
            </w:r>
          </w:p>
        </w:tc>
        <w:tc>
          <w:tcPr>
            <w:tcW w:w="825" w:type="dxa"/>
            <w:tcBorders>
              <w:bottom w:val="single" w:sz="8" w:space="0" w:color="auto"/>
            </w:tcBorders>
            <w:shd w:val="clear" w:color="auto" w:fill="auto"/>
            <w:noWrap/>
            <w:vAlign w:val="center"/>
          </w:tcPr>
          <w:p w14:paraId="13ED57C8"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29705</w:t>
            </w:r>
          </w:p>
        </w:tc>
        <w:tc>
          <w:tcPr>
            <w:tcW w:w="825" w:type="dxa"/>
            <w:tcBorders>
              <w:bottom w:val="single" w:sz="8" w:space="0" w:color="auto"/>
            </w:tcBorders>
            <w:shd w:val="clear" w:color="auto" w:fill="auto"/>
            <w:noWrap/>
            <w:vAlign w:val="center"/>
          </w:tcPr>
          <w:p w14:paraId="134D51DA" w14:textId="77777777" w:rsidR="000A3D16" w:rsidRPr="00804B8B" w:rsidRDefault="000A3D16" w:rsidP="00E30C2C">
            <w:pPr>
              <w:spacing w:after="0" w:line="240" w:lineRule="auto"/>
              <w:jc w:val="center"/>
              <w:rPr>
                <w:rFonts w:ascii="Arial" w:eastAsia="Times New Roman" w:hAnsi="Arial" w:cs="Arial"/>
                <w:color w:val="000000"/>
                <w:sz w:val="16"/>
                <w:szCs w:val="16"/>
              </w:rPr>
            </w:pPr>
            <w:r w:rsidRPr="00804B8B">
              <w:rPr>
                <w:rFonts w:ascii="Arial" w:eastAsia="Times New Roman" w:hAnsi="Arial" w:cs="Arial"/>
                <w:color w:val="000000"/>
                <w:sz w:val="16"/>
                <w:szCs w:val="16"/>
              </w:rPr>
              <w:t>36818</w:t>
            </w:r>
          </w:p>
        </w:tc>
        <w:tc>
          <w:tcPr>
            <w:tcW w:w="919" w:type="dxa"/>
            <w:tcBorders>
              <w:bottom w:val="single" w:sz="8" w:space="0" w:color="auto"/>
            </w:tcBorders>
            <w:shd w:val="clear" w:color="auto" w:fill="auto"/>
            <w:noWrap/>
            <w:vAlign w:val="center"/>
          </w:tcPr>
          <w:p w14:paraId="1849C288"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hAnsi="Arial" w:cs="Arial"/>
                <w:color w:val="000000"/>
                <w:sz w:val="16"/>
                <w:szCs w:val="16"/>
              </w:rPr>
              <w:t>34734</w:t>
            </w:r>
          </w:p>
        </w:tc>
        <w:tc>
          <w:tcPr>
            <w:tcW w:w="880" w:type="dxa"/>
            <w:tcBorders>
              <w:bottom w:val="single" w:sz="8" w:space="0" w:color="auto"/>
            </w:tcBorders>
            <w:shd w:val="clear" w:color="auto" w:fill="auto"/>
            <w:noWrap/>
            <w:vAlign w:val="center"/>
          </w:tcPr>
          <w:p w14:paraId="60B8A6EF" w14:textId="77777777" w:rsidR="000A3D16" w:rsidRPr="00804B8B" w:rsidRDefault="000A3D16" w:rsidP="00E30C2C">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28967</w:t>
            </w:r>
          </w:p>
        </w:tc>
        <w:tc>
          <w:tcPr>
            <w:tcW w:w="1053" w:type="dxa"/>
            <w:vMerge/>
            <w:tcBorders>
              <w:bottom w:val="single" w:sz="8" w:space="0" w:color="auto"/>
              <w:right w:val="single" w:sz="8" w:space="0" w:color="auto"/>
            </w:tcBorders>
            <w:shd w:val="clear" w:color="auto" w:fill="auto"/>
            <w:noWrap/>
            <w:vAlign w:val="center"/>
          </w:tcPr>
          <w:p w14:paraId="26E8FC43" w14:textId="77777777" w:rsidR="000A3D16" w:rsidRPr="00804B8B" w:rsidRDefault="000A3D16" w:rsidP="00E30C2C">
            <w:pPr>
              <w:spacing w:after="0" w:line="240" w:lineRule="auto"/>
              <w:jc w:val="center"/>
              <w:rPr>
                <w:rFonts w:ascii="Arial" w:eastAsia="Times New Roman" w:hAnsi="Arial" w:cs="Arial"/>
                <w:color w:val="000000"/>
                <w:sz w:val="16"/>
                <w:szCs w:val="16"/>
                <w:lang w:val="en-US"/>
              </w:rPr>
            </w:pPr>
          </w:p>
        </w:tc>
      </w:tr>
    </w:tbl>
    <w:bookmarkEnd w:id="0"/>
    <w:p w14:paraId="26C01A0C" w14:textId="77777777" w:rsidR="002975E5" w:rsidRPr="000A3D16" w:rsidRDefault="002975E5" w:rsidP="002975E5">
      <w:pPr>
        <w:spacing w:after="0" w:line="240" w:lineRule="auto"/>
        <w:ind w:left="1701" w:hanging="1701"/>
        <w:rPr>
          <w:rFonts w:asciiTheme="minorBidi" w:hAnsiTheme="minorBidi"/>
          <w:i/>
          <w:iCs/>
          <w:sz w:val="24"/>
          <w:szCs w:val="24"/>
        </w:rPr>
      </w:pPr>
      <w:r w:rsidRPr="000A3D16">
        <w:rPr>
          <w:rFonts w:asciiTheme="minorBidi" w:hAnsiTheme="minorBidi"/>
          <w:i/>
          <w:iCs/>
          <w:sz w:val="24"/>
          <w:szCs w:val="24"/>
        </w:rPr>
        <w:t>Notă:      Q - Debit Q (m</w:t>
      </w:r>
      <w:r w:rsidRPr="000A3D16">
        <w:rPr>
          <w:rFonts w:asciiTheme="minorBidi" w:hAnsiTheme="minorBidi"/>
          <w:i/>
          <w:iCs/>
          <w:sz w:val="24"/>
          <w:szCs w:val="24"/>
          <w:vertAlign w:val="superscript"/>
        </w:rPr>
        <w:t>3</w:t>
      </w:r>
      <w:r w:rsidRPr="000A3D16">
        <w:rPr>
          <w:rFonts w:asciiTheme="minorBidi" w:hAnsiTheme="minorBidi"/>
          <w:i/>
          <w:iCs/>
          <w:sz w:val="24"/>
          <w:szCs w:val="24"/>
        </w:rPr>
        <w:t>/s), V - volum total (10</w:t>
      </w:r>
      <w:r w:rsidRPr="000A3D16">
        <w:rPr>
          <w:rFonts w:asciiTheme="minorBidi" w:hAnsiTheme="minorBidi"/>
          <w:i/>
          <w:iCs/>
          <w:sz w:val="24"/>
          <w:szCs w:val="24"/>
          <w:vertAlign w:val="superscript"/>
        </w:rPr>
        <w:t>6</w:t>
      </w:r>
      <w:r w:rsidRPr="000A3D16">
        <w:rPr>
          <w:rFonts w:asciiTheme="minorBidi" w:hAnsiTheme="minorBidi"/>
          <w:i/>
          <w:iCs/>
          <w:sz w:val="24"/>
          <w:szCs w:val="24"/>
        </w:rPr>
        <w:t>m</w:t>
      </w:r>
      <w:r w:rsidRPr="000A3D16">
        <w:rPr>
          <w:rFonts w:asciiTheme="minorBidi" w:hAnsiTheme="minorBidi"/>
          <w:i/>
          <w:iCs/>
          <w:sz w:val="24"/>
          <w:szCs w:val="24"/>
          <w:vertAlign w:val="superscript"/>
        </w:rPr>
        <w:t>3</w:t>
      </w:r>
      <w:r w:rsidRPr="000A3D16">
        <w:rPr>
          <w:rFonts w:asciiTheme="minorBidi" w:hAnsiTheme="minorBidi"/>
          <w:i/>
          <w:iCs/>
          <w:sz w:val="24"/>
          <w:szCs w:val="24"/>
        </w:rPr>
        <w:t>)</w:t>
      </w:r>
    </w:p>
    <w:p w14:paraId="32B41235" w14:textId="77777777" w:rsidR="002975E5" w:rsidRPr="000A3D16" w:rsidRDefault="002975E5" w:rsidP="002975E5">
      <w:pPr>
        <w:spacing w:after="0" w:line="240" w:lineRule="auto"/>
        <w:ind w:left="1701" w:hanging="992"/>
        <w:rPr>
          <w:rFonts w:asciiTheme="minorBidi" w:hAnsiTheme="minorBidi"/>
          <w:i/>
          <w:iCs/>
          <w:sz w:val="24"/>
          <w:szCs w:val="24"/>
        </w:rPr>
      </w:pPr>
      <w:r w:rsidRPr="000A3D16">
        <w:rPr>
          <w:rFonts w:asciiTheme="minorBidi" w:hAnsiTheme="minorBidi"/>
          <w:i/>
          <w:iCs/>
          <w:sz w:val="24"/>
          <w:szCs w:val="24"/>
        </w:rPr>
        <w:t>* - nu include debitul și volumul râului Tisa</w:t>
      </w:r>
    </w:p>
    <w:p w14:paraId="412B388C" w14:textId="77777777" w:rsidR="002975E5" w:rsidRPr="000A3D16" w:rsidRDefault="002975E5" w:rsidP="002975E5">
      <w:pPr>
        <w:spacing w:after="0" w:line="240" w:lineRule="auto"/>
        <w:ind w:firstLine="720"/>
        <w:jc w:val="both"/>
        <w:rPr>
          <w:rFonts w:asciiTheme="minorBidi" w:hAnsiTheme="minorBidi"/>
          <w:i/>
          <w:iCs/>
          <w:sz w:val="24"/>
          <w:szCs w:val="24"/>
        </w:rPr>
      </w:pPr>
      <w:r w:rsidRPr="000A3D16">
        <w:rPr>
          <w:rFonts w:asciiTheme="minorBidi" w:hAnsiTheme="minorBidi"/>
          <w:i/>
          <w:iCs/>
          <w:sz w:val="24"/>
          <w:szCs w:val="24"/>
        </w:rPr>
        <w:t>** nu include debitul și volumul râului Prut, acesta fiind curs de apă de graniță</w:t>
      </w:r>
    </w:p>
    <w:p w14:paraId="54C97C60" w14:textId="77777777" w:rsidR="002975E5" w:rsidRPr="001B4473" w:rsidRDefault="002975E5" w:rsidP="002975E5">
      <w:pPr>
        <w:spacing w:after="0" w:line="240" w:lineRule="auto"/>
        <w:ind w:firstLine="720"/>
        <w:jc w:val="both"/>
        <w:rPr>
          <w:rFonts w:asciiTheme="minorBidi" w:hAnsiTheme="minorBidi"/>
          <w:i/>
          <w:iCs/>
          <w:color w:val="FF0000"/>
          <w:sz w:val="24"/>
          <w:szCs w:val="24"/>
        </w:rPr>
      </w:pPr>
    </w:p>
    <w:p w14:paraId="3315C8DF" w14:textId="03826A04" w:rsidR="002975E5" w:rsidRPr="000A3D16" w:rsidRDefault="002975E5" w:rsidP="000A3D16">
      <w:pPr>
        <w:spacing w:after="0" w:line="240" w:lineRule="auto"/>
        <w:jc w:val="center"/>
        <w:rPr>
          <w:rFonts w:ascii="Arial" w:hAnsi="Arial" w:cs="Arial"/>
          <w:i/>
          <w:iCs/>
        </w:rPr>
      </w:pPr>
      <w:r w:rsidRPr="000A3D16">
        <w:rPr>
          <w:rFonts w:asciiTheme="minorBidi" w:hAnsiTheme="minorBidi"/>
          <w:i/>
          <w:iCs/>
        </w:rPr>
        <w:lastRenderedPageBreak/>
        <w:t xml:space="preserve">Figura II.1.1. </w:t>
      </w:r>
      <w:r w:rsidR="000A3D16" w:rsidRPr="000A3D16">
        <w:rPr>
          <w:rFonts w:ascii="Arial" w:hAnsi="Arial" w:cs="Arial"/>
          <w:i/>
          <w:iCs/>
        </w:rPr>
        <w:t>Resursele de apă (volum 10</w:t>
      </w:r>
      <w:r w:rsidR="000A3D16" w:rsidRPr="000A3D16">
        <w:rPr>
          <w:rFonts w:ascii="Arial" w:hAnsi="Arial" w:cs="Arial"/>
          <w:i/>
          <w:iCs/>
          <w:vertAlign w:val="superscript"/>
        </w:rPr>
        <w:t>6</w:t>
      </w:r>
      <w:r w:rsidR="000A3D16" w:rsidRPr="000A3D16">
        <w:rPr>
          <w:rFonts w:ascii="Arial" w:hAnsi="Arial" w:cs="Arial"/>
          <w:i/>
          <w:iCs/>
        </w:rPr>
        <w:t xml:space="preserve"> m</w:t>
      </w:r>
      <w:r w:rsidR="000A3D16" w:rsidRPr="000A3D16">
        <w:rPr>
          <w:rFonts w:ascii="Arial" w:hAnsi="Arial" w:cs="Arial"/>
          <w:i/>
          <w:iCs/>
          <w:vertAlign w:val="superscript"/>
        </w:rPr>
        <w:t>3</w:t>
      </w:r>
      <w:r w:rsidR="000A3D16" w:rsidRPr="000A3D16">
        <w:rPr>
          <w:rFonts w:ascii="Arial" w:hAnsi="Arial" w:cs="Arial"/>
          <w:i/>
          <w:iCs/>
        </w:rPr>
        <w:t>) ale anului 2022, comparativ cu perioada anterioară (2017-2021)</w:t>
      </w:r>
    </w:p>
    <w:p w14:paraId="50EC9C18" w14:textId="5B91CF5B" w:rsidR="000A3D16" w:rsidRPr="001B4473" w:rsidRDefault="000A3D16" w:rsidP="000A3D16">
      <w:pPr>
        <w:spacing w:after="0" w:line="240" w:lineRule="auto"/>
        <w:jc w:val="center"/>
        <w:rPr>
          <w:rFonts w:asciiTheme="minorBidi" w:hAnsiTheme="minorBidi"/>
          <w:b/>
          <w:i/>
          <w:color w:val="FF0000"/>
          <w:sz w:val="24"/>
          <w:szCs w:val="24"/>
          <w:lang w:val="en-US"/>
        </w:rPr>
      </w:pPr>
      <w:r w:rsidRPr="000A3D16">
        <w:rPr>
          <w:rFonts w:asciiTheme="minorBidi" w:hAnsiTheme="minorBidi"/>
          <w:noProof/>
          <w:lang w:val="en-GB" w:eastAsia="en-GB"/>
        </w:rPr>
        <w:drawing>
          <wp:inline distT="0" distB="0" distL="0" distR="0" wp14:anchorId="13C54102" wp14:editId="5A0A6356">
            <wp:extent cx="4580890" cy="2752090"/>
            <wp:effectExtent l="0" t="0" r="0" b="0"/>
            <wp:docPr id="368921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0890" cy="2752090"/>
                    </a:xfrm>
                    <a:prstGeom prst="rect">
                      <a:avLst/>
                    </a:prstGeom>
                    <a:noFill/>
                    <a:ln>
                      <a:noFill/>
                    </a:ln>
                  </pic:spPr>
                </pic:pic>
              </a:graphicData>
            </a:graphic>
          </wp:inline>
        </w:drawing>
      </w:r>
    </w:p>
    <w:p w14:paraId="65C7DCBD" w14:textId="77777777" w:rsidR="002975E5" w:rsidRPr="001B4473" w:rsidRDefault="002975E5" w:rsidP="002975E5">
      <w:pPr>
        <w:spacing w:after="0" w:line="240" w:lineRule="auto"/>
        <w:ind w:firstLine="720"/>
        <w:jc w:val="both"/>
        <w:rPr>
          <w:rFonts w:asciiTheme="minorBidi" w:hAnsiTheme="minorBidi"/>
          <w:color w:val="FF0000"/>
          <w:sz w:val="24"/>
          <w:szCs w:val="24"/>
        </w:rPr>
      </w:pPr>
    </w:p>
    <w:p w14:paraId="459C7554"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 xml:space="preserve">Extinzând analiza evoluției comparative a resursei aferente anului 2022 la nivelul bazinelor principale constatăm că la nivel național, volumul scurs în </w:t>
      </w:r>
      <w:r>
        <w:rPr>
          <w:rFonts w:ascii="Arial" w:hAnsi="Arial" w:cs="Arial"/>
        </w:rPr>
        <w:t>acest an</w:t>
      </w:r>
      <w:r w:rsidRPr="00804B8B">
        <w:rPr>
          <w:rFonts w:ascii="Arial" w:hAnsi="Arial" w:cs="Arial"/>
        </w:rPr>
        <w:t xml:space="preserve"> a fost </w:t>
      </w:r>
      <w:r w:rsidRPr="00891B96">
        <w:rPr>
          <w:rFonts w:ascii="Arial" w:hAnsi="Arial" w:cs="Arial"/>
        </w:rPr>
        <w:t>cu circa 20% mai mic față de media multianuală a ultimilor 5 ani. Valori peste media multianuală a ultimilor 5 ani se înregistrează doar în bazinul hidrografic al râului Someș.</w:t>
      </w:r>
    </w:p>
    <w:p w14:paraId="1E4DF8ED"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 xml:space="preserve">În concluzie, anul 2022 a fost un an </w:t>
      </w:r>
      <w:r>
        <w:rPr>
          <w:rFonts w:ascii="Arial" w:hAnsi="Arial" w:cs="Arial"/>
        </w:rPr>
        <w:t>secetos</w:t>
      </w:r>
      <w:r w:rsidRPr="00804B8B">
        <w:rPr>
          <w:rFonts w:ascii="Arial" w:hAnsi="Arial" w:cs="Arial"/>
        </w:rPr>
        <w:t xml:space="preserve"> în ceea ce privește cuantumul resursei de apă totale provenită din râurile interioare. </w:t>
      </w:r>
    </w:p>
    <w:p w14:paraId="305354AB" w14:textId="0618DC7D" w:rsidR="000A3D16" w:rsidRPr="00804B8B" w:rsidRDefault="000A3D16" w:rsidP="000A3D16">
      <w:pPr>
        <w:spacing w:after="0" w:line="240" w:lineRule="auto"/>
        <w:ind w:firstLine="720"/>
        <w:jc w:val="both"/>
        <w:rPr>
          <w:rFonts w:ascii="Arial" w:hAnsi="Arial" w:cs="Arial"/>
        </w:rPr>
      </w:pPr>
      <w:r w:rsidRPr="00804B8B">
        <w:rPr>
          <w:rFonts w:ascii="Arial" w:hAnsi="Arial" w:cs="Arial"/>
        </w:rPr>
        <w:t xml:space="preserve">Fluviul Dunărea prezintă o situație asemănătoare cu cea înregistrată pe cursurile râurilor interioare, volumul scurs la intrarea în țară (st. h. Baziaș) și cel înregistrat la ieșirea din țară (st. h. Gruia+ sh Oancea/Prut) situându-se sub nivelul mediu calculat pe ultimii 5 ani (tabel nr. </w:t>
      </w:r>
      <w:r>
        <w:rPr>
          <w:rFonts w:ascii="Arial" w:hAnsi="Arial" w:cs="Arial"/>
        </w:rPr>
        <w:t>II</w:t>
      </w:r>
      <w:r w:rsidRPr="00804B8B">
        <w:rPr>
          <w:rFonts w:ascii="Arial" w:hAnsi="Arial" w:cs="Arial"/>
        </w:rPr>
        <w:t>.</w:t>
      </w:r>
      <w:r>
        <w:rPr>
          <w:rFonts w:ascii="Arial" w:hAnsi="Arial" w:cs="Arial"/>
        </w:rPr>
        <w:t>1.</w:t>
      </w:r>
      <w:r w:rsidRPr="00804B8B">
        <w:rPr>
          <w:rFonts w:ascii="Arial" w:hAnsi="Arial" w:cs="Arial"/>
        </w:rPr>
        <w:t>2.).</w:t>
      </w:r>
    </w:p>
    <w:p w14:paraId="07E40349"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Resursa corespunzătoare fluviului Dunărea la intrarea în țară este de 80007 mid.m</w:t>
      </w:r>
      <w:r w:rsidRPr="00804B8B">
        <w:rPr>
          <w:rFonts w:ascii="Arial" w:hAnsi="Arial" w:cs="Arial"/>
          <w:vertAlign w:val="superscript"/>
        </w:rPr>
        <w:t>3</w:t>
      </w:r>
      <w:r w:rsidRPr="00804B8B">
        <w:rPr>
          <w:rFonts w:ascii="Arial" w:hAnsi="Arial" w:cs="Arial"/>
        </w:rPr>
        <w:t xml:space="preserve"> în anul 2022 (respectiv, 75624 mld. m</w:t>
      </w:r>
      <w:r w:rsidRPr="00804B8B">
        <w:rPr>
          <w:rFonts w:ascii="Arial" w:hAnsi="Arial" w:cs="Arial"/>
          <w:vertAlign w:val="superscript"/>
        </w:rPr>
        <w:t>3</w:t>
      </w:r>
      <w:r w:rsidRPr="00804B8B">
        <w:rPr>
          <w:rFonts w:ascii="Arial" w:hAnsi="Arial" w:cs="Arial"/>
        </w:rPr>
        <w:t xml:space="preserve"> în perioada 2016-2020), cu circa 6% mai mare față de media multianuală a fluviului care, pentru ultimii 60 ani, este de cca. 85 000 mld. m</w:t>
      </w:r>
      <w:r w:rsidRPr="00804B8B">
        <w:rPr>
          <w:rFonts w:ascii="Arial" w:hAnsi="Arial" w:cs="Arial"/>
          <w:vertAlign w:val="superscript"/>
        </w:rPr>
        <w:t>3</w:t>
      </w:r>
      <w:r w:rsidRPr="00804B8B">
        <w:rPr>
          <w:rFonts w:ascii="Arial" w:hAnsi="Arial" w:cs="Arial"/>
        </w:rPr>
        <w:t xml:space="preserve"> (valorile reprezintă 50% din volumele scurse pe Dunăre la intrarea în țară, aferente României, cealaltă jumătate revenind Republicii Serbia).</w:t>
      </w:r>
    </w:p>
    <w:p w14:paraId="31582EDB" w14:textId="77777777" w:rsidR="003215D9" w:rsidRPr="001B4473" w:rsidRDefault="003215D9" w:rsidP="003215D9">
      <w:pPr>
        <w:spacing w:after="0" w:line="240" w:lineRule="auto"/>
        <w:ind w:firstLine="720"/>
        <w:jc w:val="both"/>
        <w:rPr>
          <w:rFonts w:asciiTheme="minorBidi" w:hAnsiTheme="minorBidi"/>
          <w:color w:val="FF0000"/>
          <w:sz w:val="24"/>
          <w:szCs w:val="24"/>
        </w:rPr>
      </w:pPr>
    </w:p>
    <w:p w14:paraId="739EE853" w14:textId="130D1419" w:rsidR="002975E5" w:rsidRDefault="002975E5" w:rsidP="002975E5">
      <w:pPr>
        <w:spacing w:after="0" w:line="240" w:lineRule="auto"/>
        <w:jc w:val="center"/>
        <w:rPr>
          <w:rFonts w:ascii="Arial" w:eastAsia="Times New Roman" w:hAnsi="Arial" w:cs="Arial"/>
          <w:i/>
          <w:lang w:eastAsia="ro-RO"/>
        </w:rPr>
      </w:pPr>
      <w:r w:rsidRPr="000A3D16">
        <w:rPr>
          <w:rFonts w:asciiTheme="minorBidi" w:eastAsia="Times New Roman" w:hAnsiTheme="minorBidi"/>
          <w:i/>
          <w:lang w:eastAsia="ro-RO"/>
        </w:rPr>
        <w:t xml:space="preserve">Tabelul nr. II.1.2. </w:t>
      </w:r>
      <w:r w:rsidR="000A3D16" w:rsidRPr="000A3D16">
        <w:rPr>
          <w:rFonts w:ascii="Arial" w:eastAsia="Times New Roman" w:hAnsi="Arial" w:cs="Arial"/>
          <w:i/>
          <w:lang w:eastAsia="ro-RO"/>
        </w:rPr>
        <w:t xml:space="preserve">Resursele </w:t>
      </w:r>
      <w:r w:rsidR="000A3D16" w:rsidRPr="00804B8B">
        <w:rPr>
          <w:rFonts w:ascii="Arial" w:eastAsia="Times New Roman" w:hAnsi="Arial" w:cs="Arial"/>
          <w:i/>
          <w:lang w:eastAsia="ro-RO"/>
        </w:rPr>
        <w:t>de apă ale fluviului Dunărea în anul 2022, comparativ cu perioada anterioară (2017-2021)</w:t>
      </w:r>
    </w:p>
    <w:tbl>
      <w:tblPr>
        <w:tblW w:w="10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261"/>
        <w:gridCol w:w="884"/>
        <w:gridCol w:w="939"/>
        <w:gridCol w:w="939"/>
        <w:gridCol w:w="884"/>
        <w:gridCol w:w="884"/>
        <w:gridCol w:w="884"/>
        <w:gridCol w:w="928"/>
        <w:gridCol w:w="1140"/>
      </w:tblGrid>
      <w:tr w:rsidR="000A3D16" w:rsidRPr="000A3D16" w14:paraId="414E7F7E" w14:textId="77777777" w:rsidTr="000A3D16">
        <w:trPr>
          <w:trHeight w:val="312"/>
          <w:jc w:val="center"/>
        </w:trPr>
        <w:tc>
          <w:tcPr>
            <w:tcW w:w="1843" w:type="dxa"/>
            <w:vMerge w:val="restart"/>
            <w:tcBorders>
              <w:top w:val="single" w:sz="8" w:space="0" w:color="auto"/>
              <w:left w:val="single" w:sz="8" w:space="0" w:color="auto"/>
            </w:tcBorders>
            <w:shd w:val="clear" w:color="000000" w:fill="auto"/>
            <w:noWrap/>
            <w:vAlign w:val="center"/>
            <w:hideMark/>
          </w:tcPr>
          <w:p w14:paraId="15D92CE5"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fr-FR"/>
              </w:rPr>
            </w:pPr>
            <w:bookmarkStart w:id="1" w:name="OLE_LINK2"/>
            <w:r w:rsidRPr="000A3D16">
              <w:rPr>
                <w:rFonts w:asciiTheme="minorBidi" w:eastAsia="Times New Roman" w:hAnsiTheme="minorBidi"/>
                <w:b/>
                <w:bCs/>
                <w:color w:val="000000"/>
                <w:sz w:val="20"/>
                <w:szCs w:val="20"/>
              </w:rPr>
              <w:t>Stații hidrometrice de control pe fluviul Dunărea</w:t>
            </w:r>
          </w:p>
        </w:tc>
        <w:tc>
          <w:tcPr>
            <w:tcW w:w="1261" w:type="dxa"/>
            <w:vMerge w:val="restart"/>
            <w:tcBorders>
              <w:top w:val="single" w:sz="8" w:space="0" w:color="auto"/>
            </w:tcBorders>
            <w:shd w:val="clear" w:color="000000" w:fill="auto"/>
            <w:noWrap/>
            <w:vAlign w:val="center"/>
            <w:hideMark/>
          </w:tcPr>
          <w:p w14:paraId="479C0FA7"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lang w:val="en-US"/>
              </w:rPr>
              <w:t>Parametrul</w:t>
            </w:r>
          </w:p>
        </w:tc>
        <w:tc>
          <w:tcPr>
            <w:tcW w:w="6342" w:type="dxa"/>
            <w:gridSpan w:val="7"/>
            <w:tcBorders>
              <w:top w:val="single" w:sz="8" w:space="0" w:color="auto"/>
              <w:bottom w:val="single" w:sz="4" w:space="0" w:color="auto"/>
            </w:tcBorders>
            <w:shd w:val="clear" w:color="000000" w:fill="auto"/>
            <w:noWrap/>
            <w:vAlign w:val="center"/>
            <w:hideMark/>
          </w:tcPr>
          <w:p w14:paraId="491157ED"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sz w:val="20"/>
                <w:szCs w:val="20"/>
              </w:rPr>
              <w:t xml:space="preserve">Q </w:t>
            </w:r>
            <w:r w:rsidRPr="000A3D16">
              <w:rPr>
                <w:rFonts w:asciiTheme="minorBidi" w:eastAsia="Times New Roman" w:hAnsiTheme="minorBidi"/>
                <w:b/>
                <w:bCs/>
                <w:color w:val="000000"/>
                <w:sz w:val="20"/>
                <w:szCs w:val="20"/>
                <w:vertAlign w:val="subscript"/>
              </w:rPr>
              <w:t xml:space="preserve">med anual </w:t>
            </w:r>
            <w:r w:rsidRPr="000A3D16">
              <w:rPr>
                <w:rFonts w:asciiTheme="minorBidi" w:eastAsia="Times New Roman" w:hAnsiTheme="minorBidi"/>
                <w:b/>
                <w:bCs/>
                <w:color w:val="000000"/>
                <w:sz w:val="20"/>
                <w:szCs w:val="20"/>
              </w:rPr>
              <w:t>(m</w:t>
            </w:r>
            <w:r w:rsidRPr="000A3D16">
              <w:rPr>
                <w:rFonts w:asciiTheme="minorBidi" w:eastAsia="Times New Roman" w:hAnsiTheme="minorBidi"/>
                <w:b/>
                <w:bCs/>
                <w:color w:val="000000"/>
                <w:sz w:val="20"/>
                <w:szCs w:val="20"/>
                <w:vertAlign w:val="superscript"/>
              </w:rPr>
              <w:t>3</w:t>
            </w:r>
            <w:r w:rsidRPr="000A3D16">
              <w:rPr>
                <w:rFonts w:asciiTheme="minorBidi" w:eastAsia="Times New Roman" w:hAnsiTheme="minorBidi"/>
                <w:b/>
                <w:bCs/>
                <w:color w:val="000000"/>
                <w:sz w:val="20"/>
                <w:szCs w:val="20"/>
              </w:rPr>
              <w:t>/s)</w:t>
            </w:r>
          </w:p>
        </w:tc>
        <w:tc>
          <w:tcPr>
            <w:tcW w:w="1140" w:type="dxa"/>
            <w:vMerge w:val="restart"/>
            <w:tcBorders>
              <w:top w:val="single" w:sz="8" w:space="0" w:color="auto"/>
              <w:right w:val="single" w:sz="8" w:space="0" w:color="auto"/>
            </w:tcBorders>
            <w:shd w:val="clear" w:color="000000" w:fill="auto"/>
            <w:noWrap/>
            <w:vAlign w:val="center"/>
            <w:hideMark/>
          </w:tcPr>
          <w:p w14:paraId="39670C45"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rPr>
              <w:t>Q</w:t>
            </w:r>
            <w:r w:rsidRPr="000A3D16">
              <w:rPr>
                <w:rFonts w:asciiTheme="minorBidi" w:eastAsia="Times New Roman" w:hAnsiTheme="minorBidi"/>
                <w:b/>
                <w:bCs/>
                <w:color w:val="000000"/>
                <w:sz w:val="20"/>
                <w:szCs w:val="20"/>
                <w:vertAlign w:val="subscript"/>
              </w:rPr>
              <w:t>2021</w:t>
            </w:r>
            <w:r w:rsidRPr="000A3D16">
              <w:rPr>
                <w:rFonts w:asciiTheme="minorBidi" w:eastAsia="Times New Roman" w:hAnsiTheme="minorBidi"/>
                <w:b/>
                <w:bCs/>
                <w:color w:val="000000"/>
                <w:sz w:val="20"/>
                <w:szCs w:val="20"/>
              </w:rPr>
              <w:t>/Q</w:t>
            </w:r>
            <w:r w:rsidRPr="000A3D16">
              <w:rPr>
                <w:rFonts w:asciiTheme="minorBidi" w:eastAsia="Times New Roman" w:hAnsiTheme="minorBidi"/>
                <w:b/>
                <w:bCs/>
                <w:color w:val="000000"/>
                <w:sz w:val="20"/>
                <w:szCs w:val="20"/>
                <w:vertAlign w:val="subscript"/>
              </w:rPr>
              <w:t>med</w:t>
            </w:r>
            <w:r w:rsidRPr="000A3D16">
              <w:rPr>
                <w:rFonts w:asciiTheme="minorBidi" w:eastAsia="Times New Roman" w:hAnsiTheme="minorBidi"/>
                <w:b/>
                <w:bCs/>
                <w:color w:val="000000"/>
                <w:sz w:val="20"/>
                <w:szCs w:val="20"/>
              </w:rPr>
              <w:t xml:space="preserve"> (%)</w:t>
            </w:r>
          </w:p>
        </w:tc>
      </w:tr>
      <w:tr w:rsidR="000A3D16" w:rsidRPr="000A3D16" w14:paraId="3A54E869" w14:textId="77777777" w:rsidTr="000A3D16">
        <w:trPr>
          <w:trHeight w:val="300"/>
          <w:jc w:val="center"/>
        </w:trPr>
        <w:tc>
          <w:tcPr>
            <w:tcW w:w="1843" w:type="dxa"/>
            <w:vMerge/>
            <w:tcBorders>
              <w:left w:val="single" w:sz="8" w:space="0" w:color="auto"/>
              <w:bottom w:val="single" w:sz="8" w:space="0" w:color="auto"/>
            </w:tcBorders>
            <w:shd w:val="clear" w:color="000000" w:fill="FFFF00"/>
            <w:noWrap/>
            <w:vAlign w:val="center"/>
            <w:hideMark/>
          </w:tcPr>
          <w:p w14:paraId="7B7DE919"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c>
          <w:tcPr>
            <w:tcW w:w="1261" w:type="dxa"/>
            <w:vMerge/>
            <w:tcBorders>
              <w:bottom w:val="single" w:sz="8" w:space="0" w:color="auto"/>
            </w:tcBorders>
            <w:shd w:val="clear" w:color="000000" w:fill="FFFF00"/>
            <w:noWrap/>
            <w:vAlign w:val="center"/>
            <w:hideMark/>
          </w:tcPr>
          <w:p w14:paraId="28646C9A"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c>
          <w:tcPr>
            <w:tcW w:w="884" w:type="dxa"/>
            <w:tcBorders>
              <w:bottom w:val="single" w:sz="8" w:space="0" w:color="auto"/>
            </w:tcBorders>
            <w:shd w:val="clear" w:color="000000" w:fill="auto"/>
            <w:noWrap/>
            <w:vAlign w:val="center"/>
          </w:tcPr>
          <w:p w14:paraId="2FA727FD"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rPr>
              <w:t>2017</w:t>
            </w:r>
          </w:p>
        </w:tc>
        <w:tc>
          <w:tcPr>
            <w:tcW w:w="939" w:type="dxa"/>
            <w:tcBorders>
              <w:bottom w:val="single" w:sz="8" w:space="0" w:color="auto"/>
            </w:tcBorders>
            <w:shd w:val="clear" w:color="000000" w:fill="auto"/>
            <w:noWrap/>
            <w:vAlign w:val="center"/>
          </w:tcPr>
          <w:p w14:paraId="3AB5D8CC"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lang w:val="en-US"/>
              </w:rPr>
              <w:t>2018</w:t>
            </w:r>
          </w:p>
        </w:tc>
        <w:tc>
          <w:tcPr>
            <w:tcW w:w="939" w:type="dxa"/>
            <w:tcBorders>
              <w:bottom w:val="single" w:sz="8" w:space="0" w:color="auto"/>
            </w:tcBorders>
            <w:shd w:val="clear" w:color="000000" w:fill="auto"/>
            <w:noWrap/>
            <w:vAlign w:val="center"/>
          </w:tcPr>
          <w:p w14:paraId="6D4AD350"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lang w:val="en-US"/>
              </w:rPr>
              <w:t>2019</w:t>
            </w:r>
          </w:p>
        </w:tc>
        <w:tc>
          <w:tcPr>
            <w:tcW w:w="884" w:type="dxa"/>
            <w:tcBorders>
              <w:bottom w:val="single" w:sz="8" w:space="0" w:color="auto"/>
            </w:tcBorders>
            <w:shd w:val="clear" w:color="000000" w:fill="auto"/>
            <w:noWrap/>
            <w:vAlign w:val="center"/>
          </w:tcPr>
          <w:p w14:paraId="6A998FA8"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lang w:val="en-US"/>
              </w:rPr>
              <w:t>2020</w:t>
            </w:r>
            <w:r w:rsidRPr="000A3D16">
              <w:rPr>
                <w:rFonts w:asciiTheme="minorBidi" w:eastAsia="Times New Roman" w:hAnsiTheme="minorBidi"/>
                <w:b/>
                <w:bCs/>
                <w:color w:val="000000"/>
                <w:sz w:val="20"/>
                <w:szCs w:val="20"/>
                <w:vertAlign w:val="superscript"/>
                <w:lang w:val="en-US"/>
              </w:rPr>
              <w:t>*</w:t>
            </w:r>
          </w:p>
        </w:tc>
        <w:tc>
          <w:tcPr>
            <w:tcW w:w="884" w:type="dxa"/>
            <w:tcBorders>
              <w:bottom w:val="single" w:sz="8" w:space="0" w:color="auto"/>
            </w:tcBorders>
            <w:shd w:val="clear" w:color="000000" w:fill="auto"/>
            <w:noWrap/>
            <w:vAlign w:val="center"/>
          </w:tcPr>
          <w:p w14:paraId="202919F1"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lang w:val="en-US"/>
              </w:rPr>
              <w:t>2021</w:t>
            </w:r>
          </w:p>
        </w:tc>
        <w:tc>
          <w:tcPr>
            <w:tcW w:w="884" w:type="dxa"/>
            <w:tcBorders>
              <w:bottom w:val="single" w:sz="8" w:space="0" w:color="auto"/>
            </w:tcBorders>
            <w:shd w:val="clear" w:color="000000" w:fill="auto"/>
            <w:noWrap/>
            <w:vAlign w:val="center"/>
            <w:hideMark/>
          </w:tcPr>
          <w:p w14:paraId="63D4FA55" w14:textId="77777777" w:rsidR="000A3D16" w:rsidRPr="000A3D16" w:rsidRDefault="000A3D16" w:rsidP="00E30C2C">
            <w:pPr>
              <w:spacing w:after="0" w:line="240" w:lineRule="auto"/>
              <w:jc w:val="center"/>
              <w:rPr>
                <w:rFonts w:asciiTheme="minorBidi" w:eastAsia="Times New Roman" w:hAnsiTheme="minorBidi"/>
                <w:b/>
                <w:bCs/>
                <w:color w:val="000000"/>
                <w:sz w:val="20"/>
                <w:szCs w:val="20"/>
              </w:rPr>
            </w:pPr>
            <w:r w:rsidRPr="000A3D16">
              <w:rPr>
                <w:rFonts w:asciiTheme="minorBidi" w:eastAsia="Times New Roman" w:hAnsiTheme="minorBidi"/>
                <w:b/>
                <w:bCs/>
                <w:color w:val="000000"/>
                <w:sz w:val="20"/>
                <w:szCs w:val="20"/>
              </w:rPr>
              <w:t>MED</w:t>
            </w:r>
          </w:p>
          <w:p w14:paraId="7C94692A"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sz w:val="20"/>
                <w:szCs w:val="20"/>
                <w:vertAlign w:val="subscript"/>
              </w:rPr>
              <w:t>2017-2021</w:t>
            </w:r>
          </w:p>
        </w:tc>
        <w:tc>
          <w:tcPr>
            <w:tcW w:w="928" w:type="dxa"/>
            <w:tcBorders>
              <w:bottom w:val="single" w:sz="8" w:space="0" w:color="auto"/>
            </w:tcBorders>
            <w:shd w:val="clear" w:color="000000" w:fill="auto"/>
            <w:noWrap/>
            <w:vAlign w:val="center"/>
          </w:tcPr>
          <w:p w14:paraId="64936BBD" w14:textId="77777777" w:rsidR="000A3D16" w:rsidRPr="000A3D16" w:rsidRDefault="000A3D16" w:rsidP="00E30C2C">
            <w:pPr>
              <w:spacing w:after="0" w:line="240" w:lineRule="auto"/>
              <w:jc w:val="center"/>
              <w:rPr>
                <w:rFonts w:asciiTheme="minorBidi" w:eastAsia="Times New Roman" w:hAnsiTheme="minorBidi"/>
                <w:b/>
                <w:bCs/>
                <w:color w:val="000000"/>
                <w:sz w:val="20"/>
                <w:szCs w:val="20"/>
                <w:lang w:val="en-US"/>
              </w:rPr>
            </w:pPr>
            <w:r w:rsidRPr="000A3D16">
              <w:rPr>
                <w:rFonts w:asciiTheme="minorBidi" w:eastAsia="Times New Roman" w:hAnsiTheme="minorBidi"/>
                <w:b/>
                <w:bCs/>
                <w:color w:val="000000"/>
                <w:sz w:val="20"/>
                <w:szCs w:val="20"/>
                <w:lang w:val="en-US"/>
              </w:rPr>
              <w:t>2022</w:t>
            </w:r>
          </w:p>
        </w:tc>
        <w:tc>
          <w:tcPr>
            <w:tcW w:w="1140" w:type="dxa"/>
            <w:vMerge/>
            <w:tcBorders>
              <w:bottom w:val="single" w:sz="8" w:space="0" w:color="auto"/>
              <w:right w:val="single" w:sz="8" w:space="0" w:color="auto"/>
            </w:tcBorders>
            <w:shd w:val="clear" w:color="000000" w:fill="FFFF00"/>
            <w:noWrap/>
            <w:vAlign w:val="center"/>
            <w:hideMark/>
          </w:tcPr>
          <w:p w14:paraId="069918B1"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r>
      <w:tr w:rsidR="000A3D16" w:rsidRPr="000A3D16" w14:paraId="3174B21F" w14:textId="77777777" w:rsidTr="000A3D16">
        <w:trPr>
          <w:trHeight w:val="288"/>
          <w:jc w:val="center"/>
        </w:trPr>
        <w:tc>
          <w:tcPr>
            <w:tcW w:w="1843" w:type="dxa"/>
            <w:vMerge w:val="restart"/>
            <w:tcBorders>
              <w:top w:val="single" w:sz="8" w:space="0" w:color="auto"/>
              <w:left w:val="single" w:sz="8" w:space="0" w:color="auto"/>
            </w:tcBorders>
            <w:shd w:val="clear" w:color="auto" w:fill="auto"/>
            <w:noWrap/>
            <w:vAlign w:val="center"/>
            <w:hideMark/>
          </w:tcPr>
          <w:p w14:paraId="6664E121"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r w:rsidRPr="000A3D16">
              <w:rPr>
                <w:rFonts w:asciiTheme="minorBidi" w:eastAsia="Times New Roman" w:hAnsiTheme="minorBidi"/>
                <w:b/>
                <w:bCs/>
                <w:color w:val="000000"/>
                <w:sz w:val="20"/>
                <w:szCs w:val="20"/>
                <w:lang w:eastAsia="ro-RO"/>
              </w:rPr>
              <w:t>Baziaș</w:t>
            </w:r>
          </w:p>
        </w:tc>
        <w:tc>
          <w:tcPr>
            <w:tcW w:w="1261" w:type="dxa"/>
            <w:tcBorders>
              <w:top w:val="single" w:sz="8" w:space="0" w:color="auto"/>
            </w:tcBorders>
            <w:shd w:val="clear" w:color="auto" w:fill="auto"/>
            <w:noWrap/>
            <w:vAlign w:val="center"/>
            <w:hideMark/>
          </w:tcPr>
          <w:p w14:paraId="471D98C9"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r w:rsidRPr="000A3D16">
              <w:rPr>
                <w:rFonts w:asciiTheme="minorBidi" w:eastAsia="Times New Roman" w:hAnsiTheme="minorBidi"/>
                <w:color w:val="000000"/>
                <w:sz w:val="20"/>
                <w:szCs w:val="20"/>
                <w:lang w:val="en-US"/>
              </w:rPr>
              <w:t>Q</w:t>
            </w:r>
          </w:p>
        </w:tc>
        <w:tc>
          <w:tcPr>
            <w:tcW w:w="884" w:type="dxa"/>
            <w:tcBorders>
              <w:top w:val="single" w:sz="8" w:space="0" w:color="auto"/>
            </w:tcBorders>
            <w:shd w:val="clear" w:color="auto" w:fill="auto"/>
            <w:noWrap/>
            <w:vAlign w:val="center"/>
          </w:tcPr>
          <w:p w14:paraId="557B4324"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4530</w:t>
            </w:r>
          </w:p>
        </w:tc>
        <w:tc>
          <w:tcPr>
            <w:tcW w:w="939" w:type="dxa"/>
            <w:tcBorders>
              <w:top w:val="single" w:sz="8" w:space="0" w:color="auto"/>
            </w:tcBorders>
            <w:shd w:val="clear" w:color="auto" w:fill="auto"/>
            <w:noWrap/>
            <w:vAlign w:val="center"/>
          </w:tcPr>
          <w:p w14:paraId="74CB9A09"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5072</w:t>
            </w:r>
          </w:p>
        </w:tc>
        <w:tc>
          <w:tcPr>
            <w:tcW w:w="939" w:type="dxa"/>
            <w:tcBorders>
              <w:top w:val="single" w:sz="8" w:space="0" w:color="auto"/>
            </w:tcBorders>
            <w:shd w:val="clear" w:color="auto" w:fill="auto"/>
            <w:noWrap/>
            <w:vAlign w:val="center"/>
          </w:tcPr>
          <w:p w14:paraId="41E142EE"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4813</w:t>
            </w:r>
          </w:p>
        </w:tc>
        <w:tc>
          <w:tcPr>
            <w:tcW w:w="884" w:type="dxa"/>
            <w:tcBorders>
              <w:top w:val="single" w:sz="8" w:space="0" w:color="auto"/>
            </w:tcBorders>
            <w:shd w:val="clear" w:color="auto" w:fill="auto"/>
            <w:noWrap/>
            <w:vAlign w:val="center"/>
          </w:tcPr>
          <w:p w14:paraId="79D18172"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4419</w:t>
            </w:r>
          </w:p>
        </w:tc>
        <w:tc>
          <w:tcPr>
            <w:tcW w:w="884" w:type="dxa"/>
            <w:tcBorders>
              <w:top w:val="single" w:sz="8" w:space="0" w:color="auto"/>
            </w:tcBorders>
            <w:shd w:val="clear" w:color="auto" w:fill="auto"/>
            <w:noWrap/>
            <w:vAlign w:val="center"/>
          </w:tcPr>
          <w:p w14:paraId="755FDC36"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5074</w:t>
            </w:r>
          </w:p>
        </w:tc>
        <w:tc>
          <w:tcPr>
            <w:tcW w:w="884" w:type="dxa"/>
            <w:tcBorders>
              <w:top w:val="single" w:sz="8" w:space="0" w:color="auto"/>
            </w:tcBorders>
            <w:shd w:val="clear" w:color="auto" w:fill="auto"/>
            <w:noWrap/>
            <w:vAlign w:val="center"/>
          </w:tcPr>
          <w:p w14:paraId="798FEFBC"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hAnsiTheme="minorBidi"/>
                <w:color w:val="000000"/>
                <w:sz w:val="20"/>
                <w:szCs w:val="20"/>
              </w:rPr>
              <w:t>4782</w:t>
            </w:r>
          </w:p>
        </w:tc>
        <w:tc>
          <w:tcPr>
            <w:tcW w:w="928" w:type="dxa"/>
            <w:tcBorders>
              <w:top w:val="single" w:sz="8" w:space="0" w:color="auto"/>
            </w:tcBorders>
            <w:shd w:val="clear" w:color="auto" w:fill="auto"/>
            <w:noWrap/>
            <w:vAlign w:val="center"/>
          </w:tcPr>
          <w:p w14:paraId="21ED03B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7430</w:t>
            </w:r>
          </w:p>
        </w:tc>
        <w:tc>
          <w:tcPr>
            <w:tcW w:w="1140" w:type="dxa"/>
            <w:vMerge w:val="restart"/>
            <w:tcBorders>
              <w:top w:val="single" w:sz="8" w:space="0" w:color="auto"/>
              <w:right w:val="single" w:sz="8" w:space="0" w:color="auto"/>
            </w:tcBorders>
            <w:shd w:val="clear" w:color="auto" w:fill="auto"/>
            <w:noWrap/>
            <w:vAlign w:val="center"/>
          </w:tcPr>
          <w:p w14:paraId="1CB39C02"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1,55</w:t>
            </w:r>
          </w:p>
        </w:tc>
      </w:tr>
      <w:tr w:rsidR="000A3D16" w:rsidRPr="000A3D16" w14:paraId="70A48150" w14:textId="77777777" w:rsidTr="000A3D16">
        <w:trPr>
          <w:trHeight w:val="300"/>
          <w:jc w:val="center"/>
        </w:trPr>
        <w:tc>
          <w:tcPr>
            <w:tcW w:w="1843" w:type="dxa"/>
            <w:vMerge/>
            <w:tcBorders>
              <w:left w:val="single" w:sz="8" w:space="0" w:color="auto"/>
            </w:tcBorders>
            <w:shd w:val="clear" w:color="auto" w:fill="auto"/>
            <w:noWrap/>
            <w:vAlign w:val="center"/>
            <w:hideMark/>
          </w:tcPr>
          <w:p w14:paraId="64E22E58"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c>
          <w:tcPr>
            <w:tcW w:w="1261" w:type="dxa"/>
            <w:shd w:val="clear" w:color="auto" w:fill="auto"/>
            <w:noWrap/>
            <w:vAlign w:val="center"/>
            <w:hideMark/>
          </w:tcPr>
          <w:p w14:paraId="5418D310"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r w:rsidRPr="000A3D16">
              <w:rPr>
                <w:rFonts w:asciiTheme="minorBidi" w:eastAsia="Times New Roman" w:hAnsiTheme="minorBidi"/>
                <w:color w:val="000000"/>
                <w:sz w:val="20"/>
                <w:szCs w:val="20"/>
              </w:rPr>
              <w:t>V</w:t>
            </w:r>
          </w:p>
        </w:tc>
        <w:tc>
          <w:tcPr>
            <w:tcW w:w="884" w:type="dxa"/>
            <w:shd w:val="clear" w:color="auto" w:fill="auto"/>
            <w:noWrap/>
            <w:vAlign w:val="center"/>
          </w:tcPr>
          <w:p w14:paraId="5765F8A2"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142858</w:t>
            </w:r>
          </w:p>
        </w:tc>
        <w:tc>
          <w:tcPr>
            <w:tcW w:w="939" w:type="dxa"/>
            <w:shd w:val="clear" w:color="auto" w:fill="auto"/>
            <w:noWrap/>
            <w:vAlign w:val="center"/>
          </w:tcPr>
          <w:p w14:paraId="7E00474C"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159950</w:t>
            </w:r>
          </w:p>
        </w:tc>
        <w:tc>
          <w:tcPr>
            <w:tcW w:w="939" w:type="dxa"/>
            <w:shd w:val="clear" w:color="auto" w:fill="auto"/>
            <w:noWrap/>
            <w:vAlign w:val="center"/>
          </w:tcPr>
          <w:p w14:paraId="6BBC36C0"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151783</w:t>
            </w:r>
          </w:p>
        </w:tc>
        <w:tc>
          <w:tcPr>
            <w:tcW w:w="884" w:type="dxa"/>
            <w:shd w:val="clear" w:color="auto" w:fill="auto"/>
            <w:noWrap/>
            <w:vAlign w:val="center"/>
          </w:tcPr>
          <w:p w14:paraId="2E8D659A"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139738</w:t>
            </w:r>
          </w:p>
        </w:tc>
        <w:tc>
          <w:tcPr>
            <w:tcW w:w="884" w:type="dxa"/>
            <w:shd w:val="clear" w:color="auto" w:fill="auto"/>
            <w:noWrap/>
            <w:vAlign w:val="center"/>
          </w:tcPr>
          <w:p w14:paraId="017F968C"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160015</w:t>
            </w:r>
          </w:p>
        </w:tc>
        <w:tc>
          <w:tcPr>
            <w:tcW w:w="884" w:type="dxa"/>
            <w:shd w:val="clear" w:color="auto" w:fill="auto"/>
            <w:noWrap/>
            <w:vAlign w:val="center"/>
          </w:tcPr>
          <w:p w14:paraId="16BF24EC"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hAnsiTheme="minorBidi"/>
                <w:color w:val="000000"/>
                <w:sz w:val="20"/>
                <w:szCs w:val="20"/>
              </w:rPr>
              <w:t>150869</w:t>
            </w:r>
          </w:p>
        </w:tc>
        <w:tc>
          <w:tcPr>
            <w:tcW w:w="928" w:type="dxa"/>
            <w:shd w:val="clear" w:color="auto" w:fill="auto"/>
            <w:noWrap/>
            <w:vAlign w:val="center"/>
          </w:tcPr>
          <w:p w14:paraId="3DF81DB8"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234312</w:t>
            </w:r>
          </w:p>
        </w:tc>
        <w:tc>
          <w:tcPr>
            <w:tcW w:w="1140" w:type="dxa"/>
            <w:vMerge/>
            <w:tcBorders>
              <w:right w:val="single" w:sz="8" w:space="0" w:color="auto"/>
            </w:tcBorders>
            <w:shd w:val="clear" w:color="auto" w:fill="auto"/>
            <w:noWrap/>
            <w:vAlign w:val="bottom"/>
          </w:tcPr>
          <w:p w14:paraId="7298F2B8"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p>
        </w:tc>
      </w:tr>
      <w:tr w:rsidR="000A3D16" w:rsidRPr="000A3D16" w14:paraId="21045A6D" w14:textId="77777777" w:rsidTr="000A3D16">
        <w:trPr>
          <w:trHeight w:val="300"/>
          <w:jc w:val="center"/>
        </w:trPr>
        <w:tc>
          <w:tcPr>
            <w:tcW w:w="1843" w:type="dxa"/>
            <w:vMerge/>
            <w:tcBorders>
              <w:left w:val="single" w:sz="8" w:space="0" w:color="auto"/>
            </w:tcBorders>
            <w:shd w:val="clear" w:color="auto" w:fill="auto"/>
            <w:noWrap/>
            <w:vAlign w:val="center"/>
            <w:hideMark/>
          </w:tcPr>
          <w:p w14:paraId="7201DFA8"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c>
          <w:tcPr>
            <w:tcW w:w="1261" w:type="dxa"/>
            <w:shd w:val="clear" w:color="auto" w:fill="auto"/>
            <w:noWrap/>
            <w:vAlign w:val="center"/>
            <w:hideMark/>
          </w:tcPr>
          <w:p w14:paraId="4CEE2B2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V 1/2</w:t>
            </w:r>
          </w:p>
        </w:tc>
        <w:tc>
          <w:tcPr>
            <w:tcW w:w="884" w:type="dxa"/>
            <w:shd w:val="clear" w:color="auto" w:fill="auto"/>
            <w:noWrap/>
            <w:vAlign w:val="center"/>
          </w:tcPr>
          <w:p w14:paraId="67F9C856"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71429</w:t>
            </w:r>
          </w:p>
        </w:tc>
        <w:tc>
          <w:tcPr>
            <w:tcW w:w="939" w:type="dxa"/>
            <w:shd w:val="clear" w:color="auto" w:fill="auto"/>
            <w:noWrap/>
            <w:vAlign w:val="center"/>
          </w:tcPr>
          <w:p w14:paraId="74877749"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79975,3</w:t>
            </w:r>
          </w:p>
        </w:tc>
        <w:tc>
          <w:tcPr>
            <w:tcW w:w="939" w:type="dxa"/>
            <w:shd w:val="clear" w:color="auto" w:fill="auto"/>
            <w:noWrap/>
            <w:vAlign w:val="center"/>
          </w:tcPr>
          <w:p w14:paraId="0BF828E1"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75891.5</w:t>
            </w:r>
          </w:p>
        </w:tc>
        <w:tc>
          <w:tcPr>
            <w:tcW w:w="884" w:type="dxa"/>
            <w:shd w:val="clear" w:color="auto" w:fill="auto"/>
            <w:noWrap/>
            <w:vAlign w:val="center"/>
          </w:tcPr>
          <w:p w14:paraId="4A44EEDE"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69869</w:t>
            </w:r>
          </w:p>
        </w:tc>
        <w:tc>
          <w:tcPr>
            <w:tcW w:w="884" w:type="dxa"/>
            <w:shd w:val="clear" w:color="auto" w:fill="auto"/>
            <w:noWrap/>
            <w:vAlign w:val="center"/>
          </w:tcPr>
          <w:p w14:paraId="518C9E27"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80007</w:t>
            </w:r>
          </w:p>
        </w:tc>
        <w:tc>
          <w:tcPr>
            <w:tcW w:w="884" w:type="dxa"/>
            <w:shd w:val="clear" w:color="auto" w:fill="auto"/>
            <w:noWrap/>
            <w:vAlign w:val="center"/>
          </w:tcPr>
          <w:p w14:paraId="1A9C2067"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hAnsiTheme="minorBidi"/>
                <w:color w:val="000000"/>
                <w:sz w:val="20"/>
                <w:szCs w:val="20"/>
              </w:rPr>
              <w:t>74299</w:t>
            </w:r>
          </w:p>
        </w:tc>
        <w:tc>
          <w:tcPr>
            <w:tcW w:w="928" w:type="dxa"/>
            <w:shd w:val="clear" w:color="auto" w:fill="auto"/>
            <w:noWrap/>
            <w:vAlign w:val="center"/>
          </w:tcPr>
          <w:p w14:paraId="7293C7E9"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117156</w:t>
            </w:r>
          </w:p>
        </w:tc>
        <w:tc>
          <w:tcPr>
            <w:tcW w:w="1140" w:type="dxa"/>
            <w:vMerge/>
            <w:tcBorders>
              <w:right w:val="single" w:sz="8" w:space="0" w:color="auto"/>
            </w:tcBorders>
            <w:shd w:val="clear" w:color="auto" w:fill="auto"/>
            <w:noWrap/>
            <w:vAlign w:val="bottom"/>
          </w:tcPr>
          <w:p w14:paraId="2A69343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p>
        </w:tc>
      </w:tr>
      <w:tr w:rsidR="000A3D16" w:rsidRPr="000A3D16" w14:paraId="571907BD" w14:textId="77777777" w:rsidTr="000A3D16">
        <w:trPr>
          <w:trHeight w:val="288"/>
          <w:jc w:val="center"/>
        </w:trPr>
        <w:tc>
          <w:tcPr>
            <w:tcW w:w="1843" w:type="dxa"/>
            <w:vMerge w:val="restart"/>
            <w:tcBorders>
              <w:left w:val="single" w:sz="8" w:space="0" w:color="auto"/>
            </w:tcBorders>
            <w:shd w:val="clear" w:color="auto" w:fill="auto"/>
            <w:noWrap/>
            <w:vAlign w:val="center"/>
            <w:hideMark/>
          </w:tcPr>
          <w:p w14:paraId="3F0DCF87"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r w:rsidRPr="000A3D16">
              <w:rPr>
                <w:rFonts w:asciiTheme="minorBidi" w:eastAsia="Times New Roman" w:hAnsiTheme="minorBidi"/>
                <w:b/>
                <w:bCs/>
                <w:color w:val="000000"/>
                <w:sz w:val="20"/>
                <w:szCs w:val="20"/>
                <w:lang w:eastAsia="ro-RO"/>
              </w:rPr>
              <w:t>Isaccea</w:t>
            </w:r>
          </w:p>
        </w:tc>
        <w:tc>
          <w:tcPr>
            <w:tcW w:w="1261" w:type="dxa"/>
            <w:shd w:val="clear" w:color="auto" w:fill="auto"/>
            <w:noWrap/>
            <w:vAlign w:val="center"/>
            <w:hideMark/>
          </w:tcPr>
          <w:p w14:paraId="0FDF5646"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r w:rsidRPr="000A3D16">
              <w:rPr>
                <w:rFonts w:asciiTheme="minorBidi" w:eastAsia="Times New Roman" w:hAnsiTheme="minorBidi"/>
                <w:color w:val="000000"/>
                <w:sz w:val="20"/>
                <w:szCs w:val="20"/>
                <w:lang w:val="en-US"/>
              </w:rPr>
              <w:t>Q</w:t>
            </w:r>
          </w:p>
        </w:tc>
        <w:tc>
          <w:tcPr>
            <w:tcW w:w="884" w:type="dxa"/>
            <w:shd w:val="clear" w:color="auto" w:fill="auto"/>
            <w:noWrap/>
            <w:vAlign w:val="center"/>
          </w:tcPr>
          <w:p w14:paraId="05FD61F2"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5210</w:t>
            </w:r>
          </w:p>
        </w:tc>
        <w:tc>
          <w:tcPr>
            <w:tcW w:w="939" w:type="dxa"/>
            <w:shd w:val="clear" w:color="auto" w:fill="auto"/>
            <w:noWrap/>
            <w:vAlign w:val="center"/>
          </w:tcPr>
          <w:p w14:paraId="64A3425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6499</w:t>
            </w:r>
          </w:p>
        </w:tc>
        <w:tc>
          <w:tcPr>
            <w:tcW w:w="939" w:type="dxa"/>
            <w:shd w:val="clear" w:color="auto" w:fill="auto"/>
            <w:noWrap/>
            <w:vAlign w:val="center"/>
          </w:tcPr>
          <w:p w14:paraId="663459F1"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5593</w:t>
            </w:r>
          </w:p>
        </w:tc>
        <w:tc>
          <w:tcPr>
            <w:tcW w:w="884" w:type="dxa"/>
            <w:shd w:val="clear" w:color="auto" w:fill="auto"/>
            <w:noWrap/>
            <w:vAlign w:val="center"/>
          </w:tcPr>
          <w:p w14:paraId="016B730F"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4893,5</w:t>
            </w:r>
            <w:r w:rsidRPr="000A3D16">
              <w:rPr>
                <w:rFonts w:asciiTheme="minorBidi" w:eastAsia="Times New Roman" w:hAnsiTheme="minorBidi"/>
                <w:color w:val="000000"/>
                <w:sz w:val="20"/>
                <w:szCs w:val="20"/>
                <w:vertAlign w:val="superscript"/>
              </w:rPr>
              <w:t>*</w:t>
            </w:r>
          </w:p>
        </w:tc>
        <w:tc>
          <w:tcPr>
            <w:tcW w:w="884" w:type="dxa"/>
            <w:shd w:val="clear" w:color="auto" w:fill="auto"/>
            <w:noWrap/>
            <w:vAlign w:val="center"/>
          </w:tcPr>
          <w:p w14:paraId="1229A745"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2820</w:t>
            </w:r>
          </w:p>
        </w:tc>
        <w:tc>
          <w:tcPr>
            <w:tcW w:w="884" w:type="dxa"/>
            <w:shd w:val="clear" w:color="auto" w:fill="auto"/>
            <w:noWrap/>
            <w:vAlign w:val="center"/>
          </w:tcPr>
          <w:p w14:paraId="6302CAF9"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hAnsiTheme="minorBidi"/>
                <w:color w:val="000000"/>
                <w:sz w:val="20"/>
                <w:szCs w:val="20"/>
              </w:rPr>
              <w:t>5031</w:t>
            </w:r>
          </w:p>
        </w:tc>
        <w:tc>
          <w:tcPr>
            <w:tcW w:w="928" w:type="dxa"/>
            <w:shd w:val="clear" w:color="auto" w:fill="auto"/>
            <w:noWrap/>
            <w:vAlign w:val="center"/>
          </w:tcPr>
          <w:p w14:paraId="7D318DAE"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6022</w:t>
            </w:r>
          </w:p>
        </w:tc>
        <w:tc>
          <w:tcPr>
            <w:tcW w:w="1140" w:type="dxa"/>
            <w:vMerge w:val="restart"/>
            <w:tcBorders>
              <w:right w:val="single" w:sz="8" w:space="0" w:color="auto"/>
            </w:tcBorders>
            <w:shd w:val="clear" w:color="auto" w:fill="auto"/>
            <w:noWrap/>
            <w:vAlign w:val="center"/>
          </w:tcPr>
          <w:p w14:paraId="71153ED9"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1,20</w:t>
            </w:r>
          </w:p>
        </w:tc>
      </w:tr>
      <w:tr w:rsidR="000A3D16" w:rsidRPr="000A3D16" w14:paraId="43E47482" w14:textId="77777777" w:rsidTr="000A3D16">
        <w:trPr>
          <w:trHeight w:val="300"/>
          <w:jc w:val="center"/>
        </w:trPr>
        <w:tc>
          <w:tcPr>
            <w:tcW w:w="1843" w:type="dxa"/>
            <w:vMerge/>
            <w:tcBorders>
              <w:left w:val="single" w:sz="8" w:space="0" w:color="auto"/>
            </w:tcBorders>
            <w:shd w:val="clear" w:color="auto" w:fill="auto"/>
            <w:noWrap/>
            <w:vAlign w:val="center"/>
            <w:hideMark/>
          </w:tcPr>
          <w:p w14:paraId="764AAFB4"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c>
          <w:tcPr>
            <w:tcW w:w="1261" w:type="dxa"/>
            <w:shd w:val="clear" w:color="auto" w:fill="auto"/>
            <w:noWrap/>
            <w:vAlign w:val="center"/>
            <w:hideMark/>
          </w:tcPr>
          <w:p w14:paraId="2A4388A0"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r w:rsidRPr="000A3D16">
              <w:rPr>
                <w:rFonts w:asciiTheme="minorBidi" w:eastAsia="Times New Roman" w:hAnsiTheme="minorBidi"/>
                <w:color w:val="000000"/>
                <w:sz w:val="20"/>
                <w:szCs w:val="20"/>
              </w:rPr>
              <w:t>V</w:t>
            </w:r>
          </w:p>
        </w:tc>
        <w:tc>
          <w:tcPr>
            <w:tcW w:w="884" w:type="dxa"/>
            <w:shd w:val="clear" w:color="auto" w:fill="auto"/>
            <w:noWrap/>
            <w:vAlign w:val="center"/>
          </w:tcPr>
          <w:p w14:paraId="7BDD1BE4"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164303</w:t>
            </w:r>
          </w:p>
        </w:tc>
        <w:tc>
          <w:tcPr>
            <w:tcW w:w="939" w:type="dxa"/>
            <w:shd w:val="clear" w:color="auto" w:fill="auto"/>
            <w:noWrap/>
            <w:vAlign w:val="center"/>
          </w:tcPr>
          <w:p w14:paraId="6C83FBC0"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204952</w:t>
            </w:r>
          </w:p>
        </w:tc>
        <w:tc>
          <w:tcPr>
            <w:tcW w:w="939" w:type="dxa"/>
            <w:shd w:val="clear" w:color="auto" w:fill="auto"/>
            <w:noWrap/>
            <w:vAlign w:val="center"/>
          </w:tcPr>
          <w:p w14:paraId="1E5DF3C1"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176381</w:t>
            </w:r>
          </w:p>
        </w:tc>
        <w:tc>
          <w:tcPr>
            <w:tcW w:w="884" w:type="dxa"/>
            <w:shd w:val="clear" w:color="auto" w:fill="auto"/>
            <w:noWrap/>
            <w:vAlign w:val="center"/>
          </w:tcPr>
          <w:p w14:paraId="155D0876"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154742</w:t>
            </w:r>
          </w:p>
        </w:tc>
        <w:tc>
          <w:tcPr>
            <w:tcW w:w="884" w:type="dxa"/>
            <w:shd w:val="clear" w:color="auto" w:fill="auto"/>
            <w:noWrap/>
            <w:vAlign w:val="center"/>
          </w:tcPr>
          <w:p w14:paraId="2D1A461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189910</w:t>
            </w:r>
          </w:p>
        </w:tc>
        <w:tc>
          <w:tcPr>
            <w:tcW w:w="884" w:type="dxa"/>
            <w:shd w:val="clear" w:color="auto" w:fill="auto"/>
            <w:noWrap/>
            <w:vAlign w:val="center"/>
          </w:tcPr>
          <w:p w14:paraId="63FF0B0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hAnsiTheme="minorBidi"/>
                <w:color w:val="000000"/>
                <w:sz w:val="20"/>
                <w:szCs w:val="20"/>
              </w:rPr>
              <w:t>178058</w:t>
            </w:r>
          </w:p>
        </w:tc>
        <w:tc>
          <w:tcPr>
            <w:tcW w:w="928" w:type="dxa"/>
            <w:shd w:val="clear" w:color="auto" w:fill="auto"/>
            <w:noWrap/>
            <w:vAlign w:val="center"/>
          </w:tcPr>
          <w:p w14:paraId="4A565033" w14:textId="77777777" w:rsidR="000A3D16" w:rsidRPr="000A3D16" w:rsidRDefault="000A3D16" w:rsidP="00E30C2C">
            <w:pPr>
              <w:spacing w:after="0" w:line="240" w:lineRule="auto"/>
              <w:jc w:val="center"/>
              <w:rPr>
                <w:rFonts w:asciiTheme="minorBidi" w:eastAsia="Times New Roman" w:hAnsiTheme="minorBidi"/>
                <w:color w:val="000000"/>
                <w:sz w:val="20"/>
                <w:szCs w:val="20"/>
              </w:rPr>
            </w:pPr>
            <w:r w:rsidRPr="000A3D16">
              <w:rPr>
                <w:rFonts w:asciiTheme="minorBidi" w:eastAsia="Times New Roman" w:hAnsiTheme="minorBidi"/>
                <w:color w:val="000000"/>
                <w:sz w:val="20"/>
                <w:szCs w:val="20"/>
              </w:rPr>
              <w:t>189909</w:t>
            </w:r>
          </w:p>
        </w:tc>
        <w:tc>
          <w:tcPr>
            <w:tcW w:w="1140" w:type="dxa"/>
            <w:vMerge/>
            <w:tcBorders>
              <w:right w:val="single" w:sz="8" w:space="0" w:color="auto"/>
            </w:tcBorders>
            <w:shd w:val="clear" w:color="auto" w:fill="auto"/>
            <w:noWrap/>
            <w:vAlign w:val="center"/>
          </w:tcPr>
          <w:p w14:paraId="6C4F93C2" w14:textId="77777777" w:rsidR="000A3D16" w:rsidRPr="000A3D16" w:rsidRDefault="000A3D16" w:rsidP="00E30C2C">
            <w:pPr>
              <w:spacing w:after="0" w:line="240" w:lineRule="auto"/>
              <w:jc w:val="center"/>
              <w:rPr>
                <w:rFonts w:asciiTheme="minorBidi" w:eastAsia="Times New Roman" w:hAnsiTheme="minorBidi"/>
                <w:color w:val="000000"/>
                <w:sz w:val="20"/>
                <w:szCs w:val="20"/>
                <w:lang w:val="en-US"/>
              </w:rPr>
            </w:pPr>
          </w:p>
        </w:tc>
      </w:tr>
    </w:tbl>
    <w:bookmarkEnd w:id="1"/>
    <w:p w14:paraId="2B05AA3B" w14:textId="77777777" w:rsidR="000A3D16" w:rsidRPr="00804B8B" w:rsidRDefault="000A3D16" w:rsidP="000A3D16">
      <w:pPr>
        <w:spacing w:after="0" w:line="240" w:lineRule="auto"/>
        <w:rPr>
          <w:rFonts w:ascii="Arial" w:hAnsi="Arial" w:cs="Arial"/>
          <w:i/>
          <w:iCs/>
          <w:sz w:val="16"/>
          <w:szCs w:val="16"/>
        </w:rPr>
      </w:pPr>
      <w:r w:rsidRPr="00804B8B">
        <w:rPr>
          <w:rFonts w:ascii="Arial" w:hAnsi="Arial" w:cs="Arial"/>
          <w:i/>
          <w:iCs/>
          <w:sz w:val="16"/>
          <w:szCs w:val="16"/>
        </w:rPr>
        <w:t>Notă:    Q - Debit Q (m</w:t>
      </w:r>
      <w:r w:rsidRPr="00804B8B">
        <w:rPr>
          <w:rFonts w:ascii="Arial" w:hAnsi="Arial" w:cs="Arial"/>
          <w:i/>
          <w:iCs/>
          <w:sz w:val="16"/>
          <w:szCs w:val="16"/>
          <w:vertAlign w:val="superscript"/>
        </w:rPr>
        <w:t>3</w:t>
      </w:r>
      <w:r w:rsidRPr="00804B8B">
        <w:rPr>
          <w:rFonts w:ascii="Arial" w:hAnsi="Arial" w:cs="Arial"/>
          <w:i/>
          <w:iCs/>
          <w:sz w:val="16"/>
          <w:szCs w:val="16"/>
        </w:rPr>
        <w:t>/s), V - volum total (10</w:t>
      </w:r>
      <w:r w:rsidRPr="00804B8B">
        <w:rPr>
          <w:rFonts w:ascii="Arial" w:hAnsi="Arial" w:cs="Arial"/>
          <w:i/>
          <w:iCs/>
          <w:sz w:val="16"/>
          <w:szCs w:val="16"/>
          <w:vertAlign w:val="superscript"/>
        </w:rPr>
        <w:t>6</w:t>
      </w:r>
      <w:r w:rsidRPr="00804B8B">
        <w:rPr>
          <w:rFonts w:ascii="Arial" w:hAnsi="Arial" w:cs="Arial"/>
          <w:i/>
          <w:iCs/>
          <w:sz w:val="16"/>
          <w:szCs w:val="16"/>
        </w:rPr>
        <w:t>m</w:t>
      </w:r>
      <w:r w:rsidRPr="00804B8B">
        <w:rPr>
          <w:rFonts w:ascii="Arial" w:hAnsi="Arial" w:cs="Arial"/>
          <w:i/>
          <w:iCs/>
          <w:sz w:val="16"/>
          <w:szCs w:val="16"/>
          <w:vertAlign w:val="superscript"/>
        </w:rPr>
        <w:t>3</w:t>
      </w:r>
      <w:r w:rsidRPr="00804B8B">
        <w:rPr>
          <w:rFonts w:ascii="Arial" w:hAnsi="Arial" w:cs="Arial"/>
          <w:i/>
          <w:iCs/>
          <w:sz w:val="16"/>
          <w:szCs w:val="16"/>
        </w:rPr>
        <w:t>), V 1/2 - valorile reprezintă 50% din volumele scurse pe Dunăre la intrarea în țară, aferente României, cealaltă jumătate revenind Republicii Serbia</w:t>
      </w:r>
    </w:p>
    <w:p w14:paraId="6801E432" w14:textId="77777777" w:rsidR="000A3D16" w:rsidRPr="001B4473" w:rsidRDefault="000A3D16" w:rsidP="002975E5">
      <w:pPr>
        <w:spacing w:after="0" w:line="240" w:lineRule="auto"/>
        <w:jc w:val="center"/>
        <w:rPr>
          <w:rFonts w:asciiTheme="minorBidi" w:eastAsia="Times New Roman" w:hAnsiTheme="minorBidi"/>
          <w:i/>
          <w:color w:val="FF0000"/>
          <w:sz w:val="24"/>
          <w:szCs w:val="24"/>
          <w:lang w:eastAsia="ro-RO"/>
        </w:rPr>
      </w:pPr>
    </w:p>
    <w:p w14:paraId="712D7B80"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Față de volumul total al resursei oferite de râurile interioare (</w:t>
      </w:r>
      <w:r>
        <w:rPr>
          <w:rFonts w:ascii="Arial" w:hAnsi="Arial" w:cs="Arial"/>
        </w:rPr>
        <w:t>28967</w:t>
      </w:r>
      <w:r w:rsidRPr="00804B8B">
        <w:rPr>
          <w:rFonts w:ascii="Arial" w:hAnsi="Arial" w:cs="Arial"/>
        </w:rPr>
        <w:t>*10</w:t>
      </w:r>
      <w:r w:rsidRPr="00804B8B">
        <w:rPr>
          <w:rFonts w:ascii="Arial" w:hAnsi="Arial" w:cs="Arial"/>
          <w:vertAlign w:val="superscript"/>
        </w:rPr>
        <w:t>6</w:t>
      </w:r>
      <w:r w:rsidRPr="00804B8B">
        <w:rPr>
          <w:rFonts w:ascii="Arial" w:hAnsi="Arial" w:cs="Arial"/>
        </w:rPr>
        <w:t>m</w:t>
      </w:r>
      <w:r w:rsidRPr="00804B8B">
        <w:rPr>
          <w:rFonts w:ascii="Arial" w:hAnsi="Arial" w:cs="Arial"/>
          <w:vertAlign w:val="superscript"/>
        </w:rPr>
        <w:t>3</w:t>
      </w:r>
      <w:r w:rsidRPr="00804B8B">
        <w:rPr>
          <w:rFonts w:ascii="Arial" w:hAnsi="Arial" w:cs="Arial"/>
        </w:rPr>
        <w:t>), la ieșirea din țară (s.h. Isaccea), Dunărea a avut un volum scurs de circa</w:t>
      </w:r>
      <w:r>
        <w:rPr>
          <w:rFonts w:ascii="Arial" w:hAnsi="Arial" w:cs="Arial"/>
        </w:rPr>
        <w:t xml:space="preserve"> 7</w:t>
      </w:r>
      <w:r w:rsidRPr="00804B8B">
        <w:rPr>
          <w:rFonts w:ascii="Arial" w:hAnsi="Arial" w:cs="Arial"/>
        </w:rPr>
        <w:t xml:space="preserve"> ori mai mare (</w:t>
      </w:r>
      <w:r>
        <w:rPr>
          <w:rFonts w:ascii="Arial" w:hAnsi="Arial" w:cs="Arial"/>
        </w:rPr>
        <w:t>189909</w:t>
      </w:r>
      <w:r w:rsidRPr="00804B8B">
        <w:rPr>
          <w:rFonts w:ascii="Arial" w:hAnsi="Arial" w:cs="Arial"/>
        </w:rPr>
        <w:t>*10</w:t>
      </w:r>
      <w:r w:rsidRPr="00804B8B">
        <w:rPr>
          <w:rFonts w:ascii="Arial" w:hAnsi="Arial" w:cs="Arial"/>
          <w:vertAlign w:val="superscript"/>
        </w:rPr>
        <w:t xml:space="preserve">6 </w:t>
      </w:r>
      <w:r w:rsidRPr="00804B8B">
        <w:rPr>
          <w:rFonts w:ascii="Arial" w:hAnsi="Arial" w:cs="Arial"/>
        </w:rPr>
        <w:t>m</w:t>
      </w:r>
      <w:r w:rsidRPr="00804B8B">
        <w:rPr>
          <w:rFonts w:ascii="Arial" w:hAnsi="Arial" w:cs="Arial"/>
          <w:vertAlign w:val="superscript"/>
        </w:rPr>
        <w:t>3</w:t>
      </w:r>
      <w:r w:rsidRPr="00804B8B">
        <w:rPr>
          <w:rFonts w:ascii="Arial" w:hAnsi="Arial" w:cs="Arial"/>
        </w:rPr>
        <w:t>).</w:t>
      </w:r>
    </w:p>
    <w:p w14:paraId="78E7D6CE"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Resursa considerabilă pe care o reprezintă fluviul Dunărea este însă puțin accesibilă din cauza poluării apelor fluviului și a excentricității poziției sale față de utilizatorii potențiali din România.</w:t>
      </w:r>
    </w:p>
    <w:p w14:paraId="7128A008"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t>Resursa medie la nivelul României este de circa 0,1</w:t>
      </w:r>
      <w:r>
        <w:rPr>
          <w:rFonts w:ascii="Arial" w:hAnsi="Arial" w:cs="Arial"/>
        </w:rPr>
        <w:t>22</w:t>
      </w:r>
      <w:r w:rsidRPr="00804B8B">
        <w:rPr>
          <w:rFonts w:ascii="Arial" w:hAnsi="Arial" w:cs="Arial"/>
        </w:rPr>
        <w:t xml:space="preserve"> mil. m</w:t>
      </w:r>
      <w:r w:rsidRPr="00804B8B">
        <w:rPr>
          <w:rFonts w:ascii="Arial" w:hAnsi="Arial" w:cs="Arial"/>
          <w:vertAlign w:val="superscript"/>
        </w:rPr>
        <w:t>3</w:t>
      </w:r>
      <w:r w:rsidRPr="00804B8B">
        <w:rPr>
          <w:rFonts w:ascii="Arial" w:hAnsi="Arial" w:cs="Arial"/>
        </w:rPr>
        <w:t>/km</w:t>
      </w:r>
      <w:r w:rsidRPr="00804B8B">
        <w:rPr>
          <w:rFonts w:ascii="Arial" w:hAnsi="Arial" w:cs="Arial"/>
          <w:vertAlign w:val="superscript"/>
        </w:rPr>
        <w:t>2</w:t>
      </w:r>
      <w:r w:rsidRPr="00804B8B">
        <w:rPr>
          <w:rFonts w:ascii="Arial" w:hAnsi="Arial" w:cs="Arial"/>
        </w:rPr>
        <w:t>. În anul 202</w:t>
      </w:r>
      <w:r>
        <w:rPr>
          <w:rFonts w:ascii="Arial" w:hAnsi="Arial" w:cs="Arial"/>
        </w:rPr>
        <w:t>2</w:t>
      </w:r>
      <w:r w:rsidRPr="00804B8B">
        <w:rPr>
          <w:rFonts w:ascii="Arial" w:hAnsi="Arial" w:cs="Arial"/>
        </w:rPr>
        <w:t xml:space="preserve"> cea mai bogată resursă de apă reven</w:t>
      </w:r>
      <w:r>
        <w:rPr>
          <w:rFonts w:ascii="Arial" w:hAnsi="Arial" w:cs="Arial"/>
        </w:rPr>
        <w:t xml:space="preserve">e doar </w:t>
      </w:r>
      <w:r w:rsidRPr="00804B8B">
        <w:rPr>
          <w:rFonts w:ascii="Arial" w:hAnsi="Arial" w:cs="Arial"/>
        </w:rPr>
        <w:t>bazin</w:t>
      </w:r>
      <w:r>
        <w:rPr>
          <w:rFonts w:ascii="Arial" w:hAnsi="Arial" w:cs="Arial"/>
        </w:rPr>
        <w:t>ului hidrografic al râului Someș în timp ce restul țării este</w:t>
      </w:r>
      <w:r w:rsidRPr="00804B8B">
        <w:rPr>
          <w:rFonts w:ascii="Arial" w:hAnsi="Arial" w:cs="Arial"/>
        </w:rPr>
        <w:t xml:space="preserve"> deficitar din acest punct de vedere.</w:t>
      </w:r>
    </w:p>
    <w:p w14:paraId="3E905535" w14:textId="77777777" w:rsidR="000A3D16" w:rsidRPr="00804B8B" w:rsidRDefault="000A3D16" w:rsidP="000A3D16">
      <w:pPr>
        <w:spacing w:after="0" w:line="240" w:lineRule="auto"/>
        <w:ind w:firstLine="720"/>
        <w:jc w:val="both"/>
        <w:rPr>
          <w:rFonts w:ascii="Arial" w:hAnsi="Arial" w:cs="Arial"/>
        </w:rPr>
      </w:pPr>
      <w:r w:rsidRPr="00804B8B">
        <w:rPr>
          <w:rFonts w:ascii="Arial" w:hAnsi="Arial" w:cs="Arial"/>
        </w:rPr>
        <w:lastRenderedPageBreak/>
        <w:t>De asemenea, România a avut la nivelul anului 202</w:t>
      </w:r>
      <w:r>
        <w:rPr>
          <w:rFonts w:ascii="Arial" w:hAnsi="Arial" w:cs="Arial"/>
        </w:rPr>
        <w:t>2</w:t>
      </w:r>
      <w:r w:rsidRPr="00804B8B">
        <w:rPr>
          <w:rFonts w:ascii="Arial" w:hAnsi="Arial" w:cs="Arial"/>
        </w:rPr>
        <w:t xml:space="preserve"> o resursă specifică din râurile interioare de 1</w:t>
      </w:r>
      <w:r>
        <w:rPr>
          <w:rFonts w:ascii="Arial" w:hAnsi="Arial" w:cs="Arial"/>
        </w:rPr>
        <w:t>524</w:t>
      </w:r>
      <w:r w:rsidRPr="00804B8B">
        <w:rPr>
          <w:rFonts w:ascii="Arial" w:hAnsi="Arial" w:cs="Arial"/>
        </w:rPr>
        <w:t>m</w:t>
      </w:r>
      <w:r w:rsidRPr="00804B8B">
        <w:rPr>
          <w:rFonts w:ascii="Arial" w:hAnsi="Arial" w:cs="Arial"/>
          <w:vertAlign w:val="superscript"/>
        </w:rPr>
        <w:t>3</w:t>
      </w:r>
      <w:r w:rsidRPr="00804B8B">
        <w:rPr>
          <w:rFonts w:ascii="Arial" w:hAnsi="Arial" w:cs="Arial"/>
        </w:rPr>
        <w:t xml:space="preserve">/loc./an raportat la 19003002mil loc (populația României în anul 2021 conform </w:t>
      </w:r>
      <w:hyperlink r:id="rId10" w:history="1">
        <w:r w:rsidRPr="00804B8B">
          <w:rPr>
            <w:rStyle w:val="Hyperlink"/>
            <w:rFonts w:ascii="Arial" w:hAnsi="Arial" w:cs="Arial"/>
          </w:rPr>
          <w:t>https://www.worldometers.info/world-population/romania-population/</w:t>
        </w:r>
      </w:hyperlink>
      <w:r w:rsidRPr="00804B8B">
        <w:rPr>
          <w:rFonts w:ascii="Arial" w:hAnsi="Arial" w:cs="Arial"/>
        </w:rPr>
        <w:t>).</w:t>
      </w:r>
    </w:p>
    <w:p w14:paraId="4221A74C" w14:textId="77777777" w:rsidR="000A3D16" w:rsidRPr="00804B8B" w:rsidRDefault="000A3D16" w:rsidP="000A3D16">
      <w:pPr>
        <w:tabs>
          <w:tab w:val="left" w:pos="1701"/>
          <w:tab w:val="left" w:pos="2535"/>
        </w:tabs>
        <w:spacing w:after="0" w:line="240" w:lineRule="auto"/>
        <w:ind w:firstLine="709"/>
        <w:rPr>
          <w:rFonts w:ascii="Arial" w:hAnsi="Arial" w:cs="Arial"/>
        </w:rPr>
      </w:pPr>
      <w:r w:rsidRPr="00804B8B">
        <w:rPr>
          <w:rFonts w:ascii="Arial" w:hAnsi="Arial" w:cs="Arial"/>
          <w:lang w:val="en-US"/>
        </w:rPr>
        <w:t>Extinz</w:t>
      </w:r>
      <w:r w:rsidRPr="00804B8B">
        <w:rPr>
          <w:rFonts w:ascii="Arial" w:hAnsi="Arial" w:cs="Arial"/>
        </w:rPr>
        <w:t>ând analiza, a fost calculată, resursa specifică pe fiecare bazin hidrografic analizat. Astfel, prin tehnici GIS, a fost determinată populația corespunzătoare fiecărui bazin hidrografic pe baza shp-ului ”Localitățile”, câmpul ”Populația” realizat pe baza datelor obținute în urma Recensământului Populației și al Locuinței din anul 2011 (</w:t>
      </w:r>
      <w:hyperlink r:id="rId11" w:history="1">
        <w:r w:rsidRPr="00804B8B">
          <w:rPr>
            <w:rStyle w:val="Hyperlink"/>
            <w:rFonts w:ascii="Arial" w:hAnsi="Arial" w:cs="Arial"/>
          </w:rPr>
          <w:t>http://www.recensamantromania.ro/</w:t>
        </w:r>
      </w:hyperlink>
      <w:r w:rsidRPr="00804B8B">
        <w:rPr>
          <w:rFonts w:ascii="Arial" w:hAnsi="Arial" w:cs="Arial"/>
        </w:rPr>
        <w:t xml:space="preserve">). </w:t>
      </w:r>
    </w:p>
    <w:p w14:paraId="1AE657D4" w14:textId="577A58E4" w:rsidR="004E7921" w:rsidRPr="000A3D16" w:rsidRDefault="004E7921" w:rsidP="004E7921">
      <w:pPr>
        <w:tabs>
          <w:tab w:val="left" w:pos="1701"/>
          <w:tab w:val="left" w:pos="2535"/>
        </w:tabs>
        <w:spacing w:after="0" w:line="240" w:lineRule="auto"/>
        <w:ind w:firstLine="709"/>
        <w:rPr>
          <w:rFonts w:asciiTheme="minorBidi" w:hAnsiTheme="minorBidi"/>
          <w:sz w:val="24"/>
          <w:szCs w:val="24"/>
        </w:rPr>
      </w:pPr>
      <w:r w:rsidRPr="000A3D16">
        <w:rPr>
          <w:rFonts w:asciiTheme="minorBidi" w:hAnsiTheme="minorBidi"/>
          <w:sz w:val="24"/>
          <w:szCs w:val="24"/>
        </w:rPr>
        <w:t>Datele obținute sunt prezentate în tabelul nr. II.1.3.</w:t>
      </w:r>
    </w:p>
    <w:p w14:paraId="72DB8236" w14:textId="4029AB1D" w:rsidR="004E7921" w:rsidRPr="001B4473" w:rsidRDefault="004E7921" w:rsidP="004E7921">
      <w:pPr>
        <w:tabs>
          <w:tab w:val="left" w:pos="1701"/>
          <w:tab w:val="left" w:pos="2535"/>
        </w:tabs>
        <w:spacing w:after="0" w:line="240" w:lineRule="auto"/>
        <w:ind w:firstLine="709"/>
        <w:rPr>
          <w:rFonts w:asciiTheme="minorBidi" w:hAnsiTheme="minorBidi"/>
          <w:color w:val="FF0000"/>
          <w:sz w:val="24"/>
          <w:szCs w:val="24"/>
        </w:rPr>
      </w:pPr>
    </w:p>
    <w:p w14:paraId="6A1F4E85" w14:textId="1B246CF1" w:rsidR="004E7921" w:rsidRPr="00E34804" w:rsidRDefault="004E7921" w:rsidP="004E7921">
      <w:pPr>
        <w:tabs>
          <w:tab w:val="left" w:pos="1701"/>
          <w:tab w:val="left" w:pos="2535"/>
        </w:tabs>
        <w:spacing w:after="0" w:line="240" w:lineRule="auto"/>
        <w:jc w:val="center"/>
        <w:rPr>
          <w:rFonts w:asciiTheme="minorBidi" w:hAnsiTheme="minorBidi"/>
          <w:i/>
          <w:iCs/>
          <w:sz w:val="24"/>
          <w:szCs w:val="24"/>
        </w:rPr>
      </w:pPr>
      <w:r w:rsidRPr="00E34804">
        <w:rPr>
          <w:rFonts w:asciiTheme="minorBidi" w:hAnsiTheme="minorBidi"/>
          <w:i/>
          <w:iCs/>
          <w:sz w:val="24"/>
          <w:szCs w:val="24"/>
        </w:rPr>
        <w:t>Tabelul nr. II.1.3. Resursa specifică calculată pe bazine hidografice pe baza datelor din Recensământul Populației și Locuinței din anul 2011</w:t>
      </w:r>
    </w:p>
    <w:tbl>
      <w:tblPr>
        <w:tblW w:w="9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2"/>
        <w:gridCol w:w="951"/>
        <w:gridCol w:w="1706"/>
        <w:gridCol w:w="2336"/>
        <w:gridCol w:w="2298"/>
      </w:tblGrid>
      <w:tr w:rsidR="00E34804" w:rsidRPr="00E34804" w14:paraId="5B9AB6D6" w14:textId="77777777" w:rsidTr="00E34804">
        <w:tc>
          <w:tcPr>
            <w:tcW w:w="2572" w:type="dxa"/>
            <w:shd w:val="clear" w:color="auto" w:fill="auto"/>
            <w:vAlign w:val="center"/>
          </w:tcPr>
          <w:p w14:paraId="6BF18DF9" w14:textId="77777777" w:rsidR="00E34804" w:rsidRPr="00E34804" w:rsidRDefault="00E34804" w:rsidP="00E30C2C">
            <w:pPr>
              <w:tabs>
                <w:tab w:val="left" w:pos="1701"/>
                <w:tab w:val="left" w:pos="2535"/>
              </w:tabs>
              <w:spacing w:after="0" w:line="240" w:lineRule="auto"/>
              <w:jc w:val="center"/>
              <w:rPr>
                <w:rFonts w:asciiTheme="minorBidi" w:hAnsiTheme="minorBidi"/>
                <w:b/>
                <w:bCs/>
                <w:sz w:val="20"/>
                <w:szCs w:val="20"/>
                <w:lang w:val="en-US"/>
              </w:rPr>
            </w:pPr>
            <w:r w:rsidRPr="00E34804">
              <w:rPr>
                <w:rFonts w:asciiTheme="minorBidi" w:eastAsia="Times New Roman" w:hAnsiTheme="minorBidi"/>
                <w:b/>
                <w:bCs/>
                <w:color w:val="000000"/>
                <w:sz w:val="20"/>
                <w:szCs w:val="20"/>
              </w:rPr>
              <w:t>Bazinul hidrografic</w:t>
            </w:r>
          </w:p>
        </w:tc>
        <w:tc>
          <w:tcPr>
            <w:tcW w:w="951" w:type="dxa"/>
            <w:shd w:val="clear" w:color="auto" w:fill="auto"/>
            <w:vAlign w:val="center"/>
          </w:tcPr>
          <w:p w14:paraId="2CE08C0F" w14:textId="77777777" w:rsidR="00E34804" w:rsidRPr="00E34804" w:rsidRDefault="00E34804" w:rsidP="00E30C2C">
            <w:pPr>
              <w:tabs>
                <w:tab w:val="left" w:pos="1701"/>
                <w:tab w:val="left" w:pos="2535"/>
              </w:tabs>
              <w:spacing w:after="0" w:line="240" w:lineRule="auto"/>
              <w:jc w:val="center"/>
              <w:rPr>
                <w:rFonts w:asciiTheme="minorBidi" w:hAnsiTheme="minorBidi"/>
                <w:b/>
                <w:bCs/>
                <w:sz w:val="20"/>
                <w:szCs w:val="20"/>
                <w:lang w:val="en-US"/>
              </w:rPr>
            </w:pPr>
            <w:r w:rsidRPr="00E34804">
              <w:rPr>
                <w:rFonts w:asciiTheme="minorBidi" w:eastAsia="Times New Roman" w:hAnsiTheme="minorBidi"/>
                <w:b/>
                <w:bCs/>
                <w:color w:val="000000"/>
                <w:sz w:val="20"/>
                <w:szCs w:val="20"/>
              </w:rPr>
              <w:t>F (km</w:t>
            </w:r>
            <w:r w:rsidRPr="00E34804">
              <w:rPr>
                <w:rFonts w:asciiTheme="minorBidi" w:eastAsia="Times New Roman" w:hAnsiTheme="minorBidi"/>
                <w:b/>
                <w:bCs/>
                <w:color w:val="000000"/>
                <w:sz w:val="20"/>
                <w:szCs w:val="20"/>
                <w:vertAlign w:val="superscript"/>
              </w:rPr>
              <w:t>2</w:t>
            </w:r>
            <w:r w:rsidRPr="00E34804">
              <w:rPr>
                <w:rFonts w:asciiTheme="minorBidi" w:eastAsia="Times New Roman" w:hAnsiTheme="minorBidi"/>
                <w:b/>
                <w:bCs/>
                <w:color w:val="000000"/>
                <w:sz w:val="20"/>
                <w:szCs w:val="20"/>
              </w:rPr>
              <w:t>)</w:t>
            </w:r>
          </w:p>
        </w:tc>
        <w:tc>
          <w:tcPr>
            <w:tcW w:w="1706" w:type="dxa"/>
            <w:shd w:val="clear" w:color="auto" w:fill="auto"/>
            <w:vAlign w:val="center"/>
          </w:tcPr>
          <w:p w14:paraId="3D69E601" w14:textId="77777777" w:rsidR="00E34804" w:rsidRPr="00E34804" w:rsidRDefault="00E34804" w:rsidP="00E30C2C">
            <w:pPr>
              <w:tabs>
                <w:tab w:val="left" w:pos="1701"/>
                <w:tab w:val="left" w:pos="2535"/>
              </w:tabs>
              <w:spacing w:after="0" w:line="240" w:lineRule="auto"/>
              <w:jc w:val="center"/>
              <w:rPr>
                <w:rFonts w:asciiTheme="minorBidi" w:hAnsiTheme="minorBidi"/>
                <w:b/>
                <w:bCs/>
                <w:sz w:val="20"/>
                <w:szCs w:val="20"/>
                <w:lang w:val="en-US"/>
              </w:rPr>
            </w:pPr>
            <w:r w:rsidRPr="00E34804">
              <w:rPr>
                <w:rFonts w:asciiTheme="minorBidi" w:hAnsiTheme="minorBidi"/>
                <w:b/>
                <w:bCs/>
                <w:sz w:val="20"/>
                <w:szCs w:val="20"/>
                <w:lang w:val="en-US"/>
              </w:rPr>
              <w:t>Volum med anual</w:t>
            </w:r>
          </w:p>
          <w:p w14:paraId="22A983F0" w14:textId="77777777" w:rsidR="00E34804" w:rsidRPr="00E34804" w:rsidRDefault="00E34804" w:rsidP="00E30C2C">
            <w:pPr>
              <w:tabs>
                <w:tab w:val="left" w:pos="1701"/>
                <w:tab w:val="left" w:pos="2535"/>
              </w:tabs>
              <w:spacing w:after="0" w:line="240" w:lineRule="auto"/>
              <w:jc w:val="center"/>
              <w:rPr>
                <w:rFonts w:asciiTheme="minorBidi" w:hAnsiTheme="minorBidi"/>
                <w:b/>
                <w:bCs/>
                <w:sz w:val="20"/>
                <w:szCs w:val="20"/>
                <w:lang w:val="en-US"/>
              </w:rPr>
            </w:pPr>
            <w:r w:rsidRPr="00E34804">
              <w:rPr>
                <w:rFonts w:asciiTheme="minorBidi" w:hAnsiTheme="minorBidi"/>
                <w:b/>
                <w:bCs/>
                <w:sz w:val="20"/>
                <w:szCs w:val="20"/>
                <w:lang w:val="en-US"/>
              </w:rPr>
              <w:t>(mil.m</w:t>
            </w:r>
            <w:r w:rsidRPr="00E34804">
              <w:rPr>
                <w:rFonts w:asciiTheme="minorBidi" w:hAnsiTheme="minorBidi"/>
                <w:b/>
                <w:bCs/>
                <w:sz w:val="20"/>
                <w:szCs w:val="20"/>
                <w:vertAlign w:val="superscript"/>
                <w:lang w:val="en-US"/>
              </w:rPr>
              <w:t>3</w:t>
            </w:r>
            <w:r w:rsidRPr="00E34804">
              <w:rPr>
                <w:rFonts w:asciiTheme="minorBidi" w:hAnsiTheme="minorBidi"/>
                <w:b/>
                <w:bCs/>
                <w:sz w:val="20"/>
                <w:szCs w:val="20"/>
                <w:lang w:val="en-US"/>
              </w:rPr>
              <w:t>)</w:t>
            </w:r>
          </w:p>
        </w:tc>
        <w:tc>
          <w:tcPr>
            <w:tcW w:w="2336" w:type="dxa"/>
            <w:shd w:val="clear" w:color="auto" w:fill="auto"/>
            <w:vAlign w:val="center"/>
          </w:tcPr>
          <w:p w14:paraId="5C376447" w14:textId="77777777" w:rsidR="00E34804" w:rsidRPr="00E34804" w:rsidRDefault="00E34804" w:rsidP="00E30C2C">
            <w:pPr>
              <w:tabs>
                <w:tab w:val="left" w:pos="1701"/>
                <w:tab w:val="left" w:pos="2535"/>
              </w:tabs>
              <w:spacing w:after="0" w:line="240" w:lineRule="auto"/>
              <w:jc w:val="center"/>
              <w:rPr>
                <w:rFonts w:asciiTheme="minorBidi" w:hAnsiTheme="minorBidi"/>
                <w:b/>
                <w:bCs/>
                <w:sz w:val="20"/>
                <w:szCs w:val="20"/>
                <w:lang w:val="en-US"/>
              </w:rPr>
            </w:pPr>
            <w:r w:rsidRPr="00E34804">
              <w:rPr>
                <w:rFonts w:asciiTheme="minorBidi" w:hAnsiTheme="minorBidi"/>
                <w:b/>
                <w:bCs/>
                <w:sz w:val="20"/>
                <w:szCs w:val="20"/>
                <w:lang w:val="en-US"/>
              </w:rPr>
              <w:t>Nr. locuitori (2011)</w:t>
            </w:r>
          </w:p>
        </w:tc>
        <w:tc>
          <w:tcPr>
            <w:tcW w:w="2298" w:type="dxa"/>
            <w:shd w:val="clear" w:color="auto" w:fill="auto"/>
            <w:vAlign w:val="center"/>
          </w:tcPr>
          <w:p w14:paraId="540EECAE" w14:textId="77777777" w:rsidR="00E34804" w:rsidRPr="00E34804" w:rsidRDefault="00E34804" w:rsidP="00E30C2C">
            <w:pPr>
              <w:tabs>
                <w:tab w:val="left" w:pos="1701"/>
                <w:tab w:val="left" w:pos="2535"/>
              </w:tabs>
              <w:spacing w:after="0" w:line="240" w:lineRule="auto"/>
              <w:jc w:val="center"/>
              <w:rPr>
                <w:rFonts w:asciiTheme="minorBidi" w:hAnsiTheme="minorBidi"/>
                <w:b/>
                <w:bCs/>
                <w:sz w:val="20"/>
                <w:szCs w:val="20"/>
                <w:lang w:val="en-US"/>
              </w:rPr>
            </w:pPr>
            <w:r w:rsidRPr="00E34804">
              <w:rPr>
                <w:rFonts w:asciiTheme="minorBidi" w:hAnsiTheme="minorBidi"/>
                <w:b/>
                <w:bCs/>
                <w:sz w:val="20"/>
                <w:szCs w:val="20"/>
                <w:lang w:val="en-US"/>
              </w:rPr>
              <w:t>Resursa specifică teoretică (</w:t>
            </w:r>
            <w:r w:rsidRPr="00E34804">
              <w:rPr>
                <w:rFonts w:asciiTheme="minorBidi" w:hAnsiTheme="minorBidi"/>
                <w:b/>
                <w:bCs/>
                <w:sz w:val="20"/>
                <w:szCs w:val="20"/>
              </w:rPr>
              <w:t>m</w:t>
            </w:r>
            <w:r w:rsidRPr="00E34804">
              <w:rPr>
                <w:rFonts w:asciiTheme="minorBidi" w:hAnsiTheme="minorBidi"/>
                <w:b/>
                <w:bCs/>
                <w:sz w:val="20"/>
                <w:szCs w:val="20"/>
                <w:vertAlign w:val="superscript"/>
              </w:rPr>
              <w:t>3</w:t>
            </w:r>
            <w:r w:rsidRPr="00E34804">
              <w:rPr>
                <w:rFonts w:asciiTheme="minorBidi" w:hAnsiTheme="minorBidi"/>
                <w:b/>
                <w:bCs/>
                <w:sz w:val="20"/>
                <w:szCs w:val="20"/>
              </w:rPr>
              <w:t>/loc./an)</w:t>
            </w:r>
          </w:p>
        </w:tc>
      </w:tr>
      <w:tr w:rsidR="00E34804" w:rsidRPr="00E34804" w14:paraId="6DF336EF" w14:textId="77777777" w:rsidTr="00E34804">
        <w:tc>
          <w:tcPr>
            <w:tcW w:w="2572" w:type="dxa"/>
            <w:shd w:val="clear" w:color="auto" w:fill="auto"/>
            <w:vAlign w:val="center"/>
          </w:tcPr>
          <w:p w14:paraId="59651199"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TISA</w:t>
            </w:r>
          </w:p>
        </w:tc>
        <w:tc>
          <w:tcPr>
            <w:tcW w:w="951" w:type="dxa"/>
            <w:shd w:val="clear" w:color="auto" w:fill="auto"/>
            <w:vAlign w:val="center"/>
          </w:tcPr>
          <w:p w14:paraId="1560FCF7"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4540</w:t>
            </w:r>
          </w:p>
        </w:tc>
        <w:tc>
          <w:tcPr>
            <w:tcW w:w="1706" w:type="dxa"/>
            <w:shd w:val="clear" w:color="auto" w:fill="auto"/>
            <w:vAlign w:val="center"/>
          </w:tcPr>
          <w:p w14:paraId="44D5562A"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2083</w:t>
            </w:r>
          </w:p>
        </w:tc>
        <w:tc>
          <w:tcPr>
            <w:tcW w:w="2336" w:type="dxa"/>
            <w:shd w:val="clear" w:color="auto" w:fill="auto"/>
            <w:vAlign w:val="center"/>
          </w:tcPr>
          <w:p w14:paraId="4757593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300747</w:t>
            </w:r>
          </w:p>
        </w:tc>
        <w:tc>
          <w:tcPr>
            <w:tcW w:w="2298" w:type="dxa"/>
            <w:shd w:val="clear" w:color="auto" w:fill="auto"/>
            <w:vAlign w:val="center"/>
          </w:tcPr>
          <w:p w14:paraId="7D0618D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6926</w:t>
            </w:r>
          </w:p>
        </w:tc>
      </w:tr>
      <w:tr w:rsidR="00E34804" w:rsidRPr="00E34804" w14:paraId="416ECC1C" w14:textId="77777777" w:rsidTr="00E34804">
        <w:tc>
          <w:tcPr>
            <w:tcW w:w="2572" w:type="dxa"/>
            <w:shd w:val="clear" w:color="auto" w:fill="auto"/>
            <w:vAlign w:val="center"/>
          </w:tcPr>
          <w:p w14:paraId="268F5866"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SOMEȘ</w:t>
            </w:r>
          </w:p>
        </w:tc>
        <w:tc>
          <w:tcPr>
            <w:tcW w:w="951" w:type="dxa"/>
            <w:shd w:val="clear" w:color="auto" w:fill="auto"/>
            <w:vAlign w:val="center"/>
          </w:tcPr>
          <w:p w14:paraId="643F1858"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17840</w:t>
            </w:r>
          </w:p>
        </w:tc>
        <w:tc>
          <w:tcPr>
            <w:tcW w:w="1706" w:type="dxa"/>
            <w:shd w:val="clear" w:color="auto" w:fill="auto"/>
            <w:vAlign w:val="center"/>
          </w:tcPr>
          <w:p w14:paraId="6395D94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3803</w:t>
            </w:r>
          </w:p>
        </w:tc>
        <w:tc>
          <w:tcPr>
            <w:tcW w:w="2336" w:type="dxa"/>
            <w:shd w:val="clear" w:color="auto" w:fill="auto"/>
            <w:vAlign w:val="center"/>
          </w:tcPr>
          <w:p w14:paraId="06BCAB6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1505499</w:t>
            </w:r>
          </w:p>
        </w:tc>
        <w:tc>
          <w:tcPr>
            <w:tcW w:w="2298" w:type="dxa"/>
            <w:shd w:val="clear" w:color="auto" w:fill="auto"/>
            <w:vAlign w:val="center"/>
          </w:tcPr>
          <w:p w14:paraId="0F08032F"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2526</w:t>
            </w:r>
          </w:p>
        </w:tc>
      </w:tr>
      <w:tr w:rsidR="00E34804" w:rsidRPr="00E34804" w14:paraId="5732DF8D" w14:textId="77777777" w:rsidTr="00E34804">
        <w:tc>
          <w:tcPr>
            <w:tcW w:w="2572" w:type="dxa"/>
            <w:shd w:val="clear" w:color="auto" w:fill="auto"/>
            <w:vAlign w:val="center"/>
          </w:tcPr>
          <w:p w14:paraId="52992430"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CRIȘURI</w:t>
            </w:r>
          </w:p>
        </w:tc>
        <w:tc>
          <w:tcPr>
            <w:tcW w:w="951" w:type="dxa"/>
            <w:shd w:val="clear" w:color="auto" w:fill="auto"/>
            <w:vAlign w:val="center"/>
          </w:tcPr>
          <w:p w14:paraId="580E335B"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14860</w:t>
            </w:r>
          </w:p>
        </w:tc>
        <w:tc>
          <w:tcPr>
            <w:tcW w:w="1706" w:type="dxa"/>
            <w:shd w:val="clear" w:color="auto" w:fill="auto"/>
            <w:vAlign w:val="center"/>
          </w:tcPr>
          <w:p w14:paraId="33D515CE"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2302</w:t>
            </w:r>
          </w:p>
        </w:tc>
        <w:tc>
          <w:tcPr>
            <w:tcW w:w="2336" w:type="dxa"/>
            <w:shd w:val="clear" w:color="auto" w:fill="auto"/>
            <w:vAlign w:val="center"/>
          </w:tcPr>
          <w:p w14:paraId="10B2615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853134</w:t>
            </w:r>
          </w:p>
        </w:tc>
        <w:tc>
          <w:tcPr>
            <w:tcW w:w="2298" w:type="dxa"/>
            <w:shd w:val="clear" w:color="auto" w:fill="auto"/>
            <w:vAlign w:val="center"/>
          </w:tcPr>
          <w:p w14:paraId="264C465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2698</w:t>
            </w:r>
          </w:p>
        </w:tc>
      </w:tr>
      <w:tr w:rsidR="00E34804" w:rsidRPr="00E34804" w14:paraId="3F07B19B" w14:textId="77777777" w:rsidTr="00E34804">
        <w:tc>
          <w:tcPr>
            <w:tcW w:w="2572" w:type="dxa"/>
            <w:shd w:val="clear" w:color="auto" w:fill="auto"/>
            <w:vAlign w:val="center"/>
          </w:tcPr>
          <w:p w14:paraId="55B718A9"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MUREȘ</w:t>
            </w:r>
          </w:p>
        </w:tc>
        <w:tc>
          <w:tcPr>
            <w:tcW w:w="951" w:type="dxa"/>
            <w:shd w:val="clear" w:color="auto" w:fill="auto"/>
            <w:vAlign w:val="center"/>
          </w:tcPr>
          <w:p w14:paraId="6C39EF9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29390</w:t>
            </w:r>
          </w:p>
        </w:tc>
        <w:tc>
          <w:tcPr>
            <w:tcW w:w="1706" w:type="dxa"/>
            <w:shd w:val="clear" w:color="auto" w:fill="auto"/>
            <w:vAlign w:val="center"/>
          </w:tcPr>
          <w:p w14:paraId="05A8AEA0"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4232</w:t>
            </w:r>
          </w:p>
        </w:tc>
        <w:tc>
          <w:tcPr>
            <w:tcW w:w="2336" w:type="dxa"/>
            <w:shd w:val="clear" w:color="auto" w:fill="auto"/>
            <w:vAlign w:val="center"/>
          </w:tcPr>
          <w:p w14:paraId="333FE9E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1902949</w:t>
            </w:r>
          </w:p>
        </w:tc>
        <w:tc>
          <w:tcPr>
            <w:tcW w:w="2298" w:type="dxa"/>
            <w:shd w:val="clear" w:color="auto" w:fill="auto"/>
            <w:vAlign w:val="center"/>
          </w:tcPr>
          <w:p w14:paraId="35FCD1C1"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2224</w:t>
            </w:r>
          </w:p>
        </w:tc>
      </w:tr>
      <w:tr w:rsidR="00E34804" w:rsidRPr="00E34804" w14:paraId="56483F4B" w14:textId="77777777" w:rsidTr="00E34804">
        <w:tc>
          <w:tcPr>
            <w:tcW w:w="2572" w:type="dxa"/>
            <w:shd w:val="clear" w:color="auto" w:fill="auto"/>
            <w:vAlign w:val="center"/>
          </w:tcPr>
          <w:p w14:paraId="25354EA4"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BEGA – TIMIȘ - CARAȘ</w:t>
            </w:r>
          </w:p>
        </w:tc>
        <w:tc>
          <w:tcPr>
            <w:tcW w:w="951" w:type="dxa"/>
            <w:shd w:val="clear" w:color="auto" w:fill="auto"/>
            <w:vAlign w:val="center"/>
          </w:tcPr>
          <w:p w14:paraId="0916C06C"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13060</w:t>
            </w:r>
          </w:p>
        </w:tc>
        <w:tc>
          <w:tcPr>
            <w:tcW w:w="1706" w:type="dxa"/>
            <w:shd w:val="clear" w:color="auto" w:fill="auto"/>
            <w:vAlign w:val="center"/>
          </w:tcPr>
          <w:p w14:paraId="48E0B6B7"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1668</w:t>
            </w:r>
          </w:p>
        </w:tc>
        <w:tc>
          <w:tcPr>
            <w:tcW w:w="2336" w:type="dxa"/>
            <w:shd w:val="clear" w:color="auto" w:fill="auto"/>
            <w:vAlign w:val="center"/>
          </w:tcPr>
          <w:p w14:paraId="6FCE6F4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874429</w:t>
            </w:r>
          </w:p>
        </w:tc>
        <w:tc>
          <w:tcPr>
            <w:tcW w:w="2298" w:type="dxa"/>
            <w:shd w:val="clear" w:color="auto" w:fill="auto"/>
            <w:vAlign w:val="center"/>
          </w:tcPr>
          <w:p w14:paraId="5D8F1C94"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1908</w:t>
            </w:r>
          </w:p>
        </w:tc>
      </w:tr>
      <w:tr w:rsidR="00E34804" w:rsidRPr="00E34804" w14:paraId="16FA1AA1" w14:textId="77777777" w:rsidTr="00E34804">
        <w:tc>
          <w:tcPr>
            <w:tcW w:w="2572" w:type="dxa"/>
            <w:shd w:val="clear" w:color="auto" w:fill="auto"/>
            <w:vAlign w:val="center"/>
          </w:tcPr>
          <w:p w14:paraId="2CB0FECF"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NERA - CERNA</w:t>
            </w:r>
          </w:p>
        </w:tc>
        <w:tc>
          <w:tcPr>
            <w:tcW w:w="951" w:type="dxa"/>
            <w:shd w:val="clear" w:color="auto" w:fill="auto"/>
            <w:vAlign w:val="center"/>
          </w:tcPr>
          <w:p w14:paraId="1D2C078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2740</w:t>
            </w:r>
          </w:p>
        </w:tc>
        <w:tc>
          <w:tcPr>
            <w:tcW w:w="1706" w:type="dxa"/>
            <w:shd w:val="clear" w:color="auto" w:fill="auto"/>
            <w:vAlign w:val="center"/>
          </w:tcPr>
          <w:p w14:paraId="3D29354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880</w:t>
            </w:r>
          </w:p>
        </w:tc>
        <w:tc>
          <w:tcPr>
            <w:tcW w:w="2336" w:type="dxa"/>
            <w:shd w:val="clear" w:color="auto" w:fill="auto"/>
            <w:vAlign w:val="center"/>
          </w:tcPr>
          <w:p w14:paraId="70ED0AC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52651</w:t>
            </w:r>
          </w:p>
        </w:tc>
        <w:tc>
          <w:tcPr>
            <w:tcW w:w="2298" w:type="dxa"/>
            <w:shd w:val="clear" w:color="auto" w:fill="auto"/>
            <w:vAlign w:val="center"/>
          </w:tcPr>
          <w:p w14:paraId="50C454E8"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16714</w:t>
            </w:r>
          </w:p>
        </w:tc>
      </w:tr>
      <w:tr w:rsidR="00E34804" w:rsidRPr="00E34804" w14:paraId="7FFC5DB2" w14:textId="77777777" w:rsidTr="00E34804">
        <w:tc>
          <w:tcPr>
            <w:tcW w:w="2572" w:type="dxa"/>
            <w:shd w:val="clear" w:color="auto" w:fill="auto"/>
            <w:vAlign w:val="center"/>
          </w:tcPr>
          <w:p w14:paraId="13DC5DDF"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eastAsia="Times New Roman" w:hAnsiTheme="minorBidi"/>
                <w:color w:val="000000"/>
                <w:sz w:val="20"/>
                <w:szCs w:val="20"/>
              </w:rPr>
              <w:t>JIU</w:t>
            </w:r>
          </w:p>
        </w:tc>
        <w:tc>
          <w:tcPr>
            <w:tcW w:w="951" w:type="dxa"/>
            <w:shd w:val="clear" w:color="auto" w:fill="auto"/>
            <w:vAlign w:val="center"/>
          </w:tcPr>
          <w:p w14:paraId="0809DD27"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10080</w:t>
            </w:r>
          </w:p>
        </w:tc>
        <w:tc>
          <w:tcPr>
            <w:tcW w:w="1706" w:type="dxa"/>
            <w:shd w:val="clear" w:color="auto" w:fill="auto"/>
            <w:vAlign w:val="center"/>
          </w:tcPr>
          <w:p w14:paraId="7D75C9E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2845</w:t>
            </w:r>
          </w:p>
        </w:tc>
        <w:tc>
          <w:tcPr>
            <w:tcW w:w="2336" w:type="dxa"/>
            <w:shd w:val="clear" w:color="auto" w:fill="auto"/>
            <w:vAlign w:val="center"/>
          </w:tcPr>
          <w:p w14:paraId="2AD0821C"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929184</w:t>
            </w:r>
          </w:p>
        </w:tc>
        <w:tc>
          <w:tcPr>
            <w:tcW w:w="2298" w:type="dxa"/>
            <w:shd w:val="clear" w:color="auto" w:fill="auto"/>
            <w:vAlign w:val="center"/>
          </w:tcPr>
          <w:p w14:paraId="1C1C2D23"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3062</w:t>
            </w:r>
          </w:p>
        </w:tc>
      </w:tr>
      <w:tr w:rsidR="00E34804" w:rsidRPr="00E34804" w14:paraId="0CA96D8E" w14:textId="77777777" w:rsidTr="00E34804">
        <w:tc>
          <w:tcPr>
            <w:tcW w:w="2572" w:type="dxa"/>
            <w:shd w:val="clear" w:color="auto" w:fill="auto"/>
            <w:vAlign w:val="center"/>
          </w:tcPr>
          <w:p w14:paraId="0FA36888"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OLT</w:t>
            </w:r>
          </w:p>
        </w:tc>
        <w:tc>
          <w:tcPr>
            <w:tcW w:w="951" w:type="dxa"/>
            <w:shd w:val="clear" w:color="auto" w:fill="auto"/>
            <w:vAlign w:val="center"/>
          </w:tcPr>
          <w:p w14:paraId="0AEDEE6B"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24050</w:t>
            </w:r>
          </w:p>
        </w:tc>
        <w:tc>
          <w:tcPr>
            <w:tcW w:w="1706" w:type="dxa"/>
            <w:shd w:val="clear" w:color="auto" w:fill="auto"/>
            <w:vAlign w:val="center"/>
          </w:tcPr>
          <w:p w14:paraId="64E03D8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3658</w:t>
            </w:r>
          </w:p>
        </w:tc>
        <w:tc>
          <w:tcPr>
            <w:tcW w:w="2336" w:type="dxa"/>
            <w:shd w:val="clear" w:color="auto" w:fill="auto"/>
            <w:vAlign w:val="center"/>
          </w:tcPr>
          <w:p w14:paraId="09A49EB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1892452</w:t>
            </w:r>
          </w:p>
        </w:tc>
        <w:tc>
          <w:tcPr>
            <w:tcW w:w="2298" w:type="dxa"/>
            <w:shd w:val="clear" w:color="auto" w:fill="auto"/>
            <w:vAlign w:val="center"/>
          </w:tcPr>
          <w:p w14:paraId="0B6A6B77"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1933</w:t>
            </w:r>
          </w:p>
        </w:tc>
      </w:tr>
      <w:tr w:rsidR="00E34804" w:rsidRPr="00E34804" w14:paraId="29FCC4F8" w14:textId="77777777" w:rsidTr="00E34804">
        <w:tc>
          <w:tcPr>
            <w:tcW w:w="2572" w:type="dxa"/>
            <w:shd w:val="clear" w:color="auto" w:fill="auto"/>
            <w:vAlign w:val="center"/>
          </w:tcPr>
          <w:p w14:paraId="5ADC9256"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VEDEA</w:t>
            </w:r>
          </w:p>
        </w:tc>
        <w:tc>
          <w:tcPr>
            <w:tcW w:w="951" w:type="dxa"/>
            <w:shd w:val="clear" w:color="auto" w:fill="auto"/>
            <w:vAlign w:val="center"/>
          </w:tcPr>
          <w:p w14:paraId="5AE6DE7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5430</w:t>
            </w:r>
          </w:p>
        </w:tc>
        <w:tc>
          <w:tcPr>
            <w:tcW w:w="1706" w:type="dxa"/>
            <w:shd w:val="clear" w:color="auto" w:fill="auto"/>
            <w:vAlign w:val="center"/>
          </w:tcPr>
          <w:p w14:paraId="65F119F3"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164</w:t>
            </w:r>
          </w:p>
        </w:tc>
        <w:tc>
          <w:tcPr>
            <w:tcW w:w="2336" w:type="dxa"/>
            <w:shd w:val="clear" w:color="auto" w:fill="auto"/>
            <w:vAlign w:val="center"/>
          </w:tcPr>
          <w:p w14:paraId="6D7D6B3F"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360155</w:t>
            </w:r>
          </w:p>
        </w:tc>
        <w:tc>
          <w:tcPr>
            <w:tcW w:w="2298" w:type="dxa"/>
            <w:shd w:val="clear" w:color="auto" w:fill="auto"/>
            <w:vAlign w:val="center"/>
          </w:tcPr>
          <w:p w14:paraId="7F884645"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455</w:t>
            </w:r>
          </w:p>
        </w:tc>
      </w:tr>
      <w:tr w:rsidR="00E34804" w:rsidRPr="00E34804" w14:paraId="7AB69E45" w14:textId="77777777" w:rsidTr="00E34804">
        <w:tc>
          <w:tcPr>
            <w:tcW w:w="2572" w:type="dxa"/>
            <w:shd w:val="clear" w:color="auto" w:fill="auto"/>
            <w:vAlign w:val="center"/>
          </w:tcPr>
          <w:p w14:paraId="611D3A54"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ARGEȘ</w:t>
            </w:r>
          </w:p>
        </w:tc>
        <w:tc>
          <w:tcPr>
            <w:tcW w:w="951" w:type="dxa"/>
            <w:shd w:val="clear" w:color="auto" w:fill="auto"/>
            <w:vAlign w:val="center"/>
          </w:tcPr>
          <w:p w14:paraId="3953995C"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12550</w:t>
            </w:r>
          </w:p>
        </w:tc>
        <w:tc>
          <w:tcPr>
            <w:tcW w:w="1706" w:type="dxa"/>
            <w:shd w:val="clear" w:color="auto" w:fill="auto"/>
            <w:vAlign w:val="center"/>
          </w:tcPr>
          <w:p w14:paraId="572F2707"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1750</w:t>
            </w:r>
          </w:p>
        </w:tc>
        <w:tc>
          <w:tcPr>
            <w:tcW w:w="2336" w:type="dxa"/>
            <w:shd w:val="clear" w:color="auto" w:fill="auto"/>
            <w:vAlign w:val="center"/>
          </w:tcPr>
          <w:p w14:paraId="46F911C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3379628</w:t>
            </w:r>
          </w:p>
        </w:tc>
        <w:tc>
          <w:tcPr>
            <w:tcW w:w="2298" w:type="dxa"/>
            <w:shd w:val="clear" w:color="auto" w:fill="auto"/>
            <w:vAlign w:val="center"/>
          </w:tcPr>
          <w:p w14:paraId="5C2B0DA0"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518</w:t>
            </w:r>
          </w:p>
        </w:tc>
      </w:tr>
      <w:tr w:rsidR="00E34804" w:rsidRPr="00E34804" w14:paraId="20DCB791" w14:textId="77777777" w:rsidTr="00E34804">
        <w:tc>
          <w:tcPr>
            <w:tcW w:w="2572" w:type="dxa"/>
            <w:shd w:val="clear" w:color="auto" w:fill="auto"/>
            <w:vAlign w:val="center"/>
          </w:tcPr>
          <w:p w14:paraId="4AE2B387"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IALOMIȚA</w:t>
            </w:r>
          </w:p>
        </w:tc>
        <w:tc>
          <w:tcPr>
            <w:tcW w:w="951" w:type="dxa"/>
            <w:shd w:val="clear" w:color="auto" w:fill="auto"/>
            <w:vAlign w:val="center"/>
          </w:tcPr>
          <w:p w14:paraId="760E229F"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10350</w:t>
            </w:r>
          </w:p>
        </w:tc>
        <w:tc>
          <w:tcPr>
            <w:tcW w:w="1706" w:type="dxa"/>
            <w:shd w:val="clear" w:color="auto" w:fill="auto"/>
            <w:vAlign w:val="center"/>
          </w:tcPr>
          <w:p w14:paraId="17533323"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826</w:t>
            </w:r>
          </w:p>
        </w:tc>
        <w:tc>
          <w:tcPr>
            <w:tcW w:w="2336" w:type="dxa"/>
            <w:shd w:val="clear" w:color="auto" w:fill="auto"/>
            <w:vAlign w:val="center"/>
          </w:tcPr>
          <w:p w14:paraId="6DDD857A"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1279917</w:t>
            </w:r>
          </w:p>
        </w:tc>
        <w:tc>
          <w:tcPr>
            <w:tcW w:w="2298" w:type="dxa"/>
            <w:shd w:val="clear" w:color="auto" w:fill="auto"/>
            <w:vAlign w:val="center"/>
          </w:tcPr>
          <w:p w14:paraId="66568943"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645</w:t>
            </w:r>
          </w:p>
        </w:tc>
      </w:tr>
      <w:tr w:rsidR="00E34804" w:rsidRPr="00E34804" w14:paraId="074DEB45" w14:textId="77777777" w:rsidTr="00E34804">
        <w:tc>
          <w:tcPr>
            <w:tcW w:w="2572" w:type="dxa"/>
            <w:shd w:val="clear" w:color="auto" w:fill="auto"/>
            <w:vAlign w:val="center"/>
          </w:tcPr>
          <w:p w14:paraId="4E7B028D"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DUNĂREA</w:t>
            </w:r>
          </w:p>
        </w:tc>
        <w:tc>
          <w:tcPr>
            <w:tcW w:w="951" w:type="dxa"/>
            <w:shd w:val="clear" w:color="auto" w:fill="auto"/>
            <w:vAlign w:val="center"/>
          </w:tcPr>
          <w:p w14:paraId="601DC2FF"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34141</w:t>
            </w:r>
          </w:p>
        </w:tc>
        <w:tc>
          <w:tcPr>
            <w:tcW w:w="1706" w:type="dxa"/>
            <w:shd w:val="clear" w:color="auto" w:fill="auto"/>
            <w:vAlign w:val="center"/>
          </w:tcPr>
          <w:p w14:paraId="70CEA06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594</w:t>
            </w:r>
          </w:p>
        </w:tc>
        <w:tc>
          <w:tcPr>
            <w:tcW w:w="2336" w:type="dxa"/>
            <w:shd w:val="clear" w:color="auto" w:fill="auto"/>
            <w:vAlign w:val="center"/>
          </w:tcPr>
          <w:p w14:paraId="41ED761A"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1537039</w:t>
            </w:r>
          </w:p>
        </w:tc>
        <w:tc>
          <w:tcPr>
            <w:tcW w:w="2298" w:type="dxa"/>
            <w:shd w:val="clear" w:color="auto" w:fill="auto"/>
            <w:vAlign w:val="center"/>
          </w:tcPr>
          <w:p w14:paraId="4DD88AB4"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386</w:t>
            </w:r>
          </w:p>
        </w:tc>
      </w:tr>
      <w:tr w:rsidR="00E34804" w:rsidRPr="00E34804" w14:paraId="21D5805B" w14:textId="77777777" w:rsidTr="00E34804">
        <w:tc>
          <w:tcPr>
            <w:tcW w:w="2572" w:type="dxa"/>
            <w:shd w:val="clear" w:color="auto" w:fill="auto"/>
            <w:vAlign w:val="center"/>
          </w:tcPr>
          <w:p w14:paraId="53475B4E"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SIRET</w:t>
            </w:r>
          </w:p>
        </w:tc>
        <w:tc>
          <w:tcPr>
            <w:tcW w:w="951" w:type="dxa"/>
            <w:shd w:val="clear" w:color="auto" w:fill="auto"/>
            <w:vAlign w:val="center"/>
          </w:tcPr>
          <w:p w14:paraId="7386A3B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42890</w:t>
            </w:r>
          </w:p>
        </w:tc>
        <w:tc>
          <w:tcPr>
            <w:tcW w:w="1706" w:type="dxa"/>
            <w:shd w:val="clear" w:color="auto" w:fill="auto"/>
            <w:vAlign w:val="center"/>
          </w:tcPr>
          <w:p w14:paraId="0F4472CA"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3847</w:t>
            </w:r>
          </w:p>
        </w:tc>
        <w:tc>
          <w:tcPr>
            <w:tcW w:w="2336" w:type="dxa"/>
            <w:shd w:val="clear" w:color="auto" w:fill="auto"/>
            <w:vAlign w:val="center"/>
          </w:tcPr>
          <w:p w14:paraId="4FF45CD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3563802</w:t>
            </w:r>
          </w:p>
        </w:tc>
        <w:tc>
          <w:tcPr>
            <w:tcW w:w="2298" w:type="dxa"/>
            <w:shd w:val="clear" w:color="auto" w:fill="auto"/>
            <w:vAlign w:val="center"/>
          </w:tcPr>
          <w:p w14:paraId="6C9B6DF0"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1079</w:t>
            </w:r>
          </w:p>
        </w:tc>
      </w:tr>
      <w:tr w:rsidR="00E34804" w:rsidRPr="00E34804" w14:paraId="180103DE" w14:textId="77777777" w:rsidTr="00E34804">
        <w:tc>
          <w:tcPr>
            <w:tcW w:w="2572" w:type="dxa"/>
            <w:shd w:val="clear" w:color="auto" w:fill="auto"/>
            <w:vAlign w:val="center"/>
          </w:tcPr>
          <w:p w14:paraId="16A9F9C1"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PRUT</w:t>
            </w:r>
          </w:p>
        </w:tc>
        <w:tc>
          <w:tcPr>
            <w:tcW w:w="951" w:type="dxa"/>
            <w:shd w:val="clear" w:color="auto" w:fill="auto"/>
            <w:vAlign w:val="center"/>
          </w:tcPr>
          <w:p w14:paraId="11DF1AA9"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10990</w:t>
            </w:r>
          </w:p>
        </w:tc>
        <w:tc>
          <w:tcPr>
            <w:tcW w:w="1706" w:type="dxa"/>
            <w:shd w:val="clear" w:color="auto" w:fill="auto"/>
            <w:vAlign w:val="center"/>
          </w:tcPr>
          <w:p w14:paraId="370E8C0E"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265</w:t>
            </w:r>
          </w:p>
        </w:tc>
        <w:tc>
          <w:tcPr>
            <w:tcW w:w="2336" w:type="dxa"/>
            <w:shd w:val="clear" w:color="auto" w:fill="auto"/>
            <w:vAlign w:val="center"/>
          </w:tcPr>
          <w:p w14:paraId="441FB394"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1072436</w:t>
            </w:r>
          </w:p>
        </w:tc>
        <w:tc>
          <w:tcPr>
            <w:tcW w:w="2298" w:type="dxa"/>
            <w:shd w:val="clear" w:color="auto" w:fill="auto"/>
            <w:vAlign w:val="center"/>
          </w:tcPr>
          <w:p w14:paraId="0F38FAFA"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247</w:t>
            </w:r>
          </w:p>
        </w:tc>
      </w:tr>
      <w:tr w:rsidR="00E34804" w:rsidRPr="00E34804" w14:paraId="0A2DDBAD" w14:textId="77777777" w:rsidTr="00E34804">
        <w:tc>
          <w:tcPr>
            <w:tcW w:w="2572" w:type="dxa"/>
            <w:shd w:val="clear" w:color="auto" w:fill="auto"/>
            <w:vAlign w:val="center"/>
          </w:tcPr>
          <w:p w14:paraId="79FE1437"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DOBROGEA</w:t>
            </w:r>
          </w:p>
        </w:tc>
        <w:tc>
          <w:tcPr>
            <w:tcW w:w="951" w:type="dxa"/>
            <w:shd w:val="clear" w:color="auto" w:fill="auto"/>
            <w:vAlign w:val="center"/>
          </w:tcPr>
          <w:p w14:paraId="235A8781"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5480</w:t>
            </w:r>
          </w:p>
        </w:tc>
        <w:tc>
          <w:tcPr>
            <w:tcW w:w="1706" w:type="dxa"/>
            <w:shd w:val="clear" w:color="auto" w:fill="auto"/>
            <w:vAlign w:val="center"/>
          </w:tcPr>
          <w:p w14:paraId="630D2DB6"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48.6</w:t>
            </w:r>
          </w:p>
        </w:tc>
        <w:tc>
          <w:tcPr>
            <w:tcW w:w="2336" w:type="dxa"/>
            <w:shd w:val="clear" w:color="auto" w:fill="auto"/>
            <w:vAlign w:val="center"/>
          </w:tcPr>
          <w:p w14:paraId="0B9F94C2"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617565</w:t>
            </w:r>
          </w:p>
        </w:tc>
        <w:tc>
          <w:tcPr>
            <w:tcW w:w="2298" w:type="dxa"/>
            <w:shd w:val="clear" w:color="auto" w:fill="auto"/>
            <w:vAlign w:val="center"/>
          </w:tcPr>
          <w:p w14:paraId="041A90B3"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79</w:t>
            </w:r>
          </w:p>
        </w:tc>
      </w:tr>
      <w:tr w:rsidR="00E34804" w:rsidRPr="00E34804" w14:paraId="4078FF64" w14:textId="77777777" w:rsidTr="00E34804">
        <w:tc>
          <w:tcPr>
            <w:tcW w:w="2572" w:type="dxa"/>
            <w:shd w:val="clear" w:color="auto" w:fill="auto"/>
            <w:vAlign w:val="center"/>
          </w:tcPr>
          <w:p w14:paraId="1C513B9D" w14:textId="77777777" w:rsidR="00E34804" w:rsidRPr="00E34804" w:rsidRDefault="00E34804" w:rsidP="00E30C2C">
            <w:pPr>
              <w:tabs>
                <w:tab w:val="left" w:pos="1701"/>
                <w:tab w:val="left" w:pos="2535"/>
              </w:tabs>
              <w:spacing w:after="0" w:line="240" w:lineRule="auto"/>
              <w:jc w:val="center"/>
              <w:rPr>
                <w:rFonts w:asciiTheme="minorBidi" w:eastAsia="Times New Roman" w:hAnsiTheme="minorBidi"/>
                <w:color w:val="000000"/>
                <w:sz w:val="20"/>
                <w:szCs w:val="20"/>
              </w:rPr>
            </w:pPr>
            <w:r w:rsidRPr="00E34804">
              <w:rPr>
                <w:rFonts w:asciiTheme="minorBidi" w:eastAsia="Times New Roman" w:hAnsiTheme="minorBidi"/>
                <w:color w:val="000000"/>
                <w:sz w:val="20"/>
                <w:szCs w:val="20"/>
              </w:rPr>
              <w:t>Total România fără fluviul Dunărea</w:t>
            </w:r>
          </w:p>
        </w:tc>
        <w:tc>
          <w:tcPr>
            <w:tcW w:w="951" w:type="dxa"/>
            <w:shd w:val="clear" w:color="auto" w:fill="auto"/>
            <w:vAlign w:val="center"/>
          </w:tcPr>
          <w:p w14:paraId="7368BF9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238391</w:t>
            </w:r>
          </w:p>
        </w:tc>
        <w:tc>
          <w:tcPr>
            <w:tcW w:w="1706" w:type="dxa"/>
            <w:shd w:val="clear" w:color="auto" w:fill="auto"/>
            <w:vAlign w:val="center"/>
          </w:tcPr>
          <w:p w14:paraId="148BD21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28967</w:t>
            </w:r>
          </w:p>
        </w:tc>
        <w:tc>
          <w:tcPr>
            <w:tcW w:w="2336" w:type="dxa"/>
            <w:shd w:val="clear" w:color="auto" w:fill="auto"/>
            <w:vAlign w:val="center"/>
          </w:tcPr>
          <w:p w14:paraId="5308618D"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20121587</w:t>
            </w:r>
          </w:p>
        </w:tc>
        <w:tc>
          <w:tcPr>
            <w:tcW w:w="2298" w:type="dxa"/>
            <w:shd w:val="clear" w:color="auto" w:fill="auto"/>
            <w:vAlign w:val="center"/>
          </w:tcPr>
          <w:p w14:paraId="03932ED9" w14:textId="77777777" w:rsidR="00E34804" w:rsidRPr="00E34804" w:rsidRDefault="00E34804" w:rsidP="00E30C2C">
            <w:pPr>
              <w:tabs>
                <w:tab w:val="left" w:pos="1701"/>
                <w:tab w:val="left" w:pos="2535"/>
              </w:tabs>
              <w:spacing w:after="0" w:line="240" w:lineRule="auto"/>
              <w:jc w:val="center"/>
              <w:rPr>
                <w:rFonts w:asciiTheme="minorBidi" w:hAnsiTheme="minorBidi"/>
                <w:sz w:val="20"/>
                <w:szCs w:val="20"/>
                <w:lang w:val="en-US"/>
              </w:rPr>
            </w:pPr>
            <w:r w:rsidRPr="00E34804">
              <w:rPr>
                <w:rFonts w:asciiTheme="minorBidi" w:hAnsiTheme="minorBidi"/>
                <w:sz w:val="20"/>
                <w:szCs w:val="20"/>
                <w:lang w:val="en-US"/>
              </w:rPr>
              <w:t>1440</w:t>
            </w:r>
          </w:p>
        </w:tc>
      </w:tr>
    </w:tbl>
    <w:p w14:paraId="0FC8AC55" w14:textId="7173A987" w:rsidR="004E7921" w:rsidRPr="00E34804" w:rsidRDefault="004E7921" w:rsidP="00E34804">
      <w:pPr>
        <w:tabs>
          <w:tab w:val="left" w:pos="1701"/>
          <w:tab w:val="left" w:pos="2535"/>
        </w:tabs>
        <w:spacing w:after="0" w:line="240" w:lineRule="auto"/>
        <w:jc w:val="both"/>
        <w:rPr>
          <w:rFonts w:asciiTheme="minorBidi" w:hAnsiTheme="minorBidi"/>
          <w:i/>
          <w:iCs/>
          <w:sz w:val="20"/>
          <w:szCs w:val="20"/>
          <w:lang w:val="fr-FR"/>
        </w:rPr>
      </w:pPr>
      <w:r w:rsidRPr="00E34804">
        <w:rPr>
          <w:rFonts w:asciiTheme="minorBidi" w:hAnsiTheme="minorBidi"/>
          <w:i/>
          <w:iCs/>
          <w:sz w:val="20"/>
          <w:szCs w:val="20"/>
          <w:lang w:val="fr-FR"/>
        </w:rPr>
        <w:t xml:space="preserve">Notă: Valorile volumelor din anul 2021 au fost raportate la datele rezultate din </w:t>
      </w:r>
      <w:r w:rsidR="00E34804" w:rsidRPr="00E34804">
        <w:rPr>
          <w:rFonts w:asciiTheme="minorBidi" w:hAnsiTheme="minorBidi"/>
          <w:i/>
          <w:iCs/>
          <w:sz w:val="20"/>
          <w:szCs w:val="20"/>
          <w:lang w:val="fr-FR"/>
        </w:rPr>
        <w:t>R</w:t>
      </w:r>
      <w:r w:rsidRPr="00E34804">
        <w:rPr>
          <w:rFonts w:asciiTheme="minorBidi" w:hAnsiTheme="minorBidi"/>
          <w:i/>
          <w:iCs/>
          <w:sz w:val="20"/>
          <w:szCs w:val="20"/>
          <w:lang w:val="fr-FR"/>
        </w:rPr>
        <w:t>ecensamântul Populației și al Locuinței din anul 2011</w:t>
      </w:r>
    </w:p>
    <w:p w14:paraId="24144DCB" w14:textId="2B5EDDE7" w:rsidR="002531BB" w:rsidRPr="00E34804" w:rsidRDefault="002531BB" w:rsidP="002531BB">
      <w:pPr>
        <w:spacing w:after="0"/>
        <w:ind w:firstLine="720"/>
        <w:jc w:val="both"/>
        <w:rPr>
          <w:rFonts w:asciiTheme="minorBidi" w:hAnsiTheme="minorBidi"/>
          <w:b/>
          <w:i/>
          <w:color w:val="FF0000"/>
          <w:sz w:val="24"/>
          <w:szCs w:val="24"/>
          <w:lang w:val="fr-FR"/>
        </w:rPr>
      </w:pPr>
    </w:p>
    <w:p w14:paraId="64A7A093" w14:textId="77777777" w:rsidR="00A40145" w:rsidRPr="00E34804" w:rsidRDefault="00A40145" w:rsidP="00A40145">
      <w:pPr>
        <w:spacing w:line="240" w:lineRule="auto"/>
        <w:ind w:firstLine="720"/>
        <w:jc w:val="both"/>
        <w:rPr>
          <w:rFonts w:asciiTheme="minorBidi" w:hAnsiTheme="minorBidi"/>
          <w:b/>
          <w:i/>
          <w:sz w:val="24"/>
          <w:szCs w:val="24"/>
        </w:rPr>
      </w:pPr>
      <w:r w:rsidRPr="00E34804">
        <w:rPr>
          <w:rFonts w:asciiTheme="minorBidi" w:hAnsiTheme="minorBidi"/>
          <w:b/>
          <w:i/>
          <w:sz w:val="24"/>
          <w:szCs w:val="24"/>
        </w:rPr>
        <w:t>Resurse de apă subterană</w:t>
      </w:r>
    </w:p>
    <w:p w14:paraId="2319EA4F" w14:textId="77777777" w:rsidR="00E34804" w:rsidRPr="00363999" w:rsidRDefault="00E34804" w:rsidP="00E34804">
      <w:pPr>
        <w:spacing w:after="0" w:line="240" w:lineRule="auto"/>
        <w:ind w:firstLine="720"/>
        <w:jc w:val="both"/>
        <w:rPr>
          <w:rFonts w:ascii="Arial" w:hAnsi="Arial" w:cs="Arial"/>
        </w:rPr>
      </w:pPr>
      <w:r w:rsidRPr="00363999">
        <w:rPr>
          <w:rFonts w:ascii="Arial" w:hAnsi="Arial" w:cs="Arial"/>
          <w:b/>
        </w:rPr>
        <w:t>Resursele de apă subterană</w:t>
      </w:r>
      <w:r w:rsidRPr="00363999">
        <w:rPr>
          <w:rFonts w:ascii="Arial" w:hAnsi="Arial" w:cs="Arial"/>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 </w:t>
      </w:r>
      <w:r w:rsidRPr="00363999">
        <w:rPr>
          <w:rFonts w:ascii="Arial" w:hAnsi="Arial" w:cs="Arial"/>
          <w:b/>
        </w:rPr>
        <w:t>Rezervele de apă subterană</w:t>
      </w:r>
      <w:r w:rsidRPr="00363999">
        <w:rPr>
          <w:rFonts w:ascii="Arial" w:hAnsi="Arial" w:cs="Arial"/>
        </w:rPr>
        <w:t xml:space="preserve"> reprezintă volumul de apă gravitaţională ȋnmagazinată ȋntr-o anumită perioadă sau ȋntr-un anumit moment dat ȋntr-un acvifer sau rocă magazin. Rezervele sunt condiţionate astfel, de structura geologică, adică de geometria acviferului şi de porozitatea eficace sau coeficientul de ȋnmagazinare, factor care exprimă volumul de apă liberă ȋn roca magazin. Rezervele depind exclusiv de datele volumetrice şi se exprimă ȋn unităţi de volum (de regulă, ȋn m</w:t>
      </w:r>
      <w:r w:rsidRPr="00363999">
        <w:rPr>
          <w:rFonts w:ascii="Arial" w:hAnsi="Arial" w:cs="Arial"/>
          <w:vertAlign w:val="superscript"/>
        </w:rPr>
        <w:t>3</w:t>
      </w:r>
      <w:r w:rsidRPr="00363999">
        <w:rPr>
          <w:rFonts w:ascii="Arial" w:hAnsi="Arial" w:cs="Arial"/>
        </w:rPr>
        <w:t xml:space="preserve">). </w:t>
      </w:r>
    </w:p>
    <w:p w14:paraId="343E8CDA" w14:textId="77777777" w:rsidR="00E34804" w:rsidRPr="00363999" w:rsidRDefault="00E34804" w:rsidP="00E34804">
      <w:pPr>
        <w:spacing w:after="0" w:line="240" w:lineRule="auto"/>
        <w:ind w:firstLine="720"/>
        <w:jc w:val="both"/>
        <w:rPr>
          <w:rFonts w:ascii="Arial" w:hAnsi="Arial" w:cs="Arial"/>
        </w:rPr>
      </w:pPr>
      <w:r w:rsidRPr="00363999">
        <w:rPr>
          <w:rFonts w:ascii="Arial" w:hAnsi="Arial" w:cs="Arial"/>
        </w:rPr>
        <w:t>Resursele totale de apă subterană din România au fost estimate la 9,68 mld. m</w:t>
      </w:r>
      <w:r w:rsidRPr="00363999">
        <w:rPr>
          <w:rFonts w:ascii="Arial" w:hAnsi="Arial" w:cs="Arial"/>
          <w:vertAlign w:val="superscript"/>
        </w:rPr>
        <w:t>3</w:t>
      </w:r>
      <w:r w:rsidRPr="00363999">
        <w:rPr>
          <w:rFonts w:ascii="Arial" w:hAnsi="Arial" w:cs="Arial"/>
        </w:rPr>
        <w:t>/an, din care 4,74 mld. m</w:t>
      </w:r>
      <w:r w:rsidRPr="00363999">
        <w:rPr>
          <w:rFonts w:ascii="Arial" w:hAnsi="Arial" w:cs="Arial"/>
          <w:vertAlign w:val="superscript"/>
        </w:rPr>
        <w:t>3</w:t>
      </w:r>
      <w:r w:rsidRPr="00363999">
        <w:rPr>
          <w:rFonts w:ascii="Arial" w:hAnsi="Arial" w:cs="Arial"/>
        </w:rPr>
        <w:t>/an apele freatice și 4,94 mld. m</w:t>
      </w:r>
      <w:r w:rsidRPr="00363999">
        <w:rPr>
          <w:rFonts w:ascii="Arial" w:hAnsi="Arial" w:cs="Arial"/>
          <w:vertAlign w:val="superscript"/>
        </w:rPr>
        <w:t>3</w:t>
      </w:r>
      <w:r w:rsidRPr="00363999">
        <w:rPr>
          <w:rFonts w:ascii="Arial" w:hAnsi="Arial" w:cs="Arial"/>
        </w:rPr>
        <w:t xml:space="preserve">/an de apă subterană de adâncime, reprezentând circa 25% din apa de suprafață. </w:t>
      </w:r>
    </w:p>
    <w:p w14:paraId="5EAE4ADB" w14:textId="77777777" w:rsidR="00E34804" w:rsidRPr="00363999" w:rsidRDefault="00E34804" w:rsidP="00E34804">
      <w:pPr>
        <w:spacing w:after="0" w:line="240" w:lineRule="auto"/>
        <w:ind w:firstLine="720"/>
        <w:jc w:val="both"/>
        <w:rPr>
          <w:rFonts w:ascii="Arial" w:hAnsi="Arial" w:cs="Arial"/>
        </w:rPr>
      </w:pPr>
      <w:r w:rsidRPr="00363999">
        <w:rPr>
          <w:rFonts w:ascii="Arial" w:hAnsi="Arial" w:cs="Arial"/>
        </w:rPr>
        <w:t>În România, identificarea şi delimitarea corpurilor de apă subterană s-a făcut în concordanţă cu metodologia specifică de caracterizare a apelor subterane elaborată în cadrul INHGA, care a ţinut cont de prevederile Directivei Cadru a Apei 2000/60/EC şi de Ghidurile elaborate în cadrul Strategiei Comune de Implementare a DCA. Delimitarea corpurilor de ape subterane s-a făcut pentru zonele în care există acvifere semnificative ca importanţă pentru alimentări cu apă şi anume debite exploatabile mai mari de 10 m</w:t>
      </w:r>
      <w:r w:rsidRPr="00363999">
        <w:rPr>
          <w:rFonts w:ascii="Arial" w:hAnsi="Arial" w:cs="Arial"/>
          <w:vertAlign w:val="superscript"/>
        </w:rPr>
        <w:t>3</w:t>
      </w:r>
      <w:r w:rsidRPr="00363999">
        <w:rPr>
          <w:rFonts w:ascii="Arial" w:hAnsi="Arial" w:cs="Arial"/>
        </w:rPr>
        <w:t xml:space="preserve">/zi. În restul teritoriului, chiar dacă există condiţii locale de acumulare a apelor în subteran, acestea nu se constituie în corpuri de apă, conform prevederilor Directivei Cadru Apă. În România au fost identificate, delimitate şi caracterizate un număr de 143 de corpuri de apă subterană. Dintre acestea, un număr de 115 reprezintă corpuri de apă subterană freatică, iar 28 sunt corpuri de apă subterană de adâncime. </w:t>
      </w:r>
    </w:p>
    <w:p w14:paraId="5F7A8E38" w14:textId="77777777" w:rsidR="00E34804" w:rsidRPr="00363999" w:rsidRDefault="00E34804" w:rsidP="00E34804">
      <w:pPr>
        <w:spacing w:after="0" w:line="240" w:lineRule="auto"/>
        <w:ind w:firstLine="720"/>
        <w:jc w:val="both"/>
        <w:rPr>
          <w:rFonts w:ascii="Arial" w:hAnsi="Arial" w:cs="Arial"/>
        </w:rPr>
      </w:pPr>
      <w:r w:rsidRPr="00363999">
        <w:rPr>
          <w:rFonts w:ascii="Arial" w:hAnsi="Arial" w:cs="Arial"/>
        </w:rPr>
        <w:lastRenderedPageBreak/>
        <w:t>În general, apa subterană din primul orizont acvifer întâlnit în adâncime, este utilizată pentru irigaţii şi industrie, pentru alimentarea populaţiei fiind utilizată apa captată din izvoare şi foraje de adâncime. Calitatea apei este determinată de alcătuirea mineralogică şi chimică a rocii în care este localizată apa subterană, dar şi de evoluţia tectonică regională şi/sau locală. Astfel,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ȋn zona de curbură a Carpaţilor (datorită diapirelor la zi sau la mică adâncime). Aceste aspecte calitative fac ca apa subterană să nu poată fi utilizată pentru alimentarea populaţiei. În Depresiunea Transilvaniei, Câmpia de Vest, vestul Olteniei, apele de adâncime au local, în mod natural, conţinuturi ridicate de amoniu, ceea determină caracterul nepotabil al acestora şi aplicarea unor măsuri de tratare.</w:t>
      </w:r>
    </w:p>
    <w:p w14:paraId="7BAEF24D" w14:textId="77777777" w:rsidR="00E34804" w:rsidRPr="006D796C" w:rsidRDefault="00E34804" w:rsidP="00E34804">
      <w:pPr>
        <w:spacing w:before="120" w:after="120" w:line="240" w:lineRule="auto"/>
        <w:ind w:firstLine="323"/>
        <w:jc w:val="center"/>
        <w:rPr>
          <w:rFonts w:ascii="Arial" w:hAnsi="Arial" w:cs="Arial"/>
          <w:b/>
        </w:rPr>
      </w:pPr>
      <w:r w:rsidRPr="004B0A73">
        <w:rPr>
          <w:rFonts w:ascii="Arial" w:hAnsi="Arial" w:cs="Arial"/>
          <w:b/>
        </w:rPr>
        <w:t>Analiza evoluţiei nivelurilor apelor subterane de mică adâncime ȋn perioada 2015-2022</w:t>
      </w:r>
    </w:p>
    <w:p w14:paraId="01926CC3" w14:textId="77777777" w:rsidR="00E34804" w:rsidRDefault="00E34804" w:rsidP="00E34804">
      <w:pPr>
        <w:spacing w:after="0" w:line="240" w:lineRule="auto"/>
        <w:ind w:firstLine="567"/>
        <w:jc w:val="both"/>
        <w:rPr>
          <w:rFonts w:ascii="Arial" w:hAnsi="Arial" w:cs="Arial"/>
          <w:bCs/>
          <w:color w:val="000000"/>
        </w:rPr>
      </w:pPr>
      <w:r>
        <w:rPr>
          <w:rFonts w:ascii="Arial" w:hAnsi="Arial" w:cs="Arial"/>
          <w:bCs/>
          <w:color w:val="000000"/>
        </w:rPr>
        <w:t xml:space="preserve">Datele zilnice provenite de la un număr de 269 de foraje de monitorizare selectate ca reprezentative pentru Programul de transmisie lunară a Buletinului Hidrogeologic au fost prelucrate statistic şi reprezentate grafic pentru a evidenţia regimul de curgere subterană ȋn acviferele de mică adâncime ȋn perioada 2015-2022. </w:t>
      </w:r>
    </w:p>
    <w:p w14:paraId="696320D2" w14:textId="77777777" w:rsidR="00E34804" w:rsidRPr="00363999" w:rsidRDefault="00E34804" w:rsidP="00E34804">
      <w:pPr>
        <w:spacing w:after="0" w:line="240" w:lineRule="auto"/>
        <w:ind w:firstLine="567"/>
        <w:jc w:val="both"/>
        <w:rPr>
          <w:rFonts w:ascii="Arial" w:hAnsi="Arial" w:cs="Arial"/>
          <w:bCs/>
          <w:color w:val="000000"/>
        </w:rPr>
      </w:pPr>
      <w:r w:rsidRPr="00363999">
        <w:rPr>
          <w:rFonts w:ascii="Arial" w:hAnsi="Arial" w:cs="Arial"/>
          <w:bCs/>
          <w:color w:val="000000"/>
        </w:rPr>
        <w:t>Astfel, pentru cele 11 Administraţii Bazinale de Apă care gestionează activitatea de hidrogeologie, au fost ȋntocmite grafice de variaţie a adâncimilor medii lunare ale nivelurilor piezometrice comparativ cu media lunară multianuală şi cu precipitaţiile cumulate lunare estimate pe baza înregistrărilor la staţiile meteorologice şi pluviometrice.</w:t>
      </w:r>
    </w:p>
    <w:p w14:paraId="1AEF0A09" w14:textId="0D47E4C3" w:rsidR="00E34804" w:rsidRPr="000761CB" w:rsidRDefault="00E34804" w:rsidP="00E34804">
      <w:pPr>
        <w:spacing w:after="0" w:line="240" w:lineRule="auto"/>
        <w:ind w:firstLine="567"/>
        <w:jc w:val="both"/>
        <w:rPr>
          <w:rFonts w:ascii="Arial" w:hAnsi="Arial" w:cs="Arial"/>
          <w:bCs/>
          <w:color w:val="000000"/>
        </w:rPr>
      </w:pPr>
      <w:r w:rsidRPr="00D76487">
        <w:rPr>
          <w:rFonts w:ascii="Arial" w:hAnsi="Arial" w:cs="Arial"/>
          <w:bCs/>
          <w:color w:val="000000"/>
        </w:rPr>
        <w:t>Ȋn tabelul nr.</w:t>
      </w:r>
      <w:r>
        <w:rPr>
          <w:rFonts w:ascii="Arial" w:hAnsi="Arial" w:cs="Arial"/>
          <w:bCs/>
          <w:color w:val="000000"/>
        </w:rPr>
        <w:t xml:space="preserve"> II.1</w:t>
      </w:r>
      <w:r w:rsidRPr="00D76487">
        <w:rPr>
          <w:rFonts w:ascii="Arial" w:hAnsi="Arial" w:cs="Arial"/>
          <w:bCs/>
          <w:color w:val="000000"/>
        </w:rPr>
        <w:t xml:space="preserve">.4. şi figura </w:t>
      </w:r>
      <w:r>
        <w:rPr>
          <w:rFonts w:ascii="Arial" w:hAnsi="Arial" w:cs="Arial"/>
          <w:bCs/>
          <w:color w:val="000000"/>
        </w:rPr>
        <w:t>II.1</w:t>
      </w:r>
      <w:r w:rsidRPr="00D76487">
        <w:rPr>
          <w:rFonts w:ascii="Arial" w:hAnsi="Arial" w:cs="Arial"/>
          <w:bCs/>
          <w:color w:val="000000"/>
        </w:rPr>
        <w:t>.</w:t>
      </w:r>
      <w:r>
        <w:rPr>
          <w:rFonts w:ascii="Arial" w:hAnsi="Arial" w:cs="Arial"/>
          <w:bCs/>
          <w:color w:val="000000"/>
        </w:rPr>
        <w:t>2</w:t>
      </w:r>
      <w:r w:rsidRPr="00D76487">
        <w:rPr>
          <w:rFonts w:ascii="Arial" w:hAnsi="Arial" w:cs="Arial"/>
          <w:bCs/>
          <w:color w:val="000000"/>
        </w:rPr>
        <w:t xml:space="preserve"> este redată sintetic tendinţa de evoluţie a nivelurilor</w:t>
      </w:r>
      <w:r w:rsidRPr="000761CB">
        <w:rPr>
          <w:rFonts w:ascii="Arial" w:hAnsi="Arial" w:cs="Arial"/>
          <w:bCs/>
          <w:color w:val="000000"/>
        </w:rPr>
        <w:t xml:space="preserve"> piezometrice medii anuale ȋn perioada  analizată. Astfel, creşterile s-au produs ȋn aproximativ 16% din numărul forajelor amplasate ȋn Câmpia Română, Piemontul Getic şi Subcarpaţii Getici, ȋn </w:t>
      </w:r>
      <w:r>
        <w:rPr>
          <w:rFonts w:ascii="Arial" w:hAnsi="Arial" w:cs="Arial"/>
          <w:bCs/>
          <w:color w:val="000000"/>
        </w:rPr>
        <w:t>15</w:t>
      </w:r>
      <w:r w:rsidRPr="000761CB">
        <w:rPr>
          <w:rFonts w:ascii="Arial" w:hAnsi="Arial" w:cs="Arial"/>
          <w:bCs/>
          <w:color w:val="000000"/>
        </w:rPr>
        <w:t xml:space="preserve">% ȋn Câmpia de Vest, Dealurile Crişanei şi Banatului, </w:t>
      </w:r>
      <w:r>
        <w:rPr>
          <w:rFonts w:ascii="Arial" w:hAnsi="Arial" w:cs="Arial"/>
          <w:bCs/>
          <w:color w:val="000000"/>
        </w:rPr>
        <w:t>ȋn 17</w:t>
      </w:r>
      <w:r w:rsidRPr="000761CB">
        <w:rPr>
          <w:rFonts w:ascii="Arial" w:hAnsi="Arial" w:cs="Arial"/>
          <w:bCs/>
          <w:color w:val="000000"/>
        </w:rPr>
        <w:t xml:space="preserve">% din totalul punctelor de măsurare din Depresiunea Transilvaniei şi depresiunile din Carpaţii Orientali </w:t>
      </w:r>
      <w:r>
        <w:rPr>
          <w:rFonts w:ascii="Arial" w:hAnsi="Arial" w:cs="Arial"/>
          <w:bCs/>
          <w:color w:val="000000"/>
        </w:rPr>
        <w:t xml:space="preserve">şi ȋn </w:t>
      </w:r>
      <w:r w:rsidRPr="000761CB">
        <w:rPr>
          <w:rFonts w:ascii="Arial" w:hAnsi="Arial" w:cs="Arial"/>
          <w:bCs/>
          <w:color w:val="000000"/>
        </w:rPr>
        <w:t>2</w:t>
      </w:r>
      <w:r>
        <w:rPr>
          <w:rFonts w:ascii="Arial" w:hAnsi="Arial" w:cs="Arial"/>
          <w:bCs/>
          <w:color w:val="000000"/>
        </w:rPr>
        <w:t>3</w:t>
      </w:r>
      <w:r w:rsidRPr="000761CB">
        <w:rPr>
          <w:rFonts w:ascii="Arial" w:hAnsi="Arial" w:cs="Arial"/>
          <w:bCs/>
          <w:color w:val="000000"/>
        </w:rPr>
        <w:t>% ȋn Podişul Moldovei, Subcarpaţii</w:t>
      </w:r>
      <w:r>
        <w:rPr>
          <w:rFonts w:ascii="Arial" w:hAnsi="Arial" w:cs="Arial"/>
          <w:bCs/>
          <w:color w:val="000000"/>
        </w:rPr>
        <w:t xml:space="preserve"> Orientali şi de Curbură.</w:t>
      </w:r>
    </w:p>
    <w:p w14:paraId="5F60AFDE" w14:textId="77777777" w:rsidR="00E34804" w:rsidRDefault="00E34804" w:rsidP="00E34804">
      <w:pPr>
        <w:spacing w:after="0" w:line="240" w:lineRule="auto"/>
        <w:ind w:firstLine="567"/>
        <w:jc w:val="both"/>
        <w:rPr>
          <w:rFonts w:ascii="Arial" w:hAnsi="Arial" w:cs="Arial"/>
          <w:bCs/>
          <w:color w:val="000000"/>
        </w:rPr>
      </w:pPr>
      <w:r w:rsidRPr="000761CB">
        <w:rPr>
          <w:rFonts w:ascii="Arial" w:hAnsi="Arial" w:cs="Arial"/>
          <w:bCs/>
          <w:color w:val="000000"/>
        </w:rPr>
        <w:t xml:space="preserve">Frecvenţa situaţiilor de descreştere a nivelurilor este mai mare de 75% ȋn Câmpia Română, Piemontul Getic şi Subcarpaţii Getici, ȋn Câmpia de Vest, Dealurile Crişanei şi Banatului, ȋn </w:t>
      </w:r>
      <w:r w:rsidRPr="000761CB">
        <w:rPr>
          <w:rFonts w:ascii="Arial" w:hAnsi="Arial" w:cs="Arial"/>
          <w:bCs/>
        </w:rPr>
        <w:t>Podişul Dobrogei</w:t>
      </w:r>
      <w:r w:rsidRPr="000761CB">
        <w:rPr>
          <w:rFonts w:ascii="Arial" w:hAnsi="Arial" w:cs="Arial"/>
          <w:bCs/>
          <w:color w:val="000000"/>
        </w:rPr>
        <w:t xml:space="preserve"> şi ȋn Podişul Moldovei, Subcarpaţii Orientali şi de Curbură.</w:t>
      </w:r>
    </w:p>
    <w:p w14:paraId="1B47C51F" w14:textId="6CAA8097" w:rsidR="00E34804" w:rsidRPr="00AD1226" w:rsidRDefault="00E34804" w:rsidP="00E34804">
      <w:pPr>
        <w:spacing w:before="120" w:after="120" w:line="240" w:lineRule="auto"/>
        <w:jc w:val="center"/>
        <w:rPr>
          <w:rFonts w:ascii="Arial" w:hAnsi="Arial" w:cs="Arial"/>
          <w:bCs/>
          <w:i/>
          <w:color w:val="000000"/>
          <w:sz w:val="20"/>
          <w:szCs w:val="20"/>
        </w:rPr>
      </w:pPr>
      <w:r w:rsidRPr="00D76487">
        <w:rPr>
          <w:rFonts w:ascii="Arial" w:hAnsi="Arial" w:cs="Arial"/>
          <w:bCs/>
          <w:i/>
          <w:color w:val="000000"/>
          <w:sz w:val="20"/>
          <w:szCs w:val="20"/>
        </w:rPr>
        <w:t>Tabelul nr.</w:t>
      </w:r>
      <w:r>
        <w:rPr>
          <w:rFonts w:ascii="Arial" w:hAnsi="Arial" w:cs="Arial"/>
          <w:bCs/>
          <w:i/>
          <w:color w:val="000000"/>
          <w:sz w:val="20"/>
          <w:szCs w:val="20"/>
        </w:rPr>
        <w:t>II.1</w:t>
      </w:r>
      <w:r w:rsidRPr="00D76487">
        <w:rPr>
          <w:rFonts w:ascii="Arial" w:hAnsi="Arial" w:cs="Arial"/>
          <w:bCs/>
          <w:i/>
          <w:color w:val="000000"/>
          <w:sz w:val="20"/>
          <w:szCs w:val="20"/>
        </w:rPr>
        <w:t>.4. –</w:t>
      </w:r>
      <w:r>
        <w:rPr>
          <w:rFonts w:ascii="Arial" w:hAnsi="Arial" w:cs="Arial"/>
          <w:bCs/>
          <w:i/>
          <w:color w:val="000000"/>
          <w:sz w:val="20"/>
          <w:szCs w:val="20"/>
        </w:rPr>
        <w:t xml:space="preserve"> </w:t>
      </w:r>
      <w:r w:rsidRPr="00D76487">
        <w:rPr>
          <w:rFonts w:ascii="Arial" w:hAnsi="Arial" w:cs="Arial"/>
          <w:bCs/>
          <w:i/>
          <w:color w:val="000000"/>
          <w:sz w:val="20"/>
          <w:szCs w:val="20"/>
        </w:rPr>
        <w:t>Evoluţia nivelurilor piezometrice ȋn perioada 2015-2022</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1"/>
        <w:gridCol w:w="1424"/>
        <w:gridCol w:w="1620"/>
        <w:gridCol w:w="1260"/>
        <w:gridCol w:w="1499"/>
      </w:tblGrid>
      <w:tr w:rsidR="00E34804" w:rsidRPr="00F5580F" w14:paraId="675E702A" w14:textId="77777777" w:rsidTr="00E34804">
        <w:trPr>
          <w:trHeight w:val="487"/>
          <w:jc w:val="center"/>
        </w:trPr>
        <w:tc>
          <w:tcPr>
            <w:tcW w:w="2981" w:type="dxa"/>
            <w:vMerge w:val="restart"/>
            <w:shd w:val="clear" w:color="auto" w:fill="auto"/>
            <w:vAlign w:val="center"/>
          </w:tcPr>
          <w:p w14:paraId="2B61F833"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Unitate geomorfologică</w:t>
            </w:r>
          </w:p>
        </w:tc>
        <w:tc>
          <w:tcPr>
            <w:tcW w:w="5803" w:type="dxa"/>
            <w:gridSpan w:val="4"/>
            <w:shd w:val="clear" w:color="auto" w:fill="auto"/>
            <w:vAlign w:val="center"/>
          </w:tcPr>
          <w:p w14:paraId="687B905F"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Tendinţa</w:t>
            </w:r>
          </w:p>
        </w:tc>
      </w:tr>
      <w:tr w:rsidR="00E34804" w:rsidRPr="00F5580F" w14:paraId="57947B44" w14:textId="77777777" w:rsidTr="00E34804">
        <w:trPr>
          <w:trHeight w:val="523"/>
          <w:jc w:val="center"/>
        </w:trPr>
        <w:tc>
          <w:tcPr>
            <w:tcW w:w="2981" w:type="dxa"/>
            <w:vMerge/>
            <w:shd w:val="clear" w:color="auto" w:fill="auto"/>
            <w:vAlign w:val="center"/>
          </w:tcPr>
          <w:p w14:paraId="2D01EB6D" w14:textId="77777777" w:rsidR="00E34804" w:rsidRPr="00E34804" w:rsidRDefault="00E34804" w:rsidP="00E34804">
            <w:pPr>
              <w:spacing w:after="0" w:line="240" w:lineRule="auto"/>
              <w:jc w:val="center"/>
              <w:rPr>
                <w:rFonts w:asciiTheme="minorBidi" w:hAnsiTheme="minorBidi"/>
                <w:b/>
                <w:sz w:val="20"/>
                <w:szCs w:val="20"/>
              </w:rPr>
            </w:pPr>
          </w:p>
        </w:tc>
        <w:tc>
          <w:tcPr>
            <w:tcW w:w="1424" w:type="dxa"/>
            <w:shd w:val="clear" w:color="auto" w:fill="auto"/>
            <w:vAlign w:val="center"/>
          </w:tcPr>
          <w:p w14:paraId="3DB18B37"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scădere</w:t>
            </w:r>
          </w:p>
        </w:tc>
        <w:tc>
          <w:tcPr>
            <w:tcW w:w="1620" w:type="dxa"/>
            <w:shd w:val="clear" w:color="auto" w:fill="auto"/>
            <w:vAlign w:val="center"/>
          </w:tcPr>
          <w:p w14:paraId="5F3695EB"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staţionaritate</w:t>
            </w:r>
          </w:p>
        </w:tc>
        <w:tc>
          <w:tcPr>
            <w:tcW w:w="1260" w:type="dxa"/>
            <w:shd w:val="clear" w:color="auto" w:fill="auto"/>
            <w:vAlign w:val="center"/>
          </w:tcPr>
          <w:p w14:paraId="4C224983"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creştere</w:t>
            </w:r>
          </w:p>
        </w:tc>
        <w:tc>
          <w:tcPr>
            <w:tcW w:w="1499" w:type="dxa"/>
            <w:shd w:val="clear" w:color="auto" w:fill="auto"/>
            <w:vAlign w:val="center"/>
          </w:tcPr>
          <w:p w14:paraId="5A6B0B11"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total</w:t>
            </w:r>
          </w:p>
        </w:tc>
      </w:tr>
      <w:tr w:rsidR="00E34804" w:rsidRPr="00F5580F" w14:paraId="4823B3EA" w14:textId="77777777" w:rsidTr="00E34804">
        <w:trPr>
          <w:trHeight w:val="525"/>
          <w:jc w:val="center"/>
        </w:trPr>
        <w:tc>
          <w:tcPr>
            <w:tcW w:w="2981" w:type="dxa"/>
            <w:shd w:val="clear" w:color="auto" w:fill="auto"/>
            <w:vAlign w:val="center"/>
          </w:tcPr>
          <w:p w14:paraId="7649D5B6"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bCs/>
                <w:color w:val="000000"/>
                <w:sz w:val="20"/>
                <w:szCs w:val="20"/>
              </w:rPr>
              <w:t>Câmpia Română, Piemontul Getic şi Subcarpaţii Getici</w:t>
            </w:r>
          </w:p>
        </w:tc>
        <w:tc>
          <w:tcPr>
            <w:tcW w:w="1424" w:type="dxa"/>
            <w:shd w:val="clear" w:color="auto" w:fill="auto"/>
            <w:vAlign w:val="center"/>
          </w:tcPr>
          <w:p w14:paraId="0998AA8C"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90</w:t>
            </w:r>
          </w:p>
        </w:tc>
        <w:tc>
          <w:tcPr>
            <w:tcW w:w="1620" w:type="dxa"/>
            <w:shd w:val="clear" w:color="auto" w:fill="auto"/>
            <w:vAlign w:val="center"/>
          </w:tcPr>
          <w:p w14:paraId="40D3610D"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4</w:t>
            </w:r>
          </w:p>
        </w:tc>
        <w:tc>
          <w:tcPr>
            <w:tcW w:w="1260" w:type="dxa"/>
            <w:shd w:val="clear" w:color="auto" w:fill="auto"/>
            <w:vAlign w:val="center"/>
          </w:tcPr>
          <w:p w14:paraId="083EFF4D"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18</w:t>
            </w:r>
          </w:p>
        </w:tc>
        <w:tc>
          <w:tcPr>
            <w:tcW w:w="1499" w:type="dxa"/>
            <w:shd w:val="clear" w:color="auto" w:fill="auto"/>
            <w:vAlign w:val="center"/>
          </w:tcPr>
          <w:p w14:paraId="73D4DCB3"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122</w:t>
            </w:r>
          </w:p>
        </w:tc>
      </w:tr>
      <w:tr w:rsidR="00E34804" w:rsidRPr="00F5580F" w14:paraId="071A4DB0" w14:textId="77777777" w:rsidTr="00E34804">
        <w:trPr>
          <w:trHeight w:val="381"/>
          <w:jc w:val="center"/>
        </w:trPr>
        <w:tc>
          <w:tcPr>
            <w:tcW w:w="2981" w:type="dxa"/>
            <w:shd w:val="clear" w:color="auto" w:fill="auto"/>
            <w:vAlign w:val="center"/>
          </w:tcPr>
          <w:p w14:paraId="1CB9FFA3"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w:t>
            </w:r>
          </w:p>
        </w:tc>
        <w:tc>
          <w:tcPr>
            <w:tcW w:w="1424" w:type="dxa"/>
            <w:shd w:val="clear" w:color="auto" w:fill="auto"/>
            <w:vAlign w:val="center"/>
          </w:tcPr>
          <w:p w14:paraId="2690CBB6"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80</w:t>
            </w:r>
          </w:p>
        </w:tc>
        <w:tc>
          <w:tcPr>
            <w:tcW w:w="1620" w:type="dxa"/>
            <w:shd w:val="clear" w:color="auto" w:fill="auto"/>
            <w:vAlign w:val="center"/>
          </w:tcPr>
          <w:p w14:paraId="1BE3C123"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4</w:t>
            </w:r>
          </w:p>
        </w:tc>
        <w:tc>
          <w:tcPr>
            <w:tcW w:w="1260" w:type="dxa"/>
            <w:shd w:val="clear" w:color="auto" w:fill="auto"/>
            <w:vAlign w:val="center"/>
          </w:tcPr>
          <w:p w14:paraId="0B752227"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16</w:t>
            </w:r>
          </w:p>
        </w:tc>
        <w:tc>
          <w:tcPr>
            <w:tcW w:w="1499" w:type="dxa"/>
            <w:shd w:val="clear" w:color="auto" w:fill="auto"/>
            <w:vAlign w:val="center"/>
          </w:tcPr>
          <w:p w14:paraId="27ABDBC1"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100</w:t>
            </w:r>
          </w:p>
        </w:tc>
      </w:tr>
      <w:tr w:rsidR="00E34804" w:rsidRPr="00F5580F" w14:paraId="3252C52B" w14:textId="77777777" w:rsidTr="00E34804">
        <w:trPr>
          <w:trHeight w:val="503"/>
          <w:jc w:val="center"/>
        </w:trPr>
        <w:tc>
          <w:tcPr>
            <w:tcW w:w="2981" w:type="dxa"/>
            <w:shd w:val="clear" w:color="auto" w:fill="auto"/>
            <w:vAlign w:val="center"/>
          </w:tcPr>
          <w:p w14:paraId="172312DC"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bCs/>
                <w:color w:val="000000"/>
                <w:sz w:val="20"/>
                <w:szCs w:val="20"/>
              </w:rPr>
              <w:t>Câmpia de Vest, Dealurile Crişanei şi Banatului</w:t>
            </w:r>
          </w:p>
        </w:tc>
        <w:tc>
          <w:tcPr>
            <w:tcW w:w="1424" w:type="dxa"/>
            <w:shd w:val="clear" w:color="auto" w:fill="auto"/>
            <w:vAlign w:val="center"/>
          </w:tcPr>
          <w:p w14:paraId="3797450F"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51</w:t>
            </w:r>
          </w:p>
        </w:tc>
        <w:tc>
          <w:tcPr>
            <w:tcW w:w="1620" w:type="dxa"/>
            <w:shd w:val="clear" w:color="auto" w:fill="auto"/>
            <w:vAlign w:val="center"/>
          </w:tcPr>
          <w:p w14:paraId="414120B3"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5</w:t>
            </w:r>
          </w:p>
        </w:tc>
        <w:tc>
          <w:tcPr>
            <w:tcW w:w="1260" w:type="dxa"/>
            <w:shd w:val="clear" w:color="auto" w:fill="auto"/>
            <w:vAlign w:val="center"/>
          </w:tcPr>
          <w:p w14:paraId="7A903B1B"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w:t>
            </w:r>
          </w:p>
        </w:tc>
        <w:tc>
          <w:tcPr>
            <w:tcW w:w="1499" w:type="dxa"/>
            <w:shd w:val="clear" w:color="auto" w:fill="auto"/>
            <w:vAlign w:val="center"/>
          </w:tcPr>
          <w:p w14:paraId="0A3870F9"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66</w:t>
            </w:r>
          </w:p>
        </w:tc>
      </w:tr>
      <w:tr w:rsidR="00E34804" w:rsidRPr="00F5580F" w14:paraId="4BE86E1C" w14:textId="77777777" w:rsidTr="00E34804">
        <w:trPr>
          <w:trHeight w:val="282"/>
          <w:jc w:val="center"/>
        </w:trPr>
        <w:tc>
          <w:tcPr>
            <w:tcW w:w="2981" w:type="dxa"/>
            <w:shd w:val="clear" w:color="auto" w:fill="auto"/>
            <w:vAlign w:val="center"/>
          </w:tcPr>
          <w:p w14:paraId="2C62CBC1"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w:t>
            </w:r>
          </w:p>
        </w:tc>
        <w:tc>
          <w:tcPr>
            <w:tcW w:w="1424" w:type="dxa"/>
            <w:shd w:val="clear" w:color="auto" w:fill="auto"/>
            <w:vAlign w:val="center"/>
          </w:tcPr>
          <w:p w14:paraId="652F6960"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77</w:t>
            </w:r>
          </w:p>
        </w:tc>
        <w:tc>
          <w:tcPr>
            <w:tcW w:w="1620" w:type="dxa"/>
            <w:shd w:val="clear" w:color="auto" w:fill="auto"/>
            <w:vAlign w:val="center"/>
          </w:tcPr>
          <w:p w14:paraId="66EA85E7"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8</w:t>
            </w:r>
          </w:p>
        </w:tc>
        <w:tc>
          <w:tcPr>
            <w:tcW w:w="1260" w:type="dxa"/>
            <w:shd w:val="clear" w:color="auto" w:fill="auto"/>
            <w:vAlign w:val="center"/>
          </w:tcPr>
          <w:p w14:paraId="4E1FDCB0"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15</w:t>
            </w:r>
          </w:p>
        </w:tc>
        <w:tc>
          <w:tcPr>
            <w:tcW w:w="1499" w:type="dxa"/>
            <w:shd w:val="clear" w:color="auto" w:fill="auto"/>
            <w:vAlign w:val="center"/>
          </w:tcPr>
          <w:p w14:paraId="376229C0"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100</w:t>
            </w:r>
          </w:p>
        </w:tc>
      </w:tr>
      <w:tr w:rsidR="00E34804" w:rsidRPr="00F5580F" w14:paraId="7B675C86" w14:textId="77777777" w:rsidTr="00E34804">
        <w:trPr>
          <w:trHeight w:val="350"/>
          <w:jc w:val="center"/>
        </w:trPr>
        <w:tc>
          <w:tcPr>
            <w:tcW w:w="2981" w:type="dxa"/>
            <w:shd w:val="clear" w:color="auto" w:fill="auto"/>
            <w:vAlign w:val="center"/>
          </w:tcPr>
          <w:p w14:paraId="2ED50D54"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bCs/>
                <w:sz w:val="20"/>
                <w:szCs w:val="20"/>
              </w:rPr>
              <w:t>Depresiunea Transilvaniei</w:t>
            </w:r>
            <w:r w:rsidRPr="00E34804">
              <w:rPr>
                <w:rFonts w:asciiTheme="minorBidi" w:hAnsiTheme="minorBidi"/>
                <w:sz w:val="20"/>
                <w:szCs w:val="20"/>
              </w:rPr>
              <w:t xml:space="preserve"> şi depresiunile din Carpații Orientali</w:t>
            </w:r>
          </w:p>
        </w:tc>
        <w:tc>
          <w:tcPr>
            <w:tcW w:w="1424" w:type="dxa"/>
            <w:shd w:val="clear" w:color="auto" w:fill="auto"/>
            <w:vAlign w:val="center"/>
          </w:tcPr>
          <w:p w14:paraId="3E6D0B3C"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24</w:t>
            </w:r>
          </w:p>
        </w:tc>
        <w:tc>
          <w:tcPr>
            <w:tcW w:w="1620" w:type="dxa"/>
            <w:shd w:val="clear" w:color="auto" w:fill="auto"/>
            <w:vAlign w:val="center"/>
          </w:tcPr>
          <w:p w14:paraId="7854CDB7"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9</w:t>
            </w:r>
          </w:p>
        </w:tc>
        <w:tc>
          <w:tcPr>
            <w:tcW w:w="1260" w:type="dxa"/>
            <w:shd w:val="clear" w:color="auto" w:fill="auto"/>
            <w:vAlign w:val="center"/>
          </w:tcPr>
          <w:p w14:paraId="6864EC46"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7</w:t>
            </w:r>
          </w:p>
        </w:tc>
        <w:tc>
          <w:tcPr>
            <w:tcW w:w="1499" w:type="dxa"/>
            <w:shd w:val="clear" w:color="auto" w:fill="auto"/>
            <w:vAlign w:val="center"/>
          </w:tcPr>
          <w:p w14:paraId="02C930F2"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40</w:t>
            </w:r>
          </w:p>
        </w:tc>
      </w:tr>
      <w:tr w:rsidR="00E34804" w:rsidRPr="00F5580F" w14:paraId="6002D0E5" w14:textId="77777777" w:rsidTr="00E34804">
        <w:trPr>
          <w:trHeight w:val="336"/>
          <w:jc w:val="center"/>
        </w:trPr>
        <w:tc>
          <w:tcPr>
            <w:tcW w:w="2981" w:type="dxa"/>
            <w:shd w:val="clear" w:color="auto" w:fill="auto"/>
            <w:vAlign w:val="center"/>
          </w:tcPr>
          <w:p w14:paraId="47556BC1"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w:t>
            </w:r>
          </w:p>
        </w:tc>
        <w:tc>
          <w:tcPr>
            <w:tcW w:w="1424" w:type="dxa"/>
            <w:shd w:val="clear" w:color="auto" w:fill="auto"/>
            <w:vAlign w:val="center"/>
          </w:tcPr>
          <w:p w14:paraId="3313AB3F"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60</w:t>
            </w:r>
          </w:p>
        </w:tc>
        <w:tc>
          <w:tcPr>
            <w:tcW w:w="1620" w:type="dxa"/>
            <w:shd w:val="clear" w:color="auto" w:fill="auto"/>
            <w:vAlign w:val="center"/>
          </w:tcPr>
          <w:p w14:paraId="149D6B74"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23</w:t>
            </w:r>
          </w:p>
        </w:tc>
        <w:tc>
          <w:tcPr>
            <w:tcW w:w="1260" w:type="dxa"/>
            <w:shd w:val="clear" w:color="auto" w:fill="auto"/>
            <w:vAlign w:val="center"/>
          </w:tcPr>
          <w:p w14:paraId="762FF344"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17</w:t>
            </w:r>
          </w:p>
        </w:tc>
        <w:tc>
          <w:tcPr>
            <w:tcW w:w="1499" w:type="dxa"/>
            <w:shd w:val="clear" w:color="auto" w:fill="auto"/>
            <w:vAlign w:val="center"/>
          </w:tcPr>
          <w:p w14:paraId="28946566"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100</w:t>
            </w:r>
          </w:p>
        </w:tc>
      </w:tr>
      <w:tr w:rsidR="00E34804" w:rsidRPr="00F5580F" w14:paraId="2EFEC36F" w14:textId="77777777" w:rsidTr="00E34804">
        <w:trPr>
          <w:trHeight w:val="534"/>
          <w:jc w:val="center"/>
        </w:trPr>
        <w:tc>
          <w:tcPr>
            <w:tcW w:w="2981" w:type="dxa"/>
            <w:shd w:val="clear" w:color="auto" w:fill="auto"/>
            <w:vAlign w:val="center"/>
          </w:tcPr>
          <w:p w14:paraId="6714CF09"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bCs/>
                <w:sz w:val="20"/>
                <w:szCs w:val="20"/>
              </w:rPr>
              <w:t>Podişul Moldovei,</w:t>
            </w:r>
            <w:r w:rsidRPr="00E34804">
              <w:rPr>
                <w:rFonts w:asciiTheme="minorBidi" w:hAnsiTheme="minorBidi"/>
                <w:sz w:val="20"/>
                <w:szCs w:val="20"/>
              </w:rPr>
              <w:t xml:space="preserve"> Subcarpații Orientali şi de Curbură</w:t>
            </w:r>
          </w:p>
        </w:tc>
        <w:tc>
          <w:tcPr>
            <w:tcW w:w="1424" w:type="dxa"/>
            <w:shd w:val="clear" w:color="auto" w:fill="auto"/>
            <w:vAlign w:val="center"/>
          </w:tcPr>
          <w:p w14:paraId="2457710D"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28</w:t>
            </w:r>
          </w:p>
        </w:tc>
        <w:tc>
          <w:tcPr>
            <w:tcW w:w="1620" w:type="dxa"/>
            <w:shd w:val="clear" w:color="auto" w:fill="auto"/>
            <w:vAlign w:val="center"/>
          </w:tcPr>
          <w:p w14:paraId="4998BEF6"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2</w:t>
            </w:r>
          </w:p>
        </w:tc>
        <w:tc>
          <w:tcPr>
            <w:tcW w:w="1260" w:type="dxa"/>
            <w:shd w:val="clear" w:color="auto" w:fill="auto"/>
            <w:vAlign w:val="center"/>
          </w:tcPr>
          <w:p w14:paraId="03E2C8E6"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9</w:t>
            </w:r>
          </w:p>
        </w:tc>
        <w:tc>
          <w:tcPr>
            <w:tcW w:w="1499" w:type="dxa"/>
            <w:shd w:val="clear" w:color="auto" w:fill="auto"/>
            <w:vAlign w:val="center"/>
          </w:tcPr>
          <w:p w14:paraId="2E41D7C1"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39</w:t>
            </w:r>
          </w:p>
        </w:tc>
      </w:tr>
      <w:tr w:rsidR="00E34804" w:rsidRPr="00F5580F" w14:paraId="3D9DD36C" w14:textId="77777777" w:rsidTr="00E34804">
        <w:trPr>
          <w:trHeight w:val="345"/>
          <w:jc w:val="center"/>
        </w:trPr>
        <w:tc>
          <w:tcPr>
            <w:tcW w:w="2981" w:type="dxa"/>
            <w:shd w:val="clear" w:color="auto" w:fill="auto"/>
            <w:vAlign w:val="center"/>
          </w:tcPr>
          <w:p w14:paraId="7E9C3543"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w:t>
            </w:r>
          </w:p>
        </w:tc>
        <w:tc>
          <w:tcPr>
            <w:tcW w:w="1424" w:type="dxa"/>
            <w:shd w:val="clear" w:color="auto" w:fill="auto"/>
            <w:vAlign w:val="center"/>
          </w:tcPr>
          <w:p w14:paraId="49B45788"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72</w:t>
            </w:r>
          </w:p>
        </w:tc>
        <w:tc>
          <w:tcPr>
            <w:tcW w:w="1620" w:type="dxa"/>
            <w:shd w:val="clear" w:color="auto" w:fill="auto"/>
            <w:vAlign w:val="center"/>
          </w:tcPr>
          <w:p w14:paraId="268ED08D"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5</w:t>
            </w:r>
          </w:p>
        </w:tc>
        <w:tc>
          <w:tcPr>
            <w:tcW w:w="1260" w:type="dxa"/>
            <w:shd w:val="clear" w:color="auto" w:fill="auto"/>
            <w:vAlign w:val="center"/>
          </w:tcPr>
          <w:p w14:paraId="4FE38A63"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23</w:t>
            </w:r>
          </w:p>
        </w:tc>
        <w:tc>
          <w:tcPr>
            <w:tcW w:w="1499" w:type="dxa"/>
            <w:shd w:val="clear" w:color="auto" w:fill="auto"/>
            <w:vAlign w:val="center"/>
          </w:tcPr>
          <w:p w14:paraId="6740D7A5"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100</w:t>
            </w:r>
          </w:p>
        </w:tc>
      </w:tr>
      <w:tr w:rsidR="00E34804" w:rsidRPr="00F5580F" w14:paraId="16C6A54F" w14:textId="77777777" w:rsidTr="00E34804">
        <w:trPr>
          <w:trHeight w:val="371"/>
          <w:jc w:val="center"/>
        </w:trPr>
        <w:tc>
          <w:tcPr>
            <w:tcW w:w="2981" w:type="dxa"/>
            <w:shd w:val="clear" w:color="auto" w:fill="auto"/>
            <w:vAlign w:val="center"/>
          </w:tcPr>
          <w:p w14:paraId="6AC4A116"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bCs/>
                <w:sz w:val="20"/>
                <w:szCs w:val="20"/>
              </w:rPr>
              <w:t>Podişul Dobrogei</w:t>
            </w:r>
          </w:p>
        </w:tc>
        <w:tc>
          <w:tcPr>
            <w:tcW w:w="1424" w:type="dxa"/>
            <w:shd w:val="clear" w:color="auto" w:fill="auto"/>
            <w:vAlign w:val="center"/>
          </w:tcPr>
          <w:p w14:paraId="1464B471"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7</w:t>
            </w:r>
          </w:p>
        </w:tc>
        <w:tc>
          <w:tcPr>
            <w:tcW w:w="1620" w:type="dxa"/>
            <w:shd w:val="clear" w:color="auto" w:fill="auto"/>
            <w:vAlign w:val="center"/>
          </w:tcPr>
          <w:p w14:paraId="766B18A8"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w:t>
            </w:r>
          </w:p>
        </w:tc>
        <w:tc>
          <w:tcPr>
            <w:tcW w:w="1260" w:type="dxa"/>
            <w:shd w:val="clear" w:color="auto" w:fill="auto"/>
            <w:vAlign w:val="center"/>
          </w:tcPr>
          <w:p w14:paraId="059DDB6C"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w:t>
            </w:r>
          </w:p>
        </w:tc>
        <w:tc>
          <w:tcPr>
            <w:tcW w:w="1499" w:type="dxa"/>
            <w:shd w:val="clear" w:color="auto" w:fill="auto"/>
            <w:vAlign w:val="center"/>
          </w:tcPr>
          <w:p w14:paraId="13F7716A"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9</w:t>
            </w:r>
          </w:p>
        </w:tc>
      </w:tr>
      <w:tr w:rsidR="00E34804" w:rsidRPr="00F5580F" w14:paraId="2E150EA6" w14:textId="77777777" w:rsidTr="00E34804">
        <w:trPr>
          <w:trHeight w:val="318"/>
          <w:jc w:val="center"/>
        </w:trPr>
        <w:tc>
          <w:tcPr>
            <w:tcW w:w="2981" w:type="dxa"/>
            <w:shd w:val="clear" w:color="auto" w:fill="auto"/>
            <w:vAlign w:val="center"/>
          </w:tcPr>
          <w:p w14:paraId="5DC08B35"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w:t>
            </w:r>
          </w:p>
        </w:tc>
        <w:tc>
          <w:tcPr>
            <w:tcW w:w="1424" w:type="dxa"/>
            <w:shd w:val="clear" w:color="auto" w:fill="auto"/>
            <w:vAlign w:val="center"/>
          </w:tcPr>
          <w:p w14:paraId="3EA96358"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78</w:t>
            </w:r>
          </w:p>
        </w:tc>
        <w:tc>
          <w:tcPr>
            <w:tcW w:w="1620" w:type="dxa"/>
            <w:shd w:val="clear" w:color="auto" w:fill="auto"/>
            <w:vAlign w:val="center"/>
          </w:tcPr>
          <w:p w14:paraId="035500D0"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11</w:t>
            </w:r>
          </w:p>
        </w:tc>
        <w:tc>
          <w:tcPr>
            <w:tcW w:w="1260" w:type="dxa"/>
            <w:shd w:val="clear" w:color="auto" w:fill="auto"/>
            <w:vAlign w:val="center"/>
          </w:tcPr>
          <w:p w14:paraId="6F0CD6DE"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11</w:t>
            </w:r>
          </w:p>
        </w:tc>
        <w:tc>
          <w:tcPr>
            <w:tcW w:w="1499" w:type="dxa"/>
            <w:shd w:val="clear" w:color="auto" w:fill="auto"/>
            <w:vAlign w:val="center"/>
          </w:tcPr>
          <w:p w14:paraId="5A9C0267"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100</w:t>
            </w:r>
          </w:p>
        </w:tc>
      </w:tr>
      <w:tr w:rsidR="00E34804" w:rsidRPr="00A0616C" w14:paraId="1F6E6160" w14:textId="77777777" w:rsidTr="00E34804">
        <w:trPr>
          <w:trHeight w:val="354"/>
          <w:jc w:val="center"/>
        </w:trPr>
        <w:tc>
          <w:tcPr>
            <w:tcW w:w="2981" w:type="dxa"/>
            <w:shd w:val="clear" w:color="auto" w:fill="auto"/>
            <w:vAlign w:val="center"/>
          </w:tcPr>
          <w:p w14:paraId="78DFB8FD"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ROMÂNIA</w:t>
            </w:r>
          </w:p>
        </w:tc>
        <w:tc>
          <w:tcPr>
            <w:tcW w:w="1424" w:type="dxa"/>
            <w:shd w:val="clear" w:color="auto" w:fill="auto"/>
            <w:vAlign w:val="center"/>
          </w:tcPr>
          <w:p w14:paraId="39C8B513"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200</w:t>
            </w:r>
          </w:p>
        </w:tc>
        <w:tc>
          <w:tcPr>
            <w:tcW w:w="1620" w:type="dxa"/>
            <w:shd w:val="clear" w:color="auto" w:fill="auto"/>
            <w:vAlign w:val="center"/>
          </w:tcPr>
          <w:p w14:paraId="63D77AC8"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21</w:t>
            </w:r>
          </w:p>
        </w:tc>
        <w:tc>
          <w:tcPr>
            <w:tcW w:w="1260" w:type="dxa"/>
            <w:shd w:val="clear" w:color="auto" w:fill="auto"/>
            <w:vAlign w:val="center"/>
          </w:tcPr>
          <w:p w14:paraId="5C8E458A"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45</w:t>
            </w:r>
          </w:p>
        </w:tc>
        <w:tc>
          <w:tcPr>
            <w:tcW w:w="1499" w:type="dxa"/>
            <w:shd w:val="clear" w:color="auto" w:fill="auto"/>
            <w:vAlign w:val="center"/>
          </w:tcPr>
          <w:p w14:paraId="590E94C6" w14:textId="77777777" w:rsidR="00E34804" w:rsidRPr="00E34804" w:rsidRDefault="00E34804" w:rsidP="00E34804">
            <w:pPr>
              <w:spacing w:after="0" w:line="240" w:lineRule="auto"/>
              <w:jc w:val="center"/>
              <w:rPr>
                <w:rFonts w:asciiTheme="minorBidi" w:hAnsiTheme="minorBidi"/>
                <w:b/>
                <w:sz w:val="20"/>
                <w:szCs w:val="20"/>
              </w:rPr>
            </w:pPr>
            <w:r w:rsidRPr="00E34804">
              <w:rPr>
                <w:rFonts w:asciiTheme="minorBidi" w:hAnsiTheme="minorBidi"/>
                <w:b/>
                <w:sz w:val="20"/>
                <w:szCs w:val="20"/>
              </w:rPr>
              <w:t>266</w:t>
            </w:r>
          </w:p>
        </w:tc>
      </w:tr>
      <w:tr w:rsidR="00E34804" w:rsidRPr="00F5580F" w14:paraId="1B69BD24" w14:textId="77777777" w:rsidTr="00E34804">
        <w:trPr>
          <w:trHeight w:val="363"/>
          <w:jc w:val="center"/>
        </w:trPr>
        <w:tc>
          <w:tcPr>
            <w:tcW w:w="2981" w:type="dxa"/>
            <w:shd w:val="clear" w:color="auto" w:fill="auto"/>
            <w:vAlign w:val="center"/>
          </w:tcPr>
          <w:p w14:paraId="689A5380"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w:t>
            </w:r>
          </w:p>
        </w:tc>
        <w:tc>
          <w:tcPr>
            <w:tcW w:w="1424" w:type="dxa"/>
            <w:shd w:val="clear" w:color="auto" w:fill="auto"/>
            <w:vAlign w:val="center"/>
          </w:tcPr>
          <w:p w14:paraId="0382351D"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75</w:t>
            </w:r>
          </w:p>
        </w:tc>
        <w:tc>
          <w:tcPr>
            <w:tcW w:w="1620" w:type="dxa"/>
            <w:shd w:val="clear" w:color="auto" w:fill="auto"/>
            <w:vAlign w:val="center"/>
          </w:tcPr>
          <w:p w14:paraId="353C4452"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8</w:t>
            </w:r>
          </w:p>
        </w:tc>
        <w:tc>
          <w:tcPr>
            <w:tcW w:w="1260" w:type="dxa"/>
            <w:shd w:val="clear" w:color="auto" w:fill="auto"/>
            <w:vAlign w:val="center"/>
          </w:tcPr>
          <w:p w14:paraId="6415CCC3"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17</w:t>
            </w:r>
          </w:p>
        </w:tc>
        <w:tc>
          <w:tcPr>
            <w:tcW w:w="1499" w:type="dxa"/>
            <w:shd w:val="clear" w:color="auto" w:fill="auto"/>
            <w:vAlign w:val="center"/>
          </w:tcPr>
          <w:p w14:paraId="335D3FEA" w14:textId="77777777" w:rsidR="00E34804" w:rsidRPr="00E34804" w:rsidRDefault="00E34804" w:rsidP="00E34804">
            <w:pPr>
              <w:spacing w:after="0" w:line="240" w:lineRule="auto"/>
              <w:jc w:val="center"/>
              <w:rPr>
                <w:rFonts w:asciiTheme="minorBidi" w:hAnsiTheme="minorBidi"/>
                <w:sz w:val="20"/>
                <w:szCs w:val="20"/>
              </w:rPr>
            </w:pPr>
            <w:r w:rsidRPr="00E34804">
              <w:rPr>
                <w:rFonts w:asciiTheme="minorBidi" w:hAnsiTheme="minorBidi"/>
                <w:sz w:val="20"/>
                <w:szCs w:val="20"/>
              </w:rPr>
              <w:t>100</w:t>
            </w:r>
          </w:p>
        </w:tc>
      </w:tr>
    </w:tbl>
    <w:p w14:paraId="4289CC58" w14:textId="77777777" w:rsidR="00E34804" w:rsidRDefault="00E34804" w:rsidP="00E34804">
      <w:pPr>
        <w:spacing w:after="120" w:line="240" w:lineRule="auto"/>
        <w:jc w:val="center"/>
        <w:rPr>
          <w:rFonts w:ascii="Arial" w:hAnsi="Arial" w:cs="Arial"/>
          <w:bCs/>
          <w:i/>
          <w:color w:val="000000"/>
          <w:sz w:val="20"/>
          <w:szCs w:val="20"/>
        </w:rPr>
      </w:pPr>
    </w:p>
    <w:p w14:paraId="43775302" w14:textId="77777777" w:rsidR="00E34804" w:rsidRDefault="00E34804" w:rsidP="00E34804">
      <w:pPr>
        <w:spacing w:after="120" w:line="240" w:lineRule="auto"/>
        <w:jc w:val="center"/>
        <w:rPr>
          <w:rFonts w:ascii="Arial" w:hAnsi="Arial" w:cs="Arial"/>
          <w:bCs/>
          <w:i/>
          <w:color w:val="000000"/>
          <w:sz w:val="20"/>
          <w:szCs w:val="20"/>
        </w:rPr>
      </w:pPr>
    </w:p>
    <w:p w14:paraId="3B7123A3" w14:textId="77777777" w:rsidR="00E34804" w:rsidRDefault="00E34804" w:rsidP="00E34804">
      <w:pPr>
        <w:spacing w:after="0" w:line="240" w:lineRule="auto"/>
        <w:ind w:firstLine="567"/>
        <w:rPr>
          <w:rFonts w:ascii="Arial" w:hAnsi="Arial" w:cs="Arial"/>
        </w:rPr>
      </w:pPr>
      <w:r w:rsidRPr="006C025C">
        <w:rPr>
          <w:rFonts w:ascii="Arial" w:hAnsi="Arial" w:cs="Arial"/>
        </w:rPr>
        <w:lastRenderedPageBreak/>
        <w:t xml:space="preserve">Creşterile de nivel piezometric s-au ȋnregistrat </w:t>
      </w:r>
      <w:r>
        <w:rPr>
          <w:rFonts w:ascii="Arial" w:hAnsi="Arial" w:cs="Arial"/>
        </w:rPr>
        <w:t xml:space="preserve">local, </w:t>
      </w:r>
      <w:r w:rsidRPr="006C025C">
        <w:rPr>
          <w:rFonts w:ascii="Arial" w:hAnsi="Arial" w:cs="Arial"/>
        </w:rPr>
        <w:t>după cum urmează:</w:t>
      </w:r>
    </w:p>
    <w:p w14:paraId="7E70EB9E" w14:textId="77777777" w:rsidR="00E34804" w:rsidRPr="006C025C" w:rsidRDefault="00E34804" w:rsidP="00E34804">
      <w:pPr>
        <w:spacing w:after="0" w:line="240" w:lineRule="auto"/>
        <w:ind w:firstLine="567"/>
        <w:rPr>
          <w:rFonts w:ascii="Arial" w:hAnsi="Arial" w:cs="Arial"/>
        </w:rPr>
      </w:pPr>
    </w:p>
    <w:p w14:paraId="4D0C1092" w14:textId="77777777" w:rsidR="00E34804" w:rsidRPr="006C025C" w:rsidRDefault="00E34804" w:rsidP="0054709F">
      <w:pPr>
        <w:numPr>
          <w:ilvl w:val="0"/>
          <w:numId w:val="2"/>
        </w:numPr>
        <w:spacing w:after="0" w:line="240" w:lineRule="auto"/>
        <w:ind w:left="986" w:hanging="357"/>
        <w:jc w:val="both"/>
        <w:rPr>
          <w:rFonts w:ascii="Arial" w:hAnsi="Arial" w:cs="Arial"/>
          <w:b/>
        </w:rPr>
      </w:pPr>
      <w:r w:rsidRPr="006C025C">
        <w:rPr>
          <w:rFonts w:ascii="Arial" w:hAnsi="Arial" w:cs="Arial"/>
          <w:b/>
          <w:bCs/>
        </w:rPr>
        <w:t>Câmpia Română</w:t>
      </w:r>
      <w:r w:rsidRPr="006C025C">
        <w:rPr>
          <w:rFonts w:ascii="Arial" w:hAnsi="Arial" w:cs="Arial"/>
          <w:b/>
        </w:rPr>
        <w:t>, Piemontul Getic şi Subcarpații Getici</w:t>
      </w:r>
    </w:p>
    <w:p w14:paraId="62E49AC3" w14:textId="77777777" w:rsidR="00E34804" w:rsidRPr="006C025C" w:rsidRDefault="00E34804" w:rsidP="0054709F">
      <w:pPr>
        <w:numPr>
          <w:ilvl w:val="0"/>
          <w:numId w:val="3"/>
        </w:numPr>
        <w:spacing w:after="0" w:line="240" w:lineRule="auto"/>
        <w:jc w:val="both"/>
        <w:rPr>
          <w:rFonts w:ascii="Arial" w:hAnsi="Arial" w:cs="Arial"/>
        </w:rPr>
      </w:pPr>
      <w:r w:rsidRPr="006C025C">
        <w:rPr>
          <w:rFonts w:ascii="Arial" w:hAnsi="Arial" w:cs="Arial"/>
        </w:rPr>
        <w:t>Câmpia Băileştiului (A.B.A. Jiu);</w:t>
      </w:r>
    </w:p>
    <w:p w14:paraId="77120FFD" w14:textId="77777777" w:rsidR="00E34804" w:rsidRPr="006C025C" w:rsidRDefault="00E34804" w:rsidP="0054709F">
      <w:pPr>
        <w:numPr>
          <w:ilvl w:val="0"/>
          <w:numId w:val="3"/>
        </w:numPr>
        <w:spacing w:after="0" w:line="240" w:lineRule="auto"/>
        <w:jc w:val="both"/>
        <w:rPr>
          <w:rFonts w:ascii="Arial" w:hAnsi="Arial" w:cs="Arial"/>
        </w:rPr>
      </w:pPr>
      <w:r w:rsidRPr="006C025C">
        <w:rPr>
          <w:rFonts w:ascii="Arial" w:hAnsi="Arial" w:cs="Arial"/>
        </w:rPr>
        <w:t>Lunca Oltului (A.B.A. Olt)</w:t>
      </w:r>
    </w:p>
    <w:p w14:paraId="0AFC655C" w14:textId="77777777" w:rsidR="00E34804" w:rsidRPr="006C025C" w:rsidRDefault="00E34804" w:rsidP="0054709F">
      <w:pPr>
        <w:numPr>
          <w:ilvl w:val="0"/>
          <w:numId w:val="3"/>
        </w:numPr>
        <w:spacing w:after="0" w:line="240" w:lineRule="auto"/>
        <w:jc w:val="both"/>
        <w:rPr>
          <w:rFonts w:ascii="Arial" w:hAnsi="Arial" w:cs="Arial"/>
        </w:rPr>
      </w:pPr>
      <w:r w:rsidRPr="006C025C">
        <w:rPr>
          <w:rFonts w:ascii="Arial" w:hAnsi="Arial" w:cs="Arial"/>
        </w:rPr>
        <w:t>Câmpiile: Burdea, Câlniştea, Ilfov, Otopeni, Piteşti, Lunca Argeşului (A.B.A. Argeş-Vedea);</w:t>
      </w:r>
    </w:p>
    <w:p w14:paraId="0FC9250F" w14:textId="77777777" w:rsidR="00E34804" w:rsidRPr="006C025C" w:rsidRDefault="00E34804" w:rsidP="0054709F">
      <w:pPr>
        <w:numPr>
          <w:ilvl w:val="0"/>
          <w:numId w:val="3"/>
        </w:numPr>
        <w:spacing w:after="0" w:line="240" w:lineRule="auto"/>
        <w:jc w:val="both"/>
        <w:rPr>
          <w:rFonts w:ascii="Arial" w:hAnsi="Arial" w:cs="Arial"/>
        </w:rPr>
      </w:pPr>
      <w:r w:rsidRPr="006C025C">
        <w:rPr>
          <w:rFonts w:ascii="Arial" w:hAnsi="Arial" w:cs="Arial"/>
        </w:rPr>
        <w:t xml:space="preserve">Lunca Călmăiului, Câmpurile </w:t>
      </w:r>
      <w:r w:rsidRPr="006C025C">
        <w:rPr>
          <w:rFonts w:ascii="Arial" w:hAnsi="Arial" w:cs="Arial"/>
          <w:color w:val="000000"/>
          <w:lang w:eastAsia="ro-RO"/>
        </w:rPr>
        <w:t>Urziceni, Viziru, Râmnic, Hagieni, Conul Buzăului</w:t>
      </w:r>
      <w:r w:rsidRPr="006C025C">
        <w:rPr>
          <w:rFonts w:ascii="Arial" w:hAnsi="Arial" w:cs="Arial"/>
        </w:rPr>
        <w:t xml:space="preserve"> (A.B.A. Ialomiţa-Buzău);</w:t>
      </w:r>
    </w:p>
    <w:p w14:paraId="329F717D" w14:textId="77777777" w:rsidR="00E34804" w:rsidRPr="006C025C" w:rsidRDefault="00E34804" w:rsidP="0054709F">
      <w:pPr>
        <w:numPr>
          <w:ilvl w:val="0"/>
          <w:numId w:val="3"/>
        </w:numPr>
        <w:spacing w:after="0" w:line="240" w:lineRule="auto"/>
        <w:jc w:val="both"/>
        <w:rPr>
          <w:rFonts w:ascii="Arial" w:hAnsi="Arial" w:cs="Arial"/>
        </w:rPr>
      </w:pPr>
      <w:r w:rsidRPr="006C025C">
        <w:rPr>
          <w:rFonts w:ascii="Arial" w:hAnsi="Arial" w:cs="Arial"/>
        </w:rPr>
        <w:t>Câmpiile</w:t>
      </w:r>
      <w:r>
        <w:rPr>
          <w:rFonts w:ascii="Arial" w:hAnsi="Arial" w:cs="Arial"/>
        </w:rPr>
        <w:t xml:space="preserve"> Râmnic şi Siret (A.B.A. Siret)</w:t>
      </w:r>
    </w:p>
    <w:p w14:paraId="29D1955D" w14:textId="77777777" w:rsidR="00E34804" w:rsidRPr="006C025C" w:rsidRDefault="00E34804" w:rsidP="0054709F">
      <w:pPr>
        <w:numPr>
          <w:ilvl w:val="0"/>
          <w:numId w:val="2"/>
        </w:numPr>
        <w:spacing w:after="0" w:line="240" w:lineRule="auto"/>
        <w:ind w:left="986" w:hanging="357"/>
        <w:jc w:val="both"/>
        <w:rPr>
          <w:rFonts w:ascii="Arial" w:hAnsi="Arial" w:cs="Arial"/>
          <w:b/>
          <w:iCs/>
        </w:rPr>
      </w:pPr>
      <w:r w:rsidRPr="006C025C">
        <w:rPr>
          <w:rFonts w:ascii="Arial" w:hAnsi="Arial" w:cs="Arial"/>
          <w:b/>
          <w:iCs/>
        </w:rPr>
        <w:t>Câmpia de Vest, Dealurile Crişanei şi Banatului</w:t>
      </w:r>
    </w:p>
    <w:p w14:paraId="685BD92A" w14:textId="77777777" w:rsidR="00E34804" w:rsidRPr="006C025C" w:rsidRDefault="00E34804" w:rsidP="0054709F">
      <w:pPr>
        <w:numPr>
          <w:ilvl w:val="0"/>
          <w:numId w:val="4"/>
        </w:numPr>
        <w:spacing w:after="0" w:line="240" w:lineRule="auto"/>
        <w:jc w:val="both"/>
        <w:rPr>
          <w:rFonts w:ascii="Arial" w:hAnsi="Arial" w:cs="Arial"/>
        </w:rPr>
      </w:pPr>
      <w:r w:rsidRPr="006C025C">
        <w:rPr>
          <w:rFonts w:ascii="Arial" w:hAnsi="Arial" w:cs="Arial"/>
        </w:rPr>
        <w:t>Depresiunea Baia Mare şi Câmpia Joasă a Someşului (A.B.A. Someş-Tisa);</w:t>
      </w:r>
    </w:p>
    <w:p w14:paraId="26A70BEE" w14:textId="77777777" w:rsidR="00E34804" w:rsidRPr="006C025C" w:rsidRDefault="00E34804" w:rsidP="0054709F">
      <w:pPr>
        <w:numPr>
          <w:ilvl w:val="0"/>
          <w:numId w:val="4"/>
        </w:numPr>
        <w:spacing w:after="0" w:line="240" w:lineRule="auto"/>
        <w:jc w:val="both"/>
        <w:rPr>
          <w:rFonts w:ascii="Arial" w:hAnsi="Arial" w:cs="Arial"/>
          <w:color w:val="000000"/>
          <w:lang w:eastAsia="ro-RO"/>
        </w:rPr>
      </w:pPr>
      <w:r w:rsidRPr="006C025C">
        <w:rPr>
          <w:rFonts w:ascii="Arial" w:hAnsi="Arial" w:cs="Arial"/>
        </w:rPr>
        <w:t>Câmpia Aradului</w:t>
      </w:r>
      <w:r w:rsidRPr="006C025C">
        <w:rPr>
          <w:rFonts w:ascii="Arial" w:hAnsi="Arial" w:cs="Arial"/>
          <w:color w:val="000000"/>
          <w:lang w:eastAsia="ro-RO"/>
        </w:rPr>
        <w:t xml:space="preserve"> (</w:t>
      </w:r>
      <w:r w:rsidRPr="006C025C">
        <w:rPr>
          <w:rFonts w:ascii="Arial" w:hAnsi="Arial" w:cs="Arial"/>
        </w:rPr>
        <w:t>A.B.A. Crişuri);</w:t>
      </w:r>
    </w:p>
    <w:p w14:paraId="718183F9" w14:textId="77777777" w:rsidR="00E34804" w:rsidRPr="006C025C" w:rsidRDefault="00E34804" w:rsidP="0054709F">
      <w:pPr>
        <w:numPr>
          <w:ilvl w:val="0"/>
          <w:numId w:val="4"/>
        </w:numPr>
        <w:spacing w:after="0" w:line="240" w:lineRule="auto"/>
        <w:jc w:val="both"/>
        <w:rPr>
          <w:rFonts w:ascii="Arial" w:hAnsi="Arial" w:cs="Arial"/>
        </w:rPr>
      </w:pPr>
      <w:r w:rsidRPr="006C025C">
        <w:rPr>
          <w:rFonts w:ascii="Arial" w:hAnsi="Arial" w:cs="Arial"/>
        </w:rPr>
        <w:t xml:space="preserve">Câmpiile </w:t>
      </w:r>
      <w:r w:rsidRPr="006C025C">
        <w:rPr>
          <w:rFonts w:ascii="Arial" w:hAnsi="Arial" w:cs="Arial"/>
          <w:color w:val="000000"/>
          <w:lang w:eastAsia="ro-RO"/>
        </w:rPr>
        <w:t>Timişoara, Bega, Sinersig şi Depresiunea Caracnsebeş</w:t>
      </w:r>
      <w:r w:rsidRPr="006C025C">
        <w:rPr>
          <w:rFonts w:ascii="Arial" w:hAnsi="Arial" w:cs="Arial"/>
        </w:rPr>
        <w:t xml:space="preserve"> (A.B.A. Banat)</w:t>
      </w:r>
    </w:p>
    <w:p w14:paraId="10B0D17C" w14:textId="77777777" w:rsidR="00E34804" w:rsidRPr="006C025C" w:rsidRDefault="00E34804" w:rsidP="0054709F">
      <w:pPr>
        <w:numPr>
          <w:ilvl w:val="0"/>
          <w:numId w:val="2"/>
        </w:numPr>
        <w:spacing w:after="0" w:line="240" w:lineRule="auto"/>
        <w:ind w:left="986" w:hanging="357"/>
        <w:jc w:val="both"/>
        <w:rPr>
          <w:rFonts w:ascii="Arial" w:hAnsi="Arial" w:cs="Arial"/>
          <w:b/>
        </w:rPr>
      </w:pPr>
      <w:r w:rsidRPr="006C025C">
        <w:rPr>
          <w:rFonts w:ascii="Arial" w:hAnsi="Arial" w:cs="Arial"/>
          <w:b/>
          <w:bCs/>
        </w:rPr>
        <w:t>Depresiunea Transilvaniei</w:t>
      </w:r>
      <w:r w:rsidRPr="006C025C">
        <w:rPr>
          <w:rFonts w:ascii="Arial" w:hAnsi="Arial" w:cs="Arial"/>
          <w:b/>
        </w:rPr>
        <w:t xml:space="preserve"> şi depresiunile din Carpații Orientali</w:t>
      </w:r>
    </w:p>
    <w:p w14:paraId="6A61366B" w14:textId="77777777" w:rsidR="00E34804" w:rsidRPr="006C025C" w:rsidRDefault="00E34804" w:rsidP="0054709F">
      <w:pPr>
        <w:numPr>
          <w:ilvl w:val="0"/>
          <w:numId w:val="5"/>
        </w:numPr>
        <w:spacing w:after="0" w:line="240" w:lineRule="auto"/>
        <w:jc w:val="both"/>
        <w:rPr>
          <w:rFonts w:ascii="Arial" w:hAnsi="Arial" w:cs="Arial"/>
          <w:color w:val="000000"/>
          <w:lang w:eastAsia="ro-RO"/>
        </w:rPr>
      </w:pPr>
      <w:r w:rsidRPr="006C025C">
        <w:rPr>
          <w:rFonts w:ascii="Arial" w:hAnsi="Arial" w:cs="Arial"/>
          <w:color w:val="000000"/>
          <w:lang w:eastAsia="ro-RO"/>
        </w:rPr>
        <w:t xml:space="preserve">Culoarul Mureşului </w:t>
      </w:r>
      <w:r w:rsidRPr="006C025C">
        <w:rPr>
          <w:rFonts w:ascii="Arial" w:hAnsi="Arial" w:cs="Arial"/>
        </w:rPr>
        <w:t>(A.B.A. Mureş)</w:t>
      </w:r>
    </w:p>
    <w:p w14:paraId="2E71A5CD" w14:textId="77777777" w:rsidR="00E34804" w:rsidRPr="006C025C" w:rsidRDefault="00E34804" w:rsidP="0054709F">
      <w:pPr>
        <w:numPr>
          <w:ilvl w:val="0"/>
          <w:numId w:val="2"/>
        </w:numPr>
        <w:spacing w:after="0" w:line="240" w:lineRule="auto"/>
        <w:ind w:left="986" w:hanging="357"/>
        <w:jc w:val="both"/>
        <w:rPr>
          <w:rFonts w:ascii="Arial" w:hAnsi="Arial" w:cs="Arial"/>
          <w:b/>
        </w:rPr>
      </w:pPr>
      <w:r w:rsidRPr="006C025C">
        <w:rPr>
          <w:rFonts w:ascii="Arial" w:hAnsi="Arial" w:cs="Arial"/>
          <w:b/>
          <w:bCs/>
        </w:rPr>
        <w:t>Podişul Moldovei,</w:t>
      </w:r>
      <w:r w:rsidRPr="006C025C">
        <w:rPr>
          <w:rFonts w:ascii="Arial" w:hAnsi="Arial" w:cs="Arial"/>
          <w:b/>
        </w:rPr>
        <w:t xml:space="preserve"> Subcarpații Orientali şi de Curbură</w:t>
      </w:r>
    </w:p>
    <w:p w14:paraId="58F277C6" w14:textId="77777777" w:rsidR="00E34804" w:rsidRPr="006C025C" w:rsidRDefault="00E34804" w:rsidP="0054709F">
      <w:pPr>
        <w:numPr>
          <w:ilvl w:val="0"/>
          <w:numId w:val="6"/>
        </w:numPr>
        <w:spacing w:after="0" w:line="240" w:lineRule="auto"/>
        <w:jc w:val="both"/>
        <w:rPr>
          <w:rFonts w:ascii="Arial" w:hAnsi="Arial" w:cs="Arial"/>
          <w:color w:val="000000"/>
          <w:lang w:eastAsia="ro-RO"/>
        </w:rPr>
      </w:pPr>
      <w:r w:rsidRPr="006C025C">
        <w:rPr>
          <w:rFonts w:ascii="Arial" w:hAnsi="Arial" w:cs="Arial"/>
          <w:color w:val="000000"/>
          <w:lang w:eastAsia="ro-RO"/>
        </w:rPr>
        <w:t xml:space="preserve">Depresiunea Bistriţa </w:t>
      </w:r>
      <w:r w:rsidRPr="006C025C">
        <w:rPr>
          <w:rFonts w:ascii="Arial" w:hAnsi="Arial" w:cs="Arial"/>
        </w:rPr>
        <w:t xml:space="preserve">(A.B.A. Siret) </w:t>
      </w:r>
    </w:p>
    <w:p w14:paraId="68E9B9A6" w14:textId="77777777" w:rsidR="00E34804" w:rsidRPr="006C025C" w:rsidRDefault="00E34804" w:rsidP="0054709F">
      <w:pPr>
        <w:numPr>
          <w:ilvl w:val="0"/>
          <w:numId w:val="6"/>
        </w:numPr>
        <w:spacing w:after="0" w:line="240" w:lineRule="auto"/>
        <w:jc w:val="both"/>
        <w:rPr>
          <w:rFonts w:ascii="Arial" w:hAnsi="Arial" w:cs="Arial"/>
          <w:color w:val="000000"/>
          <w:lang w:eastAsia="ro-RO"/>
        </w:rPr>
      </w:pPr>
      <w:r w:rsidRPr="006C025C">
        <w:rPr>
          <w:rFonts w:ascii="Arial" w:hAnsi="Arial" w:cs="Arial"/>
          <w:color w:val="000000"/>
          <w:lang w:eastAsia="ro-RO"/>
        </w:rPr>
        <w:t xml:space="preserve">Podişul Sacovăţ </w:t>
      </w:r>
      <w:r w:rsidRPr="006C025C">
        <w:rPr>
          <w:rFonts w:ascii="Arial" w:hAnsi="Arial" w:cs="Arial"/>
        </w:rPr>
        <w:t>(A.B.A. Prut-Bârlad)</w:t>
      </w:r>
      <w:r w:rsidRPr="006C025C">
        <w:rPr>
          <w:rFonts w:ascii="Arial" w:hAnsi="Arial" w:cs="Arial"/>
          <w:b/>
          <w:bCs/>
        </w:rPr>
        <w:t xml:space="preserve">  </w:t>
      </w:r>
    </w:p>
    <w:p w14:paraId="69840386" w14:textId="38424ABA" w:rsidR="00E34804" w:rsidRPr="00E34804" w:rsidRDefault="00E34804" w:rsidP="0054709F">
      <w:pPr>
        <w:pStyle w:val="ListParagraph"/>
        <w:numPr>
          <w:ilvl w:val="0"/>
          <w:numId w:val="2"/>
        </w:numPr>
        <w:spacing w:after="0" w:line="240" w:lineRule="auto"/>
        <w:rPr>
          <w:rFonts w:ascii="Arial" w:hAnsi="Arial" w:cs="Arial"/>
          <w:color w:val="000000"/>
          <w:lang w:eastAsia="ro-RO"/>
        </w:rPr>
      </w:pPr>
      <w:r w:rsidRPr="00E34804">
        <w:rPr>
          <w:rFonts w:ascii="Arial" w:hAnsi="Arial" w:cs="Arial"/>
          <w:b/>
          <w:bCs/>
        </w:rPr>
        <w:t>Podişul Dobrogei:</w:t>
      </w:r>
      <w:r w:rsidRPr="00E34804">
        <w:rPr>
          <w:rFonts w:ascii="Arial" w:hAnsi="Arial" w:cs="Arial"/>
          <w:color w:val="000000"/>
          <w:lang w:eastAsia="ro-RO"/>
        </w:rPr>
        <w:t xml:space="preserve"> Podişurile Cobadin şi Gârliciu</w:t>
      </w:r>
      <w:r w:rsidRPr="00E34804">
        <w:rPr>
          <w:rFonts w:ascii="Arial" w:hAnsi="Arial" w:cs="Arial"/>
        </w:rPr>
        <w:t xml:space="preserve"> (A.B.A. Dobrogea-Litoral).</w:t>
      </w:r>
    </w:p>
    <w:p w14:paraId="08880CF1" w14:textId="77777777" w:rsidR="00E34804" w:rsidRDefault="00E34804" w:rsidP="00E34804">
      <w:pPr>
        <w:spacing w:line="240" w:lineRule="auto"/>
        <w:ind w:firstLine="567"/>
        <w:jc w:val="both"/>
        <w:rPr>
          <w:rFonts w:ascii="Arial" w:hAnsi="Arial" w:cs="Arial"/>
          <w:b/>
        </w:rPr>
      </w:pPr>
    </w:p>
    <w:p w14:paraId="78B6F186" w14:textId="221DF2F3" w:rsidR="00E34804" w:rsidRDefault="00E34804" w:rsidP="00E34804">
      <w:pPr>
        <w:spacing w:after="0" w:line="240" w:lineRule="auto"/>
        <w:jc w:val="both"/>
        <w:rPr>
          <w:rFonts w:ascii="Arial" w:hAnsi="Arial" w:cs="Arial"/>
          <w:b/>
          <w:noProof/>
          <w:lang w:eastAsia="ro-RO"/>
        </w:rPr>
      </w:pPr>
      <w:r>
        <w:rPr>
          <w:rFonts w:ascii="Arial" w:hAnsi="Arial" w:cs="Arial"/>
          <w:b/>
          <w:noProof/>
          <w:lang w:val="en-GB" w:eastAsia="en-GB"/>
        </w:rPr>
        <w:drawing>
          <wp:inline distT="0" distB="0" distL="0" distR="0" wp14:anchorId="3EA38B0B" wp14:editId="5FE6537E">
            <wp:extent cx="5939790" cy="4198620"/>
            <wp:effectExtent l="19050" t="19050" r="22860" b="11430"/>
            <wp:docPr id="1345698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4198620"/>
                    </a:xfrm>
                    <a:prstGeom prst="rect">
                      <a:avLst/>
                    </a:prstGeom>
                    <a:noFill/>
                    <a:ln w="6350" cmpd="sng">
                      <a:solidFill>
                        <a:srgbClr val="000000"/>
                      </a:solidFill>
                      <a:miter lim="800000"/>
                      <a:headEnd/>
                      <a:tailEnd/>
                    </a:ln>
                    <a:effectLst/>
                  </pic:spPr>
                </pic:pic>
              </a:graphicData>
            </a:graphic>
          </wp:inline>
        </w:drawing>
      </w:r>
    </w:p>
    <w:p w14:paraId="1D5C8BB5" w14:textId="30A48217" w:rsidR="00E34804" w:rsidRPr="00AD1226" w:rsidRDefault="00E34804" w:rsidP="00E34804">
      <w:pPr>
        <w:spacing w:before="120" w:after="120" w:line="240" w:lineRule="auto"/>
        <w:ind w:firstLine="323"/>
        <w:jc w:val="center"/>
        <w:rPr>
          <w:rFonts w:ascii="Arial" w:hAnsi="Arial" w:cs="Arial"/>
          <w:i/>
          <w:sz w:val="20"/>
          <w:szCs w:val="20"/>
        </w:rPr>
      </w:pPr>
      <w:r w:rsidRPr="006D796C">
        <w:rPr>
          <w:rFonts w:ascii="Arial" w:hAnsi="Arial" w:cs="Arial"/>
          <w:i/>
          <w:sz w:val="20"/>
          <w:szCs w:val="20"/>
        </w:rPr>
        <w:t>Figura</w:t>
      </w:r>
      <w:r>
        <w:rPr>
          <w:rFonts w:ascii="Arial" w:hAnsi="Arial" w:cs="Arial"/>
          <w:i/>
          <w:sz w:val="20"/>
          <w:szCs w:val="20"/>
        </w:rPr>
        <w:t xml:space="preserve"> II.1.2</w:t>
      </w:r>
      <w:r w:rsidRPr="006D796C">
        <w:rPr>
          <w:rFonts w:ascii="Arial" w:hAnsi="Arial" w:cs="Arial"/>
          <w:i/>
          <w:sz w:val="20"/>
          <w:szCs w:val="20"/>
        </w:rPr>
        <w:t xml:space="preserve"> – Tendinţa evoluţiei nivelurilor piezometrice lunare (NP) ȋn perioada 2015-202</w:t>
      </w:r>
      <w:r>
        <w:rPr>
          <w:rFonts w:ascii="Arial" w:hAnsi="Arial" w:cs="Arial"/>
          <w:i/>
          <w:sz w:val="20"/>
          <w:szCs w:val="20"/>
        </w:rPr>
        <w:t>2</w:t>
      </w:r>
      <w:r w:rsidRPr="006D796C">
        <w:rPr>
          <w:rFonts w:ascii="Arial" w:hAnsi="Arial" w:cs="Arial"/>
          <w:i/>
          <w:sz w:val="20"/>
          <w:szCs w:val="20"/>
        </w:rPr>
        <w:t>– foraje de monitorizare pentru transmisie lunară</w:t>
      </w:r>
    </w:p>
    <w:p w14:paraId="02685322" w14:textId="77777777" w:rsidR="00E34804" w:rsidRPr="006C025C" w:rsidRDefault="00E34804" w:rsidP="00E34804">
      <w:pPr>
        <w:spacing w:before="120" w:after="120" w:line="240" w:lineRule="auto"/>
        <w:ind w:firstLine="567"/>
        <w:rPr>
          <w:rFonts w:ascii="Arial" w:hAnsi="Arial" w:cs="Arial"/>
          <w:b/>
        </w:rPr>
      </w:pPr>
      <w:r w:rsidRPr="006C025C">
        <w:rPr>
          <w:rFonts w:ascii="Arial" w:hAnsi="Arial" w:cs="Arial"/>
          <w:b/>
        </w:rPr>
        <w:t>Concluziile analizei:</w:t>
      </w:r>
    </w:p>
    <w:p w14:paraId="7749F18D" w14:textId="77777777" w:rsidR="00E34804" w:rsidRPr="006C025C" w:rsidRDefault="00E34804" w:rsidP="00E34804">
      <w:pPr>
        <w:spacing w:after="0" w:line="240" w:lineRule="auto"/>
        <w:ind w:firstLine="567"/>
        <w:jc w:val="both"/>
        <w:rPr>
          <w:rFonts w:ascii="Arial" w:hAnsi="Arial" w:cs="Arial"/>
        </w:rPr>
      </w:pPr>
      <w:r w:rsidRPr="006C025C">
        <w:rPr>
          <w:rFonts w:ascii="Arial" w:hAnsi="Arial" w:cs="Arial"/>
        </w:rPr>
        <w:t>Analiza evoluţiei nivelurilor piezometrice ȋn perioada 2015-2022</w:t>
      </w:r>
      <w:r>
        <w:rPr>
          <w:rFonts w:ascii="Arial" w:hAnsi="Arial" w:cs="Arial"/>
        </w:rPr>
        <w:t xml:space="preserve"> </w:t>
      </w:r>
      <w:r w:rsidRPr="006C025C">
        <w:rPr>
          <w:rFonts w:ascii="Arial" w:hAnsi="Arial" w:cs="Arial"/>
        </w:rPr>
        <w:t xml:space="preserve">a fost efectuată pe baza datelor provenite de la forajele reprezentative de monitorizare cantitativă din Programul de Transmisie lunară, care reprezintă aproximativ </w:t>
      </w:r>
      <w:r w:rsidRPr="00357272">
        <w:rPr>
          <w:rFonts w:ascii="Arial" w:hAnsi="Arial" w:cs="Arial"/>
          <w:b/>
        </w:rPr>
        <w:t>10% din numărul total al forajelor</w:t>
      </w:r>
      <w:r w:rsidRPr="006C025C">
        <w:rPr>
          <w:rFonts w:ascii="Arial" w:hAnsi="Arial" w:cs="Arial"/>
        </w:rPr>
        <w:t xml:space="preserve"> gestionate de Administraţiile Bazinele de Apă, astfel ȋncât </w:t>
      </w:r>
      <w:r>
        <w:rPr>
          <w:rFonts w:ascii="Arial" w:hAnsi="Arial" w:cs="Arial"/>
        </w:rPr>
        <w:t xml:space="preserve">aceasta are un </w:t>
      </w:r>
      <w:r w:rsidRPr="006C025C">
        <w:rPr>
          <w:rFonts w:ascii="Arial" w:hAnsi="Arial" w:cs="Arial"/>
        </w:rPr>
        <w:t xml:space="preserve">caracter </w:t>
      </w:r>
      <w:r>
        <w:rPr>
          <w:rFonts w:ascii="Arial" w:hAnsi="Arial" w:cs="Arial"/>
        </w:rPr>
        <w:t>exclusiv</w:t>
      </w:r>
      <w:r w:rsidRPr="006C025C">
        <w:rPr>
          <w:rFonts w:ascii="Arial" w:hAnsi="Arial" w:cs="Arial"/>
        </w:rPr>
        <w:t xml:space="preserve"> </w:t>
      </w:r>
      <w:r w:rsidRPr="00357272">
        <w:rPr>
          <w:rFonts w:ascii="Arial" w:hAnsi="Arial" w:cs="Arial"/>
          <w:b/>
        </w:rPr>
        <w:t>informativ</w:t>
      </w:r>
      <w:r w:rsidRPr="006C025C">
        <w:rPr>
          <w:rFonts w:ascii="Arial" w:hAnsi="Arial" w:cs="Arial"/>
        </w:rPr>
        <w:t>.</w:t>
      </w:r>
    </w:p>
    <w:p w14:paraId="6AC4A2E3" w14:textId="77777777" w:rsidR="00E34804" w:rsidRPr="007A2F40" w:rsidRDefault="00E34804" w:rsidP="00E34804">
      <w:pPr>
        <w:spacing w:after="0" w:line="240" w:lineRule="auto"/>
        <w:ind w:firstLine="567"/>
        <w:jc w:val="both"/>
        <w:rPr>
          <w:rFonts w:ascii="Arial" w:hAnsi="Arial" w:cs="Arial"/>
        </w:rPr>
      </w:pPr>
      <w:r w:rsidRPr="007A2F40">
        <w:rPr>
          <w:rFonts w:ascii="Arial" w:hAnsi="Arial" w:cs="Arial"/>
        </w:rPr>
        <w:t xml:space="preserve">Ȋn perioada 2015-2022 nivelurile medii lunare au ȋnregistrat scăderi ȋn toate regiunile ţării,  cu o frecvenţă care atinge </w:t>
      </w:r>
      <w:r w:rsidRPr="007A2F40">
        <w:rPr>
          <w:rFonts w:ascii="Arial" w:hAnsi="Arial" w:cs="Arial"/>
          <w:b/>
        </w:rPr>
        <w:t>80%</w:t>
      </w:r>
      <w:r w:rsidRPr="007A2F40">
        <w:rPr>
          <w:rFonts w:ascii="Arial" w:hAnsi="Arial" w:cs="Arial"/>
        </w:rPr>
        <w:t xml:space="preserve"> din numărul forajelor situate ȋn </w:t>
      </w:r>
      <w:r w:rsidRPr="007A2F40">
        <w:rPr>
          <w:rFonts w:ascii="Arial" w:hAnsi="Arial" w:cs="Arial"/>
          <w:bCs/>
        </w:rPr>
        <w:t xml:space="preserve">Câmpia Română, Piemontul Getic </w:t>
      </w:r>
      <w:r w:rsidRPr="007A2F40">
        <w:rPr>
          <w:rFonts w:ascii="Arial" w:hAnsi="Arial" w:cs="Arial"/>
          <w:bCs/>
        </w:rPr>
        <w:lastRenderedPageBreak/>
        <w:t xml:space="preserve">şi Subcarpaţii Getici (faţă de 73% ȋn perioada anterioară) şi </w:t>
      </w:r>
      <w:r w:rsidRPr="007A2F40">
        <w:rPr>
          <w:rFonts w:ascii="Arial" w:hAnsi="Arial" w:cs="Arial"/>
          <w:b/>
          <w:bCs/>
        </w:rPr>
        <w:t>60%</w:t>
      </w:r>
      <w:r w:rsidRPr="007A2F40">
        <w:rPr>
          <w:rFonts w:ascii="Arial" w:hAnsi="Arial" w:cs="Arial"/>
          <w:bCs/>
        </w:rPr>
        <w:t xml:space="preserve"> pentru Depresiunea Transilvaniei</w:t>
      </w:r>
      <w:r w:rsidRPr="007A2F40">
        <w:rPr>
          <w:rFonts w:ascii="Arial" w:hAnsi="Arial" w:cs="Arial"/>
        </w:rPr>
        <w:t xml:space="preserve"> şi depresiunile din Carpații Orientali (faţă de 19% ȋn anul 2022, care a evidenţiat ȋn proporţie de 57% staţionaritate). </w:t>
      </w:r>
    </w:p>
    <w:p w14:paraId="14A9C831" w14:textId="77777777" w:rsidR="00E34804" w:rsidRDefault="00E34804" w:rsidP="00E34804">
      <w:pPr>
        <w:spacing w:after="0" w:line="240" w:lineRule="auto"/>
        <w:ind w:firstLine="567"/>
        <w:jc w:val="both"/>
        <w:rPr>
          <w:rFonts w:ascii="Arial" w:hAnsi="Arial" w:cs="Arial"/>
        </w:rPr>
      </w:pPr>
      <w:r w:rsidRPr="006F2665">
        <w:rPr>
          <w:rFonts w:ascii="Arial" w:hAnsi="Arial" w:cs="Arial"/>
          <w:bCs/>
          <w:color w:val="000000"/>
        </w:rPr>
        <w:t>Creşterile de nivel piezometric s-au ȋnregistrat ȋntr-un număr mai</w:t>
      </w:r>
      <w:r>
        <w:rPr>
          <w:rFonts w:ascii="Arial" w:hAnsi="Arial" w:cs="Arial"/>
          <w:bCs/>
          <w:color w:val="000000"/>
        </w:rPr>
        <w:t xml:space="preserve"> mic de puncte </w:t>
      </w:r>
      <w:r w:rsidRPr="006F2665">
        <w:rPr>
          <w:rFonts w:ascii="Arial" w:hAnsi="Arial" w:cs="Arial"/>
          <w:bCs/>
          <w:color w:val="000000"/>
        </w:rPr>
        <w:t>de monitorizare faţă de analiza efectuată ȋn anul 202</w:t>
      </w:r>
      <w:r>
        <w:rPr>
          <w:rFonts w:ascii="Arial" w:hAnsi="Arial" w:cs="Arial"/>
          <w:bCs/>
          <w:color w:val="000000"/>
        </w:rPr>
        <w:t>2</w:t>
      </w:r>
      <w:r w:rsidRPr="006F2665">
        <w:rPr>
          <w:rFonts w:ascii="Arial" w:hAnsi="Arial" w:cs="Arial"/>
          <w:bCs/>
          <w:color w:val="000000"/>
        </w:rPr>
        <w:t>, pentru fiecare unitate geomorfologică.</w:t>
      </w:r>
      <w:r>
        <w:rPr>
          <w:rFonts w:ascii="Arial" w:hAnsi="Arial" w:cs="Arial"/>
          <w:bCs/>
          <w:color w:val="000000"/>
        </w:rPr>
        <w:t xml:space="preserve"> Cu excepţia zonei Podişului Moldovei, </w:t>
      </w:r>
      <w:r w:rsidRPr="006F2665">
        <w:rPr>
          <w:rFonts w:ascii="Arial" w:hAnsi="Arial" w:cs="Arial"/>
        </w:rPr>
        <w:t>Subcarpaților Orientali şi de Curbură</w:t>
      </w:r>
      <w:r>
        <w:rPr>
          <w:rFonts w:ascii="Arial" w:hAnsi="Arial" w:cs="Arial"/>
        </w:rPr>
        <w:t xml:space="preserve">, unde creşterile au ponderi de 23% şi a </w:t>
      </w:r>
      <w:r w:rsidRPr="006F2665">
        <w:rPr>
          <w:rFonts w:ascii="Arial" w:hAnsi="Arial" w:cs="Arial"/>
          <w:bCs/>
        </w:rPr>
        <w:t>Câmpiei Române</w:t>
      </w:r>
      <w:r w:rsidRPr="006F2665">
        <w:rPr>
          <w:rFonts w:ascii="Arial" w:hAnsi="Arial" w:cs="Arial"/>
        </w:rPr>
        <w:t>, Piemontului Getic şi Subcarpaților Getici</w:t>
      </w:r>
      <w:r>
        <w:rPr>
          <w:rFonts w:ascii="Arial" w:hAnsi="Arial" w:cs="Arial"/>
        </w:rPr>
        <w:t xml:space="preserve">, unde ponderea este aceeaşi (16%), ȋn celelalte zone ale ţării evoluţia a fost descrescătoare. </w:t>
      </w:r>
    </w:p>
    <w:p w14:paraId="5071BEAA" w14:textId="77777777" w:rsidR="00E34804" w:rsidRPr="00437BF5" w:rsidRDefault="00E34804" w:rsidP="00E34804">
      <w:pPr>
        <w:spacing w:after="0" w:line="240" w:lineRule="auto"/>
        <w:ind w:firstLine="397"/>
        <w:jc w:val="both"/>
        <w:rPr>
          <w:rFonts w:ascii="Arial" w:hAnsi="Arial" w:cs="Arial"/>
        </w:rPr>
      </w:pPr>
      <w:r>
        <w:rPr>
          <w:rFonts w:ascii="Arial" w:hAnsi="Arial" w:cs="Arial"/>
        </w:rPr>
        <w:t xml:space="preserve">Faţă de analiza efectuată ȋn anul 2022, regimul de staţionaritate are o frecvenţă redusă, ȋntre 4-23%, faţă de 11—57%, ceea ce exprimă accentuarea deficitului subteran de mică adâncime.  </w:t>
      </w:r>
    </w:p>
    <w:p w14:paraId="36AC68CF" w14:textId="77777777" w:rsidR="00E34804" w:rsidRDefault="00E34804" w:rsidP="00E34804">
      <w:pPr>
        <w:spacing w:after="0" w:line="240" w:lineRule="auto"/>
        <w:ind w:firstLine="397"/>
        <w:jc w:val="both"/>
        <w:rPr>
          <w:rFonts w:ascii="Arial" w:hAnsi="Arial" w:cs="Arial"/>
          <w:bCs/>
          <w:color w:val="000000"/>
        </w:rPr>
      </w:pPr>
      <w:r w:rsidRPr="00437BF5">
        <w:rPr>
          <w:rFonts w:ascii="Arial" w:hAnsi="Arial" w:cs="Arial"/>
          <w:bCs/>
          <w:color w:val="000000"/>
        </w:rPr>
        <w:t xml:space="preserve">Ȋn ceea ce priveşte comparaţia cu mediile lunare multianuale, acviferele freatice din </w:t>
      </w:r>
      <w:r w:rsidRPr="00437BF5">
        <w:rPr>
          <w:rFonts w:ascii="Arial" w:hAnsi="Arial" w:cs="Arial"/>
          <w:bCs/>
        </w:rPr>
        <w:t>Depresiunea Transilvaniei</w:t>
      </w:r>
      <w:r w:rsidRPr="00437BF5">
        <w:rPr>
          <w:rFonts w:ascii="Arial" w:hAnsi="Arial" w:cs="Arial"/>
        </w:rPr>
        <w:t xml:space="preserve"> şi depresiunile din Carpații Orientali</w:t>
      </w:r>
      <w:r>
        <w:rPr>
          <w:rFonts w:ascii="Arial" w:hAnsi="Arial" w:cs="Arial"/>
          <w:bCs/>
          <w:color w:val="000000"/>
        </w:rPr>
        <w:t xml:space="preserve"> </w:t>
      </w:r>
      <w:r w:rsidRPr="00437BF5">
        <w:rPr>
          <w:rFonts w:ascii="Arial" w:hAnsi="Arial" w:cs="Arial"/>
          <w:bCs/>
          <w:color w:val="000000"/>
        </w:rPr>
        <w:t xml:space="preserve">sunt afectate de o </w:t>
      </w:r>
      <w:r>
        <w:rPr>
          <w:rFonts w:ascii="Arial" w:hAnsi="Arial" w:cs="Arial"/>
          <w:bCs/>
          <w:color w:val="000000"/>
        </w:rPr>
        <w:t xml:space="preserve">frecvenţă ridicată, respectiv, 88% dintre forajele de monitorizare au valori lunare mai mici decât valorile multianuale, faţă de 53%, ȋn analiza din anul 2022. </w:t>
      </w:r>
    </w:p>
    <w:p w14:paraId="0F3D9A01" w14:textId="77777777" w:rsidR="00E34804" w:rsidRDefault="00E34804" w:rsidP="00E34804">
      <w:pPr>
        <w:spacing w:line="240" w:lineRule="auto"/>
        <w:ind w:firstLine="397"/>
        <w:jc w:val="both"/>
        <w:rPr>
          <w:rFonts w:ascii="Arial" w:hAnsi="Arial" w:cs="Arial"/>
          <w:bCs/>
          <w:color w:val="000000"/>
        </w:rPr>
      </w:pPr>
      <w:r>
        <w:rPr>
          <w:rFonts w:ascii="Arial" w:hAnsi="Arial" w:cs="Arial"/>
          <w:bCs/>
          <w:color w:val="000000"/>
        </w:rPr>
        <w:t>Aceste scăderi importante se datorează ȋn mod evident lipsei alimentării de tip nival, iarna 2021-2022 fiind lipsită de precipitaţii solide, a căror topire treptată asigură un volum de apă care poate ajunge sub zona nesaturartă.</w:t>
      </w:r>
    </w:p>
    <w:p w14:paraId="39314F96" w14:textId="3ABAC3CE" w:rsidR="005B7C1D" w:rsidRDefault="005B7C1D" w:rsidP="005B7C1D">
      <w:pPr>
        <w:spacing w:before="120" w:after="0"/>
        <w:ind w:firstLine="720"/>
        <w:jc w:val="center"/>
        <w:rPr>
          <w:rFonts w:asciiTheme="minorBidi" w:hAnsiTheme="minorBidi"/>
          <w:b/>
          <w:i/>
          <w:color w:val="FF0000"/>
          <w:sz w:val="24"/>
          <w:szCs w:val="24"/>
        </w:rPr>
      </w:pPr>
    </w:p>
    <w:p w14:paraId="3FC9EAE9" w14:textId="7228D001" w:rsidR="00402793" w:rsidRPr="00926899" w:rsidRDefault="005C2FAE" w:rsidP="00DC0E7E">
      <w:pPr>
        <w:rPr>
          <w:rFonts w:asciiTheme="minorBidi" w:hAnsiTheme="minorBidi"/>
          <w:b/>
          <w:sz w:val="24"/>
          <w:szCs w:val="24"/>
        </w:rPr>
      </w:pPr>
      <w:r w:rsidRPr="00926899">
        <w:rPr>
          <w:rFonts w:asciiTheme="minorBidi" w:hAnsiTheme="minorBidi"/>
          <w:b/>
          <w:sz w:val="24"/>
          <w:szCs w:val="24"/>
        </w:rPr>
        <w:t>II.1.1.2 Utilizarea</w:t>
      </w:r>
      <w:r w:rsidR="00DC0E7E" w:rsidRPr="00926899">
        <w:rPr>
          <w:rFonts w:asciiTheme="minorBidi" w:hAnsiTheme="minorBidi"/>
          <w:b/>
          <w:sz w:val="24"/>
          <w:szCs w:val="24"/>
        </w:rPr>
        <w:t xml:space="preserve"> resurselor de apă</w:t>
      </w:r>
    </w:p>
    <w:p w14:paraId="5523161E" w14:textId="084208FA" w:rsidR="00647093" w:rsidRPr="00926899" w:rsidRDefault="00647093" w:rsidP="00133EDA">
      <w:pPr>
        <w:spacing w:after="0"/>
        <w:rPr>
          <w:rFonts w:asciiTheme="minorBidi" w:eastAsia="Times New Roman" w:hAnsiTheme="minorBidi"/>
          <w:sz w:val="24"/>
          <w:szCs w:val="24"/>
          <w:lang w:eastAsia="ro-RO"/>
        </w:rPr>
      </w:pPr>
      <w:r w:rsidRPr="00926899">
        <w:rPr>
          <w:rFonts w:asciiTheme="minorBidi" w:eastAsia="Times New Roman" w:hAnsiTheme="minorBidi"/>
          <w:b/>
          <w:bCs/>
          <w:i/>
          <w:iCs/>
          <w:sz w:val="24"/>
          <w:szCs w:val="24"/>
          <w:lang w:eastAsia="ro-RO"/>
        </w:rPr>
        <w:t>Tabelul II.1.1.2.</w:t>
      </w:r>
      <w:r w:rsidR="00926899" w:rsidRPr="00926899">
        <w:rPr>
          <w:rFonts w:asciiTheme="minorBidi" w:eastAsia="Times New Roman" w:hAnsiTheme="minorBidi"/>
          <w:b/>
          <w:bCs/>
          <w:i/>
          <w:iCs/>
          <w:sz w:val="24"/>
          <w:szCs w:val="24"/>
          <w:lang w:eastAsia="ro-RO"/>
        </w:rPr>
        <w:t>1</w:t>
      </w:r>
      <w:r w:rsidRPr="00926899">
        <w:rPr>
          <w:rFonts w:asciiTheme="minorBidi" w:eastAsia="Times New Roman" w:hAnsiTheme="minorBidi"/>
          <w:b/>
          <w:bCs/>
          <w:i/>
          <w:iCs/>
          <w:sz w:val="24"/>
          <w:szCs w:val="24"/>
          <w:lang w:eastAsia="ro-RO"/>
        </w:rPr>
        <w:t xml:space="preserve"> </w:t>
      </w:r>
      <w:r w:rsidRPr="00926899">
        <w:rPr>
          <w:rFonts w:asciiTheme="minorBidi" w:eastAsia="Times New Roman" w:hAnsiTheme="minorBidi"/>
          <w:sz w:val="24"/>
          <w:szCs w:val="24"/>
          <w:lang w:eastAsia="ro-RO"/>
        </w:rPr>
        <w:t>Evoluția cerinței de apă comparativ cu prelevarea volumelor de apă (mii m</w:t>
      </w:r>
      <w:r w:rsidRPr="00926899">
        <w:rPr>
          <w:rFonts w:asciiTheme="minorBidi" w:eastAsia="Times New Roman" w:hAnsiTheme="minorBidi"/>
          <w:sz w:val="24"/>
          <w:szCs w:val="24"/>
          <w:vertAlign w:val="superscript"/>
          <w:lang w:eastAsia="ro-RO"/>
        </w:rPr>
        <w:t>3</w:t>
      </w:r>
      <w:r w:rsidRPr="00926899">
        <w:rPr>
          <w:rFonts w:asciiTheme="minorBidi" w:eastAsia="Times New Roman" w:hAnsiTheme="minorBidi"/>
          <w:sz w:val="24"/>
          <w:szCs w:val="24"/>
          <w:lang w:eastAsia="ro-RO"/>
        </w:rPr>
        <w:t xml:space="preserve">) </w:t>
      </w:r>
    </w:p>
    <w:tbl>
      <w:tblPr>
        <w:tblStyle w:val="TableGrid"/>
        <w:tblW w:w="10307" w:type="dxa"/>
        <w:tblInd w:w="-725" w:type="dxa"/>
        <w:tblLook w:val="04A0" w:firstRow="1" w:lastRow="0" w:firstColumn="1" w:lastColumn="0" w:noHBand="0" w:noVBand="1"/>
      </w:tblPr>
      <w:tblGrid>
        <w:gridCol w:w="1620"/>
        <w:gridCol w:w="1080"/>
        <w:gridCol w:w="1097"/>
        <w:gridCol w:w="1073"/>
        <w:gridCol w:w="1097"/>
        <w:gridCol w:w="1073"/>
        <w:gridCol w:w="1097"/>
        <w:gridCol w:w="1073"/>
        <w:gridCol w:w="1097"/>
      </w:tblGrid>
      <w:tr w:rsidR="00926899" w:rsidRPr="00133EDA" w14:paraId="1233B127" w14:textId="77777777" w:rsidTr="00E30C2C">
        <w:trPr>
          <w:trHeight w:val="302"/>
        </w:trPr>
        <w:tc>
          <w:tcPr>
            <w:tcW w:w="1620" w:type="dxa"/>
            <w:vMerge w:val="restart"/>
            <w:noWrap/>
            <w:vAlign w:val="center"/>
            <w:hideMark/>
          </w:tcPr>
          <w:p w14:paraId="167FEB48" w14:textId="77777777" w:rsidR="00926899" w:rsidRPr="00133EDA" w:rsidRDefault="00926899" w:rsidP="00E30C2C">
            <w:pPr>
              <w:jc w:val="cente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Sursa</w:t>
            </w:r>
          </w:p>
        </w:tc>
        <w:tc>
          <w:tcPr>
            <w:tcW w:w="2177" w:type="dxa"/>
            <w:gridSpan w:val="2"/>
            <w:noWrap/>
            <w:vAlign w:val="center"/>
            <w:hideMark/>
          </w:tcPr>
          <w:p w14:paraId="4471DA3C" w14:textId="77777777" w:rsidR="00926899" w:rsidRPr="00133EDA" w:rsidRDefault="00926899" w:rsidP="00E30C2C">
            <w:pPr>
              <w:jc w:val="cente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Populație</w:t>
            </w:r>
          </w:p>
        </w:tc>
        <w:tc>
          <w:tcPr>
            <w:tcW w:w="2170" w:type="dxa"/>
            <w:gridSpan w:val="2"/>
            <w:noWrap/>
            <w:vAlign w:val="center"/>
            <w:hideMark/>
          </w:tcPr>
          <w:p w14:paraId="5ECE08A9" w14:textId="77777777" w:rsidR="00926899" w:rsidRPr="00133EDA" w:rsidRDefault="00926899" w:rsidP="00E30C2C">
            <w:pPr>
              <w:jc w:val="cente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Industrie</w:t>
            </w:r>
          </w:p>
        </w:tc>
        <w:tc>
          <w:tcPr>
            <w:tcW w:w="2170" w:type="dxa"/>
            <w:gridSpan w:val="2"/>
            <w:noWrap/>
            <w:vAlign w:val="center"/>
            <w:hideMark/>
          </w:tcPr>
          <w:p w14:paraId="212F2592" w14:textId="77777777" w:rsidR="00926899" w:rsidRPr="00133EDA" w:rsidRDefault="00926899" w:rsidP="00E30C2C">
            <w:pPr>
              <w:jc w:val="cente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Agricultură</w:t>
            </w:r>
          </w:p>
        </w:tc>
        <w:tc>
          <w:tcPr>
            <w:tcW w:w="2170" w:type="dxa"/>
            <w:gridSpan w:val="2"/>
            <w:noWrap/>
            <w:vAlign w:val="center"/>
            <w:hideMark/>
          </w:tcPr>
          <w:p w14:paraId="28C11447" w14:textId="77777777" w:rsidR="00926899" w:rsidRPr="00133EDA" w:rsidRDefault="00926899" w:rsidP="00E30C2C">
            <w:pPr>
              <w:jc w:val="cente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TOTAL</w:t>
            </w:r>
          </w:p>
        </w:tc>
      </w:tr>
      <w:tr w:rsidR="00926899" w:rsidRPr="00133EDA" w14:paraId="4166B73B" w14:textId="77777777" w:rsidTr="00E30C2C">
        <w:trPr>
          <w:trHeight w:val="302"/>
        </w:trPr>
        <w:tc>
          <w:tcPr>
            <w:tcW w:w="1620" w:type="dxa"/>
            <w:vMerge/>
            <w:vAlign w:val="center"/>
            <w:hideMark/>
          </w:tcPr>
          <w:p w14:paraId="641FD1F9" w14:textId="77777777" w:rsidR="00926899" w:rsidRPr="00133EDA" w:rsidRDefault="00926899" w:rsidP="00E30C2C">
            <w:pPr>
              <w:jc w:val="center"/>
              <w:rPr>
                <w:rFonts w:asciiTheme="minorBidi" w:eastAsia="Times New Roman" w:hAnsiTheme="minorBidi"/>
                <w:i/>
                <w:iCs/>
                <w:sz w:val="18"/>
                <w:szCs w:val="18"/>
                <w:lang w:eastAsia="ro-RO"/>
              </w:rPr>
            </w:pPr>
          </w:p>
        </w:tc>
        <w:tc>
          <w:tcPr>
            <w:tcW w:w="1080" w:type="dxa"/>
            <w:noWrap/>
            <w:vAlign w:val="center"/>
            <w:hideMark/>
          </w:tcPr>
          <w:p w14:paraId="33C72F20"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Cerință</w:t>
            </w:r>
          </w:p>
        </w:tc>
        <w:tc>
          <w:tcPr>
            <w:tcW w:w="1097" w:type="dxa"/>
            <w:noWrap/>
            <w:vAlign w:val="center"/>
            <w:hideMark/>
          </w:tcPr>
          <w:p w14:paraId="7B67A727"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Prelevat</w:t>
            </w:r>
          </w:p>
        </w:tc>
        <w:tc>
          <w:tcPr>
            <w:tcW w:w="1073" w:type="dxa"/>
            <w:noWrap/>
            <w:vAlign w:val="center"/>
            <w:hideMark/>
          </w:tcPr>
          <w:p w14:paraId="52847CC7"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Cerință</w:t>
            </w:r>
          </w:p>
        </w:tc>
        <w:tc>
          <w:tcPr>
            <w:tcW w:w="1097" w:type="dxa"/>
            <w:noWrap/>
            <w:vAlign w:val="center"/>
            <w:hideMark/>
          </w:tcPr>
          <w:p w14:paraId="3FB3B0A4"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Prelevat</w:t>
            </w:r>
          </w:p>
        </w:tc>
        <w:tc>
          <w:tcPr>
            <w:tcW w:w="1073" w:type="dxa"/>
            <w:noWrap/>
            <w:vAlign w:val="center"/>
            <w:hideMark/>
          </w:tcPr>
          <w:p w14:paraId="6B8C4EF4"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Cerință</w:t>
            </w:r>
          </w:p>
        </w:tc>
        <w:tc>
          <w:tcPr>
            <w:tcW w:w="1097" w:type="dxa"/>
            <w:noWrap/>
            <w:vAlign w:val="center"/>
            <w:hideMark/>
          </w:tcPr>
          <w:p w14:paraId="00BDDC82"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Prelevat</w:t>
            </w:r>
          </w:p>
        </w:tc>
        <w:tc>
          <w:tcPr>
            <w:tcW w:w="1073" w:type="dxa"/>
            <w:noWrap/>
            <w:vAlign w:val="center"/>
            <w:hideMark/>
          </w:tcPr>
          <w:p w14:paraId="0EC11011"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Cerință</w:t>
            </w:r>
          </w:p>
        </w:tc>
        <w:tc>
          <w:tcPr>
            <w:tcW w:w="1097" w:type="dxa"/>
            <w:noWrap/>
            <w:vAlign w:val="center"/>
            <w:hideMark/>
          </w:tcPr>
          <w:p w14:paraId="1F920F6E" w14:textId="77777777" w:rsidR="00926899" w:rsidRPr="00133EDA" w:rsidRDefault="00926899" w:rsidP="00E30C2C">
            <w:pPr>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Prelevat</w:t>
            </w:r>
          </w:p>
        </w:tc>
      </w:tr>
      <w:tr w:rsidR="00926899" w:rsidRPr="00133EDA" w14:paraId="7EAD2CF7" w14:textId="77777777" w:rsidTr="00E30C2C">
        <w:trPr>
          <w:trHeight w:val="302"/>
        </w:trPr>
        <w:tc>
          <w:tcPr>
            <w:tcW w:w="1620" w:type="dxa"/>
            <w:vMerge w:val="restart"/>
            <w:vAlign w:val="center"/>
            <w:hideMark/>
          </w:tcPr>
          <w:p w14:paraId="1C902079" w14:textId="77777777" w:rsidR="00926899" w:rsidRPr="00133EDA" w:rsidRDefault="00926899" w:rsidP="00E30C2C">
            <w:pPr>
              <w:jc w:val="cente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Suprafață</w:t>
            </w:r>
          </w:p>
        </w:tc>
        <w:tc>
          <w:tcPr>
            <w:tcW w:w="1080" w:type="dxa"/>
            <w:noWrap/>
            <w:vAlign w:val="center"/>
          </w:tcPr>
          <w:p w14:paraId="603A8F6E"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594990</w:t>
            </w:r>
          </w:p>
        </w:tc>
        <w:tc>
          <w:tcPr>
            <w:tcW w:w="1097" w:type="dxa"/>
            <w:noWrap/>
            <w:vAlign w:val="center"/>
          </w:tcPr>
          <w:p w14:paraId="419D681F"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535160</w:t>
            </w:r>
          </w:p>
        </w:tc>
        <w:tc>
          <w:tcPr>
            <w:tcW w:w="1073" w:type="dxa"/>
            <w:noWrap/>
            <w:vAlign w:val="center"/>
          </w:tcPr>
          <w:p w14:paraId="4EB03C16"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1707998</w:t>
            </w:r>
          </w:p>
        </w:tc>
        <w:tc>
          <w:tcPr>
            <w:tcW w:w="1097" w:type="dxa"/>
            <w:noWrap/>
            <w:vAlign w:val="center"/>
          </w:tcPr>
          <w:p w14:paraId="59FDF520"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1350532</w:t>
            </w:r>
          </w:p>
        </w:tc>
        <w:tc>
          <w:tcPr>
            <w:tcW w:w="1073" w:type="dxa"/>
            <w:noWrap/>
            <w:vAlign w:val="center"/>
          </w:tcPr>
          <w:p w14:paraId="7EB1C45B"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942300</w:t>
            </w:r>
          </w:p>
        </w:tc>
        <w:tc>
          <w:tcPr>
            <w:tcW w:w="1097" w:type="dxa"/>
            <w:noWrap/>
            <w:vAlign w:val="center"/>
          </w:tcPr>
          <w:p w14:paraId="04C6E14E"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1035709</w:t>
            </w:r>
          </w:p>
        </w:tc>
        <w:tc>
          <w:tcPr>
            <w:tcW w:w="1073" w:type="dxa"/>
            <w:noWrap/>
            <w:vAlign w:val="center"/>
          </w:tcPr>
          <w:p w14:paraId="5CBE25C1"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3245288</w:t>
            </w:r>
          </w:p>
        </w:tc>
        <w:tc>
          <w:tcPr>
            <w:tcW w:w="1097" w:type="dxa"/>
            <w:noWrap/>
            <w:vAlign w:val="center"/>
          </w:tcPr>
          <w:p w14:paraId="05BB54B4"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2921401</w:t>
            </w:r>
          </w:p>
        </w:tc>
      </w:tr>
      <w:tr w:rsidR="00926899" w:rsidRPr="00133EDA" w14:paraId="272DA70A" w14:textId="77777777" w:rsidTr="00E30C2C">
        <w:trPr>
          <w:trHeight w:val="302"/>
        </w:trPr>
        <w:tc>
          <w:tcPr>
            <w:tcW w:w="1620" w:type="dxa"/>
            <w:vMerge/>
            <w:vAlign w:val="center"/>
            <w:hideMark/>
          </w:tcPr>
          <w:p w14:paraId="54A30D0B"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nil"/>
              <w:right w:val="single" w:sz="4" w:space="0" w:color="auto"/>
            </w:tcBorders>
            <w:shd w:val="clear" w:color="auto" w:fill="auto"/>
            <w:noWrap/>
            <w:vAlign w:val="bottom"/>
          </w:tcPr>
          <w:p w14:paraId="0E384F0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593806</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213C152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557945</w:t>
            </w:r>
          </w:p>
        </w:tc>
        <w:tc>
          <w:tcPr>
            <w:tcW w:w="1073" w:type="dxa"/>
            <w:tcBorders>
              <w:top w:val="nil"/>
              <w:left w:val="nil"/>
              <w:bottom w:val="single" w:sz="4" w:space="0" w:color="auto"/>
              <w:right w:val="single" w:sz="4" w:space="0" w:color="auto"/>
            </w:tcBorders>
            <w:shd w:val="clear" w:color="auto" w:fill="auto"/>
            <w:noWrap/>
            <w:vAlign w:val="bottom"/>
          </w:tcPr>
          <w:p w14:paraId="19039A8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1307286</w:t>
            </w:r>
          </w:p>
        </w:tc>
        <w:tc>
          <w:tcPr>
            <w:tcW w:w="1097" w:type="dxa"/>
            <w:tcBorders>
              <w:top w:val="nil"/>
              <w:left w:val="nil"/>
              <w:bottom w:val="nil"/>
              <w:right w:val="single" w:sz="4" w:space="0" w:color="auto"/>
            </w:tcBorders>
            <w:shd w:val="clear" w:color="auto" w:fill="auto"/>
            <w:noWrap/>
            <w:vAlign w:val="bottom"/>
          </w:tcPr>
          <w:p w14:paraId="3A4C43C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1255395</w:t>
            </w:r>
          </w:p>
        </w:tc>
        <w:tc>
          <w:tcPr>
            <w:tcW w:w="1073" w:type="dxa"/>
            <w:tcBorders>
              <w:top w:val="nil"/>
              <w:left w:val="nil"/>
              <w:bottom w:val="nil"/>
              <w:right w:val="single" w:sz="4" w:space="0" w:color="auto"/>
            </w:tcBorders>
            <w:shd w:val="clear" w:color="auto" w:fill="auto"/>
            <w:noWrap/>
            <w:vAlign w:val="bottom"/>
          </w:tcPr>
          <w:p w14:paraId="1AD1D4A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1099659</w:t>
            </w:r>
          </w:p>
        </w:tc>
        <w:tc>
          <w:tcPr>
            <w:tcW w:w="1097" w:type="dxa"/>
            <w:tcBorders>
              <w:top w:val="nil"/>
              <w:left w:val="nil"/>
              <w:bottom w:val="nil"/>
              <w:right w:val="single" w:sz="4" w:space="0" w:color="auto"/>
            </w:tcBorders>
            <w:shd w:val="clear" w:color="auto" w:fill="auto"/>
            <w:noWrap/>
            <w:vAlign w:val="bottom"/>
          </w:tcPr>
          <w:p w14:paraId="7ED7176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951952</w:t>
            </w:r>
          </w:p>
        </w:tc>
        <w:tc>
          <w:tcPr>
            <w:tcW w:w="1073" w:type="dxa"/>
            <w:tcBorders>
              <w:top w:val="single" w:sz="4" w:space="0" w:color="auto"/>
              <w:left w:val="nil"/>
              <w:bottom w:val="nil"/>
              <w:right w:val="single" w:sz="4" w:space="0" w:color="auto"/>
            </w:tcBorders>
            <w:shd w:val="clear" w:color="auto" w:fill="auto"/>
            <w:noWrap/>
            <w:vAlign w:val="bottom"/>
          </w:tcPr>
          <w:p w14:paraId="1CAAA2D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3000751</w:t>
            </w:r>
          </w:p>
        </w:tc>
        <w:tc>
          <w:tcPr>
            <w:tcW w:w="1097" w:type="dxa"/>
            <w:tcBorders>
              <w:top w:val="single" w:sz="4" w:space="0" w:color="auto"/>
              <w:left w:val="nil"/>
              <w:bottom w:val="nil"/>
              <w:right w:val="single" w:sz="8" w:space="0" w:color="auto"/>
            </w:tcBorders>
            <w:shd w:val="clear" w:color="auto" w:fill="auto"/>
            <w:noWrap/>
            <w:vAlign w:val="bottom"/>
          </w:tcPr>
          <w:p w14:paraId="5936D24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2765292</w:t>
            </w:r>
          </w:p>
        </w:tc>
      </w:tr>
      <w:tr w:rsidR="00926899" w:rsidRPr="00133EDA" w14:paraId="1CD8B49D" w14:textId="77777777" w:rsidTr="00E30C2C">
        <w:trPr>
          <w:trHeight w:val="302"/>
        </w:trPr>
        <w:tc>
          <w:tcPr>
            <w:tcW w:w="1620" w:type="dxa"/>
            <w:vMerge/>
            <w:vAlign w:val="center"/>
            <w:hideMark/>
          </w:tcPr>
          <w:p w14:paraId="1D6DFBC8"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tcPr>
          <w:p w14:paraId="1F60F6A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615797</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E2698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612211</w:t>
            </w:r>
          </w:p>
        </w:tc>
        <w:tc>
          <w:tcPr>
            <w:tcW w:w="1073" w:type="dxa"/>
            <w:tcBorders>
              <w:top w:val="single" w:sz="4" w:space="0" w:color="auto"/>
              <w:left w:val="single" w:sz="4" w:space="0" w:color="auto"/>
              <w:bottom w:val="single" w:sz="4" w:space="0" w:color="auto"/>
              <w:right w:val="nil"/>
            </w:tcBorders>
            <w:shd w:val="clear" w:color="auto" w:fill="auto"/>
            <w:noWrap/>
            <w:vAlign w:val="bottom"/>
          </w:tcPr>
          <w:p w14:paraId="39F8827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1730382</w:t>
            </w:r>
          </w:p>
        </w:tc>
        <w:tc>
          <w:tcPr>
            <w:tcW w:w="1097" w:type="dxa"/>
            <w:tcBorders>
              <w:top w:val="single" w:sz="4" w:space="0" w:color="auto"/>
              <w:left w:val="single" w:sz="4" w:space="0" w:color="auto"/>
              <w:bottom w:val="single" w:sz="8" w:space="0" w:color="auto"/>
              <w:right w:val="nil"/>
            </w:tcBorders>
            <w:shd w:val="clear" w:color="auto" w:fill="auto"/>
            <w:noWrap/>
            <w:vAlign w:val="bottom"/>
          </w:tcPr>
          <w:p w14:paraId="0DB10DA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1322859</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5C66A3E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1120766</w:t>
            </w:r>
          </w:p>
        </w:tc>
        <w:tc>
          <w:tcPr>
            <w:tcW w:w="1097" w:type="dxa"/>
            <w:tcBorders>
              <w:top w:val="single" w:sz="4" w:space="0" w:color="auto"/>
              <w:left w:val="single" w:sz="4" w:space="0" w:color="auto"/>
              <w:bottom w:val="single" w:sz="8" w:space="0" w:color="auto"/>
              <w:right w:val="nil"/>
            </w:tcBorders>
            <w:shd w:val="clear" w:color="auto" w:fill="auto"/>
            <w:noWrap/>
            <w:vAlign w:val="bottom"/>
          </w:tcPr>
          <w:p w14:paraId="68A9B62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1028841</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51BD874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3466945</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14:paraId="6EFA8BF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2963911</w:t>
            </w:r>
          </w:p>
        </w:tc>
      </w:tr>
      <w:tr w:rsidR="00926899" w:rsidRPr="00133EDA" w14:paraId="1A54F7E4" w14:textId="77777777" w:rsidTr="00E30C2C">
        <w:trPr>
          <w:trHeight w:val="302"/>
        </w:trPr>
        <w:tc>
          <w:tcPr>
            <w:tcW w:w="1620" w:type="dxa"/>
            <w:vMerge/>
            <w:vAlign w:val="center"/>
            <w:hideMark/>
          </w:tcPr>
          <w:p w14:paraId="4095A6E7"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tcPr>
          <w:p w14:paraId="4830CAC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627178</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E00C7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593018</w:t>
            </w:r>
          </w:p>
        </w:tc>
        <w:tc>
          <w:tcPr>
            <w:tcW w:w="1073" w:type="dxa"/>
            <w:tcBorders>
              <w:top w:val="single" w:sz="4" w:space="0" w:color="auto"/>
              <w:left w:val="single" w:sz="4" w:space="0" w:color="auto"/>
              <w:bottom w:val="single" w:sz="8" w:space="0" w:color="auto"/>
              <w:right w:val="single" w:sz="4" w:space="0" w:color="auto"/>
            </w:tcBorders>
            <w:shd w:val="clear" w:color="auto" w:fill="auto"/>
            <w:noWrap/>
            <w:vAlign w:val="bottom"/>
          </w:tcPr>
          <w:p w14:paraId="384BC2D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1909807</w:t>
            </w:r>
          </w:p>
        </w:tc>
        <w:tc>
          <w:tcPr>
            <w:tcW w:w="1097" w:type="dxa"/>
            <w:tcBorders>
              <w:top w:val="single" w:sz="4" w:space="0" w:color="auto"/>
              <w:left w:val="nil"/>
              <w:bottom w:val="single" w:sz="8" w:space="0" w:color="auto"/>
              <w:right w:val="nil"/>
            </w:tcBorders>
            <w:shd w:val="clear" w:color="auto" w:fill="auto"/>
            <w:noWrap/>
            <w:vAlign w:val="bottom"/>
          </w:tcPr>
          <w:p w14:paraId="4D7FA5F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1155263</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350F2DC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1171368</w:t>
            </w:r>
          </w:p>
        </w:tc>
        <w:tc>
          <w:tcPr>
            <w:tcW w:w="1097" w:type="dxa"/>
            <w:tcBorders>
              <w:top w:val="single" w:sz="4" w:space="0" w:color="auto"/>
              <w:left w:val="single" w:sz="4" w:space="0" w:color="auto"/>
              <w:bottom w:val="single" w:sz="8" w:space="0" w:color="auto"/>
              <w:right w:val="nil"/>
            </w:tcBorders>
            <w:shd w:val="clear" w:color="auto" w:fill="auto"/>
            <w:noWrap/>
            <w:vAlign w:val="bottom"/>
          </w:tcPr>
          <w:p w14:paraId="225D045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1135911</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657C428A"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3708353</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14:paraId="6B11862A"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2884192</w:t>
            </w:r>
          </w:p>
        </w:tc>
      </w:tr>
      <w:tr w:rsidR="00926899" w:rsidRPr="00133EDA" w14:paraId="5AD9EA0E" w14:textId="77777777" w:rsidTr="00E30C2C">
        <w:trPr>
          <w:trHeight w:val="302"/>
        </w:trPr>
        <w:tc>
          <w:tcPr>
            <w:tcW w:w="1620" w:type="dxa"/>
            <w:vMerge/>
            <w:vAlign w:val="center"/>
            <w:hideMark/>
          </w:tcPr>
          <w:p w14:paraId="48B69868"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tcPr>
          <w:p w14:paraId="2001989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606789</w:t>
            </w:r>
          </w:p>
        </w:tc>
        <w:tc>
          <w:tcPr>
            <w:tcW w:w="1097" w:type="dxa"/>
            <w:tcBorders>
              <w:top w:val="single" w:sz="4" w:space="0" w:color="auto"/>
              <w:left w:val="single" w:sz="4" w:space="0" w:color="auto"/>
              <w:bottom w:val="single" w:sz="8" w:space="0" w:color="auto"/>
              <w:right w:val="single" w:sz="4" w:space="0" w:color="auto"/>
            </w:tcBorders>
            <w:shd w:val="clear" w:color="auto" w:fill="auto"/>
            <w:noWrap/>
            <w:vAlign w:val="bottom"/>
          </w:tcPr>
          <w:p w14:paraId="78468A6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663620</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453967B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1735509</w:t>
            </w:r>
          </w:p>
        </w:tc>
        <w:tc>
          <w:tcPr>
            <w:tcW w:w="1097" w:type="dxa"/>
            <w:tcBorders>
              <w:top w:val="single" w:sz="4" w:space="0" w:color="auto"/>
              <w:left w:val="nil"/>
              <w:bottom w:val="single" w:sz="8" w:space="0" w:color="auto"/>
              <w:right w:val="nil"/>
            </w:tcBorders>
            <w:shd w:val="clear" w:color="auto" w:fill="auto"/>
            <w:noWrap/>
            <w:vAlign w:val="bottom"/>
          </w:tcPr>
          <w:p w14:paraId="464BC0F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1219753</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6336075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1271531</w:t>
            </w:r>
          </w:p>
        </w:tc>
        <w:tc>
          <w:tcPr>
            <w:tcW w:w="1097" w:type="dxa"/>
            <w:tcBorders>
              <w:top w:val="single" w:sz="4" w:space="0" w:color="auto"/>
              <w:left w:val="single" w:sz="4" w:space="0" w:color="auto"/>
              <w:bottom w:val="single" w:sz="8" w:space="0" w:color="auto"/>
              <w:right w:val="nil"/>
            </w:tcBorders>
            <w:shd w:val="clear" w:color="auto" w:fill="auto"/>
            <w:noWrap/>
            <w:vAlign w:val="bottom"/>
          </w:tcPr>
          <w:p w14:paraId="2AC45F0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1396849</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4A7DB7BA"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3613829</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14:paraId="53FE38E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3280222</w:t>
            </w:r>
          </w:p>
        </w:tc>
      </w:tr>
      <w:tr w:rsidR="00926899" w:rsidRPr="00133EDA" w14:paraId="23DA70DE" w14:textId="77777777" w:rsidTr="00E30C2C">
        <w:trPr>
          <w:trHeight w:val="302"/>
        </w:trPr>
        <w:tc>
          <w:tcPr>
            <w:tcW w:w="1620" w:type="dxa"/>
            <w:vMerge/>
            <w:vAlign w:val="center"/>
            <w:hideMark/>
          </w:tcPr>
          <w:p w14:paraId="74F509C1"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tcPr>
          <w:p w14:paraId="778415D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689464</w:t>
            </w:r>
          </w:p>
        </w:tc>
        <w:tc>
          <w:tcPr>
            <w:tcW w:w="1097" w:type="dxa"/>
            <w:tcBorders>
              <w:top w:val="single" w:sz="4" w:space="0" w:color="auto"/>
              <w:left w:val="single" w:sz="4" w:space="0" w:color="auto"/>
              <w:bottom w:val="single" w:sz="8" w:space="0" w:color="auto"/>
              <w:right w:val="single" w:sz="4" w:space="0" w:color="auto"/>
            </w:tcBorders>
            <w:shd w:val="clear" w:color="auto" w:fill="auto"/>
            <w:noWrap/>
            <w:vAlign w:val="bottom"/>
          </w:tcPr>
          <w:p w14:paraId="2145D19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632006</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0E8544A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1523969</w:t>
            </w:r>
          </w:p>
        </w:tc>
        <w:tc>
          <w:tcPr>
            <w:tcW w:w="1097" w:type="dxa"/>
            <w:tcBorders>
              <w:top w:val="single" w:sz="4" w:space="0" w:color="auto"/>
              <w:left w:val="nil"/>
              <w:bottom w:val="single" w:sz="8" w:space="0" w:color="auto"/>
              <w:right w:val="nil"/>
            </w:tcBorders>
            <w:shd w:val="clear" w:color="auto" w:fill="auto"/>
            <w:noWrap/>
            <w:vAlign w:val="bottom"/>
          </w:tcPr>
          <w:p w14:paraId="29A85FA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1131514</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3B69D24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1443972</w:t>
            </w:r>
          </w:p>
        </w:tc>
        <w:tc>
          <w:tcPr>
            <w:tcW w:w="1097" w:type="dxa"/>
            <w:tcBorders>
              <w:top w:val="single" w:sz="4" w:space="0" w:color="auto"/>
              <w:left w:val="single" w:sz="4" w:space="0" w:color="auto"/>
              <w:bottom w:val="single" w:sz="8" w:space="0" w:color="auto"/>
              <w:right w:val="nil"/>
            </w:tcBorders>
            <w:shd w:val="clear" w:color="auto" w:fill="auto"/>
            <w:noWrap/>
            <w:vAlign w:val="bottom"/>
          </w:tcPr>
          <w:p w14:paraId="65B57E88"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1513865</w:t>
            </w:r>
          </w:p>
        </w:tc>
        <w:tc>
          <w:tcPr>
            <w:tcW w:w="1073" w:type="dxa"/>
            <w:tcBorders>
              <w:top w:val="single" w:sz="4" w:space="0" w:color="auto"/>
              <w:left w:val="single" w:sz="4" w:space="0" w:color="auto"/>
              <w:bottom w:val="single" w:sz="8" w:space="0" w:color="auto"/>
              <w:right w:val="nil"/>
            </w:tcBorders>
            <w:shd w:val="clear" w:color="auto" w:fill="auto"/>
            <w:noWrap/>
            <w:vAlign w:val="bottom"/>
          </w:tcPr>
          <w:p w14:paraId="7EC407D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3657405</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14:paraId="416D942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3277385</w:t>
            </w:r>
          </w:p>
        </w:tc>
      </w:tr>
      <w:tr w:rsidR="00926899" w:rsidRPr="00133EDA" w14:paraId="5D3D4D04" w14:textId="77777777" w:rsidTr="00E30C2C">
        <w:trPr>
          <w:trHeight w:val="302"/>
        </w:trPr>
        <w:tc>
          <w:tcPr>
            <w:tcW w:w="1620" w:type="dxa"/>
            <w:vMerge w:val="restart"/>
            <w:noWrap/>
            <w:vAlign w:val="center"/>
            <w:hideMark/>
          </w:tcPr>
          <w:p w14:paraId="0E28CB6B" w14:textId="77777777" w:rsidR="00926899" w:rsidRPr="00133EDA" w:rsidRDefault="00926899" w:rsidP="00E30C2C">
            <w:pPr>
              <w:jc w:val="cente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Subteran</w:t>
            </w:r>
          </w:p>
        </w:tc>
        <w:tc>
          <w:tcPr>
            <w:tcW w:w="1080" w:type="dxa"/>
            <w:noWrap/>
            <w:vAlign w:val="center"/>
          </w:tcPr>
          <w:p w14:paraId="4E108862"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482213</w:t>
            </w:r>
          </w:p>
        </w:tc>
        <w:tc>
          <w:tcPr>
            <w:tcW w:w="1097" w:type="dxa"/>
            <w:noWrap/>
            <w:vAlign w:val="center"/>
          </w:tcPr>
          <w:p w14:paraId="6B4D0080"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452958</w:t>
            </w:r>
          </w:p>
        </w:tc>
        <w:tc>
          <w:tcPr>
            <w:tcW w:w="1073" w:type="dxa"/>
            <w:noWrap/>
            <w:vAlign w:val="center"/>
          </w:tcPr>
          <w:p w14:paraId="041913BB"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162548</w:t>
            </w:r>
          </w:p>
        </w:tc>
        <w:tc>
          <w:tcPr>
            <w:tcW w:w="1097" w:type="dxa"/>
            <w:noWrap/>
            <w:vAlign w:val="center"/>
          </w:tcPr>
          <w:p w14:paraId="5116AFB2"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147014</w:t>
            </w:r>
          </w:p>
        </w:tc>
        <w:tc>
          <w:tcPr>
            <w:tcW w:w="1073" w:type="dxa"/>
            <w:noWrap/>
            <w:vAlign w:val="center"/>
          </w:tcPr>
          <w:p w14:paraId="6E5F136E"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44805</w:t>
            </w:r>
          </w:p>
        </w:tc>
        <w:tc>
          <w:tcPr>
            <w:tcW w:w="1097" w:type="dxa"/>
            <w:noWrap/>
            <w:vAlign w:val="center"/>
          </w:tcPr>
          <w:p w14:paraId="50796603"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46458</w:t>
            </w:r>
          </w:p>
        </w:tc>
        <w:tc>
          <w:tcPr>
            <w:tcW w:w="1073" w:type="dxa"/>
            <w:noWrap/>
            <w:vAlign w:val="center"/>
          </w:tcPr>
          <w:p w14:paraId="5C4B4F17"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689566</w:t>
            </w:r>
          </w:p>
        </w:tc>
        <w:tc>
          <w:tcPr>
            <w:tcW w:w="1097" w:type="dxa"/>
            <w:noWrap/>
            <w:vAlign w:val="center"/>
          </w:tcPr>
          <w:p w14:paraId="50260291"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646430</w:t>
            </w:r>
          </w:p>
        </w:tc>
      </w:tr>
      <w:tr w:rsidR="00926899" w:rsidRPr="00133EDA" w14:paraId="284270D2" w14:textId="77777777" w:rsidTr="00E30C2C">
        <w:trPr>
          <w:trHeight w:val="302"/>
        </w:trPr>
        <w:tc>
          <w:tcPr>
            <w:tcW w:w="1620" w:type="dxa"/>
            <w:vMerge/>
            <w:vAlign w:val="center"/>
            <w:hideMark/>
          </w:tcPr>
          <w:p w14:paraId="13C07237"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EA60B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498167</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328CA02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467129</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57E7B11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167239</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6E815B1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159826</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738FF00B"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55458</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73F8D7D8"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51737</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2C7D716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720864</w:t>
            </w:r>
          </w:p>
        </w:tc>
        <w:tc>
          <w:tcPr>
            <w:tcW w:w="1097" w:type="dxa"/>
            <w:tcBorders>
              <w:top w:val="single" w:sz="4" w:space="0" w:color="auto"/>
              <w:left w:val="nil"/>
              <w:bottom w:val="single" w:sz="4" w:space="0" w:color="auto"/>
              <w:right w:val="single" w:sz="8" w:space="0" w:color="auto"/>
            </w:tcBorders>
            <w:shd w:val="clear" w:color="auto" w:fill="auto"/>
            <w:noWrap/>
            <w:vAlign w:val="bottom"/>
          </w:tcPr>
          <w:p w14:paraId="63755B7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678692</w:t>
            </w:r>
          </w:p>
        </w:tc>
      </w:tr>
      <w:tr w:rsidR="00926899" w:rsidRPr="00133EDA" w14:paraId="1352E0E4" w14:textId="77777777" w:rsidTr="00E30C2C">
        <w:trPr>
          <w:trHeight w:val="302"/>
        </w:trPr>
        <w:tc>
          <w:tcPr>
            <w:tcW w:w="1620" w:type="dxa"/>
            <w:vMerge/>
            <w:vAlign w:val="center"/>
            <w:hideMark/>
          </w:tcPr>
          <w:p w14:paraId="17EEEF8C"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tcPr>
          <w:p w14:paraId="44689DB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521195</w:t>
            </w:r>
          </w:p>
        </w:tc>
        <w:tc>
          <w:tcPr>
            <w:tcW w:w="1097" w:type="dxa"/>
            <w:tcBorders>
              <w:top w:val="nil"/>
              <w:left w:val="nil"/>
              <w:bottom w:val="single" w:sz="8" w:space="0" w:color="auto"/>
              <w:right w:val="single" w:sz="4" w:space="0" w:color="auto"/>
            </w:tcBorders>
            <w:shd w:val="clear" w:color="auto" w:fill="auto"/>
            <w:noWrap/>
            <w:vAlign w:val="bottom"/>
          </w:tcPr>
          <w:p w14:paraId="7C7800E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492378</w:t>
            </w:r>
          </w:p>
        </w:tc>
        <w:tc>
          <w:tcPr>
            <w:tcW w:w="1073" w:type="dxa"/>
            <w:tcBorders>
              <w:top w:val="nil"/>
              <w:left w:val="nil"/>
              <w:bottom w:val="single" w:sz="8" w:space="0" w:color="auto"/>
              <w:right w:val="single" w:sz="4" w:space="0" w:color="auto"/>
            </w:tcBorders>
            <w:shd w:val="clear" w:color="auto" w:fill="auto"/>
            <w:noWrap/>
            <w:vAlign w:val="bottom"/>
          </w:tcPr>
          <w:p w14:paraId="22C75BF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184000</w:t>
            </w:r>
          </w:p>
        </w:tc>
        <w:tc>
          <w:tcPr>
            <w:tcW w:w="1097" w:type="dxa"/>
            <w:tcBorders>
              <w:top w:val="nil"/>
              <w:left w:val="nil"/>
              <w:bottom w:val="single" w:sz="8" w:space="0" w:color="auto"/>
              <w:right w:val="single" w:sz="4" w:space="0" w:color="auto"/>
            </w:tcBorders>
            <w:shd w:val="clear" w:color="auto" w:fill="auto"/>
            <w:noWrap/>
            <w:vAlign w:val="bottom"/>
          </w:tcPr>
          <w:p w14:paraId="551FAF2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159092</w:t>
            </w:r>
          </w:p>
        </w:tc>
        <w:tc>
          <w:tcPr>
            <w:tcW w:w="1073" w:type="dxa"/>
            <w:tcBorders>
              <w:top w:val="nil"/>
              <w:left w:val="nil"/>
              <w:bottom w:val="single" w:sz="8" w:space="0" w:color="auto"/>
              <w:right w:val="single" w:sz="4" w:space="0" w:color="auto"/>
            </w:tcBorders>
            <w:shd w:val="clear" w:color="auto" w:fill="auto"/>
            <w:noWrap/>
            <w:vAlign w:val="bottom"/>
          </w:tcPr>
          <w:p w14:paraId="3B8E58C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60841</w:t>
            </w:r>
          </w:p>
        </w:tc>
        <w:tc>
          <w:tcPr>
            <w:tcW w:w="1097" w:type="dxa"/>
            <w:tcBorders>
              <w:top w:val="nil"/>
              <w:left w:val="nil"/>
              <w:bottom w:val="single" w:sz="8" w:space="0" w:color="auto"/>
              <w:right w:val="single" w:sz="4" w:space="0" w:color="auto"/>
            </w:tcBorders>
            <w:shd w:val="clear" w:color="auto" w:fill="auto"/>
            <w:noWrap/>
            <w:vAlign w:val="bottom"/>
          </w:tcPr>
          <w:p w14:paraId="5EEFE72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53341</w:t>
            </w:r>
          </w:p>
        </w:tc>
        <w:tc>
          <w:tcPr>
            <w:tcW w:w="1073" w:type="dxa"/>
            <w:tcBorders>
              <w:top w:val="nil"/>
              <w:left w:val="nil"/>
              <w:bottom w:val="single" w:sz="8" w:space="0" w:color="auto"/>
              <w:right w:val="single" w:sz="4" w:space="0" w:color="auto"/>
            </w:tcBorders>
            <w:shd w:val="clear" w:color="auto" w:fill="auto"/>
            <w:noWrap/>
            <w:vAlign w:val="bottom"/>
          </w:tcPr>
          <w:p w14:paraId="3484042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766036</w:t>
            </w:r>
          </w:p>
        </w:tc>
        <w:tc>
          <w:tcPr>
            <w:tcW w:w="1097" w:type="dxa"/>
            <w:tcBorders>
              <w:top w:val="nil"/>
              <w:left w:val="nil"/>
              <w:bottom w:val="single" w:sz="8" w:space="0" w:color="auto"/>
              <w:right w:val="single" w:sz="8" w:space="0" w:color="auto"/>
            </w:tcBorders>
            <w:shd w:val="clear" w:color="auto" w:fill="auto"/>
            <w:noWrap/>
            <w:vAlign w:val="bottom"/>
          </w:tcPr>
          <w:p w14:paraId="47A1555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704811</w:t>
            </w:r>
          </w:p>
        </w:tc>
      </w:tr>
      <w:tr w:rsidR="00926899" w:rsidRPr="00133EDA" w14:paraId="6B569AD5" w14:textId="77777777" w:rsidTr="00E30C2C">
        <w:trPr>
          <w:trHeight w:val="302"/>
        </w:trPr>
        <w:tc>
          <w:tcPr>
            <w:tcW w:w="1620" w:type="dxa"/>
            <w:vMerge/>
            <w:vAlign w:val="center"/>
            <w:hideMark/>
          </w:tcPr>
          <w:p w14:paraId="6D8A43D9"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14:paraId="6C59BE6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539058</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9EBAA0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411372</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70E6923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195651</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5883AF8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198892</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4EF2AC5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67492</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ECA193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185296</w:t>
            </w:r>
          </w:p>
        </w:tc>
        <w:tc>
          <w:tcPr>
            <w:tcW w:w="1073" w:type="dxa"/>
            <w:tcBorders>
              <w:top w:val="nil"/>
              <w:left w:val="nil"/>
              <w:bottom w:val="single" w:sz="8" w:space="0" w:color="auto"/>
              <w:right w:val="single" w:sz="4" w:space="0" w:color="auto"/>
            </w:tcBorders>
            <w:shd w:val="clear" w:color="auto" w:fill="auto"/>
            <w:noWrap/>
            <w:vAlign w:val="bottom"/>
          </w:tcPr>
          <w:p w14:paraId="3A37034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802201</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6B8513D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795560</w:t>
            </w:r>
          </w:p>
        </w:tc>
      </w:tr>
      <w:tr w:rsidR="00926899" w:rsidRPr="00133EDA" w14:paraId="7949A2F1" w14:textId="77777777" w:rsidTr="00E30C2C">
        <w:trPr>
          <w:trHeight w:val="302"/>
        </w:trPr>
        <w:tc>
          <w:tcPr>
            <w:tcW w:w="1620" w:type="dxa"/>
            <w:vMerge/>
            <w:vAlign w:val="center"/>
            <w:hideMark/>
          </w:tcPr>
          <w:p w14:paraId="747ED017"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14:paraId="40020628"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598991</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28B2F37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535101</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7433DCC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201856</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04A9740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194748</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73D4A06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87979</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3F1B9A2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75896</w:t>
            </w:r>
          </w:p>
        </w:tc>
        <w:tc>
          <w:tcPr>
            <w:tcW w:w="1073" w:type="dxa"/>
            <w:tcBorders>
              <w:top w:val="nil"/>
              <w:left w:val="nil"/>
              <w:bottom w:val="single" w:sz="8" w:space="0" w:color="auto"/>
              <w:right w:val="single" w:sz="4" w:space="0" w:color="auto"/>
            </w:tcBorders>
            <w:shd w:val="clear" w:color="auto" w:fill="auto"/>
            <w:noWrap/>
            <w:vAlign w:val="bottom"/>
          </w:tcPr>
          <w:p w14:paraId="20F52C6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888826</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78B600C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805745</w:t>
            </w:r>
          </w:p>
        </w:tc>
      </w:tr>
      <w:tr w:rsidR="00926899" w:rsidRPr="00133EDA" w14:paraId="3BF21F49" w14:textId="77777777" w:rsidTr="00E30C2C">
        <w:trPr>
          <w:trHeight w:val="302"/>
        </w:trPr>
        <w:tc>
          <w:tcPr>
            <w:tcW w:w="1620" w:type="dxa"/>
            <w:vMerge/>
            <w:vAlign w:val="center"/>
            <w:hideMark/>
          </w:tcPr>
          <w:p w14:paraId="18FCFC1A"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14:paraId="3C60315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582726</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51526DF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548605</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6250700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229193</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2E655D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151561</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19790EA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87643</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5432D5F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83210</w:t>
            </w:r>
          </w:p>
        </w:tc>
        <w:tc>
          <w:tcPr>
            <w:tcW w:w="1073" w:type="dxa"/>
            <w:tcBorders>
              <w:top w:val="nil"/>
              <w:left w:val="nil"/>
              <w:bottom w:val="single" w:sz="8" w:space="0" w:color="auto"/>
              <w:right w:val="single" w:sz="4" w:space="0" w:color="auto"/>
            </w:tcBorders>
            <w:shd w:val="clear" w:color="auto" w:fill="auto"/>
            <w:noWrap/>
            <w:vAlign w:val="bottom"/>
          </w:tcPr>
          <w:p w14:paraId="3D46FCE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899562</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67622A0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783376</w:t>
            </w:r>
          </w:p>
        </w:tc>
      </w:tr>
      <w:tr w:rsidR="00926899" w:rsidRPr="00133EDA" w14:paraId="00DBC1EA" w14:textId="77777777" w:rsidTr="00E30C2C">
        <w:trPr>
          <w:trHeight w:val="302"/>
        </w:trPr>
        <w:tc>
          <w:tcPr>
            <w:tcW w:w="1620" w:type="dxa"/>
            <w:vMerge w:val="restart"/>
            <w:noWrap/>
            <w:vAlign w:val="center"/>
            <w:hideMark/>
          </w:tcPr>
          <w:p w14:paraId="52A712D4" w14:textId="77777777" w:rsidR="00926899" w:rsidRPr="00133EDA" w:rsidRDefault="00926899" w:rsidP="00E30C2C">
            <w:pPr>
              <w:jc w:val="cente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Dunăre</w:t>
            </w:r>
          </w:p>
        </w:tc>
        <w:tc>
          <w:tcPr>
            <w:tcW w:w="1080" w:type="dxa"/>
            <w:noWrap/>
            <w:vAlign w:val="center"/>
          </w:tcPr>
          <w:p w14:paraId="6E8A2AA7"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67599</w:t>
            </w:r>
          </w:p>
        </w:tc>
        <w:tc>
          <w:tcPr>
            <w:tcW w:w="1097" w:type="dxa"/>
            <w:noWrap/>
            <w:vAlign w:val="center"/>
          </w:tcPr>
          <w:p w14:paraId="45932820"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60042</w:t>
            </w:r>
          </w:p>
        </w:tc>
        <w:tc>
          <w:tcPr>
            <w:tcW w:w="1073" w:type="dxa"/>
            <w:noWrap/>
            <w:vAlign w:val="center"/>
          </w:tcPr>
          <w:p w14:paraId="39773D59"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2595753</w:t>
            </w:r>
          </w:p>
        </w:tc>
        <w:tc>
          <w:tcPr>
            <w:tcW w:w="1097" w:type="dxa"/>
            <w:noWrap/>
            <w:vAlign w:val="center"/>
          </w:tcPr>
          <w:p w14:paraId="2E79647D"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2725887</w:t>
            </w:r>
          </w:p>
        </w:tc>
        <w:tc>
          <w:tcPr>
            <w:tcW w:w="1073" w:type="dxa"/>
            <w:noWrap/>
            <w:vAlign w:val="center"/>
          </w:tcPr>
          <w:p w14:paraId="0210CB22"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387068</w:t>
            </w:r>
          </w:p>
        </w:tc>
        <w:tc>
          <w:tcPr>
            <w:tcW w:w="1097" w:type="dxa"/>
            <w:noWrap/>
            <w:vAlign w:val="center"/>
          </w:tcPr>
          <w:p w14:paraId="594D81E9"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408583</w:t>
            </w:r>
          </w:p>
        </w:tc>
        <w:tc>
          <w:tcPr>
            <w:tcW w:w="1073" w:type="dxa"/>
            <w:noWrap/>
            <w:vAlign w:val="center"/>
          </w:tcPr>
          <w:p w14:paraId="0D7DA815"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3050420</w:t>
            </w:r>
          </w:p>
        </w:tc>
        <w:tc>
          <w:tcPr>
            <w:tcW w:w="1097" w:type="dxa"/>
            <w:noWrap/>
            <w:vAlign w:val="center"/>
          </w:tcPr>
          <w:p w14:paraId="28A5EF58"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3194512</w:t>
            </w:r>
          </w:p>
        </w:tc>
      </w:tr>
      <w:tr w:rsidR="00926899" w:rsidRPr="00133EDA" w14:paraId="7ED4D775" w14:textId="77777777" w:rsidTr="00E30C2C">
        <w:trPr>
          <w:trHeight w:val="302"/>
        </w:trPr>
        <w:tc>
          <w:tcPr>
            <w:tcW w:w="1620" w:type="dxa"/>
            <w:vMerge/>
            <w:vAlign w:val="center"/>
            <w:hideMark/>
          </w:tcPr>
          <w:p w14:paraId="09AAD14D"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2C3FA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68575</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3192D65A"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59876</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6936137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2593468</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5A965F4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2479875</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55D106F8"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502860</w:t>
            </w:r>
          </w:p>
        </w:tc>
        <w:tc>
          <w:tcPr>
            <w:tcW w:w="1097" w:type="dxa"/>
            <w:tcBorders>
              <w:top w:val="single" w:sz="4" w:space="0" w:color="auto"/>
              <w:left w:val="nil"/>
              <w:bottom w:val="single" w:sz="4" w:space="0" w:color="auto"/>
              <w:right w:val="single" w:sz="4" w:space="0" w:color="auto"/>
            </w:tcBorders>
            <w:shd w:val="clear" w:color="auto" w:fill="auto"/>
            <w:noWrap/>
            <w:vAlign w:val="bottom"/>
          </w:tcPr>
          <w:p w14:paraId="4F05477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423146</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18926A6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3164903</w:t>
            </w:r>
          </w:p>
        </w:tc>
        <w:tc>
          <w:tcPr>
            <w:tcW w:w="1097" w:type="dxa"/>
            <w:tcBorders>
              <w:top w:val="single" w:sz="4" w:space="0" w:color="auto"/>
              <w:left w:val="nil"/>
              <w:bottom w:val="single" w:sz="4" w:space="0" w:color="auto"/>
              <w:right w:val="single" w:sz="8" w:space="0" w:color="auto"/>
            </w:tcBorders>
            <w:shd w:val="clear" w:color="auto" w:fill="auto"/>
            <w:noWrap/>
            <w:vAlign w:val="bottom"/>
          </w:tcPr>
          <w:p w14:paraId="4407EB2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2962897</w:t>
            </w:r>
          </w:p>
        </w:tc>
      </w:tr>
      <w:tr w:rsidR="00926899" w:rsidRPr="00133EDA" w14:paraId="07713473" w14:textId="77777777" w:rsidTr="00E30C2C">
        <w:trPr>
          <w:trHeight w:val="302"/>
        </w:trPr>
        <w:tc>
          <w:tcPr>
            <w:tcW w:w="1620" w:type="dxa"/>
            <w:vMerge/>
            <w:vAlign w:val="center"/>
            <w:hideMark/>
          </w:tcPr>
          <w:p w14:paraId="465AAEB8"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tcPr>
          <w:p w14:paraId="1FEDB59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67222</w:t>
            </w:r>
          </w:p>
        </w:tc>
        <w:tc>
          <w:tcPr>
            <w:tcW w:w="1097" w:type="dxa"/>
            <w:tcBorders>
              <w:top w:val="nil"/>
              <w:left w:val="nil"/>
              <w:bottom w:val="single" w:sz="8" w:space="0" w:color="auto"/>
              <w:right w:val="single" w:sz="4" w:space="0" w:color="auto"/>
            </w:tcBorders>
            <w:shd w:val="clear" w:color="auto" w:fill="auto"/>
            <w:noWrap/>
            <w:vAlign w:val="bottom"/>
          </w:tcPr>
          <w:p w14:paraId="7D5B44A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71904</w:t>
            </w:r>
          </w:p>
        </w:tc>
        <w:tc>
          <w:tcPr>
            <w:tcW w:w="1073" w:type="dxa"/>
            <w:tcBorders>
              <w:top w:val="nil"/>
              <w:left w:val="nil"/>
              <w:bottom w:val="single" w:sz="8" w:space="0" w:color="auto"/>
              <w:right w:val="single" w:sz="4" w:space="0" w:color="auto"/>
            </w:tcBorders>
            <w:shd w:val="clear" w:color="auto" w:fill="auto"/>
            <w:noWrap/>
            <w:vAlign w:val="bottom"/>
          </w:tcPr>
          <w:p w14:paraId="3165B7B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2592137</w:t>
            </w:r>
          </w:p>
        </w:tc>
        <w:tc>
          <w:tcPr>
            <w:tcW w:w="1097" w:type="dxa"/>
            <w:tcBorders>
              <w:top w:val="nil"/>
              <w:left w:val="nil"/>
              <w:bottom w:val="single" w:sz="8" w:space="0" w:color="auto"/>
              <w:right w:val="single" w:sz="4" w:space="0" w:color="auto"/>
            </w:tcBorders>
            <w:shd w:val="clear" w:color="auto" w:fill="auto"/>
            <w:noWrap/>
            <w:vAlign w:val="bottom"/>
          </w:tcPr>
          <w:p w14:paraId="2646143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2719039</w:t>
            </w:r>
          </w:p>
        </w:tc>
        <w:tc>
          <w:tcPr>
            <w:tcW w:w="1073" w:type="dxa"/>
            <w:tcBorders>
              <w:top w:val="nil"/>
              <w:left w:val="nil"/>
              <w:bottom w:val="single" w:sz="8" w:space="0" w:color="auto"/>
              <w:right w:val="single" w:sz="4" w:space="0" w:color="auto"/>
            </w:tcBorders>
            <w:shd w:val="clear" w:color="auto" w:fill="auto"/>
            <w:noWrap/>
            <w:vAlign w:val="bottom"/>
          </w:tcPr>
          <w:p w14:paraId="6981696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467507</w:t>
            </w:r>
          </w:p>
        </w:tc>
        <w:tc>
          <w:tcPr>
            <w:tcW w:w="1097" w:type="dxa"/>
            <w:tcBorders>
              <w:top w:val="nil"/>
              <w:left w:val="nil"/>
              <w:bottom w:val="single" w:sz="8" w:space="0" w:color="auto"/>
              <w:right w:val="single" w:sz="4" w:space="0" w:color="auto"/>
            </w:tcBorders>
            <w:shd w:val="clear" w:color="auto" w:fill="auto"/>
            <w:noWrap/>
            <w:vAlign w:val="bottom"/>
          </w:tcPr>
          <w:p w14:paraId="24B65B5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508740</w:t>
            </w:r>
          </w:p>
        </w:tc>
        <w:tc>
          <w:tcPr>
            <w:tcW w:w="1073" w:type="dxa"/>
            <w:tcBorders>
              <w:top w:val="nil"/>
              <w:left w:val="nil"/>
              <w:bottom w:val="single" w:sz="8" w:space="0" w:color="auto"/>
              <w:right w:val="single" w:sz="4" w:space="0" w:color="auto"/>
            </w:tcBorders>
            <w:shd w:val="clear" w:color="auto" w:fill="auto"/>
            <w:noWrap/>
            <w:vAlign w:val="bottom"/>
          </w:tcPr>
          <w:p w14:paraId="02DA927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3126866</w:t>
            </w:r>
          </w:p>
        </w:tc>
        <w:tc>
          <w:tcPr>
            <w:tcW w:w="1097" w:type="dxa"/>
            <w:tcBorders>
              <w:top w:val="nil"/>
              <w:left w:val="nil"/>
              <w:bottom w:val="single" w:sz="8" w:space="0" w:color="auto"/>
              <w:right w:val="single" w:sz="8" w:space="0" w:color="auto"/>
            </w:tcBorders>
            <w:shd w:val="clear" w:color="auto" w:fill="auto"/>
            <w:noWrap/>
            <w:vAlign w:val="bottom"/>
          </w:tcPr>
          <w:p w14:paraId="163196C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3299683</w:t>
            </w:r>
          </w:p>
        </w:tc>
      </w:tr>
      <w:tr w:rsidR="00926899" w:rsidRPr="00133EDA" w14:paraId="3DCF50CC" w14:textId="77777777" w:rsidTr="00E30C2C">
        <w:trPr>
          <w:trHeight w:val="302"/>
        </w:trPr>
        <w:tc>
          <w:tcPr>
            <w:tcW w:w="1620" w:type="dxa"/>
            <w:vMerge/>
            <w:vAlign w:val="center"/>
            <w:hideMark/>
          </w:tcPr>
          <w:p w14:paraId="1CF5CB17"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14:paraId="1C7CE46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68523</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7E5251D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73362</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3719FDC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2720136</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7B293A9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2676840</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77BAA73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599604</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EAF12C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958882</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2D71002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3388263</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631F2B5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3709084</w:t>
            </w:r>
          </w:p>
        </w:tc>
      </w:tr>
      <w:tr w:rsidR="00926899" w:rsidRPr="00133EDA" w14:paraId="643C8482" w14:textId="77777777" w:rsidTr="00E30C2C">
        <w:trPr>
          <w:trHeight w:val="302"/>
        </w:trPr>
        <w:tc>
          <w:tcPr>
            <w:tcW w:w="1620" w:type="dxa"/>
            <w:vMerge/>
            <w:vAlign w:val="center"/>
            <w:hideMark/>
          </w:tcPr>
          <w:p w14:paraId="555B7CEC"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14:paraId="31D44945"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80274</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380BA63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70729</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31F591F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2742255</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34EE34E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2691300</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316F8EC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801420</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1FC454F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1007633</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49FD1D5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3623949</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0E5B6BA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3769662</w:t>
            </w:r>
          </w:p>
        </w:tc>
      </w:tr>
      <w:tr w:rsidR="00926899" w:rsidRPr="00133EDA" w14:paraId="6BD9FE27" w14:textId="77777777" w:rsidTr="00E30C2C">
        <w:trPr>
          <w:trHeight w:val="302"/>
        </w:trPr>
        <w:tc>
          <w:tcPr>
            <w:tcW w:w="1620" w:type="dxa"/>
            <w:vMerge/>
            <w:vAlign w:val="center"/>
            <w:hideMark/>
          </w:tcPr>
          <w:p w14:paraId="00B44F97" w14:textId="77777777" w:rsidR="00926899" w:rsidRPr="00133EDA" w:rsidRDefault="00926899" w:rsidP="00E30C2C">
            <w:pPr>
              <w:jc w:val="center"/>
              <w:rPr>
                <w:rFonts w:asciiTheme="minorBidi" w:eastAsia="Times New Roman" w:hAnsiTheme="minorBidi"/>
                <w:sz w:val="18"/>
                <w:szCs w:val="18"/>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14:paraId="205DF79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81125</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FF074B6"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75286</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56BA3E1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2674606</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1EC39D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2648208</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1E74C0C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1269054</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0013946B"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1357726</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0A317A5B"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4024785</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272FB25A"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4081220</w:t>
            </w:r>
          </w:p>
        </w:tc>
      </w:tr>
      <w:tr w:rsidR="00926899" w:rsidRPr="00133EDA" w14:paraId="5DFB86F7" w14:textId="77777777" w:rsidTr="00E30C2C">
        <w:trPr>
          <w:trHeight w:val="302"/>
        </w:trPr>
        <w:tc>
          <w:tcPr>
            <w:tcW w:w="1620" w:type="dxa"/>
            <w:vMerge w:val="restart"/>
            <w:noWrap/>
            <w:vAlign w:val="center"/>
            <w:hideMark/>
          </w:tcPr>
          <w:p w14:paraId="24F81588" w14:textId="77777777" w:rsidR="00926899" w:rsidRPr="00133EDA" w:rsidRDefault="00926899" w:rsidP="00E30C2C">
            <w:pPr>
              <w:jc w:val="cente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Marea Neagră</w:t>
            </w:r>
          </w:p>
        </w:tc>
        <w:tc>
          <w:tcPr>
            <w:tcW w:w="1080" w:type="dxa"/>
            <w:noWrap/>
            <w:vAlign w:val="center"/>
          </w:tcPr>
          <w:p w14:paraId="5C5EC384"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58</w:t>
            </w:r>
          </w:p>
        </w:tc>
        <w:tc>
          <w:tcPr>
            <w:tcW w:w="1097" w:type="dxa"/>
            <w:noWrap/>
            <w:vAlign w:val="center"/>
          </w:tcPr>
          <w:p w14:paraId="3A7F993D"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52</w:t>
            </w:r>
          </w:p>
        </w:tc>
        <w:tc>
          <w:tcPr>
            <w:tcW w:w="1073" w:type="dxa"/>
            <w:noWrap/>
            <w:vAlign w:val="center"/>
          </w:tcPr>
          <w:p w14:paraId="4C267D6B"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10287</w:t>
            </w:r>
          </w:p>
        </w:tc>
        <w:tc>
          <w:tcPr>
            <w:tcW w:w="1097" w:type="dxa"/>
            <w:noWrap/>
            <w:vAlign w:val="center"/>
          </w:tcPr>
          <w:p w14:paraId="7BA65DEA"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10253</w:t>
            </w:r>
          </w:p>
        </w:tc>
        <w:tc>
          <w:tcPr>
            <w:tcW w:w="1073" w:type="dxa"/>
            <w:noWrap/>
            <w:vAlign w:val="center"/>
          </w:tcPr>
          <w:p w14:paraId="386DD75D"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 </w:t>
            </w:r>
          </w:p>
        </w:tc>
        <w:tc>
          <w:tcPr>
            <w:tcW w:w="1097" w:type="dxa"/>
            <w:noWrap/>
            <w:vAlign w:val="center"/>
          </w:tcPr>
          <w:p w14:paraId="68EBE047"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 </w:t>
            </w:r>
          </w:p>
        </w:tc>
        <w:tc>
          <w:tcPr>
            <w:tcW w:w="1073" w:type="dxa"/>
            <w:noWrap/>
            <w:vAlign w:val="center"/>
          </w:tcPr>
          <w:p w14:paraId="3C07E74C"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10345</w:t>
            </w:r>
          </w:p>
        </w:tc>
        <w:tc>
          <w:tcPr>
            <w:tcW w:w="1097" w:type="dxa"/>
            <w:noWrap/>
            <w:vAlign w:val="center"/>
          </w:tcPr>
          <w:p w14:paraId="164130D8" w14:textId="77777777" w:rsidR="00926899" w:rsidRPr="00133EDA" w:rsidRDefault="00926899" w:rsidP="00E30C2C">
            <w:pPr>
              <w:jc w:val="right"/>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10305</w:t>
            </w:r>
          </w:p>
        </w:tc>
      </w:tr>
      <w:tr w:rsidR="00926899" w:rsidRPr="00133EDA" w14:paraId="1E111E52" w14:textId="77777777" w:rsidTr="00E30C2C">
        <w:trPr>
          <w:trHeight w:val="302"/>
        </w:trPr>
        <w:tc>
          <w:tcPr>
            <w:tcW w:w="1620" w:type="dxa"/>
            <w:vMerge/>
            <w:vAlign w:val="center"/>
            <w:hideMark/>
          </w:tcPr>
          <w:p w14:paraId="157589ED" w14:textId="77777777" w:rsidR="00926899" w:rsidRPr="00133EDA" w:rsidRDefault="00926899" w:rsidP="00E30C2C">
            <w:pPr>
              <w:rPr>
                <w:rFonts w:asciiTheme="minorBidi" w:eastAsia="Times New Roman" w:hAnsiTheme="minorBidi"/>
                <w:sz w:val="18"/>
                <w:szCs w:val="18"/>
                <w:lang w:eastAsia="ro-RO"/>
              </w:rPr>
            </w:pPr>
          </w:p>
        </w:tc>
        <w:tc>
          <w:tcPr>
            <w:tcW w:w="1080" w:type="dxa"/>
            <w:tcBorders>
              <w:top w:val="single" w:sz="4" w:space="0" w:color="auto"/>
              <w:left w:val="single" w:sz="8" w:space="0" w:color="auto"/>
              <w:bottom w:val="nil"/>
              <w:right w:val="single" w:sz="4" w:space="0" w:color="auto"/>
            </w:tcBorders>
            <w:shd w:val="clear" w:color="auto" w:fill="auto"/>
            <w:noWrap/>
            <w:vAlign w:val="bottom"/>
          </w:tcPr>
          <w:p w14:paraId="5938F48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65</w:t>
            </w:r>
          </w:p>
        </w:tc>
        <w:tc>
          <w:tcPr>
            <w:tcW w:w="1097" w:type="dxa"/>
            <w:tcBorders>
              <w:top w:val="single" w:sz="4" w:space="0" w:color="auto"/>
              <w:left w:val="nil"/>
              <w:bottom w:val="nil"/>
              <w:right w:val="single" w:sz="4" w:space="0" w:color="auto"/>
            </w:tcBorders>
            <w:shd w:val="clear" w:color="auto" w:fill="auto"/>
            <w:noWrap/>
            <w:vAlign w:val="bottom"/>
          </w:tcPr>
          <w:p w14:paraId="790AD2E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46</w:t>
            </w:r>
          </w:p>
        </w:tc>
        <w:tc>
          <w:tcPr>
            <w:tcW w:w="1073" w:type="dxa"/>
            <w:tcBorders>
              <w:top w:val="single" w:sz="4" w:space="0" w:color="auto"/>
              <w:left w:val="nil"/>
              <w:bottom w:val="nil"/>
              <w:right w:val="single" w:sz="4" w:space="0" w:color="auto"/>
            </w:tcBorders>
            <w:shd w:val="clear" w:color="auto" w:fill="auto"/>
            <w:noWrap/>
            <w:vAlign w:val="bottom"/>
          </w:tcPr>
          <w:p w14:paraId="2F4A20F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10179</w:t>
            </w:r>
          </w:p>
        </w:tc>
        <w:tc>
          <w:tcPr>
            <w:tcW w:w="1097" w:type="dxa"/>
            <w:tcBorders>
              <w:top w:val="single" w:sz="4" w:space="0" w:color="auto"/>
              <w:left w:val="nil"/>
              <w:bottom w:val="nil"/>
              <w:right w:val="single" w:sz="4" w:space="0" w:color="auto"/>
            </w:tcBorders>
            <w:shd w:val="clear" w:color="auto" w:fill="auto"/>
            <w:noWrap/>
            <w:vAlign w:val="bottom"/>
          </w:tcPr>
          <w:p w14:paraId="49E07CED"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9238</w:t>
            </w:r>
          </w:p>
        </w:tc>
        <w:tc>
          <w:tcPr>
            <w:tcW w:w="1073" w:type="dxa"/>
            <w:tcBorders>
              <w:top w:val="single" w:sz="4" w:space="0" w:color="auto"/>
              <w:left w:val="nil"/>
              <w:bottom w:val="nil"/>
              <w:right w:val="single" w:sz="4" w:space="0" w:color="auto"/>
            </w:tcBorders>
            <w:shd w:val="clear" w:color="auto" w:fill="auto"/>
            <w:noWrap/>
            <w:vAlign w:val="bottom"/>
          </w:tcPr>
          <w:p w14:paraId="442562F8"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97" w:type="dxa"/>
            <w:tcBorders>
              <w:top w:val="single" w:sz="4" w:space="0" w:color="auto"/>
              <w:left w:val="nil"/>
              <w:bottom w:val="nil"/>
              <w:right w:val="single" w:sz="4" w:space="0" w:color="auto"/>
            </w:tcBorders>
            <w:shd w:val="clear" w:color="auto" w:fill="auto"/>
            <w:noWrap/>
            <w:vAlign w:val="bottom"/>
          </w:tcPr>
          <w:p w14:paraId="695299E2"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73" w:type="dxa"/>
            <w:tcBorders>
              <w:top w:val="single" w:sz="4" w:space="0" w:color="auto"/>
              <w:left w:val="nil"/>
              <w:bottom w:val="single" w:sz="4" w:space="0" w:color="auto"/>
              <w:right w:val="single" w:sz="4" w:space="0" w:color="auto"/>
            </w:tcBorders>
            <w:shd w:val="clear" w:color="auto" w:fill="auto"/>
            <w:noWrap/>
            <w:vAlign w:val="bottom"/>
          </w:tcPr>
          <w:p w14:paraId="20E6727B"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10244</w:t>
            </w:r>
          </w:p>
        </w:tc>
        <w:tc>
          <w:tcPr>
            <w:tcW w:w="1097" w:type="dxa"/>
            <w:tcBorders>
              <w:top w:val="single" w:sz="4" w:space="0" w:color="auto"/>
              <w:left w:val="nil"/>
              <w:bottom w:val="single" w:sz="4" w:space="0" w:color="auto"/>
              <w:right w:val="single" w:sz="8" w:space="0" w:color="auto"/>
            </w:tcBorders>
            <w:shd w:val="clear" w:color="auto" w:fill="auto"/>
            <w:noWrap/>
            <w:vAlign w:val="bottom"/>
          </w:tcPr>
          <w:p w14:paraId="43C2AA6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9284</w:t>
            </w:r>
          </w:p>
        </w:tc>
      </w:tr>
      <w:tr w:rsidR="00926899" w:rsidRPr="00133EDA" w14:paraId="6A68E473" w14:textId="77777777" w:rsidTr="00E30C2C">
        <w:trPr>
          <w:trHeight w:val="302"/>
        </w:trPr>
        <w:tc>
          <w:tcPr>
            <w:tcW w:w="1620" w:type="dxa"/>
            <w:vMerge/>
            <w:vAlign w:val="center"/>
            <w:hideMark/>
          </w:tcPr>
          <w:p w14:paraId="11C4F9E5" w14:textId="77777777" w:rsidR="00926899" w:rsidRPr="00133EDA" w:rsidRDefault="00926899" w:rsidP="00E30C2C">
            <w:pPr>
              <w:rPr>
                <w:rFonts w:asciiTheme="minorBidi" w:eastAsia="Times New Roman" w:hAnsiTheme="minorBidi"/>
                <w:sz w:val="18"/>
                <w:szCs w:val="18"/>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4CB3925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74</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20011C3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47</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65A5692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10339</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15C046A7"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6405</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0C6338B5"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55832888"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73" w:type="dxa"/>
            <w:tcBorders>
              <w:top w:val="nil"/>
              <w:left w:val="nil"/>
              <w:bottom w:val="single" w:sz="8" w:space="0" w:color="auto"/>
              <w:right w:val="single" w:sz="4" w:space="0" w:color="auto"/>
            </w:tcBorders>
            <w:shd w:val="clear" w:color="auto" w:fill="auto"/>
            <w:noWrap/>
            <w:vAlign w:val="bottom"/>
          </w:tcPr>
          <w:p w14:paraId="23B6CCC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10413</w:t>
            </w:r>
          </w:p>
        </w:tc>
        <w:tc>
          <w:tcPr>
            <w:tcW w:w="1097" w:type="dxa"/>
            <w:tcBorders>
              <w:top w:val="nil"/>
              <w:left w:val="nil"/>
              <w:bottom w:val="single" w:sz="8" w:space="0" w:color="auto"/>
              <w:right w:val="single" w:sz="8" w:space="0" w:color="auto"/>
            </w:tcBorders>
            <w:shd w:val="clear" w:color="auto" w:fill="auto"/>
            <w:noWrap/>
            <w:vAlign w:val="bottom"/>
          </w:tcPr>
          <w:p w14:paraId="36DA292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6452</w:t>
            </w:r>
          </w:p>
        </w:tc>
      </w:tr>
      <w:tr w:rsidR="00926899" w:rsidRPr="00133EDA" w14:paraId="6C7F9B05" w14:textId="77777777" w:rsidTr="00E30C2C">
        <w:trPr>
          <w:trHeight w:val="302"/>
        </w:trPr>
        <w:tc>
          <w:tcPr>
            <w:tcW w:w="1620" w:type="dxa"/>
            <w:vMerge/>
            <w:vAlign w:val="center"/>
            <w:hideMark/>
          </w:tcPr>
          <w:p w14:paraId="55110D95" w14:textId="77777777" w:rsidR="00926899" w:rsidRPr="00133EDA" w:rsidRDefault="00926899" w:rsidP="00E30C2C">
            <w:pPr>
              <w:rPr>
                <w:rFonts w:asciiTheme="minorBidi" w:eastAsia="Times New Roman" w:hAnsiTheme="minorBidi"/>
                <w:sz w:val="18"/>
                <w:szCs w:val="18"/>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A42E5F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74</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37E2B72"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27</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5A559D0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9602</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21756BCF"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7320</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30B5B75F"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64882D1"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66CF5474"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9676</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3AE7DFC0"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7347</w:t>
            </w:r>
          </w:p>
        </w:tc>
      </w:tr>
      <w:tr w:rsidR="00926899" w:rsidRPr="00133EDA" w14:paraId="78A90476" w14:textId="77777777" w:rsidTr="00E30C2C">
        <w:trPr>
          <w:trHeight w:val="302"/>
        </w:trPr>
        <w:tc>
          <w:tcPr>
            <w:tcW w:w="1620" w:type="dxa"/>
            <w:vMerge/>
            <w:vAlign w:val="center"/>
            <w:hideMark/>
          </w:tcPr>
          <w:p w14:paraId="766AF996" w14:textId="77777777" w:rsidR="00926899" w:rsidRPr="00133EDA" w:rsidRDefault="00926899" w:rsidP="00E30C2C">
            <w:pPr>
              <w:rPr>
                <w:rFonts w:asciiTheme="minorBidi" w:eastAsia="Times New Roman" w:hAnsiTheme="minorBidi"/>
                <w:sz w:val="18"/>
                <w:szCs w:val="18"/>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0F5E98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117</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750D9C0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40</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26271E79"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17297</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45C8BEE1"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7928</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414F9D0C"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2648B100" w14:textId="77777777" w:rsidR="00926899" w:rsidRPr="00133EDA" w:rsidRDefault="00926899" w:rsidP="00E30C2C">
            <w:pPr>
              <w:rPr>
                <w:rFonts w:asciiTheme="minorBidi" w:hAnsiTheme="minorBidi"/>
                <w:color w:val="000000"/>
                <w:sz w:val="18"/>
                <w:szCs w:val="18"/>
              </w:rPr>
            </w:pPr>
            <w:r w:rsidRPr="00133EDA">
              <w:rPr>
                <w:rFonts w:asciiTheme="minorBidi" w:hAnsiTheme="minorBidi"/>
                <w:color w:val="000000"/>
                <w:sz w:val="18"/>
                <w:szCs w:val="18"/>
              </w:rPr>
              <w:t> </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4DBB0618"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17414</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1AE5B04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7968</w:t>
            </w:r>
          </w:p>
        </w:tc>
      </w:tr>
      <w:tr w:rsidR="00926899" w:rsidRPr="00133EDA" w14:paraId="221015D6" w14:textId="77777777" w:rsidTr="00E30C2C">
        <w:trPr>
          <w:trHeight w:val="302"/>
        </w:trPr>
        <w:tc>
          <w:tcPr>
            <w:tcW w:w="1620" w:type="dxa"/>
            <w:vMerge/>
            <w:vAlign w:val="center"/>
            <w:hideMark/>
          </w:tcPr>
          <w:p w14:paraId="071D0D32" w14:textId="77777777" w:rsidR="00926899" w:rsidRPr="00133EDA" w:rsidRDefault="00926899" w:rsidP="00E30C2C">
            <w:pPr>
              <w:rPr>
                <w:rFonts w:asciiTheme="minorBidi" w:eastAsia="Times New Roman" w:hAnsiTheme="minorBidi"/>
                <w:sz w:val="18"/>
                <w:szCs w:val="18"/>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tcPr>
          <w:p w14:paraId="008FE10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212</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2AB977CE"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48</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2835E9A3"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21069</w:t>
            </w: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3750E25A"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8701</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35086782" w14:textId="77777777" w:rsidR="00926899" w:rsidRPr="00133EDA" w:rsidRDefault="00926899" w:rsidP="00E30C2C">
            <w:pPr>
              <w:rPr>
                <w:rFonts w:asciiTheme="minorBidi" w:hAnsiTheme="minorBidi"/>
                <w:color w:val="000000"/>
                <w:sz w:val="18"/>
                <w:szCs w:val="18"/>
              </w:rPr>
            </w:pPr>
          </w:p>
        </w:tc>
        <w:tc>
          <w:tcPr>
            <w:tcW w:w="1097" w:type="dxa"/>
            <w:tcBorders>
              <w:top w:val="single" w:sz="4" w:space="0" w:color="auto"/>
              <w:left w:val="nil"/>
              <w:bottom w:val="single" w:sz="8" w:space="0" w:color="auto"/>
              <w:right w:val="single" w:sz="4" w:space="0" w:color="auto"/>
            </w:tcBorders>
            <w:shd w:val="clear" w:color="auto" w:fill="auto"/>
            <w:noWrap/>
            <w:vAlign w:val="bottom"/>
          </w:tcPr>
          <w:p w14:paraId="1E77A911" w14:textId="77777777" w:rsidR="00926899" w:rsidRPr="00133EDA" w:rsidRDefault="00926899" w:rsidP="00E30C2C">
            <w:pPr>
              <w:rPr>
                <w:rFonts w:asciiTheme="minorBidi" w:hAnsiTheme="minorBidi"/>
                <w:color w:val="000000"/>
                <w:sz w:val="18"/>
                <w:szCs w:val="18"/>
              </w:rPr>
            </w:pP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6F9DA58C"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21281</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0DE4EACB" w14:textId="77777777" w:rsidR="00926899" w:rsidRPr="00133EDA" w:rsidRDefault="00926899" w:rsidP="00E30C2C">
            <w:pPr>
              <w:jc w:val="right"/>
              <w:rPr>
                <w:rFonts w:asciiTheme="minorBidi" w:hAnsiTheme="minorBidi"/>
                <w:color w:val="000000"/>
                <w:sz w:val="18"/>
                <w:szCs w:val="18"/>
              </w:rPr>
            </w:pPr>
            <w:r w:rsidRPr="00133EDA">
              <w:rPr>
                <w:rFonts w:asciiTheme="minorBidi" w:hAnsiTheme="minorBidi"/>
                <w:color w:val="000000"/>
                <w:sz w:val="18"/>
                <w:szCs w:val="18"/>
              </w:rPr>
              <w:t>8749</w:t>
            </w:r>
          </w:p>
        </w:tc>
      </w:tr>
      <w:tr w:rsidR="00926899" w:rsidRPr="00133EDA" w14:paraId="57252D6E" w14:textId="77777777" w:rsidTr="00E30C2C">
        <w:trPr>
          <w:trHeight w:val="302"/>
        </w:trPr>
        <w:tc>
          <w:tcPr>
            <w:tcW w:w="1620" w:type="dxa"/>
            <w:noWrap/>
            <w:vAlign w:val="center"/>
            <w:hideMark/>
          </w:tcPr>
          <w:p w14:paraId="5E226D09" w14:textId="77777777" w:rsidR="00926899" w:rsidRPr="00133EDA" w:rsidRDefault="00926899" w:rsidP="00E30C2C">
            <w:pP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TOTAL 2017</w:t>
            </w:r>
          </w:p>
        </w:tc>
        <w:tc>
          <w:tcPr>
            <w:tcW w:w="1080" w:type="dxa"/>
            <w:noWrap/>
            <w:vAlign w:val="center"/>
          </w:tcPr>
          <w:p w14:paraId="69BDD83F"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1144860</w:t>
            </w:r>
          </w:p>
        </w:tc>
        <w:tc>
          <w:tcPr>
            <w:tcW w:w="1097" w:type="dxa"/>
            <w:noWrap/>
            <w:vAlign w:val="center"/>
          </w:tcPr>
          <w:p w14:paraId="331DCAE5"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1048212</w:t>
            </w:r>
          </w:p>
        </w:tc>
        <w:tc>
          <w:tcPr>
            <w:tcW w:w="1073" w:type="dxa"/>
            <w:noWrap/>
            <w:vAlign w:val="center"/>
          </w:tcPr>
          <w:p w14:paraId="18FD7D26"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4476586</w:t>
            </w:r>
          </w:p>
        </w:tc>
        <w:tc>
          <w:tcPr>
            <w:tcW w:w="1097" w:type="dxa"/>
            <w:noWrap/>
            <w:vAlign w:val="center"/>
          </w:tcPr>
          <w:p w14:paraId="4FB6D8FF"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4233686</w:t>
            </w:r>
          </w:p>
        </w:tc>
        <w:tc>
          <w:tcPr>
            <w:tcW w:w="1073" w:type="dxa"/>
            <w:noWrap/>
            <w:vAlign w:val="center"/>
          </w:tcPr>
          <w:p w14:paraId="34AF7F56"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1374173</w:t>
            </w:r>
          </w:p>
        </w:tc>
        <w:tc>
          <w:tcPr>
            <w:tcW w:w="1097" w:type="dxa"/>
            <w:noWrap/>
            <w:vAlign w:val="center"/>
          </w:tcPr>
          <w:p w14:paraId="4BB4D1C5"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1490750</w:t>
            </w:r>
          </w:p>
        </w:tc>
        <w:tc>
          <w:tcPr>
            <w:tcW w:w="1073" w:type="dxa"/>
            <w:noWrap/>
            <w:vAlign w:val="center"/>
          </w:tcPr>
          <w:p w14:paraId="72E05000"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6995619</w:t>
            </w:r>
          </w:p>
        </w:tc>
        <w:tc>
          <w:tcPr>
            <w:tcW w:w="1097" w:type="dxa"/>
            <w:noWrap/>
            <w:vAlign w:val="center"/>
          </w:tcPr>
          <w:p w14:paraId="2269FD3F" w14:textId="77777777" w:rsidR="00926899" w:rsidRPr="00133EDA" w:rsidRDefault="00926899" w:rsidP="00E30C2C">
            <w:pPr>
              <w:jc w:val="right"/>
              <w:rPr>
                <w:rFonts w:asciiTheme="minorBidi" w:eastAsia="Times New Roman" w:hAnsiTheme="minorBidi"/>
                <w:i/>
                <w:iCs/>
                <w:sz w:val="18"/>
                <w:szCs w:val="18"/>
                <w:lang w:eastAsia="ro-RO"/>
              </w:rPr>
            </w:pPr>
            <w:r w:rsidRPr="00133EDA">
              <w:rPr>
                <w:rFonts w:asciiTheme="minorBidi" w:eastAsia="Times New Roman" w:hAnsiTheme="minorBidi"/>
                <w:i/>
                <w:iCs/>
                <w:sz w:val="18"/>
                <w:szCs w:val="18"/>
                <w:lang w:eastAsia="ro-RO"/>
              </w:rPr>
              <w:t>6772648</w:t>
            </w:r>
          </w:p>
        </w:tc>
      </w:tr>
      <w:tr w:rsidR="00926899" w:rsidRPr="00133EDA" w14:paraId="3DE23750" w14:textId="77777777" w:rsidTr="00E30C2C">
        <w:trPr>
          <w:trHeight w:val="302"/>
        </w:trPr>
        <w:tc>
          <w:tcPr>
            <w:tcW w:w="1620" w:type="dxa"/>
            <w:noWrap/>
            <w:vAlign w:val="center"/>
            <w:hideMark/>
          </w:tcPr>
          <w:p w14:paraId="484CC31B" w14:textId="77777777" w:rsidR="00926899" w:rsidRPr="00133EDA" w:rsidRDefault="00926899" w:rsidP="00E30C2C">
            <w:pP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TOTAL 2018</w:t>
            </w:r>
          </w:p>
        </w:tc>
        <w:tc>
          <w:tcPr>
            <w:tcW w:w="1080" w:type="dxa"/>
            <w:tcBorders>
              <w:top w:val="nil"/>
              <w:left w:val="single" w:sz="4" w:space="0" w:color="auto"/>
              <w:bottom w:val="single" w:sz="4" w:space="0" w:color="auto"/>
              <w:right w:val="single" w:sz="4" w:space="0" w:color="auto"/>
            </w:tcBorders>
            <w:shd w:val="clear" w:color="auto" w:fill="auto"/>
            <w:noWrap/>
            <w:vAlign w:val="bottom"/>
          </w:tcPr>
          <w:p w14:paraId="43E5BD19"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1160613</w:t>
            </w:r>
          </w:p>
        </w:tc>
        <w:tc>
          <w:tcPr>
            <w:tcW w:w="1097" w:type="dxa"/>
            <w:tcBorders>
              <w:top w:val="nil"/>
              <w:left w:val="nil"/>
              <w:bottom w:val="single" w:sz="4" w:space="0" w:color="auto"/>
              <w:right w:val="single" w:sz="4" w:space="0" w:color="auto"/>
            </w:tcBorders>
            <w:shd w:val="clear" w:color="auto" w:fill="auto"/>
            <w:noWrap/>
            <w:vAlign w:val="bottom"/>
          </w:tcPr>
          <w:p w14:paraId="5F943D33"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1084996</w:t>
            </w:r>
          </w:p>
        </w:tc>
        <w:tc>
          <w:tcPr>
            <w:tcW w:w="1073" w:type="dxa"/>
            <w:tcBorders>
              <w:top w:val="nil"/>
              <w:left w:val="nil"/>
              <w:bottom w:val="single" w:sz="4" w:space="0" w:color="auto"/>
              <w:right w:val="single" w:sz="4" w:space="0" w:color="auto"/>
            </w:tcBorders>
            <w:shd w:val="clear" w:color="auto" w:fill="auto"/>
            <w:noWrap/>
            <w:vAlign w:val="bottom"/>
          </w:tcPr>
          <w:p w14:paraId="54FCB48E"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4078172</w:t>
            </w:r>
          </w:p>
        </w:tc>
        <w:tc>
          <w:tcPr>
            <w:tcW w:w="1097" w:type="dxa"/>
            <w:tcBorders>
              <w:top w:val="nil"/>
              <w:left w:val="nil"/>
              <w:bottom w:val="single" w:sz="4" w:space="0" w:color="auto"/>
              <w:right w:val="single" w:sz="4" w:space="0" w:color="auto"/>
            </w:tcBorders>
            <w:shd w:val="clear" w:color="auto" w:fill="auto"/>
            <w:noWrap/>
            <w:vAlign w:val="bottom"/>
          </w:tcPr>
          <w:p w14:paraId="7DA77C0E"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3904334</w:t>
            </w:r>
          </w:p>
        </w:tc>
        <w:tc>
          <w:tcPr>
            <w:tcW w:w="1073" w:type="dxa"/>
            <w:tcBorders>
              <w:top w:val="nil"/>
              <w:left w:val="nil"/>
              <w:bottom w:val="single" w:sz="4" w:space="0" w:color="auto"/>
              <w:right w:val="single" w:sz="4" w:space="0" w:color="auto"/>
            </w:tcBorders>
            <w:shd w:val="clear" w:color="auto" w:fill="auto"/>
            <w:noWrap/>
            <w:vAlign w:val="bottom"/>
          </w:tcPr>
          <w:p w14:paraId="1D4F2870"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1657977</w:t>
            </w:r>
          </w:p>
        </w:tc>
        <w:tc>
          <w:tcPr>
            <w:tcW w:w="1097" w:type="dxa"/>
            <w:tcBorders>
              <w:top w:val="nil"/>
              <w:left w:val="nil"/>
              <w:bottom w:val="single" w:sz="4" w:space="0" w:color="auto"/>
              <w:right w:val="single" w:sz="4" w:space="0" w:color="auto"/>
            </w:tcBorders>
            <w:shd w:val="clear" w:color="auto" w:fill="auto"/>
            <w:noWrap/>
            <w:vAlign w:val="bottom"/>
          </w:tcPr>
          <w:p w14:paraId="00CF1434"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1426835</w:t>
            </w:r>
          </w:p>
        </w:tc>
        <w:tc>
          <w:tcPr>
            <w:tcW w:w="1073" w:type="dxa"/>
            <w:tcBorders>
              <w:top w:val="single" w:sz="4" w:space="0" w:color="auto"/>
              <w:left w:val="nil"/>
              <w:bottom w:val="nil"/>
              <w:right w:val="single" w:sz="4" w:space="0" w:color="auto"/>
            </w:tcBorders>
            <w:shd w:val="clear" w:color="auto" w:fill="auto"/>
            <w:noWrap/>
            <w:vAlign w:val="bottom"/>
          </w:tcPr>
          <w:p w14:paraId="2346B542"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6896762</w:t>
            </w:r>
          </w:p>
        </w:tc>
        <w:tc>
          <w:tcPr>
            <w:tcW w:w="1097" w:type="dxa"/>
            <w:tcBorders>
              <w:top w:val="single" w:sz="4" w:space="0" w:color="auto"/>
              <w:left w:val="nil"/>
              <w:bottom w:val="nil"/>
              <w:right w:val="single" w:sz="8" w:space="0" w:color="auto"/>
            </w:tcBorders>
            <w:shd w:val="clear" w:color="auto" w:fill="auto"/>
            <w:noWrap/>
            <w:vAlign w:val="bottom"/>
          </w:tcPr>
          <w:p w14:paraId="6AA45874"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6416165</w:t>
            </w:r>
          </w:p>
        </w:tc>
      </w:tr>
      <w:tr w:rsidR="00926899" w:rsidRPr="00133EDA" w14:paraId="06AF333B" w14:textId="77777777" w:rsidTr="00E30C2C">
        <w:trPr>
          <w:trHeight w:val="302"/>
        </w:trPr>
        <w:tc>
          <w:tcPr>
            <w:tcW w:w="1620" w:type="dxa"/>
            <w:noWrap/>
            <w:vAlign w:val="center"/>
            <w:hideMark/>
          </w:tcPr>
          <w:p w14:paraId="2A70E011" w14:textId="77777777" w:rsidR="00926899" w:rsidRPr="00133EDA" w:rsidRDefault="00926899" w:rsidP="00E30C2C">
            <w:pP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TOTAL 2019</w:t>
            </w:r>
          </w:p>
        </w:tc>
        <w:tc>
          <w:tcPr>
            <w:tcW w:w="1080" w:type="dxa"/>
            <w:tcBorders>
              <w:top w:val="nil"/>
              <w:left w:val="single" w:sz="4" w:space="0" w:color="auto"/>
              <w:bottom w:val="single" w:sz="8" w:space="0" w:color="auto"/>
              <w:right w:val="single" w:sz="4" w:space="0" w:color="auto"/>
            </w:tcBorders>
            <w:shd w:val="clear" w:color="auto" w:fill="auto"/>
            <w:noWrap/>
            <w:vAlign w:val="bottom"/>
          </w:tcPr>
          <w:p w14:paraId="4750A426"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1204288</w:t>
            </w:r>
          </w:p>
        </w:tc>
        <w:tc>
          <w:tcPr>
            <w:tcW w:w="1097" w:type="dxa"/>
            <w:tcBorders>
              <w:top w:val="nil"/>
              <w:left w:val="nil"/>
              <w:bottom w:val="single" w:sz="8" w:space="0" w:color="auto"/>
              <w:right w:val="single" w:sz="4" w:space="0" w:color="auto"/>
            </w:tcBorders>
            <w:shd w:val="clear" w:color="auto" w:fill="auto"/>
            <w:noWrap/>
            <w:vAlign w:val="bottom"/>
          </w:tcPr>
          <w:p w14:paraId="7BB61394"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1176540</w:t>
            </w:r>
          </w:p>
        </w:tc>
        <w:tc>
          <w:tcPr>
            <w:tcW w:w="1073" w:type="dxa"/>
            <w:tcBorders>
              <w:top w:val="nil"/>
              <w:left w:val="nil"/>
              <w:bottom w:val="single" w:sz="8" w:space="0" w:color="auto"/>
              <w:right w:val="single" w:sz="4" w:space="0" w:color="auto"/>
            </w:tcBorders>
            <w:shd w:val="clear" w:color="auto" w:fill="auto"/>
            <w:noWrap/>
            <w:vAlign w:val="bottom"/>
          </w:tcPr>
          <w:p w14:paraId="131A0370"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4516858</w:t>
            </w:r>
          </w:p>
        </w:tc>
        <w:tc>
          <w:tcPr>
            <w:tcW w:w="1097" w:type="dxa"/>
            <w:tcBorders>
              <w:top w:val="nil"/>
              <w:left w:val="nil"/>
              <w:bottom w:val="single" w:sz="8" w:space="0" w:color="auto"/>
              <w:right w:val="single" w:sz="4" w:space="0" w:color="auto"/>
            </w:tcBorders>
            <w:shd w:val="clear" w:color="auto" w:fill="auto"/>
            <w:noWrap/>
            <w:vAlign w:val="bottom"/>
          </w:tcPr>
          <w:p w14:paraId="68029E1A"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4207395</w:t>
            </w:r>
          </w:p>
        </w:tc>
        <w:tc>
          <w:tcPr>
            <w:tcW w:w="1073" w:type="dxa"/>
            <w:tcBorders>
              <w:top w:val="nil"/>
              <w:left w:val="nil"/>
              <w:bottom w:val="single" w:sz="8" w:space="0" w:color="auto"/>
              <w:right w:val="single" w:sz="4" w:space="0" w:color="auto"/>
            </w:tcBorders>
            <w:shd w:val="clear" w:color="auto" w:fill="auto"/>
            <w:noWrap/>
            <w:vAlign w:val="bottom"/>
          </w:tcPr>
          <w:p w14:paraId="4778310C"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1649114</w:t>
            </w:r>
          </w:p>
        </w:tc>
        <w:tc>
          <w:tcPr>
            <w:tcW w:w="1097" w:type="dxa"/>
            <w:tcBorders>
              <w:top w:val="nil"/>
              <w:left w:val="nil"/>
              <w:bottom w:val="single" w:sz="8" w:space="0" w:color="auto"/>
              <w:right w:val="single" w:sz="4" w:space="0" w:color="auto"/>
            </w:tcBorders>
            <w:shd w:val="clear" w:color="auto" w:fill="auto"/>
            <w:noWrap/>
            <w:vAlign w:val="bottom"/>
          </w:tcPr>
          <w:p w14:paraId="68FE7EE3"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1590922</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0656A907"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7370260</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459F2DDC"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6974857</w:t>
            </w:r>
          </w:p>
        </w:tc>
      </w:tr>
      <w:tr w:rsidR="00926899" w:rsidRPr="00133EDA" w14:paraId="7D260EE0" w14:textId="77777777" w:rsidTr="00E30C2C">
        <w:trPr>
          <w:trHeight w:val="302"/>
        </w:trPr>
        <w:tc>
          <w:tcPr>
            <w:tcW w:w="1620" w:type="dxa"/>
            <w:noWrap/>
            <w:vAlign w:val="center"/>
            <w:hideMark/>
          </w:tcPr>
          <w:p w14:paraId="0A4D1DE7" w14:textId="77777777" w:rsidR="00926899" w:rsidRPr="00133EDA" w:rsidRDefault="00926899" w:rsidP="00E30C2C">
            <w:pP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lastRenderedPageBreak/>
              <w:t>TOTAL 2020</w:t>
            </w:r>
          </w:p>
        </w:tc>
        <w:tc>
          <w:tcPr>
            <w:tcW w:w="1080" w:type="dxa"/>
            <w:tcBorders>
              <w:top w:val="nil"/>
              <w:left w:val="single" w:sz="4" w:space="0" w:color="auto"/>
              <w:bottom w:val="single" w:sz="8" w:space="0" w:color="auto"/>
              <w:right w:val="single" w:sz="4" w:space="0" w:color="auto"/>
            </w:tcBorders>
            <w:shd w:val="clear" w:color="auto" w:fill="auto"/>
            <w:noWrap/>
            <w:vAlign w:val="bottom"/>
          </w:tcPr>
          <w:p w14:paraId="4B80D4A0"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1234833</w:t>
            </w:r>
          </w:p>
        </w:tc>
        <w:tc>
          <w:tcPr>
            <w:tcW w:w="1097" w:type="dxa"/>
            <w:tcBorders>
              <w:top w:val="nil"/>
              <w:left w:val="nil"/>
              <w:bottom w:val="single" w:sz="8" w:space="0" w:color="auto"/>
              <w:right w:val="single" w:sz="4" w:space="0" w:color="auto"/>
            </w:tcBorders>
            <w:shd w:val="clear" w:color="auto" w:fill="auto"/>
            <w:noWrap/>
            <w:vAlign w:val="bottom"/>
          </w:tcPr>
          <w:p w14:paraId="2869D053"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1077779</w:t>
            </w:r>
          </w:p>
        </w:tc>
        <w:tc>
          <w:tcPr>
            <w:tcW w:w="1073" w:type="dxa"/>
            <w:tcBorders>
              <w:top w:val="nil"/>
              <w:left w:val="nil"/>
              <w:bottom w:val="single" w:sz="8" w:space="0" w:color="auto"/>
              <w:right w:val="single" w:sz="4" w:space="0" w:color="auto"/>
            </w:tcBorders>
            <w:shd w:val="clear" w:color="auto" w:fill="auto"/>
            <w:noWrap/>
            <w:vAlign w:val="bottom"/>
          </w:tcPr>
          <w:p w14:paraId="7E69BD97"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4835196</w:t>
            </w:r>
          </w:p>
        </w:tc>
        <w:tc>
          <w:tcPr>
            <w:tcW w:w="1097" w:type="dxa"/>
            <w:tcBorders>
              <w:top w:val="nil"/>
              <w:left w:val="nil"/>
              <w:bottom w:val="single" w:sz="8" w:space="0" w:color="auto"/>
              <w:right w:val="single" w:sz="4" w:space="0" w:color="auto"/>
            </w:tcBorders>
            <w:shd w:val="clear" w:color="auto" w:fill="auto"/>
            <w:noWrap/>
            <w:vAlign w:val="bottom"/>
          </w:tcPr>
          <w:p w14:paraId="399B47F6"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4038315</w:t>
            </w:r>
          </w:p>
        </w:tc>
        <w:tc>
          <w:tcPr>
            <w:tcW w:w="1073" w:type="dxa"/>
            <w:tcBorders>
              <w:top w:val="nil"/>
              <w:left w:val="nil"/>
              <w:bottom w:val="single" w:sz="8" w:space="0" w:color="auto"/>
              <w:right w:val="single" w:sz="4" w:space="0" w:color="auto"/>
            </w:tcBorders>
            <w:shd w:val="clear" w:color="auto" w:fill="auto"/>
            <w:noWrap/>
            <w:vAlign w:val="bottom"/>
          </w:tcPr>
          <w:p w14:paraId="152476D2"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1838464</w:t>
            </w:r>
          </w:p>
        </w:tc>
        <w:tc>
          <w:tcPr>
            <w:tcW w:w="1097" w:type="dxa"/>
            <w:tcBorders>
              <w:top w:val="nil"/>
              <w:left w:val="nil"/>
              <w:bottom w:val="single" w:sz="8" w:space="0" w:color="auto"/>
              <w:right w:val="single" w:sz="4" w:space="0" w:color="auto"/>
            </w:tcBorders>
            <w:shd w:val="clear" w:color="auto" w:fill="auto"/>
            <w:noWrap/>
            <w:vAlign w:val="bottom"/>
          </w:tcPr>
          <w:p w14:paraId="32EF1096"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2280089</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185C0A1C"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7908493</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1DFC8FD1"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7396183</w:t>
            </w:r>
          </w:p>
        </w:tc>
      </w:tr>
      <w:tr w:rsidR="00926899" w:rsidRPr="00133EDA" w14:paraId="7E5A5BB8" w14:textId="77777777" w:rsidTr="00E30C2C">
        <w:trPr>
          <w:trHeight w:val="302"/>
        </w:trPr>
        <w:tc>
          <w:tcPr>
            <w:tcW w:w="1620" w:type="dxa"/>
            <w:noWrap/>
            <w:vAlign w:val="center"/>
            <w:hideMark/>
          </w:tcPr>
          <w:p w14:paraId="3815B24B" w14:textId="77777777" w:rsidR="00926899" w:rsidRPr="00133EDA" w:rsidRDefault="00926899" w:rsidP="00E30C2C">
            <w:pP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TOTAL 2021</w:t>
            </w:r>
          </w:p>
        </w:tc>
        <w:tc>
          <w:tcPr>
            <w:tcW w:w="1080" w:type="dxa"/>
            <w:tcBorders>
              <w:top w:val="nil"/>
              <w:left w:val="single" w:sz="4" w:space="0" w:color="auto"/>
              <w:bottom w:val="single" w:sz="8" w:space="0" w:color="auto"/>
              <w:right w:val="single" w:sz="4" w:space="0" w:color="auto"/>
            </w:tcBorders>
            <w:shd w:val="clear" w:color="auto" w:fill="auto"/>
            <w:noWrap/>
            <w:vAlign w:val="bottom"/>
          </w:tcPr>
          <w:p w14:paraId="3365B818"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1286171</w:t>
            </w:r>
          </w:p>
        </w:tc>
        <w:tc>
          <w:tcPr>
            <w:tcW w:w="1097" w:type="dxa"/>
            <w:tcBorders>
              <w:top w:val="nil"/>
              <w:left w:val="nil"/>
              <w:bottom w:val="single" w:sz="8" w:space="0" w:color="auto"/>
              <w:right w:val="single" w:sz="4" w:space="0" w:color="auto"/>
            </w:tcBorders>
            <w:shd w:val="clear" w:color="auto" w:fill="auto"/>
            <w:noWrap/>
            <w:vAlign w:val="bottom"/>
          </w:tcPr>
          <w:p w14:paraId="60544A2E"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1269490</w:t>
            </w:r>
          </w:p>
        </w:tc>
        <w:tc>
          <w:tcPr>
            <w:tcW w:w="1073" w:type="dxa"/>
            <w:tcBorders>
              <w:top w:val="nil"/>
              <w:left w:val="nil"/>
              <w:bottom w:val="single" w:sz="8" w:space="0" w:color="auto"/>
              <w:right w:val="single" w:sz="4" w:space="0" w:color="auto"/>
            </w:tcBorders>
            <w:shd w:val="clear" w:color="auto" w:fill="auto"/>
            <w:noWrap/>
            <w:vAlign w:val="bottom"/>
          </w:tcPr>
          <w:p w14:paraId="1CAEC245"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4696917</w:t>
            </w:r>
          </w:p>
        </w:tc>
        <w:tc>
          <w:tcPr>
            <w:tcW w:w="1097" w:type="dxa"/>
            <w:tcBorders>
              <w:top w:val="nil"/>
              <w:left w:val="nil"/>
              <w:bottom w:val="single" w:sz="8" w:space="0" w:color="auto"/>
              <w:right w:val="single" w:sz="4" w:space="0" w:color="auto"/>
            </w:tcBorders>
            <w:shd w:val="clear" w:color="auto" w:fill="auto"/>
            <w:noWrap/>
            <w:vAlign w:val="bottom"/>
          </w:tcPr>
          <w:p w14:paraId="775F98B2"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4113729</w:t>
            </w:r>
          </w:p>
        </w:tc>
        <w:tc>
          <w:tcPr>
            <w:tcW w:w="1073" w:type="dxa"/>
            <w:tcBorders>
              <w:top w:val="nil"/>
              <w:left w:val="nil"/>
              <w:bottom w:val="single" w:sz="8" w:space="0" w:color="auto"/>
              <w:right w:val="single" w:sz="4" w:space="0" w:color="auto"/>
            </w:tcBorders>
            <w:shd w:val="clear" w:color="auto" w:fill="auto"/>
            <w:noWrap/>
            <w:vAlign w:val="bottom"/>
          </w:tcPr>
          <w:p w14:paraId="2971D762"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2160930</w:t>
            </w:r>
          </w:p>
        </w:tc>
        <w:tc>
          <w:tcPr>
            <w:tcW w:w="1097" w:type="dxa"/>
            <w:tcBorders>
              <w:top w:val="nil"/>
              <w:left w:val="nil"/>
              <w:bottom w:val="single" w:sz="8" w:space="0" w:color="auto"/>
              <w:right w:val="single" w:sz="4" w:space="0" w:color="auto"/>
            </w:tcBorders>
            <w:shd w:val="clear" w:color="auto" w:fill="auto"/>
            <w:noWrap/>
            <w:vAlign w:val="bottom"/>
          </w:tcPr>
          <w:p w14:paraId="0F6081AD"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2480378</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045B90BC"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8144018</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47CC2954"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7863597</w:t>
            </w:r>
          </w:p>
        </w:tc>
      </w:tr>
      <w:tr w:rsidR="00926899" w:rsidRPr="00133EDA" w14:paraId="1136CE68" w14:textId="77777777" w:rsidTr="00E30C2C">
        <w:trPr>
          <w:trHeight w:val="302"/>
        </w:trPr>
        <w:tc>
          <w:tcPr>
            <w:tcW w:w="1620" w:type="dxa"/>
            <w:noWrap/>
            <w:vAlign w:val="center"/>
            <w:hideMark/>
          </w:tcPr>
          <w:p w14:paraId="6B7DAABC" w14:textId="77777777" w:rsidR="00926899" w:rsidRPr="00133EDA" w:rsidRDefault="00926899" w:rsidP="00E30C2C">
            <w:pPr>
              <w:rPr>
                <w:rFonts w:asciiTheme="minorBidi" w:eastAsia="Times New Roman" w:hAnsiTheme="minorBidi"/>
                <w:sz w:val="18"/>
                <w:szCs w:val="18"/>
                <w:lang w:eastAsia="ro-RO"/>
              </w:rPr>
            </w:pPr>
            <w:r w:rsidRPr="00133EDA">
              <w:rPr>
                <w:rFonts w:asciiTheme="minorBidi" w:eastAsia="Times New Roman" w:hAnsiTheme="minorBidi"/>
                <w:sz w:val="18"/>
                <w:szCs w:val="18"/>
                <w:lang w:eastAsia="ro-RO"/>
              </w:rPr>
              <w:t>TOTAL 2022</w:t>
            </w:r>
          </w:p>
        </w:tc>
        <w:tc>
          <w:tcPr>
            <w:tcW w:w="1080" w:type="dxa"/>
            <w:tcBorders>
              <w:top w:val="nil"/>
              <w:left w:val="single" w:sz="4" w:space="0" w:color="auto"/>
              <w:bottom w:val="single" w:sz="8" w:space="0" w:color="auto"/>
              <w:right w:val="single" w:sz="4" w:space="0" w:color="auto"/>
            </w:tcBorders>
            <w:shd w:val="clear" w:color="auto" w:fill="auto"/>
            <w:noWrap/>
            <w:vAlign w:val="bottom"/>
          </w:tcPr>
          <w:p w14:paraId="4F0BE91B"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1353527</w:t>
            </w:r>
          </w:p>
        </w:tc>
        <w:tc>
          <w:tcPr>
            <w:tcW w:w="1097" w:type="dxa"/>
            <w:tcBorders>
              <w:top w:val="nil"/>
              <w:left w:val="nil"/>
              <w:bottom w:val="single" w:sz="8" w:space="0" w:color="auto"/>
              <w:right w:val="single" w:sz="4" w:space="0" w:color="auto"/>
            </w:tcBorders>
            <w:shd w:val="clear" w:color="auto" w:fill="auto"/>
            <w:noWrap/>
            <w:vAlign w:val="bottom"/>
          </w:tcPr>
          <w:p w14:paraId="16FA7F90"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1255945</w:t>
            </w:r>
          </w:p>
        </w:tc>
        <w:tc>
          <w:tcPr>
            <w:tcW w:w="1073" w:type="dxa"/>
            <w:tcBorders>
              <w:top w:val="nil"/>
              <w:left w:val="nil"/>
              <w:bottom w:val="single" w:sz="8" w:space="0" w:color="auto"/>
              <w:right w:val="single" w:sz="4" w:space="0" w:color="auto"/>
            </w:tcBorders>
            <w:shd w:val="clear" w:color="auto" w:fill="auto"/>
            <w:noWrap/>
            <w:vAlign w:val="bottom"/>
          </w:tcPr>
          <w:p w14:paraId="22FC671E"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4448837</w:t>
            </w:r>
          </w:p>
        </w:tc>
        <w:tc>
          <w:tcPr>
            <w:tcW w:w="1097" w:type="dxa"/>
            <w:tcBorders>
              <w:top w:val="nil"/>
              <w:left w:val="nil"/>
              <w:bottom w:val="single" w:sz="8" w:space="0" w:color="auto"/>
              <w:right w:val="single" w:sz="4" w:space="0" w:color="auto"/>
            </w:tcBorders>
            <w:shd w:val="clear" w:color="auto" w:fill="auto"/>
            <w:noWrap/>
            <w:vAlign w:val="bottom"/>
          </w:tcPr>
          <w:p w14:paraId="480CBF64"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3939984</w:t>
            </w:r>
          </w:p>
        </w:tc>
        <w:tc>
          <w:tcPr>
            <w:tcW w:w="1073" w:type="dxa"/>
            <w:tcBorders>
              <w:top w:val="nil"/>
              <w:left w:val="nil"/>
              <w:bottom w:val="single" w:sz="8" w:space="0" w:color="auto"/>
              <w:right w:val="single" w:sz="4" w:space="0" w:color="auto"/>
            </w:tcBorders>
            <w:shd w:val="clear" w:color="auto" w:fill="auto"/>
            <w:noWrap/>
            <w:vAlign w:val="bottom"/>
          </w:tcPr>
          <w:p w14:paraId="2C1742D6"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2800669</w:t>
            </w:r>
          </w:p>
        </w:tc>
        <w:tc>
          <w:tcPr>
            <w:tcW w:w="1097" w:type="dxa"/>
            <w:tcBorders>
              <w:top w:val="nil"/>
              <w:left w:val="nil"/>
              <w:bottom w:val="single" w:sz="8" w:space="0" w:color="auto"/>
              <w:right w:val="single" w:sz="4" w:space="0" w:color="auto"/>
            </w:tcBorders>
            <w:shd w:val="clear" w:color="auto" w:fill="auto"/>
            <w:noWrap/>
            <w:vAlign w:val="bottom"/>
          </w:tcPr>
          <w:p w14:paraId="136BC79D"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2954801</w:t>
            </w:r>
          </w:p>
        </w:tc>
        <w:tc>
          <w:tcPr>
            <w:tcW w:w="1073" w:type="dxa"/>
            <w:tcBorders>
              <w:top w:val="single" w:sz="4" w:space="0" w:color="auto"/>
              <w:left w:val="nil"/>
              <w:bottom w:val="single" w:sz="8" w:space="0" w:color="auto"/>
              <w:right w:val="single" w:sz="4" w:space="0" w:color="auto"/>
            </w:tcBorders>
            <w:shd w:val="clear" w:color="auto" w:fill="auto"/>
            <w:noWrap/>
            <w:vAlign w:val="bottom"/>
          </w:tcPr>
          <w:p w14:paraId="28D58A88"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8603033</w:t>
            </w:r>
          </w:p>
        </w:tc>
        <w:tc>
          <w:tcPr>
            <w:tcW w:w="1097" w:type="dxa"/>
            <w:tcBorders>
              <w:top w:val="single" w:sz="4" w:space="0" w:color="auto"/>
              <w:left w:val="nil"/>
              <w:bottom w:val="single" w:sz="8" w:space="0" w:color="auto"/>
              <w:right w:val="single" w:sz="8" w:space="0" w:color="auto"/>
            </w:tcBorders>
            <w:shd w:val="clear" w:color="auto" w:fill="auto"/>
            <w:noWrap/>
            <w:vAlign w:val="bottom"/>
          </w:tcPr>
          <w:p w14:paraId="23305B99" w14:textId="77777777" w:rsidR="00926899" w:rsidRPr="00133EDA" w:rsidRDefault="00926899" w:rsidP="00E30C2C">
            <w:pPr>
              <w:jc w:val="right"/>
              <w:rPr>
                <w:rFonts w:asciiTheme="minorBidi" w:hAnsiTheme="minorBidi"/>
                <w:i/>
                <w:iCs/>
                <w:color w:val="000000"/>
                <w:sz w:val="18"/>
                <w:szCs w:val="18"/>
              </w:rPr>
            </w:pPr>
            <w:r w:rsidRPr="00133EDA">
              <w:rPr>
                <w:rFonts w:asciiTheme="minorBidi" w:hAnsiTheme="minorBidi"/>
                <w:i/>
                <w:iCs/>
                <w:color w:val="000000"/>
                <w:sz w:val="18"/>
                <w:szCs w:val="18"/>
              </w:rPr>
              <w:t>8150730</w:t>
            </w:r>
          </w:p>
        </w:tc>
      </w:tr>
    </w:tbl>
    <w:p w14:paraId="0ADA95F9" w14:textId="77777777" w:rsidR="00647093" w:rsidRPr="001B4473" w:rsidRDefault="00647093" w:rsidP="00647093">
      <w:pPr>
        <w:rPr>
          <w:rFonts w:asciiTheme="minorBidi" w:hAnsiTheme="minorBidi"/>
          <w:b/>
          <w:color w:val="FF0000"/>
          <w:sz w:val="24"/>
          <w:szCs w:val="24"/>
          <w:u w:val="single"/>
          <w:lang w:val="en-US"/>
        </w:rPr>
      </w:pPr>
    </w:p>
    <w:p w14:paraId="7EB82228" w14:textId="0E1E3918" w:rsidR="00647093" w:rsidRPr="001B4473" w:rsidRDefault="007564F2" w:rsidP="00647093">
      <w:pPr>
        <w:jc w:val="center"/>
        <w:rPr>
          <w:rFonts w:asciiTheme="minorBidi" w:hAnsiTheme="minorBidi"/>
          <w:b/>
          <w:color w:val="FF0000"/>
          <w:sz w:val="24"/>
          <w:szCs w:val="24"/>
          <w:u w:val="single"/>
          <w:lang w:val="en-US"/>
        </w:rPr>
      </w:pPr>
      <w:r>
        <w:rPr>
          <w:rFonts w:ascii="Arial" w:hAnsi="Arial" w:cs="Arial"/>
          <w:b/>
          <w:noProof/>
          <w:sz w:val="28"/>
          <w:szCs w:val="28"/>
          <w:u w:val="single"/>
          <w:lang w:val="en-GB" w:eastAsia="en-GB"/>
        </w:rPr>
        <w:drawing>
          <wp:inline distT="0" distB="0" distL="0" distR="0" wp14:anchorId="38810744" wp14:editId="0DE7DEB8">
            <wp:extent cx="5939790" cy="3496742"/>
            <wp:effectExtent l="0" t="0" r="3810" b="889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3496742"/>
                    </a:xfrm>
                    <a:prstGeom prst="rect">
                      <a:avLst/>
                    </a:prstGeom>
                    <a:noFill/>
                  </pic:spPr>
                </pic:pic>
              </a:graphicData>
            </a:graphic>
          </wp:inline>
        </w:drawing>
      </w:r>
    </w:p>
    <w:p w14:paraId="79035B47" w14:textId="1357E428" w:rsidR="00647093" w:rsidRPr="00133EDA" w:rsidRDefault="00647093" w:rsidP="00133EDA">
      <w:pPr>
        <w:spacing w:line="240" w:lineRule="auto"/>
        <w:jc w:val="both"/>
        <w:rPr>
          <w:rFonts w:asciiTheme="minorBidi" w:eastAsia="Times New Roman" w:hAnsiTheme="minorBidi"/>
          <w:sz w:val="20"/>
          <w:szCs w:val="20"/>
          <w:lang w:eastAsia="ro-RO"/>
        </w:rPr>
      </w:pPr>
      <w:r w:rsidRPr="00133EDA">
        <w:rPr>
          <w:rFonts w:asciiTheme="minorBidi" w:eastAsia="Times New Roman" w:hAnsiTheme="minorBidi"/>
          <w:b/>
          <w:bCs/>
          <w:i/>
          <w:iCs/>
          <w:sz w:val="20"/>
          <w:szCs w:val="20"/>
          <w:lang w:eastAsia="ro-RO"/>
        </w:rPr>
        <w:t>Tabelul II.1.1.2.</w:t>
      </w:r>
      <w:r w:rsidR="007564F2" w:rsidRPr="00133EDA">
        <w:rPr>
          <w:rFonts w:asciiTheme="minorBidi" w:eastAsia="Times New Roman" w:hAnsiTheme="minorBidi"/>
          <w:b/>
          <w:bCs/>
          <w:i/>
          <w:iCs/>
          <w:sz w:val="20"/>
          <w:szCs w:val="20"/>
          <w:lang w:eastAsia="ro-RO"/>
        </w:rPr>
        <w:t>2</w:t>
      </w:r>
      <w:r w:rsidRPr="00133EDA">
        <w:rPr>
          <w:rFonts w:asciiTheme="minorBidi" w:eastAsia="Times New Roman" w:hAnsiTheme="minorBidi"/>
          <w:b/>
          <w:bCs/>
          <w:i/>
          <w:iCs/>
          <w:sz w:val="20"/>
          <w:szCs w:val="20"/>
          <w:lang w:eastAsia="ro-RO"/>
        </w:rPr>
        <w:t xml:space="preserve"> </w:t>
      </w:r>
      <w:r w:rsidRPr="00133EDA">
        <w:rPr>
          <w:rFonts w:asciiTheme="minorBidi" w:eastAsia="Times New Roman" w:hAnsiTheme="minorBidi"/>
          <w:sz w:val="20"/>
          <w:szCs w:val="20"/>
          <w:lang w:eastAsia="ro-RO"/>
        </w:rPr>
        <w:t>Evoluția cerinței de apă comparativ cu prelevarea volumelor de apă (%)</w:t>
      </w:r>
    </w:p>
    <w:p w14:paraId="10D1B1A6" w14:textId="24902620" w:rsidR="00647093" w:rsidRDefault="007564F2" w:rsidP="00647093">
      <w:pPr>
        <w:rPr>
          <w:rFonts w:asciiTheme="minorBidi" w:eastAsia="Times New Roman" w:hAnsiTheme="minorBidi"/>
          <w:color w:val="FF0000"/>
          <w:sz w:val="24"/>
          <w:szCs w:val="24"/>
          <w:lang w:eastAsia="ro-RO"/>
        </w:rPr>
      </w:pPr>
      <w:r w:rsidRPr="002A1BEA">
        <w:rPr>
          <w:rFonts w:asciiTheme="minorBidi" w:hAnsiTheme="minorBidi"/>
          <w:noProof/>
          <w:lang w:val="en-GB" w:eastAsia="en-GB"/>
        </w:rPr>
        <w:drawing>
          <wp:inline distT="0" distB="0" distL="0" distR="0" wp14:anchorId="6C9C9A92" wp14:editId="09825128">
            <wp:extent cx="5115464" cy="4218317"/>
            <wp:effectExtent l="0" t="0" r="9525" b="0"/>
            <wp:docPr id="2061399569" name="Picture 2061399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9183" cy="4229630"/>
                    </a:xfrm>
                    <a:prstGeom prst="rect">
                      <a:avLst/>
                    </a:prstGeom>
                    <a:noFill/>
                    <a:ln>
                      <a:noFill/>
                    </a:ln>
                  </pic:spPr>
                </pic:pic>
              </a:graphicData>
            </a:graphic>
          </wp:inline>
        </w:drawing>
      </w:r>
    </w:p>
    <w:p w14:paraId="49136D8B" w14:textId="095E581F" w:rsidR="00E30C2C" w:rsidRDefault="00E30C2C" w:rsidP="00647093">
      <w:pPr>
        <w:rPr>
          <w:rFonts w:asciiTheme="minorBidi" w:eastAsia="Times New Roman" w:hAnsiTheme="minorBidi"/>
          <w:color w:val="FF0000"/>
          <w:sz w:val="24"/>
          <w:szCs w:val="24"/>
          <w:lang w:eastAsia="ro-RO"/>
        </w:rPr>
      </w:pPr>
    </w:p>
    <w:p w14:paraId="79D4023D" w14:textId="77777777" w:rsidR="00E30C2C" w:rsidRDefault="00E30C2C" w:rsidP="00E30C2C">
      <w:pPr>
        <w:pStyle w:val="BodyTextIndent2"/>
        <w:spacing w:line="240" w:lineRule="auto"/>
        <w:ind w:left="0"/>
        <w:rPr>
          <w:rFonts w:asciiTheme="minorBidi" w:hAnsiTheme="minorBidi" w:cstheme="minorBidi"/>
          <w:b/>
          <w:spacing w:val="-20"/>
          <w:szCs w:val="24"/>
          <w:lang w:val="ro-RO"/>
        </w:rPr>
      </w:pPr>
      <w:bookmarkStart w:id="2" w:name="_Hlk11745223"/>
      <w:r w:rsidRPr="00215A93">
        <w:rPr>
          <w:rFonts w:asciiTheme="minorBidi" w:hAnsiTheme="minorBidi" w:cstheme="minorBidi"/>
          <w:b/>
          <w:szCs w:val="24"/>
          <w:lang w:val="ro-RO"/>
        </w:rPr>
        <w:lastRenderedPageBreak/>
        <w:t xml:space="preserve">II.1.1.3. Evenimente extreme produse de debitele </w:t>
      </w:r>
      <w:r w:rsidRPr="00215A93">
        <w:rPr>
          <w:rFonts w:asciiTheme="minorBidi" w:hAnsiTheme="minorBidi" w:cstheme="minorBidi"/>
          <w:b/>
          <w:spacing w:val="-20"/>
          <w:szCs w:val="24"/>
          <w:lang w:val="ro-RO"/>
        </w:rPr>
        <w:t>cursurilor de apă</w:t>
      </w:r>
    </w:p>
    <w:p w14:paraId="5566E04F" w14:textId="77777777" w:rsidR="00E30C2C" w:rsidRPr="00215A93" w:rsidRDefault="00E30C2C" w:rsidP="00E30C2C">
      <w:pPr>
        <w:pStyle w:val="BodyTextIndent2"/>
        <w:spacing w:after="0" w:line="240" w:lineRule="auto"/>
        <w:ind w:left="0"/>
        <w:rPr>
          <w:rFonts w:asciiTheme="minorBidi" w:hAnsiTheme="minorBidi" w:cstheme="minorBidi"/>
          <w:b/>
          <w:spacing w:val="-20"/>
          <w:szCs w:val="24"/>
          <w:lang w:val="ro-RO"/>
        </w:rPr>
      </w:pPr>
    </w:p>
    <w:p w14:paraId="66B8242B" w14:textId="77777777" w:rsidR="00E30C2C" w:rsidRPr="00836333" w:rsidRDefault="00E30C2C" w:rsidP="00E30C2C">
      <w:pPr>
        <w:pStyle w:val="BodyTextIndent2"/>
        <w:spacing w:line="240" w:lineRule="auto"/>
        <w:ind w:left="0"/>
        <w:jc w:val="center"/>
        <w:rPr>
          <w:rFonts w:ascii="Arial" w:hAnsi="Arial" w:cs="Arial"/>
          <w:b/>
          <w:spacing w:val="-20"/>
          <w:szCs w:val="24"/>
          <w:lang w:val="ro-RO"/>
        </w:rPr>
      </w:pPr>
      <w:r w:rsidRPr="00836333">
        <w:rPr>
          <w:rFonts w:ascii="Arial" w:hAnsi="Arial" w:cs="Arial"/>
          <w:b/>
          <w:spacing w:val="-20"/>
          <w:szCs w:val="24"/>
          <w:highlight w:val="green"/>
          <w:lang w:val="ro-RO"/>
        </w:rPr>
        <w:t xml:space="preserve">INDICATOR  CLIM16. </w:t>
      </w:r>
      <w:r>
        <w:rPr>
          <w:rFonts w:ascii="Arial" w:hAnsi="Arial" w:cs="Arial"/>
          <w:b/>
          <w:spacing w:val="-20"/>
          <w:szCs w:val="24"/>
          <w:highlight w:val="green"/>
          <w:lang w:val="ro-RO"/>
        </w:rPr>
        <w:t xml:space="preserve"> </w:t>
      </w:r>
      <w:r w:rsidRPr="00836333">
        <w:rPr>
          <w:rFonts w:ascii="Arial" w:hAnsi="Arial" w:cs="Arial"/>
          <w:b/>
          <w:spacing w:val="-20"/>
          <w:szCs w:val="24"/>
          <w:highlight w:val="green"/>
          <w:lang w:val="ro-RO"/>
        </w:rPr>
        <w:t xml:space="preserve">DEBITELE CURSURILOR DE APĂ </w:t>
      </w:r>
      <w:r>
        <w:rPr>
          <w:rFonts w:ascii="Arial" w:hAnsi="Arial" w:cs="Arial"/>
          <w:b/>
          <w:spacing w:val="-20"/>
          <w:szCs w:val="24"/>
          <w:highlight w:val="green"/>
          <w:lang w:val="ro-RO"/>
        </w:rPr>
        <w:t>(</w:t>
      </w:r>
      <w:r w:rsidRPr="00836333">
        <w:rPr>
          <w:rFonts w:ascii="Arial" w:hAnsi="Arial" w:cs="Arial"/>
          <w:b/>
          <w:spacing w:val="-20"/>
          <w:szCs w:val="24"/>
          <w:highlight w:val="green"/>
          <w:lang w:val="ro-RO"/>
        </w:rPr>
        <w:t>RO52)</w:t>
      </w:r>
    </w:p>
    <w:bookmarkEnd w:id="2"/>
    <w:p w14:paraId="41506DEC" w14:textId="77777777" w:rsidR="00E30C2C" w:rsidRPr="00836333" w:rsidRDefault="00E30C2C" w:rsidP="00E30C2C">
      <w:pPr>
        <w:spacing w:after="0" w:line="240" w:lineRule="auto"/>
        <w:ind w:firstLine="720"/>
        <w:rPr>
          <w:rFonts w:asciiTheme="minorBidi" w:hAnsiTheme="minorBidi"/>
          <w:b/>
          <w:sz w:val="24"/>
          <w:szCs w:val="24"/>
        </w:rPr>
      </w:pPr>
    </w:p>
    <w:p w14:paraId="4595CA94" w14:textId="77777777" w:rsidR="00E30C2C" w:rsidRPr="00836333" w:rsidRDefault="00E30C2C" w:rsidP="00E30C2C">
      <w:pPr>
        <w:spacing w:after="0" w:line="240" w:lineRule="auto"/>
        <w:ind w:firstLine="720"/>
        <w:rPr>
          <w:rFonts w:asciiTheme="minorBidi" w:hAnsiTheme="minorBidi"/>
          <w:b/>
          <w:sz w:val="24"/>
          <w:szCs w:val="24"/>
        </w:rPr>
      </w:pPr>
      <w:r w:rsidRPr="00836333">
        <w:rPr>
          <w:rFonts w:asciiTheme="minorBidi" w:hAnsiTheme="minorBidi"/>
          <w:b/>
          <w:sz w:val="24"/>
          <w:szCs w:val="24"/>
        </w:rPr>
        <w:t>CARACTERIZAREA HIDROLOGICĂ A ANULUI 202</w:t>
      </w:r>
      <w:r>
        <w:rPr>
          <w:rFonts w:asciiTheme="minorBidi" w:hAnsiTheme="minorBidi"/>
          <w:b/>
          <w:sz w:val="24"/>
          <w:szCs w:val="24"/>
        </w:rPr>
        <w:t>2</w:t>
      </w:r>
    </w:p>
    <w:p w14:paraId="1E89736C" w14:textId="77777777" w:rsidR="00E30C2C" w:rsidRPr="00215A93" w:rsidRDefault="00E30C2C" w:rsidP="00E30C2C">
      <w:pPr>
        <w:spacing w:after="0" w:line="240" w:lineRule="auto"/>
        <w:ind w:firstLine="720"/>
        <w:rPr>
          <w:rFonts w:asciiTheme="minorBidi" w:hAnsiTheme="minorBidi"/>
          <w:b/>
          <w:sz w:val="24"/>
          <w:szCs w:val="24"/>
          <w:u w:val="single"/>
        </w:rPr>
      </w:pPr>
    </w:p>
    <w:p w14:paraId="1A1DC00B" w14:textId="77777777" w:rsidR="00E30C2C" w:rsidRPr="00215A93" w:rsidRDefault="00E30C2C" w:rsidP="00E30C2C">
      <w:pPr>
        <w:spacing w:after="0" w:line="240" w:lineRule="auto"/>
        <w:ind w:firstLine="720"/>
        <w:jc w:val="both"/>
        <w:rPr>
          <w:rFonts w:asciiTheme="minorBidi" w:hAnsiTheme="minorBidi"/>
          <w:b/>
          <w:sz w:val="24"/>
          <w:szCs w:val="24"/>
        </w:rPr>
      </w:pPr>
      <w:r w:rsidRPr="00215A93">
        <w:rPr>
          <w:rFonts w:asciiTheme="minorBidi" w:hAnsiTheme="minorBidi"/>
          <w:b/>
          <w:sz w:val="24"/>
          <w:szCs w:val="24"/>
        </w:rPr>
        <w:t xml:space="preserve">I) RÂURI </w:t>
      </w:r>
    </w:p>
    <w:p w14:paraId="025D1641" w14:textId="77777777" w:rsidR="00E30C2C" w:rsidRPr="00215A93" w:rsidRDefault="00E30C2C" w:rsidP="00E30C2C">
      <w:pPr>
        <w:spacing w:after="0" w:line="240" w:lineRule="auto"/>
        <w:ind w:firstLine="720"/>
        <w:jc w:val="both"/>
        <w:rPr>
          <w:rFonts w:asciiTheme="minorBidi" w:hAnsiTheme="minorBidi"/>
          <w:sz w:val="24"/>
          <w:szCs w:val="24"/>
        </w:rPr>
      </w:pPr>
      <w:r w:rsidRPr="00C27439">
        <w:rPr>
          <w:rFonts w:ascii="Arial" w:hAnsi="Arial" w:cs="Arial"/>
          <w:sz w:val="24"/>
          <w:szCs w:val="24"/>
        </w:rPr>
        <w:t>În anul 2022 regimul hidrologic al râurilor din România s-a situat în general la valori cuprinse între 50-80% din mediile multianuale, mai mari (80-100% din normalele multianuale) pe râurile din bazinele hidrografice ale Someşului (exceptând Someşul Mare şi Lăpuşul), Crişurilor şi Arieşului, pe cursurile superioare ale Târnavelor şi Jiului,  pe cursurile superioare şi mijlocii ale Mureşului şi Bistriţei şi pe cursul mijlociu şi inferior al Turului şi mai mici (30-50%) pe râurile din bazinele hidrografice: Caraş, Nera, Cerna, Olt inferior, Putna, pe cursurile mijlocii şi inferioare ale Trotuşului şi Moldovei, pe cursurile Siretului şi Prutului (aval staţia hidrometrică Rădăuţi Prut) şi pe râurile din Dobrogea. Excepţie au făcut Vişeul, Someşul Mare, Lăpuşul şi cursurile superioare ale Izei şi Turului unde regimul hidrologic s-a situat peste mediile multianuale şi râurile din bazinele hidrografice ale Vedei, Râmnicului Sărat şi Jijiei unde acesta s-a situat sub 30% din aceste valori.</w:t>
      </w:r>
      <w:r>
        <w:rPr>
          <w:rFonts w:ascii="Arial" w:hAnsi="Arial" w:cs="Arial"/>
          <w:sz w:val="24"/>
          <w:szCs w:val="24"/>
        </w:rPr>
        <w:t xml:space="preserve"> </w:t>
      </w:r>
      <w:r w:rsidRPr="00215A93">
        <w:rPr>
          <w:rFonts w:asciiTheme="minorBidi" w:hAnsiTheme="minorBidi"/>
          <w:sz w:val="24"/>
          <w:szCs w:val="24"/>
        </w:rPr>
        <w:t>(</w:t>
      </w:r>
      <w:r w:rsidRPr="00CB2589">
        <w:rPr>
          <w:rFonts w:asciiTheme="minorBidi" w:hAnsiTheme="minorBidi"/>
          <w:b/>
          <w:i/>
          <w:iCs/>
          <w:sz w:val="24"/>
          <w:szCs w:val="24"/>
        </w:rPr>
        <w:t>Figura II.1.1.3.1</w:t>
      </w:r>
      <w:r w:rsidRPr="00215A93">
        <w:rPr>
          <w:rFonts w:asciiTheme="minorBidi" w:hAnsiTheme="minorBidi"/>
          <w:sz w:val="24"/>
          <w:szCs w:val="24"/>
        </w:rPr>
        <w:t>).</w:t>
      </w:r>
    </w:p>
    <w:p w14:paraId="482B6E31" w14:textId="77777777" w:rsidR="00E30C2C" w:rsidRPr="00C27439" w:rsidRDefault="00E30C2C" w:rsidP="00E30C2C">
      <w:pPr>
        <w:spacing w:after="0" w:line="240" w:lineRule="auto"/>
        <w:ind w:firstLine="720"/>
        <w:jc w:val="both"/>
        <w:rPr>
          <w:rFonts w:ascii="Arial" w:hAnsi="Arial" w:cs="Arial"/>
          <w:color w:val="000000"/>
          <w:kern w:val="24"/>
          <w:sz w:val="24"/>
          <w:szCs w:val="24"/>
          <w:lang w:eastAsia="zh-CN"/>
        </w:rPr>
      </w:pPr>
      <w:r w:rsidRPr="00C27439">
        <w:rPr>
          <w:rFonts w:ascii="Arial" w:hAnsi="Arial" w:cs="Arial"/>
          <w:color w:val="000000"/>
          <w:kern w:val="24"/>
          <w:sz w:val="24"/>
          <w:szCs w:val="24"/>
          <w:lang w:eastAsia="zh-CN"/>
        </w:rPr>
        <w:t>În cursul anului 2022</w:t>
      </w:r>
      <w:r w:rsidRPr="00C27439">
        <w:rPr>
          <w:rFonts w:ascii="Arial" w:hAnsi="Arial" w:cs="Arial"/>
          <w:sz w:val="24"/>
          <w:szCs w:val="24"/>
          <w:lang w:eastAsia="x-none"/>
        </w:rPr>
        <w:t xml:space="preserve"> </w:t>
      </w:r>
      <w:r w:rsidRPr="00C27439">
        <w:rPr>
          <w:rFonts w:ascii="Arial" w:hAnsi="Arial" w:cs="Arial"/>
          <w:color w:val="000000"/>
          <w:kern w:val="24"/>
          <w:sz w:val="24"/>
          <w:szCs w:val="24"/>
          <w:lang w:eastAsia="zh-CN"/>
        </w:rPr>
        <w:t xml:space="preserve">cele mai importante evenimente meteorologice şi hidrologice periculoase s-au înregistrat în lunile septembrie şi decembrie 2022. Cele mai afectate bazine hidrografice au fost: Bega superioară, Olteţ mijlociu, Lotru (ȋn luna septembrie 2022), Tur, Crasna, Crişul Alb şi Nera (ȋn luna decembrie 2022). </w:t>
      </w:r>
    </w:p>
    <w:p w14:paraId="452F1895" w14:textId="77777777" w:rsidR="00E30C2C" w:rsidRPr="00C27439" w:rsidRDefault="00E30C2C" w:rsidP="00E30C2C">
      <w:pPr>
        <w:spacing w:after="0" w:line="240" w:lineRule="auto"/>
        <w:ind w:firstLine="720"/>
        <w:jc w:val="both"/>
        <w:rPr>
          <w:rFonts w:ascii="Arial" w:hAnsi="Arial" w:cs="Arial"/>
          <w:sz w:val="24"/>
          <w:szCs w:val="24"/>
          <w:lang w:eastAsia="zh-CN"/>
        </w:rPr>
      </w:pPr>
      <w:r w:rsidRPr="00C27439">
        <w:rPr>
          <w:rFonts w:ascii="Arial" w:hAnsi="Arial" w:cs="Arial"/>
          <w:sz w:val="24"/>
          <w:szCs w:val="24"/>
          <w:lang w:eastAsia="zh-CN"/>
        </w:rPr>
        <w:t>Ȋn cursul lunilor mai, iunie, iulie, august şi septembrie 2022, datorită caracterului torenţial şi cantităţilor importante de precipitaţii ȋnregistrate în intervale scurte de timp, fenomenele hidrologice periculoase cu efecte de inundaţii locale au fost generate mai ales de scurgeri importante pe versanţi, torenţi, pâraie şi creşteri rapide de niveluri şi debite cu efect de inundaţii locale.</w:t>
      </w:r>
    </w:p>
    <w:p w14:paraId="3ACEE140" w14:textId="77777777" w:rsidR="00E30C2C" w:rsidRPr="00C27439" w:rsidRDefault="00E30C2C" w:rsidP="00E30C2C">
      <w:pPr>
        <w:spacing w:after="0" w:line="240" w:lineRule="auto"/>
        <w:ind w:firstLine="720"/>
        <w:jc w:val="both"/>
        <w:rPr>
          <w:rFonts w:ascii="Arial" w:hAnsi="Arial" w:cs="Arial"/>
          <w:sz w:val="24"/>
          <w:szCs w:val="24"/>
        </w:rPr>
      </w:pPr>
      <w:r w:rsidRPr="00C27439">
        <w:rPr>
          <w:rFonts w:ascii="Arial" w:hAnsi="Arial" w:cs="Arial"/>
          <w:sz w:val="24"/>
          <w:szCs w:val="24"/>
        </w:rPr>
        <w:t>În Anexa nr. 1 este prezentată situaţia depăşirilor COTELOR DE APĂRARE ȋnregistrate ȋn anul 2022, valori maxime preliminare determinate pe baza datelor din fluxul operativ.</w:t>
      </w:r>
    </w:p>
    <w:p w14:paraId="2DA414EA" w14:textId="77777777" w:rsidR="00E30C2C" w:rsidRPr="00C27439" w:rsidRDefault="00E30C2C" w:rsidP="00E30C2C">
      <w:pPr>
        <w:spacing w:after="0" w:line="240" w:lineRule="auto"/>
        <w:ind w:firstLine="720"/>
        <w:jc w:val="both"/>
        <w:rPr>
          <w:rFonts w:ascii="Arial" w:hAnsi="Arial" w:cs="Arial"/>
          <w:sz w:val="24"/>
          <w:szCs w:val="24"/>
          <w:lang w:val="fr-FR"/>
        </w:rPr>
      </w:pPr>
      <w:r w:rsidRPr="00C27439">
        <w:rPr>
          <w:rFonts w:ascii="Arial" w:hAnsi="Arial" w:cs="Arial"/>
          <w:sz w:val="24"/>
          <w:szCs w:val="24"/>
        </w:rPr>
        <w:t xml:space="preserve">Ȋn sezonul de vară al anului 2022 s-au ȋnregistrat valori foarte mici ale debitelor medii (sub 30% din normalele sezoniere) pe râurile din bazinele hidrografice: Tur, Lăpuş, Crişuri, Târnave, Caraş, Nera, Cerna, Olt inferior, Vedea, Rm. </w:t>
      </w:r>
      <w:r w:rsidRPr="00C27439">
        <w:rPr>
          <w:rFonts w:ascii="Arial" w:hAnsi="Arial" w:cs="Arial"/>
          <w:sz w:val="24"/>
          <w:szCs w:val="24"/>
          <w:lang w:val="fr-FR"/>
        </w:rPr>
        <w:t xml:space="preserve">Sărat, Prut, pe cursul Siretului şi pe râurile din Dobrogea. </w:t>
      </w:r>
    </w:p>
    <w:p w14:paraId="0AC3257C" w14:textId="77777777" w:rsidR="00E30C2C" w:rsidRPr="00C27439" w:rsidRDefault="00E30C2C" w:rsidP="00E30C2C">
      <w:pPr>
        <w:spacing w:after="0" w:line="240" w:lineRule="auto"/>
        <w:ind w:firstLine="720"/>
        <w:jc w:val="both"/>
        <w:rPr>
          <w:rFonts w:ascii="Arial" w:hAnsi="Arial" w:cs="Arial"/>
          <w:sz w:val="24"/>
          <w:szCs w:val="24"/>
          <w:lang w:eastAsia="zh-CN"/>
        </w:rPr>
      </w:pPr>
      <w:r w:rsidRPr="00C27439">
        <w:rPr>
          <w:rFonts w:ascii="Arial" w:hAnsi="Arial" w:cs="Arial"/>
          <w:sz w:val="24"/>
          <w:szCs w:val="24"/>
          <w:lang w:val="fr-FR"/>
        </w:rPr>
        <w:t>Cele mai mici valori ale debitelor minime s-au ȋnregistrat pe unele râuri din Crişana şi Banat ȋn lunile iulie şi august 2022, iar ȋn lunile iunie şi iulie pe unele râuri din bazinul Prahovei. Ȋn bazinele hidrografice ale râurilor: Ier, Crişul Repede, Crişul Negru, Crişul Alb,  Bega Veche şi Prahova ȋn lunile de vară s-au ȋnregistrat debite minime cu valori istorice sau apropiate de valorile istorice. Pe baza analizelor realizate și a informațiior suplimentare transmise de către Administrațiile Bazinale de Apă, ȋn Anexa nr. 2 sunt prezentate valorile minime extreme ȋnregistrate ȋn anul 2022 la stațiile hidrometrice, comparativ cu valorile minime istorice.</w:t>
      </w:r>
    </w:p>
    <w:p w14:paraId="7B81BCAB" w14:textId="77777777" w:rsidR="00E30C2C" w:rsidRPr="00C27439" w:rsidRDefault="00E30C2C" w:rsidP="00E30C2C">
      <w:pPr>
        <w:spacing w:after="0" w:line="240" w:lineRule="auto"/>
        <w:ind w:firstLine="720"/>
        <w:jc w:val="both"/>
        <w:rPr>
          <w:rFonts w:ascii="Arial" w:hAnsi="Arial" w:cs="Arial"/>
          <w:b/>
          <w:sz w:val="24"/>
          <w:szCs w:val="24"/>
        </w:rPr>
      </w:pPr>
      <w:r w:rsidRPr="00C27439">
        <w:rPr>
          <w:rFonts w:ascii="Arial" w:hAnsi="Arial" w:cs="Arial"/>
          <w:sz w:val="24"/>
          <w:szCs w:val="24"/>
        </w:rPr>
        <w:t xml:space="preserve">În anul 2022, pe baza situaţiei hidrologice şi a prognozelor meteorologice, înaintea declanşării fenomenelor periculoase, au fost emise la nivel naţional </w:t>
      </w:r>
      <w:r w:rsidRPr="00C27439">
        <w:rPr>
          <w:rFonts w:ascii="Arial" w:hAnsi="Arial" w:cs="Arial"/>
          <w:b/>
          <w:sz w:val="24"/>
          <w:szCs w:val="24"/>
        </w:rPr>
        <w:t>27 AVERTIZĂRI HIDROLOGICE - COD PORTOCALIU</w:t>
      </w:r>
      <w:r w:rsidRPr="00C27439">
        <w:rPr>
          <w:rFonts w:ascii="Arial" w:hAnsi="Arial" w:cs="Arial"/>
          <w:sz w:val="24"/>
          <w:szCs w:val="24"/>
        </w:rPr>
        <w:t>,</w:t>
      </w:r>
      <w:r w:rsidRPr="00C27439">
        <w:rPr>
          <w:rFonts w:ascii="Arial" w:hAnsi="Arial" w:cs="Arial"/>
          <w:b/>
          <w:sz w:val="24"/>
          <w:szCs w:val="24"/>
        </w:rPr>
        <w:t xml:space="preserve"> 52 ATENŢIONĂRI - COD GALBEN</w:t>
      </w:r>
      <w:r w:rsidRPr="00C27439">
        <w:rPr>
          <w:rFonts w:ascii="Arial" w:hAnsi="Arial" w:cs="Arial"/>
          <w:sz w:val="24"/>
          <w:szCs w:val="24"/>
        </w:rPr>
        <w:t xml:space="preserve">, respectiv </w:t>
      </w:r>
      <w:r w:rsidRPr="00C27439">
        <w:rPr>
          <w:rFonts w:ascii="Arial" w:hAnsi="Arial" w:cs="Arial"/>
          <w:b/>
          <w:sz w:val="24"/>
          <w:szCs w:val="24"/>
        </w:rPr>
        <w:t xml:space="preserve">109 avertizări pentru fenomene imediate (din care 2 COD ROŞU) şi 358 atenţionări pentru fenomene imediate. </w:t>
      </w:r>
    </w:p>
    <w:p w14:paraId="3B2FD5EC" w14:textId="77777777" w:rsidR="00E30C2C" w:rsidRDefault="00E30C2C" w:rsidP="00E30C2C">
      <w:pPr>
        <w:spacing w:after="0" w:line="240" w:lineRule="auto"/>
        <w:ind w:firstLine="720"/>
        <w:jc w:val="both"/>
        <w:rPr>
          <w:rFonts w:asciiTheme="minorBidi" w:hAnsiTheme="minorBidi"/>
          <w:color w:val="000000"/>
          <w:kern w:val="24"/>
          <w:sz w:val="24"/>
          <w:szCs w:val="24"/>
          <w:lang w:eastAsia="zh-CN"/>
        </w:rPr>
      </w:pPr>
    </w:p>
    <w:p w14:paraId="352E847E" w14:textId="77777777" w:rsidR="00E30C2C" w:rsidRDefault="00E30C2C" w:rsidP="00E30C2C">
      <w:pPr>
        <w:spacing w:after="0" w:line="240" w:lineRule="auto"/>
        <w:ind w:firstLine="720"/>
        <w:jc w:val="both"/>
        <w:rPr>
          <w:rFonts w:asciiTheme="minorBidi" w:hAnsiTheme="minorBidi"/>
          <w:color w:val="000000"/>
          <w:kern w:val="24"/>
          <w:sz w:val="24"/>
          <w:szCs w:val="24"/>
          <w:lang w:eastAsia="zh-CN"/>
        </w:rPr>
      </w:pPr>
    </w:p>
    <w:p w14:paraId="549DB3BC" w14:textId="77777777" w:rsidR="00E30C2C" w:rsidRPr="00215A93" w:rsidRDefault="00E30C2C" w:rsidP="00E30C2C">
      <w:pPr>
        <w:spacing w:line="240" w:lineRule="auto"/>
        <w:jc w:val="center"/>
        <w:rPr>
          <w:rFonts w:asciiTheme="minorBidi" w:hAnsiTheme="minorBidi"/>
          <w:b/>
          <w:sz w:val="24"/>
          <w:szCs w:val="24"/>
        </w:rPr>
      </w:pPr>
      <w:r w:rsidRPr="00804B8B">
        <w:rPr>
          <w:rFonts w:ascii="Arial" w:hAnsi="Arial" w:cs="Arial"/>
          <w:noProof/>
          <w:lang w:val="en-GB" w:eastAsia="en-GB"/>
        </w:rPr>
        <w:lastRenderedPageBreak/>
        <w:drawing>
          <wp:inline distT="0" distB="0" distL="0" distR="0" wp14:anchorId="30A20081" wp14:editId="51FA18BF">
            <wp:extent cx="5380990" cy="5240020"/>
            <wp:effectExtent l="0" t="0" r="0" b="0"/>
            <wp:docPr id="309390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80990" cy="5240020"/>
                    </a:xfrm>
                    <a:prstGeom prst="rect">
                      <a:avLst/>
                    </a:prstGeom>
                    <a:noFill/>
                    <a:ln>
                      <a:noFill/>
                    </a:ln>
                  </pic:spPr>
                </pic:pic>
              </a:graphicData>
            </a:graphic>
          </wp:inline>
        </w:drawing>
      </w:r>
    </w:p>
    <w:p w14:paraId="41050498" w14:textId="77777777" w:rsidR="00E30C2C" w:rsidRPr="00CB2589" w:rsidRDefault="00E30C2C" w:rsidP="00E30C2C">
      <w:pPr>
        <w:spacing w:after="0" w:line="240" w:lineRule="auto"/>
        <w:jc w:val="both"/>
        <w:rPr>
          <w:rFonts w:asciiTheme="minorBidi" w:hAnsiTheme="minorBidi"/>
          <w:bCs/>
          <w:sz w:val="24"/>
          <w:szCs w:val="24"/>
        </w:rPr>
      </w:pPr>
      <w:r w:rsidRPr="00CB2589">
        <w:rPr>
          <w:rFonts w:asciiTheme="minorBidi" w:hAnsiTheme="minorBidi"/>
          <w:b/>
          <w:i/>
          <w:iCs/>
          <w:noProof/>
          <w:sz w:val="24"/>
          <w:szCs w:val="24"/>
          <w:lang w:val="en-GB" w:eastAsia="en-GB"/>
        </w:rPr>
        <mc:AlternateContent>
          <mc:Choice Requires="wps">
            <w:drawing>
              <wp:anchor distT="0" distB="0" distL="114300" distR="114300" simplePos="0" relativeHeight="251659264" behindDoc="0" locked="0" layoutInCell="0" allowOverlap="1" wp14:anchorId="029446F6" wp14:editId="0D72EA3E">
                <wp:simplePos x="0" y="0"/>
                <wp:positionH relativeFrom="column">
                  <wp:posOffset>5797944</wp:posOffset>
                </wp:positionH>
                <wp:positionV relativeFrom="paragraph">
                  <wp:posOffset>216250</wp:posOffset>
                </wp:positionV>
                <wp:extent cx="365760" cy="91440"/>
                <wp:effectExtent l="10795" t="13335" r="13970" b="952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91440"/>
                        </a:xfrm>
                        <a:prstGeom prst="rect">
                          <a:avLst/>
                        </a:prstGeom>
                        <a:pattFill prst="wdDnDiag">
                          <a:fgClr>
                            <a:srgbClr val="0000FF"/>
                          </a:fgClr>
                          <a:bgClr>
                            <a:srgbClr val="FFFFFF"/>
                          </a:bgClr>
                        </a:pattFill>
                        <a:ln w="9525">
                          <a:solidFill>
                            <a:srgbClr val="0000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65204" id="Rectangle 66" o:spid="_x0000_s1026" style="position:absolute;margin-left:456.55pt;margin-top:17.05pt;width:28.8pt;height: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" o:allowincell="f" fillcolor="blue" strokecolor="blue">
                <v:fill r:id="rId16" o:title="" type="pattern"/>
              </v:rect>
            </w:pict>
          </mc:Fallback>
        </mc:AlternateContent>
      </w:r>
      <w:r w:rsidRPr="00CB2589">
        <w:rPr>
          <w:rFonts w:asciiTheme="minorBidi" w:hAnsiTheme="minorBidi"/>
          <w:b/>
          <w:i/>
          <w:iCs/>
          <w:noProof/>
          <w:sz w:val="24"/>
          <w:szCs w:val="24"/>
          <w:lang w:val="en-GB" w:eastAsia="en-GB"/>
        </w:rPr>
        <mc:AlternateContent>
          <mc:Choice Requires="wps">
            <w:drawing>
              <wp:anchor distT="0" distB="0" distL="114300" distR="114300" simplePos="0" relativeHeight="251661312" behindDoc="0" locked="0" layoutInCell="1" allowOverlap="1" wp14:anchorId="0C90F9B6" wp14:editId="30C8738A">
                <wp:simplePos x="0" y="0"/>
                <wp:positionH relativeFrom="page">
                  <wp:posOffset>6032938</wp:posOffset>
                </wp:positionH>
                <wp:positionV relativeFrom="paragraph">
                  <wp:posOffset>440296</wp:posOffset>
                </wp:positionV>
                <wp:extent cx="388423" cy="10510"/>
                <wp:effectExtent l="0" t="0" r="12065" b="2794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423" cy="10510"/>
                        </a:xfrm>
                        <a:prstGeom prst="line">
                          <a:avLst/>
                        </a:prstGeom>
                        <a:noFill/>
                        <a:ln w="19050">
                          <a:solidFill>
                            <a:srgbClr val="0000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B9733" id="Straight Connector 64"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5.05pt,34.65pt" to="505.6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" strokecolor="blue" strokeweight="1.5pt">
                <v:stroke dashstyle="dash"/>
                <w10:wrap anchorx="page"/>
              </v:line>
            </w:pict>
          </mc:Fallback>
        </mc:AlternateContent>
      </w:r>
      <w:r w:rsidRPr="00CB2589">
        <w:rPr>
          <w:rFonts w:asciiTheme="minorBidi" w:hAnsiTheme="minorBidi"/>
          <w:b/>
          <w:i/>
          <w:iCs/>
          <w:noProof/>
          <w:sz w:val="24"/>
          <w:szCs w:val="24"/>
          <w:lang w:val="en-GB" w:eastAsia="en-GB"/>
        </w:rPr>
        <mc:AlternateContent>
          <mc:Choice Requires="wps">
            <w:drawing>
              <wp:anchor distT="0" distB="0" distL="114300" distR="114300" simplePos="0" relativeHeight="251662336" behindDoc="0" locked="0" layoutInCell="0" allowOverlap="1" wp14:anchorId="1505465C" wp14:editId="0668E701">
                <wp:simplePos x="0" y="0"/>
                <wp:positionH relativeFrom="column">
                  <wp:posOffset>1364506</wp:posOffset>
                </wp:positionH>
                <wp:positionV relativeFrom="paragraph">
                  <wp:posOffset>637628</wp:posOffset>
                </wp:positionV>
                <wp:extent cx="274320" cy="0"/>
                <wp:effectExtent l="12700" t="14605" r="17780" b="1397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582951" id="Straight Connector 6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45pt,50.2pt" to="129.0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" o:allowincell="f" strokecolor="red" strokeweight="1.5pt"/>
            </w:pict>
          </mc:Fallback>
        </mc:AlternateContent>
      </w:r>
      <w:r w:rsidRPr="00CB2589">
        <w:rPr>
          <w:rFonts w:asciiTheme="minorBidi" w:hAnsiTheme="minorBidi"/>
          <w:b/>
          <w:i/>
          <w:iCs/>
          <w:noProof/>
          <w:sz w:val="24"/>
          <w:szCs w:val="24"/>
          <w:lang w:val="en-GB" w:eastAsia="en-GB"/>
        </w:rPr>
        <mc:AlternateContent>
          <mc:Choice Requires="wps">
            <w:drawing>
              <wp:anchor distT="0" distB="0" distL="114300" distR="114300" simplePos="0" relativeHeight="251660288" behindDoc="0" locked="0" layoutInCell="0" allowOverlap="1" wp14:anchorId="0172D1F5" wp14:editId="2CED4726">
                <wp:simplePos x="0" y="0"/>
                <wp:positionH relativeFrom="column">
                  <wp:posOffset>2777161</wp:posOffset>
                </wp:positionH>
                <wp:positionV relativeFrom="paragraph">
                  <wp:posOffset>390022</wp:posOffset>
                </wp:positionV>
                <wp:extent cx="365760" cy="91440"/>
                <wp:effectExtent l="12700" t="13335" r="12065" b="952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91440"/>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865BE" id="Rectangle 63" o:spid="_x0000_s1026" style="position:absolute;margin-left:218.65pt;margin-top:30.7pt;width:28.8pt;height: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" o:allowincell="f" fillcolor="red" strokecolor="red"/>
            </w:pict>
          </mc:Fallback>
        </mc:AlternateContent>
      </w:r>
      <w:r w:rsidRPr="00CB2589">
        <w:rPr>
          <w:rFonts w:asciiTheme="minorBidi" w:hAnsiTheme="minorBidi"/>
          <w:b/>
          <w:i/>
          <w:iCs/>
          <w:sz w:val="24"/>
          <w:szCs w:val="24"/>
        </w:rPr>
        <w:t>Figura II.1.1.3.1</w:t>
      </w:r>
      <w:r w:rsidRPr="00CB2589">
        <w:rPr>
          <w:rFonts w:asciiTheme="minorBidi" w:hAnsiTheme="minorBidi"/>
          <w:bCs/>
          <w:sz w:val="24"/>
          <w:szCs w:val="24"/>
        </w:rPr>
        <w:t xml:space="preserve"> Harta cu repartiţia coeficienţilor moduli anuali (raportul dintre debitul mediu anual şi debitul mediu multianual) pentru anul 202</w:t>
      </w:r>
      <w:r>
        <w:rPr>
          <w:rFonts w:asciiTheme="minorBidi" w:hAnsiTheme="minorBidi"/>
          <w:bCs/>
          <w:sz w:val="24"/>
          <w:szCs w:val="24"/>
        </w:rPr>
        <w:t>2</w:t>
      </w:r>
      <w:r w:rsidRPr="00CB2589">
        <w:rPr>
          <w:rFonts w:asciiTheme="minorBidi" w:hAnsiTheme="minorBidi"/>
          <w:bCs/>
          <w:sz w:val="24"/>
          <w:szCs w:val="24"/>
        </w:rPr>
        <w:t>, hidrograful debitelor medii lunare (             ) comparativ cu valorile  normale  lunare (             ),  debitul mediu  anual  202</w:t>
      </w:r>
      <w:r>
        <w:rPr>
          <w:rFonts w:asciiTheme="minorBidi" w:hAnsiTheme="minorBidi"/>
          <w:bCs/>
          <w:sz w:val="24"/>
          <w:szCs w:val="24"/>
        </w:rPr>
        <w:t>2</w:t>
      </w:r>
      <w:r w:rsidRPr="00CB2589">
        <w:rPr>
          <w:rFonts w:asciiTheme="minorBidi" w:hAnsiTheme="minorBidi"/>
          <w:bCs/>
          <w:sz w:val="24"/>
          <w:szCs w:val="24"/>
        </w:rPr>
        <w:t xml:space="preserve"> (         </w:t>
      </w:r>
      <w:r w:rsidRPr="00CB2589">
        <w:rPr>
          <w:rFonts w:asciiTheme="minorBidi" w:hAnsiTheme="minorBidi"/>
          <w:bCs/>
          <w:color w:val="000000"/>
          <w:sz w:val="24"/>
          <w:szCs w:val="24"/>
        </w:rPr>
        <w:t xml:space="preserve">),  debitul  mediu  multianual  (         ) </w:t>
      </w:r>
      <w:r w:rsidRPr="00CB2589">
        <w:rPr>
          <w:rFonts w:asciiTheme="minorBidi" w:hAnsiTheme="minorBidi"/>
          <w:bCs/>
          <w:sz w:val="24"/>
          <w:szCs w:val="24"/>
        </w:rPr>
        <w:t>la câteva staţii hidrometrice reprezentative pentru principalele zone din ţară.</w:t>
      </w:r>
      <w:r>
        <w:rPr>
          <w:rFonts w:asciiTheme="minorBidi" w:hAnsiTheme="minorBidi"/>
          <w:bCs/>
          <w:sz w:val="24"/>
          <w:szCs w:val="24"/>
        </w:rPr>
        <w:t xml:space="preserve"> </w:t>
      </w:r>
    </w:p>
    <w:p w14:paraId="788E1820" w14:textId="77777777" w:rsidR="00E30C2C" w:rsidRPr="00215A93" w:rsidRDefault="00E30C2C" w:rsidP="00E30C2C">
      <w:pPr>
        <w:spacing w:after="0" w:line="240" w:lineRule="auto"/>
        <w:jc w:val="right"/>
        <w:rPr>
          <w:rFonts w:asciiTheme="minorBidi" w:hAnsiTheme="minorBidi"/>
          <w:sz w:val="24"/>
          <w:szCs w:val="24"/>
        </w:rPr>
      </w:pPr>
    </w:p>
    <w:p w14:paraId="7E408CD1" w14:textId="77777777" w:rsidR="00E30C2C" w:rsidRPr="00215A93" w:rsidRDefault="00E30C2C" w:rsidP="00E30C2C">
      <w:pPr>
        <w:spacing w:after="0" w:line="240" w:lineRule="auto"/>
        <w:ind w:right="-567"/>
        <w:jc w:val="both"/>
        <w:rPr>
          <w:rFonts w:asciiTheme="minorBidi" w:hAnsiTheme="minorBidi"/>
          <w:sz w:val="24"/>
          <w:szCs w:val="24"/>
        </w:rPr>
      </w:pPr>
      <w:r w:rsidRPr="00215A93">
        <w:rPr>
          <w:rFonts w:asciiTheme="minorBidi" w:hAnsiTheme="minorBidi"/>
          <w:b/>
          <w:i/>
          <w:sz w:val="24"/>
          <w:szCs w:val="24"/>
        </w:rPr>
        <w:t>Caracterizarea lunilor de iarnă 202</w:t>
      </w:r>
      <w:r>
        <w:rPr>
          <w:rFonts w:asciiTheme="minorBidi" w:hAnsiTheme="minorBidi"/>
          <w:b/>
          <w:i/>
          <w:sz w:val="24"/>
          <w:szCs w:val="24"/>
        </w:rPr>
        <w:t>2</w:t>
      </w:r>
    </w:p>
    <w:p w14:paraId="0D671E3F" w14:textId="77777777" w:rsidR="00E30C2C" w:rsidRPr="00C27439" w:rsidRDefault="00E30C2C" w:rsidP="00E30C2C">
      <w:pPr>
        <w:spacing w:after="0" w:line="240" w:lineRule="auto"/>
        <w:jc w:val="right"/>
        <w:rPr>
          <w:rFonts w:asciiTheme="minorBidi" w:hAnsiTheme="minorBidi"/>
          <w:sz w:val="24"/>
          <w:szCs w:val="24"/>
        </w:rPr>
      </w:pPr>
    </w:p>
    <w:p w14:paraId="48001527"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luna </w:t>
      </w:r>
      <w:r w:rsidRPr="00C27439">
        <w:rPr>
          <w:rFonts w:ascii="Arial" w:hAnsi="Arial" w:cs="Arial"/>
          <w:sz w:val="24"/>
          <w:szCs w:val="24"/>
          <w:u w:val="single"/>
          <w:lang w:eastAsia="x-none"/>
        </w:rPr>
        <w:t>ianuarie 2022</w:t>
      </w:r>
      <w:r w:rsidRPr="00C27439">
        <w:rPr>
          <w:rFonts w:ascii="Arial" w:hAnsi="Arial" w:cs="Arial"/>
          <w:sz w:val="24"/>
          <w:szCs w:val="24"/>
          <w:lang w:eastAsia="x-none"/>
        </w:rPr>
        <w:t xml:space="preserve">, regimul  hidrologic al  bazinelor hidrografice din România </w:t>
      </w:r>
      <w:r w:rsidRPr="00215A93">
        <w:rPr>
          <w:rFonts w:asciiTheme="minorBidi" w:hAnsiTheme="minorBidi"/>
          <w:sz w:val="24"/>
          <w:szCs w:val="24"/>
          <w:lang w:eastAsia="x-none"/>
        </w:rPr>
        <w:t>(</w:t>
      </w:r>
      <w:r w:rsidRPr="00CB2589">
        <w:rPr>
          <w:rFonts w:asciiTheme="minorBidi" w:hAnsiTheme="minorBidi"/>
          <w:b/>
          <w:i/>
          <w:iCs/>
          <w:sz w:val="24"/>
          <w:szCs w:val="24"/>
        </w:rPr>
        <w:t>Figura II.1.1.3.</w:t>
      </w:r>
      <w:r>
        <w:rPr>
          <w:rFonts w:asciiTheme="minorBidi" w:hAnsiTheme="minorBidi"/>
          <w:b/>
          <w:i/>
          <w:iCs/>
          <w:sz w:val="24"/>
          <w:szCs w:val="24"/>
        </w:rPr>
        <w:t>2</w:t>
      </w:r>
      <w:r w:rsidRPr="00215A93">
        <w:rPr>
          <w:rFonts w:asciiTheme="minorBidi" w:hAnsiTheme="minorBidi"/>
          <w:sz w:val="24"/>
          <w:szCs w:val="24"/>
          <w:lang w:eastAsia="x-none"/>
        </w:rPr>
        <w:t>).</w:t>
      </w:r>
      <w:r w:rsidRPr="00C27439">
        <w:rPr>
          <w:rFonts w:ascii="Arial" w:hAnsi="Arial" w:cs="Arial"/>
          <w:sz w:val="24"/>
          <w:szCs w:val="24"/>
        </w:rPr>
        <w:t xml:space="preserve"> </w:t>
      </w:r>
      <w:r w:rsidRPr="00C27439">
        <w:rPr>
          <w:rFonts w:ascii="Arial" w:hAnsi="Arial" w:cs="Arial"/>
          <w:sz w:val="24"/>
          <w:szCs w:val="24"/>
          <w:lang w:eastAsia="x-none"/>
        </w:rPr>
        <w:t xml:space="preserve">s-a situat la valori peste mediile lunare multianuale pe râurile din bazinele hidrografice: Vişeu, Iza, Tur, Someş, Crasna, Barcău, Crişul Repede, Crişul Negru, Crişul Alb, Mureş, Ialomiţa, Buzău, Putna, Trotuş, Bistriţa, Moldova, Suceava, pe cursurile superioare ale râurilor Olt şi Prut, pe cursul superior şi mijlociu al Jiului, pe Motru şi pe cursul Siretului. Pe celelalte râuri regimul hidrologic s-a situat la valori cuprinse între 50-80% din mediile lunare multianuale, mai mari (80-100%) pe cursul mijlociu şi inferior al Prutului şi mai mici (30-50%) pe râurile din bazinele hidrografice: Vedea, Rm. Sărat, Bârlad şi Jijia. </w:t>
      </w:r>
    </w:p>
    <w:p w14:paraId="463850D6"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primele trei zile ale lunii ianuarie 2022 debitele au fost în general în creştere datorită precipitaţiilor lichide înregistrate în acest interval, cedării apei din stratul de zăpadă, evoluției formațiunilor de gheaţă şi propagării, exceptând râurile din Crişana şi Banat unde au fost în scădere uşoară. În prima zi a lunii ianuarie s-a menţinut peste COTA DE ATENŢIE nivelul pe râul Crişul Alb la staţia hidrometrică Chişineu Criş, datorită propagării viiturii formate anterior în amonte, iar în următoarele două zile, s-au situat </w:t>
      </w:r>
      <w:r w:rsidRPr="00C27439">
        <w:rPr>
          <w:rFonts w:ascii="Arial" w:hAnsi="Arial" w:cs="Arial"/>
          <w:sz w:val="24"/>
          <w:szCs w:val="24"/>
          <w:lang w:eastAsia="x-none"/>
        </w:rPr>
        <w:lastRenderedPageBreak/>
        <w:t>peste COTELE DE ATENȚIE nivelurile pe râul Tur la stațiile hidrometrice Călineşti Oaş şi Turulung şi peste COTA DE INUNDAŢIE la staţia hidrometrică Micula.</w:t>
      </w:r>
    </w:p>
    <w:p w14:paraId="7981E925"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În intervalul 3–7 ianuarie debitele au fost în creştere, datorită precipitaţiilor lichide, cedării apei din stratul de zăpadă şi propagării, pe râurile din bazinele hidrografice: Vişeu, Iza, Tur, Someş, Arieş, Mureş superior, Trotuş, Bistriţa, Moldova, Suceava, Prut superior, iar în ultima zi şi pe râurile din bazinele hidrografice: Crasna, Crişul Repede şi Crişul Negru. Pe celelalte râuri debitele au fost în general staționare. Creșteri mai însemnate de niveluri și debite, cu atingerea și depășirea COTELOR DE INUNDAŢIE s-au înregistrat pe râul Tur la staţiile hidrometrice Călineşi Oaş, Turulung şi Micula (ca urmare a tranzitării şi atenuării viiturii formate anterior). De asemenea, s-au înregistrat creşteri de niveluri şi debite, cu depăşirea COTELOR DE ATENŢIE pe râul Tisa la staţia hidrometrică Valea Vișeului, pe râul Valea Rea la staţia hidrometrică Huta Certeze şi pe râul Firiza la staţia hidrometrică Firiza.</w:t>
      </w:r>
    </w:p>
    <w:p w14:paraId="07DA349E" w14:textId="77777777" w:rsidR="00E30C2C" w:rsidRPr="00215A93" w:rsidRDefault="00E30C2C" w:rsidP="00E30C2C">
      <w:pPr>
        <w:spacing w:after="0" w:line="240" w:lineRule="auto"/>
        <w:ind w:firstLine="720"/>
        <w:jc w:val="both"/>
        <w:rPr>
          <w:rFonts w:asciiTheme="minorBidi" w:hAnsiTheme="minorBidi"/>
          <w:sz w:val="24"/>
          <w:szCs w:val="24"/>
          <w:lang w:eastAsia="x-none"/>
        </w:rPr>
      </w:pPr>
      <w:r w:rsidRPr="00215A93">
        <w:rPr>
          <w:rFonts w:asciiTheme="minorBidi" w:hAnsiTheme="minorBidi"/>
          <w:sz w:val="24"/>
          <w:szCs w:val="24"/>
          <w:lang w:eastAsia="x-none"/>
        </w:rPr>
        <w:t xml:space="preserve"> </w:t>
      </w:r>
    </w:p>
    <w:p w14:paraId="592154C2"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lang w:val="en-GB" w:eastAsia="en-GB"/>
        </w:rPr>
        <w:drawing>
          <wp:inline distT="0" distB="0" distL="0" distR="0" wp14:anchorId="25CF378D" wp14:editId="1992EACA">
            <wp:extent cx="4537075" cy="3227070"/>
            <wp:effectExtent l="0" t="0" r="0" b="0"/>
            <wp:docPr id="3433336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37075" cy="3227070"/>
                    </a:xfrm>
                    <a:prstGeom prst="rect">
                      <a:avLst/>
                    </a:prstGeom>
                    <a:noFill/>
                    <a:ln>
                      <a:noFill/>
                    </a:ln>
                  </pic:spPr>
                </pic:pic>
              </a:graphicData>
            </a:graphic>
          </wp:inline>
        </w:drawing>
      </w:r>
    </w:p>
    <w:p w14:paraId="6EBD7BA1" w14:textId="77777777" w:rsidR="00E30C2C" w:rsidRPr="00215A93" w:rsidRDefault="00E30C2C" w:rsidP="00E30C2C">
      <w:pPr>
        <w:spacing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2:</w:t>
      </w:r>
      <w:r w:rsidRPr="00215A93">
        <w:rPr>
          <w:rFonts w:asciiTheme="minorBidi" w:hAnsiTheme="minorBidi"/>
          <w:i/>
          <w:sz w:val="24"/>
          <w:szCs w:val="24"/>
        </w:rPr>
        <w:t xml:space="preserve"> Regimul debitelor medii lunare în luna ianuarie 202</w:t>
      </w:r>
      <w:r>
        <w:rPr>
          <w:rFonts w:asciiTheme="minorBidi" w:hAnsiTheme="minorBidi"/>
          <w:i/>
          <w:sz w:val="24"/>
          <w:szCs w:val="24"/>
        </w:rPr>
        <w:t>2</w:t>
      </w:r>
    </w:p>
    <w:p w14:paraId="763CB191"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w:t>
      </w:r>
      <w:bookmarkStart w:id="3" w:name="_Hlk94525976"/>
      <w:r w:rsidRPr="00C27439">
        <w:rPr>
          <w:rFonts w:ascii="Arial" w:hAnsi="Arial" w:cs="Arial"/>
          <w:sz w:val="24"/>
          <w:szCs w:val="24"/>
          <w:lang w:eastAsia="x-none"/>
        </w:rPr>
        <w:t>intervalul 8</w:t>
      </w:r>
      <w:bookmarkStart w:id="4" w:name="_Hlk94524407"/>
      <w:r w:rsidRPr="00C27439">
        <w:rPr>
          <w:rFonts w:ascii="Arial" w:hAnsi="Arial" w:cs="Arial"/>
          <w:sz w:val="24"/>
          <w:szCs w:val="24"/>
          <w:lang w:eastAsia="x-none"/>
        </w:rPr>
        <w:t>–</w:t>
      </w:r>
      <w:bookmarkEnd w:id="4"/>
      <w:r w:rsidRPr="00C27439">
        <w:rPr>
          <w:rFonts w:ascii="Arial" w:hAnsi="Arial" w:cs="Arial"/>
          <w:sz w:val="24"/>
          <w:szCs w:val="24"/>
          <w:lang w:eastAsia="x-none"/>
        </w:rPr>
        <w:t xml:space="preserve">10 ianuarie </w:t>
      </w:r>
      <w:bookmarkEnd w:id="3"/>
      <w:r w:rsidRPr="00C27439">
        <w:rPr>
          <w:rFonts w:ascii="Arial" w:hAnsi="Arial" w:cs="Arial"/>
          <w:sz w:val="24"/>
          <w:szCs w:val="24"/>
          <w:lang w:eastAsia="x-none"/>
        </w:rPr>
        <w:t xml:space="preserve">debitele au fost în general în scădere, exceptând ultimele două zile când au fost în creştere pe unele râuri din Dobrogea şi din sud-vestul ţării (Bârzava, Caraş, Nera, Cerna, Jiu), ca urmare a precipitaţiilor căzute şi propagării. </w:t>
      </w:r>
    </w:p>
    <w:p w14:paraId="1174FF0A"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intervalul 11–17 ianuarie debitele au fost în general în scădere pe râurile din jumătatea nordică a ţării şi relativ staţionare pe cele din jumătatea sudică. </w:t>
      </w:r>
    </w:p>
    <w:p w14:paraId="5068E3BF" w14:textId="77777777" w:rsidR="00E30C2C" w:rsidRPr="00C27439" w:rsidRDefault="00E30C2C" w:rsidP="00E30C2C">
      <w:pPr>
        <w:spacing w:after="0" w:line="240" w:lineRule="auto"/>
        <w:ind w:firstLine="720"/>
        <w:jc w:val="both"/>
        <w:rPr>
          <w:rFonts w:ascii="Arial" w:hAnsi="Arial" w:cs="Arial"/>
          <w:bCs/>
          <w:sz w:val="24"/>
          <w:szCs w:val="24"/>
          <w:lang w:eastAsia="x-none"/>
        </w:rPr>
      </w:pPr>
      <w:r w:rsidRPr="00C27439">
        <w:rPr>
          <w:rFonts w:ascii="Arial" w:hAnsi="Arial" w:cs="Arial"/>
          <w:sz w:val="24"/>
          <w:szCs w:val="24"/>
          <w:lang w:eastAsia="x-none"/>
        </w:rPr>
        <w:t xml:space="preserve">În intervalul 18–31 ianuarie debitele au fost relativ staţionare pe majoritatea râurilor, exceptând primele trei zile când au fost în scădere pe râurile din Maramureş, Crişana şi vestul Transilvaniei şi intervalul 25–26 ianuarie când s-au înregistrat mici creşteri pe </w:t>
      </w:r>
      <w:r w:rsidRPr="00C27439">
        <w:rPr>
          <w:rFonts w:ascii="Arial" w:hAnsi="Arial" w:cs="Arial"/>
          <w:bCs/>
          <w:sz w:val="24"/>
          <w:szCs w:val="24"/>
          <w:lang w:val="x-none" w:eastAsia="x-none"/>
        </w:rPr>
        <w:t>râurile din bazinele hidrografice</w:t>
      </w:r>
      <w:r w:rsidRPr="00C27439">
        <w:rPr>
          <w:rFonts w:ascii="Arial" w:hAnsi="Arial" w:cs="Arial"/>
          <w:bCs/>
          <w:sz w:val="24"/>
          <w:szCs w:val="24"/>
          <w:lang w:eastAsia="x-none"/>
        </w:rPr>
        <w:t>:</w:t>
      </w:r>
      <w:r w:rsidRPr="00C27439">
        <w:rPr>
          <w:rFonts w:ascii="Arial" w:hAnsi="Arial" w:cs="Arial"/>
          <w:bCs/>
          <w:sz w:val="24"/>
          <w:szCs w:val="24"/>
          <w:lang w:val="x-none" w:eastAsia="x-none"/>
        </w:rPr>
        <w:t xml:space="preserve"> Barcău, Crișul Alb, Arieș, Târnava Mare</w:t>
      </w:r>
      <w:r w:rsidRPr="00C27439">
        <w:rPr>
          <w:rFonts w:ascii="Arial" w:hAnsi="Arial" w:cs="Arial"/>
          <w:bCs/>
          <w:sz w:val="24"/>
          <w:szCs w:val="24"/>
          <w:lang w:eastAsia="x-none"/>
        </w:rPr>
        <w:t xml:space="preserve"> şi din </w:t>
      </w:r>
      <w:r w:rsidRPr="00C27439">
        <w:rPr>
          <w:rFonts w:ascii="Arial" w:hAnsi="Arial" w:cs="Arial"/>
          <w:bCs/>
          <w:sz w:val="24"/>
          <w:szCs w:val="24"/>
          <w:lang w:val="x-none" w:eastAsia="x-none"/>
        </w:rPr>
        <w:t>bazinul superior al Crișului Repede</w:t>
      </w:r>
      <w:r w:rsidRPr="00C27439">
        <w:rPr>
          <w:rFonts w:ascii="Arial" w:hAnsi="Arial" w:cs="Arial"/>
          <w:bCs/>
          <w:sz w:val="24"/>
          <w:szCs w:val="24"/>
          <w:lang w:eastAsia="x-none"/>
        </w:rPr>
        <w:t xml:space="preserve">, </w:t>
      </w:r>
      <w:r w:rsidRPr="00C27439">
        <w:rPr>
          <w:rFonts w:ascii="Arial" w:hAnsi="Arial" w:cs="Arial"/>
          <w:bCs/>
          <w:sz w:val="24"/>
          <w:szCs w:val="24"/>
          <w:lang w:val="x-none" w:eastAsia="x-none"/>
        </w:rPr>
        <w:t>datorită cedării diurne a apei din stratul de zăpadă, evoluției formațiunilor de gheață și propagării.</w:t>
      </w:r>
    </w:p>
    <w:p w14:paraId="62F5EA4E"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Formațiunile de gheață (gheață la maluri, pod de gheaţă, curgeri de năboi) prezente în prima zi a lunii ianuarie pe râurile din bazinele hidrografice ale Siretului (exceptând bazinul Buzăului) şi Prutului şi, izolat, în bazinele superioare ale Mureșului și Argeșului, au fost în diminuare, restrângere şi eliminare până în data de 10 ianuarie când mai erau prezente numai pe râurile din bazinele superioare și mijlocii ale Bistriței și Moldovei (gheaţă la maluri şi năboi).</w:t>
      </w:r>
    </w:p>
    <w:p w14:paraId="0F2A9CF6"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Începând din data de 11 ianuarie şi până în data de 26 ianuarie, formaţiunile de gheaţă s-au extins şi intensificat, fiind prezente pe majoritatea râurilor din zonele de deal şi munte (gheaţă la maluri, pod de gheaţă, curgeri de năboi şi sloiuri, aglomerări de </w:t>
      </w:r>
      <w:r w:rsidRPr="00C27439">
        <w:rPr>
          <w:rFonts w:ascii="Arial" w:hAnsi="Arial" w:cs="Arial"/>
          <w:sz w:val="24"/>
          <w:szCs w:val="24"/>
          <w:lang w:eastAsia="x-none"/>
        </w:rPr>
        <w:lastRenderedPageBreak/>
        <w:t xml:space="preserve">gheţuri). Din 27 ianuarie şi până la sfârşitul lunii, </w:t>
      </w:r>
      <w:bookmarkStart w:id="5" w:name="_Hlk92698384"/>
      <w:r w:rsidRPr="00C27439">
        <w:rPr>
          <w:rFonts w:ascii="Arial" w:hAnsi="Arial" w:cs="Arial"/>
          <w:sz w:val="24"/>
          <w:szCs w:val="24"/>
          <w:lang w:eastAsia="x-none"/>
        </w:rPr>
        <w:t>formaţiunile de gheaţă</w:t>
      </w:r>
      <w:bookmarkEnd w:id="5"/>
      <w:r w:rsidRPr="00C27439">
        <w:rPr>
          <w:rFonts w:ascii="Arial" w:hAnsi="Arial" w:cs="Arial"/>
          <w:sz w:val="24"/>
          <w:szCs w:val="24"/>
          <w:lang w:eastAsia="x-none"/>
        </w:rPr>
        <w:t xml:space="preserve"> s-au menținut fără modificări importante, exceptând unele râuri din Crișana  Banat şi Moldova unde au fost în uşoară diminuare şi au produs, în evoluţia lor, variaţii de niveluri pe unele sectoare de râu.</w:t>
      </w:r>
    </w:p>
    <w:p w14:paraId="70D44F0C"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1BE97CB8"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luna </w:t>
      </w:r>
      <w:r w:rsidRPr="00C27439">
        <w:rPr>
          <w:rFonts w:ascii="Arial" w:hAnsi="Arial" w:cs="Arial"/>
          <w:sz w:val="24"/>
          <w:szCs w:val="24"/>
          <w:u w:val="single"/>
          <w:lang w:eastAsia="x-none"/>
        </w:rPr>
        <w:t>februarie 2022</w:t>
      </w:r>
      <w:r w:rsidRPr="00C27439">
        <w:rPr>
          <w:rFonts w:ascii="Arial" w:hAnsi="Arial" w:cs="Arial"/>
          <w:sz w:val="24"/>
          <w:szCs w:val="24"/>
          <w:lang w:eastAsia="x-none"/>
        </w:rPr>
        <w:t xml:space="preserve">, regimul hidrologic al bazinelor hidrografice din România </w:t>
      </w:r>
      <w:r w:rsidRPr="00C27439">
        <w:rPr>
          <w:rFonts w:ascii="Arial" w:hAnsi="Arial" w:cs="Arial"/>
          <w:sz w:val="24"/>
          <w:szCs w:val="24"/>
        </w:rPr>
        <w:t xml:space="preserve">(figura </w:t>
      </w:r>
      <w:r>
        <w:rPr>
          <w:rFonts w:ascii="Arial" w:hAnsi="Arial" w:cs="Arial"/>
          <w:sz w:val="24"/>
          <w:szCs w:val="24"/>
        </w:rPr>
        <w:t>II.1.1.3.3</w:t>
      </w:r>
      <w:r w:rsidRPr="00C27439">
        <w:rPr>
          <w:rFonts w:ascii="Arial" w:hAnsi="Arial" w:cs="Arial"/>
          <w:sz w:val="24"/>
          <w:szCs w:val="24"/>
        </w:rPr>
        <w:t xml:space="preserve">) </w:t>
      </w:r>
      <w:r w:rsidRPr="00C27439">
        <w:rPr>
          <w:rFonts w:ascii="Arial" w:hAnsi="Arial" w:cs="Arial"/>
          <w:sz w:val="24"/>
          <w:szCs w:val="24"/>
          <w:lang w:eastAsia="x-none"/>
        </w:rPr>
        <w:t>s-a situat la valori peste mediile multianuale lunare pe râurile din bazinele hidrografice: Vişeu, Iza, Tur, Lăpuş şi pe cursurile superioare ale râurilor Moldova şi Suceava. Pe celelalte râuri regimul hidrologic s-a situat la valori cuprinse între 50-80% din mediile multianuale lunare, mai mari (80-100%) pe râurile din bazinele hidrografice ale Someşului (exceptând Lăpuşul), Crişului Negru, Crişului Alb, Arieşului şi pe cursurile superioare ale Mureşului, Târnavei Mici, Jiului şi Trotuşului  şi mai mici (30-50%) în bazinele râurilor Desnăţui, Motru şi Argeş şi pe cursul mijlociu şi inferior al Jiului. Cele mai mici valori (sub 30% din normalele lunare) s-au înregistrat pe râurile din bazinele hidrografice: Gilort, Olt inferior, Vedea, Rm. Sărat, Bârlad şi pe afluenţii Prutului.</w:t>
      </w:r>
    </w:p>
    <w:p w14:paraId="67624DF9" w14:textId="77777777" w:rsidR="00E30C2C" w:rsidRPr="00215A93" w:rsidRDefault="00E30C2C" w:rsidP="00E30C2C">
      <w:pPr>
        <w:spacing w:line="240" w:lineRule="auto"/>
        <w:ind w:firstLine="720"/>
        <w:jc w:val="both"/>
        <w:rPr>
          <w:rFonts w:asciiTheme="minorBidi" w:hAnsiTheme="minorBidi"/>
          <w:sz w:val="24"/>
          <w:szCs w:val="24"/>
          <w:lang w:eastAsia="x-none"/>
        </w:rPr>
      </w:pPr>
    </w:p>
    <w:p w14:paraId="41562CF6"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sz w:val="20"/>
          <w:szCs w:val="20"/>
          <w:lang w:val="en-GB" w:eastAsia="en-GB"/>
        </w:rPr>
        <w:drawing>
          <wp:inline distT="0" distB="0" distL="0" distR="0" wp14:anchorId="3445F8F3" wp14:editId="7B6C4EE3">
            <wp:extent cx="4563110" cy="3235325"/>
            <wp:effectExtent l="0" t="0" r="8890" b="3175"/>
            <wp:docPr id="3906457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3110" cy="3235325"/>
                    </a:xfrm>
                    <a:prstGeom prst="rect">
                      <a:avLst/>
                    </a:prstGeom>
                    <a:noFill/>
                    <a:ln>
                      <a:noFill/>
                    </a:ln>
                  </pic:spPr>
                </pic:pic>
              </a:graphicData>
            </a:graphic>
          </wp:inline>
        </w:drawing>
      </w:r>
    </w:p>
    <w:p w14:paraId="2207BB9A"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3:</w:t>
      </w:r>
      <w:r w:rsidRPr="00215A93">
        <w:rPr>
          <w:rFonts w:asciiTheme="minorBidi" w:hAnsiTheme="minorBidi"/>
          <w:i/>
          <w:sz w:val="24"/>
          <w:szCs w:val="24"/>
        </w:rPr>
        <w:t xml:space="preserve">  Regimul debitelor medii lunare în luna februarie 202</w:t>
      </w:r>
      <w:r>
        <w:rPr>
          <w:rFonts w:asciiTheme="minorBidi" w:hAnsiTheme="minorBidi"/>
          <w:i/>
          <w:sz w:val="24"/>
          <w:szCs w:val="24"/>
        </w:rPr>
        <w:t xml:space="preserve">2 </w:t>
      </w:r>
    </w:p>
    <w:p w14:paraId="1DB4BB72" w14:textId="77777777" w:rsidR="00E30C2C" w:rsidRPr="00215A93" w:rsidRDefault="00E30C2C" w:rsidP="00E30C2C">
      <w:pPr>
        <w:spacing w:line="240" w:lineRule="auto"/>
        <w:ind w:firstLine="720"/>
        <w:jc w:val="both"/>
        <w:rPr>
          <w:rFonts w:asciiTheme="minorBidi" w:hAnsiTheme="minorBidi"/>
          <w:sz w:val="24"/>
          <w:szCs w:val="24"/>
          <w:highlight w:val="yellow"/>
        </w:rPr>
      </w:pPr>
    </w:p>
    <w:p w14:paraId="3987B63E"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w:t>
      </w:r>
      <w:bookmarkStart w:id="6" w:name="_Hlk96500093"/>
      <w:r w:rsidRPr="00C27439">
        <w:rPr>
          <w:rFonts w:ascii="Arial" w:hAnsi="Arial" w:cs="Arial"/>
          <w:sz w:val="24"/>
          <w:szCs w:val="24"/>
          <w:lang w:eastAsia="x-none"/>
        </w:rPr>
        <w:t>intervalul</w:t>
      </w:r>
      <w:bookmarkEnd w:id="6"/>
      <w:r w:rsidRPr="00C27439">
        <w:rPr>
          <w:rFonts w:ascii="Arial" w:hAnsi="Arial" w:cs="Arial"/>
          <w:sz w:val="24"/>
          <w:szCs w:val="24"/>
          <w:lang w:eastAsia="x-none"/>
        </w:rPr>
        <w:t xml:space="preserve"> 1–6 februarie 2022 debitele au fost în general staţionare, exceptând a treia zi a intervalului, când au fost în creştere, datorită precipitaţiilor lichide, cedării apei din stratul de zăpadă şi propagării, pe râurile din bazinul hidrografic al Crişului Alb şi pe cele din bazinele superioare ale Crişului Repede, Crişului Negru şi Mureşului.</w:t>
      </w:r>
    </w:p>
    <w:p w14:paraId="26673A59"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intervalul 7–9 februarie debitele au fost în creştere pe râurile din bazinele hidrografice: Vişeu, Iza, Tur, Someş, Crasna, Barcău, Crișuri, Mureş, Bega, Timiş, Bârzava, Moravița, Caraş, Nera, Cerna şi pe cursurile superioare ale Putnei, Prutului şi Jijiei, datorită efectului combinat al precipitațiilor lichide căzute în acest interval, cedării apei din stratul de zăpadă și propagării. Pe celelalte râuri debitele au fost în general staționare. Creșteri mai însemnate de niveluri și debite s-au înregistrat pe unele râuri din Maramureş, Crişana şi Banat. </w:t>
      </w:r>
    </w:p>
    <w:p w14:paraId="6136294B"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acest interval s-au situat peste COTELE DE ATENȚIE râurile la stațile hidrometrice: Tur – Turulung, Talna – Păşunea Mare, Crasna </w:t>
      </w:r>
      <w:bookmarkStart w:id="7" w:name="_Hlk96946021"/>
      <w:r w:rsidRPr="00C27439">
        <w:rPr>
          <w:rFonts w:ascii="Arial" w:hAnsi="Arial" w:cs="Arial"/>
          <w:sz w:val="24"/>
          <w:szCs w:val="24"/>
          <w:lang w:eastAsia="x-none"/>
        </w:rPr>
        <w:t>–</w:t>
      </w:r>
      <w:bookmarkEnd w:id="7"/>
      <w:r w:rsidRPr="00C27439">
        <w:rPr>
          <w:rFonts w:ascii="Arial" w:hAnsi="Arial" w:cs="Arial"/>
          <w:sz w:val="24"/>
          <w:szCs w:val="24"/>
          <w:lang w:eastAsia="x-none"/>
        </w:rPr>
        <w:t xml:space="preserve"> Domăneşti, Barcău – Marca, Chijic – Copăcel, Briheni – Șuştiu, Valea Roşie – Pocola, Gladna – Fârdea, Bistra – Obreja, Crişul Negru – Tinca şi peste COTA DE INUNDAŢIE râul Tur la staţia hidrometrică Micula.</w:t>
      </w:r>
    </w:p>
    <w:p w14:paraId="75DB0E97"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lastRenderedPageBreak/>
        <w:t xml:space="preserve">În intervalul 10–13 februarie debitele au fost în general staţionare. Creşteri de niveluri şi debite, ca urmare a precipitaţiilor căzute, cedării apei din stratul de zăpadă şi propagării,  s-au înregistrat în prima zi pe cursul superior al Prutului şi în următoarele trei zile pe unele râuri din bazinele hidrografice: Vişeu, Iza, Tur, Someş,  Crişuri, Caraş, Nera şi pe cursul superior al Siretului. </w:t>
      </w:r>
    </w:p>
    <w:p w14:paraId="6FCBA9B8"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intervalul 14–17 februarie debitele au fost în general în scădere pe râurile din Maramureş, Crişana, Banat şi relativ staţionare pe celelalte râuri. </w:t>
      </w:r>
    </w:p>
    <w:p w14:paraId="733AE337" w14:textId="77777777" w:rsidR="00E30C2C" w:rsidRPr="00C27439" w:rsidRDefault="00E30C2C" w:rsidP="00E30C2C">
      <w:pPr>
        <w:spacing w:after="0" w:line="240" w:lineRule="auto"/>
        <w:ind w:firstLine="720"/>
        <w:jc w:val="both"/>
        <w:rPr>
          <w:rFonts w:ascii="Arial" w:hAnsi="Arial" w:cs="Arial"/>
          <w:bCs/>
          <w:sz w:val="24"/>
          <w:szCs w:val="24"/>
        </w:rPr>
      </w:pPr>
      <w:r w:rsidRPr="00C27439">
        <w:rPr>
          <w:rFonts w:ascii="Arial" w:hAnsi="Arial" w:cs="Arial"/>
          <w:sz w:val="24"/>
          <w:szCs w:val="24"/>
          <w:lang w:eastAsia="x-none"/>
        </w:rPr>
        <w:t>În zilele de 18 şi 19 februarie debitele au fost în general în creştere, datorită precipitațiilor</w:t>
      </w:r>
      <w:r w:rsidRPr="00C27439">
        <w:rPr>
          <w:rFonts w:ascii="Arial" w:hAnsi="Arial" w:cs="Arial"/>
          <w:bCs/>
          <w:sz w:val="24"/>
          <w:szCs w:val="24"/>
        </w:rPr>
        <w:t xml:space="preserve"> căzute, cedării apei din stratul de zăpadă şi propagării, pe râurile din bazinele hidrografice: Vişeu, Iza, Tur, Someş, Crasna, Crişul Negru, Crişul Alb, Mureş, Bega, Timiș, Bârzava, Caraș, Nera, Cerna şi pe unele râuri din bazinele Oltului superior şi Bistriţei. Pe celelalte râuri debitele au fost relativ staționare.</w:t>
      </w:r>
    </w:p>
    <w:p w14:paraId="352B9A0F"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intervalul 20–28 februarie debitele au fost relativ staţionare, exceptând râurile din Maramureş, Crişana, Banat şi nord-vestul Transilvaniei unde au fost în general în scădere. Mici creşteri s-au înregistrat în primele două zile ale acestui interval pe Buzău, Doftana, Teleajen, pe afluenţii Argeşului superior şi pe cursurile superioare ale Oltului şi Prutului şi în următoarele două zile pe unele râuri din bazinele hidrografice: Vişeu, Iza, Tur, Lăpuş, Someş, Crişul Negru, Arieş, Timiş, Bârzava, Caraş, Nera şi Cerna. </w:t>
      </w:r>
    </w:p>
    <w:p w14:paraId="64C20CA3"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În intervalul 10–24 februarie s-au menţinut peste COTELE DE APĂRARE nivelurile pe cursul inferior al Turului.</w:t>
      </w:r>
    </w:p>
    <w:p w14:paraId="036BA53B"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Formațiunile de gheață (gheață la maluri, pod de gheaţă, curgeri de năboi şi sloiuri, aglomerări de gheţuri) prezente în prima zi a lunii februarie pe majoritatea râurilor din zonele de deal şi munte s-au menţinut fără modificări importante în primele cinci zile ale lunii, apoi au fost în diminuare, restrângere şi eliminare până la sfârşitul lunii, când mai erau prezente numai în bazinele superioare ale râurilor: Mureş, Olt, Suceava, Moldova, Bistriţa şi Trotuş.</w:t>
      </w:r>
    </w:p>
    <w:p w14:paraId="53AE7E02"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Aglomerarea de gheţuri apărută la sfârşitul lunii ianuarie 2022 pe râul Bistriţa, pe o lungime de 700 m ȋn zona staţiei hidrometrice Dorna Giumalău, s-a menţinut până în data de 25 februarie.</w:t>
      </w:r>
    </w:p>
    <w:p w14:paraId="6824E7B1" w14:textId="77777777" w:rsidR="00E30C2C" w:rsidRPr="00C27439" w:rsidRDefault="00E30C2C" w:rsidP="00E30C2C">
      <w:pPr>
        <w:spacing w:line="240" w:lineRule="auto"/>
        <w:ind w:firstLine="720"/>
        <w:jc w:val="both"/>
        <w:rPr>
          <w:rFonts w:ascii="Arial" w:hAnsi="Arial" w:cs="Arial"/>
          <w:sz w:val="24"/>
          <w:szCs w:val="24"/>
          <w:lang w:eastAsia="x-none"/>
        </w:rPr>
      </w:pPr>
    </w:p>
    <w:p w14:paraId="6AD970C0" w14:textId="77777777" w:rsidR="00E30C2C" w:rsidRPr="00C27439" w:rsidRDefault="00E30C2C" w:rsidP="00E30C2C">
      <w:pPr>
        <w:spacing w:line="240" w:lineRule="auto"/>
        <w:jc w:val="both"/>
        <w:rPr>
          <w:rFonts w:ascii="Arial" w:hAnsi="Arial" w:cs="Arial"/>
          <w:b/>
          <w:sz w:val="24"/>
          <w:szCs w:val="24"/>
        </w:rPr>
      </w:pPr>
      <w:r w:rsidRPr="00C27439">
        <w:rPr>
          <w:rFonts w:ascii="Arial" w:hAnsi="Arial" w:cs="Arial"/>
          <w:b/>
          <w:sz w:val="24"/>
          <w:szCs w:val="24"/>
        </w:rPr>
        <w:t>Caracterizarea sezonului de primăvară 2022</w:t>
      </w:r>
    </w:p>
    <w:p w14:paraId="32C774D4" w14:textId="77777777" w:rsidR="00E30C2C" w:rsidRPr="00C27439" w:rsidRDefault="00E30C2C" w:rsidP="00E30C2C">
      <w:pPr>
        <w:spacing w:after="0" w:line="240" w:lineRule="auto"/>
        <w:ind w:firstLine="720"/>
        <w:jc w:val="both"/>
        <w:rPr>
          <w:rFonts w:ascii="Arial" w:hAnsi="Arial" w:cs="Arial"/>
          <w:sz w:val="24"/>
          <w:szCs w:val="24"/>
          <w:lang w:eastAsia="x-none"/>
        </w:rPr>
      </w:pPr>
      <w:r w:rsidRPr="00C27439">
        <w:rPr>
          <w:rFonts w:ascii="Arial" w:hAnsi="Arial" w:cs="Arial"/>
          <w:sz w:val="24"/>
          <w:szCs w:val="24"/>
          <w:lang w:eastAsia="x-none"/>
        </w:rPr>
        <w:t xml:space="preserve">În sezonul de primăvară al anului 2022 regimul hidrologic al râurilor din România (figura </w:t>
      </w:r>
      <w:r>
        <w:rPr>
          <w:rFonts w:ascii="Arial" w:hAnsi="Arial" w:cs="Arial"/>
          <w:sz w:val="24"/>
          <w:szCs w:val="24"/>
          <w:lang w:eastAsia="x-none"/>
        </w:rPr>
        <w:t>II.1.1.3.4</w:t>
      </w:r>
      <w:r w:rsidRPr="00C27439">
        <w:rPr>
          <w:rFonts w:ascii="Arial" w:hAnsi="Arial" w:cs="Arial"/>
          <w:sz w:val="24"/>
          <w:szCs w:val="24"/>
          <w:lang w:eastAsia="x-none"/>
        </w:rPr>
        <w:t>) s-a situat la valori sub mediile multianuale sezoniere, exceptând Vişeul şi cursurile superioare ale Izei şi Bistriţei (amonte staţia hidrometrică Dorna Arini) unde s-au situat peste aceste valori. Pe celelalte râuri regimul hidrologic a fost următorul:</w:t>
      </w:r>
    </w:p>
    <w:p w14:paraId="28D9C541" w14:textId="77777777" w:rsidR="00E30C2C" w:rsidRPr="00C27439" w:rsidRDefault="00E30C2C" w:rsidP="00E30C2C">
      <w:pPr>
        <w:spacing w:after="0" w:line="240" w:lineRule="auto"/>
        <w:jc w:val="both"/>
        <w:rPr>
          <w:rFonts w:ascii="Arial" w:hAnsi="Arial" w:cs="Arial"/>
          <w:sz w:val="24"/>
          <w:szCs w:val="24"/>
          <w:lang w:eastAsia="x-none"/>
        </w:rPr>
      </w:pPr>
      <w:r w:rsidRPr="00C27439">
        <w:rPr>
          <w:rFonts w:ascii="Arial" w:hAnsi="Arial" w:cs="Arial"/>
          <w:sz w:val="24"/>
          <w:szCs w:val="24"/>
          <w:lang w:eastAsia="x-none"/>
        </w:rPr>
        <w:tab/>
        <w:t>- între 80-100% din mediile multianuale sezoniere pe Someşul Mare şi pe cursurile superioare ale Jiului, Bistriţei (sectorul Dorna Giumalău-amonte acumularea Izvorul Muntelui) şi Moldovei;</w:t>
      </w:r>
    </w:p>
    <w:p w14:paraId="45711918" w14:textId="77777777" w:rsidR="00E30C2C" w:rsidRPr="00C27439" w:rsidRDefault="00E30C2C" w:rsidP="00E30C2C">
      <w:pPr>
        <w:spacing w:after="0" w:line="240" w:lineRule="auto"/>
        <w:jc w:val="both"/>
        <w:rPr>
          <w:rFonts w:ascii="Arial" w:hAnsi="Arial" w:cs="Arial"/>
          <w:sz w:val="24"/>
          <w:szCs w:val="24"/>
          <w:lang w:eastAsia="x-none"/>
        </w:rPr>
      </w:pPr>
      <w:r w:rsidRPr="00C27439">
        <w:rPr>
          <w:rFonts w:ascii="Arial" w:hAnsi="Arial" w:cs="Arial"/>
          <w:sz w:val="24"/>
          <w:szCs w:val="24"/>
          <w:lang w:eastAsia="x-none"/>
        </w:rPr>
        <w:tab/>
        <w:t>- între 50-80% din mediile multianuale sezoniere pe râurile din bazinele hidrografice: Tur, Someş (sector aval bazinul Someşului Mare), Crişul Repede, Crişul Negru, Crişul Alb, Mureş (exceptând Târnavele), Bega Veche, Bega, Timiş, Bârzava, Moraviţa, Argeş, Ialomiţa, Călmăţui, Buzău, Suceava, pe cursul pe cursul mijlociu şi inferior al Izei şi pe cursul superior al Prutului.</w:t>
      </w:r>
    </w:p>
    <w:p w14:paraId="1EDC7654" w14:textId="77777777" w:rsidR="00E30C2C" w:rsidRPr="00C27439" w:rsidRDefault="00E30C2C" w:rsidP="00E30C2C">
      <w:pPr>
        <w:spacing w:after="0" w:line="240" w:lineRule="auto"/>
        <w:jc w:val="both"/>
        <w:rPr>
          <w:rFonts w:ascii="Arial" w:hAnsi="Arial" w:cs="Arial"/>
          <w:sz w:val="24"/>
          <w:szCs w:val="24"/>
          <w:lang w:eastAsia="x-none"/>
        </w:rPr>
      </w:pPr>
      <w:r w:rsidRPr="00C27439">
        <w:rPr>
          <w:rFonts w:ascii="Arial" w:hAnsi="Arial" w:cs="Arial"/>
          <w:sz w:val="24"/>
          <w:szCs w:val="24"/>
          <w:lang w:eastAsia="x-none"/>
        </w:rPr>
        <w:tab/>
        <w:t>- între 30-50% din mediile multianuale sezoniere pe râurile din bazinele hidrografice: Crasna, Barcău, Caraş, Nera, Cerna, Desnăţui, Jiu mijlociu şi inferior, Târnave, Olt superior şi mijlociu, pe cursul Siretului, pe cursul superior şi mijlociu al Trotuşului, pe cursurile mijlocii şi inferioare ale Bistriţei, Moldovei, Prutului şi pe râurile din Dobrogea;</w:t>
      </w:r>
    </w:p>
    <w:p w14:paraId="0AB4285F" w14:textId="77777777" w:rsidR="00E30C2C" w:rsidRDefault="00E30C2C" w:rsidP="00E30C2C">
      <w:pPr>
        <w:spacing w:after="0" w:line="240" w:lineRule="auto"/>
        <w:jc w:val="both"/>
        <w:rPr>
          <w:rFonts w:ascii="Arial" w:hAnsi="Arial" w:cs="Arial"/>
          <w:sz w:val="24"/>
          <w:szCs w:val="24"/>
          <w:lang w:eastAsia="x-none"/>
        </w:rPr>
      </w:pPr>
      <w:r w:rsidRPr="00C27439">
        <w:rPr>
          <w:rFonts w:ascii="Arial" w:hAnsi="Arial" w:cs="Arial"/>
          <w:sz w:val="24"/>
          <w:szCs w:val="24"/>
          <w:lang w:eastAsia="x-none"/>
        </w:rPr>
        <w:tab/>
        <w:t>-  sub 30% din normalele sezoniere pe râurile din bazinele hidrografice: Olt inferior, Vedea, Rm. Sărat, Putna, Bârlad şi pe afluenţii Prutului</w:t>
      </w:r>
    </w:p>
    <w:p w14:paraId="3C7D6C4D" w14:textId="77777777" w:rsidR="00E30C2C" w:rsidRPr="00C27439" w:rsidRDefault="00E30C2C" w:rsidP="00E30C2C">
      <w:pPr>
        <w:spacing w:after="0" w:line="240" w:lineRule="auto"/>
        <w:jc w:val="both"/>
        <w:rPr>
          <w:rFonts w:ascii="Arial" w:hAnsi="Arial" w:cs="Arial"/>
          <w:sz w:val="24"/>
          <w:szCs w:val="24"/>
          <w:lang w:eastAsia="x-none"/>
        </w:rPr>
      </w:pPr>
      <w:r w:rsidRPr="00C27439">
        <w:rPr>
          <w:rFonts w:ascii="Arial" w:hAnsi="Arial" w:cs="Arial"/>
          <w:sz w:val="24"/>
          <w:szCs w:val="24"/>
          <w:lang w:eastAsia="x-none"/>
        </w:rPr>
        <w:t>.</w:t>
      </w:r>
    </w:p>
    <w:p w14:paraId="32B08AC2" w14:textId="77777777" w:rsidR="00E30C2C" w:rsidRPr="00215A93" w:rsidRDefault="00E30C2C" w:rsidP="00E30C2C">
      <w:pPr>
        <w:spacing w:line="240" w:lineRule="auto"/>
        <w:jc w:val="center"/>
        <w:rPr>
          <w:rFonts w:asciiTheme="minorBidi" w:hAnsiTheme="minorBidi"/>
          <w:sz w:val="24"/>
          <w:szCs w:val="24"/>
          <w:highlight w:val="yellow"/>
          <w:lang w:eastAsia="x-none"/>
        </w:rPr>
      </w:pPr>
      <w:r w:rsidRPr="00804B8B">
        <w:rPr>
          <w:rFonts w:ascii="Arial" w:hAnsi="Arial" w:cs="Arial"/>
          <w:noProof/>
          <w:lang w:val="en-GB" w:eastAsia="en-GB"/>
        </w:rPr>
        <w:lastRenderedPageBreak/>
        <w:drawing>
          <wp:inline distT="0" distB="0" distL="0" distR="0" wp14:anchorId="051B6366" wp14:editId="06C104C5">
            <wp:extent cx="4537075" cy="3129915"/>
            <wp:effectExtent l="0" t="0" r="0" b="0"/>
            <wp:docPr id="20468912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7075" cy="3129915"/>
                    </a:xfrm>
                    <a:prstGeom prst="rect">
                      <a:avLst/>
                    </a:prstGeom>
                    <a:noFill/>
                    <a:ln>
                      <a:noFill/>
                    </a:ln>
                  </pic:spPr>
                </pic:pic>
              </a:graphicData>
            </a:graphic>
          </wp:inline>
        </w:drawing>
      </w:r>
    </w:p>
    <w:p w14:paraId="39C80493" w14:textId="77777777" w:rsidR="00E30C2C" w:rsidRPr="00215A93" w:rsidRDefault="00E30C2C" w:rsidP="00E30C2C">
      <w:pPr>
        <w:spacing w:line="240" w:lineRule="auto"/>
        <w:ind w:firstLine="720"/>
        <w:jc w:val="center"/>
        <w:rPr>
          <w:rFonts w:asciiTheme="minorBidi" w:hAnsiTheme="minorBidi"/>
          <w:i/>
          <w:sz w:val="24"/>
          <w:szCs w:val="24"/>
          <w:lang w:eastAsia="x-none"/>
        </w:rPr>
      </w:pPr>
      <w:r w:rsidRPr="00CB2589">
        <w:rPr>
          <w:rFonts w:asciiTheme="minorBidi" w:hAnsiTheme="minorBidi"/>
          <w:b/>
          <w:i/>
          <w:iCs/>
          <w:sz w:val="24"/>
          <w:szCs w:val="24"/>
        </w:rPr>
        <w:t>Figura II.1.1.3.</w:t>
      </w:r>
      <w:r>
        <w:rPr>
          <w:rFonts w:asciiTheme="minorBidi" w:hAnsiTheme="minorBidi"/>
          <w:b/>
          <w:i/>
          <w:iCs/>
          <w:sz w:val="24"/>
          <w:szCs w:val="24"/>
        </w:rPr>
        <w:t>4:</w:t>
      </w:r>
      <w:r w:rsidRPr="00215A93">
        <w:rPr>
          <w:rFonts w:asciiTheme="minorBidi" w:hAnsiTheme="minorBidi"/>
          <w:i/>
          <w:sz w:val="24"/>
          <w:szCs w:val="24"/>
          <w:lang w:eastAsia="x-none"/>
        </w:rPr>
        <w:t xml:space="preserve">  Regimul debitelor medii în sezonul de primăvară 202</w:t>
      </w:r>
      <w:r>
        <w:rPr>
          <w:rFonts w:asciiTheme="minorBidi" w:hAnsiTheme="minorBidi"/>
          <w:i/>
          <w:sz w:val="24"/>
          <w:szCs w:val="24"/>
          <w:lang w:eastAsia="x-none"/>
        </w:rPr>
        <w:t xml:space="preserve">2 </w:t>
      </w:r>
    </w:p>
    <w:p w14:paraId="49645BE9"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2A26D1B0"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luna </w:t>
      </w:r>
      <w:r w:rsidRPr="005408B9">
        <w:rPr>
          <w:rFonts w:ascii="Arial" w:hAnsi="Arial" w:cs="Arial"/>
          <w:sz w:val="24"/>
          <w:szCs w:val="24"/>
          <w:u w:val="single"/>
          <w:lang w:eastAsia="x-none"/>
        </w:rPr>
        <w:t>martie 2022</w:t>
      </w:r>
      <w:r w:rsidRPr="005408B9">
        <w:rPr>
          <w:rFonts w:ascii="Arial" w:hAnsi="Arial" w:cs="Arial"/>
          <w:sz w:val="24"/>
          <w:szCs w:val="24"/>
          <w:lang w:eastAsia="x-none"/>
        </w:rPr>
        <w:t xml:space="preserve">, regimul hidrologic  al bazinelor  hidrografice  din  România </w:t>
      </w:r>
      <w:r w:rsidRPr="005408B9">
        <w:rPr>
          <w:rFonts w:ascii="Arial" w:hAnsi="Arial" w:cs="Arial"/>
          <w:sz w:val="24"/>
          <w:szCs w:val="24"/>
        </w:rPr>
        <w:t xml:space="preserve">(figura </w:t>
      </w:r>
      <w:r>
        <w:rPr>
          <w:rFonts w:ascii="Arial" w:hAnsi="Arial" w:cs="Arial"/>
          <w:sz w:val="24"/>
          <w:szCs w:val="24"/>
        </w:rPr>
        <w:t>II.1.1.3.5</w:t>
      </w:r>
      <w:r w:rsidRPr="005408B9">
        <w:rPr>
          <w:rFonts w:ascii="Arial" w:hAnsi="Arial" w:cs="Arial"/>
          <w:sz w:val="24"/>
          <w:szCs w:val="24"/>
        </w:rPr>
        <w:t xml:space="preserve">) </w:t>
      </w:r>
      <w:r w:rsidRPr="005408B9">
        <w:rPr>
          <w:rFonts w:ascii="Arial" w:hAnsi="Arial" w:cs="Arial"/>
          <w:sz w:val="24"/>
          <w:szCs w:val="24"/>
          <w:lang w:eastAsia="x-none"/>
        </w:rPr>
        <w:t>s-a situat la valori sub mediile multianuale lunare, cu valori cuprinse între 30-50% din mediile multianuale lunare, mai mari (50-80%) pe Vişeu, pe cursul superior al Jiului şi pe cursurile superioare şi mijlocii ale Bistriţei, Moldovei şi Sucevei. Cele mai mici valori (sub 30% din normalele lunare) s-au înregistrat pe râurile din bazinele hidrografice: Caraş, Nera, Gilort, Olt inferior, Vedea, Rm. Sărat, Putna, Bârlad şi pe afluenţii Prutului.</w:t>
      </w:r>
    </w:p>
    <w:p w14:paraId="2E4710D3"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sz w:val="20"/>
          <w:szCs w:val="20"/>
          <w:lang w:val="en-GB" w:eastAsia="en-GB"/>
        </w:rPr>
        <w:drawing>
          <wp:inline distT="0" distB="0" distL="0" distR="0" wp14:anchorId="35E09C56" wp14:editId="04DA4D83">
            <wp:extent cx="4537075" cy="3235325"/>
            <wp:effectExtent l="0" t="0" r="0" b="3175"/>
            <wp:docPr id="1552938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37075" cy="3235325"/>
                    </a:xfrm>
                    <a:prstGeom prst="rect">
                      <a:avLst/>
                    </a:prstGeom>
                    <a:noFill/>
                    <a:ln>
                      <a:noFill/>
                    </a:ln>
                  </pic:spPr>
                </pic:pic>
              </a:graphicData>
            </a:graphic>
          </wp:inline>
        </w:drawing>
      </w:r>
    </w:p>
    <w:p w14:paraId="775D37DB" w14:textId="77777777" w:rsidR="00E30C2C" w:rsidRPr="00215A93" w:rsidRDefault="00E30C2C" w:rsidP="00E30C2C">
      <w:pPr>
        <w:spacing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5: </w:t>
      </w:r>
      <w:r w:rsidRPr="00215A93">
        <w:rPr>
          <w:rFonts w:asciiTheme="minorBidi" w:hAnsiTheme="minorBidi"/>
          <w:i/>
          <w:sz w:val="24"/>
          <w:szCs w:val="24"/>
        </w:rPr>
        <w:t>Regimul debitelor medii lunare în luna martie 202</w:t>
      </w:r>
      <w:r>
        <w:rPr>
          <w:rFonts w:asciiTheme="minorBidi" w:hAnsiTheme="minorBidi"/>
          <w:i/>
          <w:sz w:val="24"/>
          <w:szCs w:val="24"/>
        </w:rPr>
        <w:t xml:space="preserve">2 </w:t>
      </w:r>
    </w:p>
    <w:p w14:paraId="4E34B828"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1–15 martie 2022 debitele au fost în general în scădere uşoară pe râurile din Maramureş, Crişana, Banat şi Transilvania şi relativ staţionare pe cele din Oltenia, Muntenia, Moldova şi Dobrogea. Mici creşteri de niveluri şi debite, datorită precipitaţiilor lichide şi propagării, s-au ȋnregistrat în data de 3 martie pe unele râuri din Dobrogea.</w:t>
      </w:r>
    </w:p>
    <w:p w14:paraId="5789AA13"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lastRenderedPageBreak/>
        <w:t xml:space="preserve">În intervalul 16–18 martie debitele au fost relativ staţionare, exceptând râurile din bazinele hidrografice: Vişeu, Iza, Someş, Crișuri, Mureş mijlociu şi inferior, Bega, Timiş, Nera şi cursul superior al Prutului unde au fost în creştere uşoară, datorită efectului combinat al precipitațiilor lichide căzute în acest interval, cedării apei din stratul de zăpadă și propagării. </w:t>
      </w:r>
    </w:p>
    <w:p w14:paraId="574E890C"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intervalul 19–21 martie debitele au fost în general în scădere pe râurile din Crişana şi Banat şi relativ staţionare pe celelalte râuri. </w:t>
      </w:r>
    </w:p>
    <w:p w14:paraId="7AEC6BA5" w14:textId="77777777" w:rsidR="00E30C2C" w:rsidRPr="005408B9" w:rsidRDefault="00E30C2C" w:rsidP="00E30C2C">
      <w:pPr>
        <w:spacing w:after="0" w:line="240" w:lineRule="auto"/>
        <w:ind w:firstLine="720"/>
        <w:jc w:val="both"/>
        <w:rPr>
          <w:rFonts w:ascii="Arial" w:hAnsi="Arial" w:cs="Arial"/>
          <w:sz w:val="24"/>
          <w:szCs w:val="24"/>
          <w:lang w:eastAsia="x-none"/>
        </w:rPr>
      </w:pPr>
      <w:bookmarkStart w:id="8" w:name="_Hlk99621308"/>
      <w:r w:rsidRPr="005408B9">
        <w:rPr>
          <w:rFonts w:ascii="Arial" w:hAnsi="Arial" w:cs="Arial"/>
          <w:sz w:val="24"/>
          <w:szCs w:val="24"/>
          <w:lang w:eastAsia="x-none"/>
        </w:rPr>
        <w:t xml:space="preserve">În intervalul 22–31 martie, </w:t>
      </w:r>
      <w:bookmarkEnd w:id="8"/>
      <w:r w:rsidRPr="005408B9">
        <w:rPr>
          <w:rFonts w:ascii="Arial" w:hAnsi="Arial" w:cs="Arial"/>
          <w:sz w:val="24"/>
          <w:szCs w:val="24"/>
          <w:lang w:eastAsia="x-none"/>
        </w:rPr>
        <w:t>ca urmare a cedării apei din stratul de zăpadă din zona de munte şi propagării, debitele au fost în general în creştere pe râurile din bazinele hidrografice: Vişeu, Iza, Tur, Crişuri, Mureş, Olt superior şi pe afluenţii de dreapta ai Siretului, iar în ultimele patru zile ale lunii şi pe Nera, Cerna şi pe cursurile superioare ale Jiului şi Prutului. Pe celelalte râuri debitele au fost relativ staţionare.</w:t>
      </w:r>
    </w:p>
    <w:p w14:paraId="5AEA946C"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Formațiunile de gheață (predominant gheață la maluri, năboi şi pod de gheață), existente în prima zi a lunii martie 2022 în bazinele superioare ale râurilor: Mureș, Olt, Moldova, Bistriţa şi Trotuş, au fost în extindere şi intensificare până în data de 12 martie când erau prezente pe râurile din bazinele hidrografice: Vișeu, Iza, Tur, Someș, Arieș, Olt, Siret, Prut şi pe cele din bazinele superioare ale Târnavei Mici, Argeșului şi Ialomiței.</w:t>
      </w:r>
    </w:p>
    <w:p w14:paraId="744CDA42"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13–17 martie, formaţiunile de gheaţă au fost în diminuare şi restrângere, fiind prezente în ultima zi a acestui interval pe râurile din bazinele superioare ale Someșului, Mureșului, Trotușului, Bistriței, Moldovei și Sucevei.</w:t>
      </w:r>
    </w:p>
    <w:p w14:paraId="435E0CD0"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18–21 martie formaţiunile de gheaţă au fost din nou în extindere şi intensificare pe râurile din zona de munte din nordul, centrul şi estul ţării, iar începând din data de 22 martie şi până în ultima zi a lunii martie au fost în restrângere, diminuare şi eliminare, când mai erau prezente doar pe cursul superior al Bistriţei (gheaţă la maluri).</w:t>
      </w:r>
    </w:p>
    <w:p w14:paraId="0A1E64B4" w14:textId="77777777" w:rsidR="00E30C2C" w:rsidRPr="005408B9" w:rsidRDefault="00E30C2C" w:rsidP="00E30C2C">
      <w:pPr>
        <w:spacing w:after="0" w:line="240" w:lineRule="auto"/>
        <w:ind w:firstLine="720"/>
        <w:jc w:val="both"/>
        <w:rPr>
          <w:rFonts w:ascii="Arial" w:hAnsi="Arial" w:cs="Arial"/>
          <w:sz w:val="24"/>
          <w:szCs w:val="24"/>
          <w:lang w:eastAsia="x-none"/>
        </w:rPr>
      </w:pPr>
    </w:p>
    <w:p w14:paraId="4B09F866"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luna </w:t>
      </w:r>
      <w:r w:rsidRPr="005408B9">
        <w:rPr>
          <w:rFonts w:ascii="Arial" w:hAnsi="Arial" w:cs="Arial"/>
          <w:sz w:val="24"/>
          <w:szCs w:val="24"/>
          <w:u w:val="single"/>
          <w:lang w:eastAsia="x-none"/>
        </w:rPr>
        <w:t>aprilie 2022</w:t>
      </w:r>
      <w:r w:rsidRPr="005408B9">
        <w:rPr>
          <w:rFonts w:ascii="Arial" w:hAnsi="Arial" w:cs="Arial"/>
          <w:sz w:val="24"/>
          <w:szCs w:val="24"/>
          <w:lang w:eastAsia="x-none"/>
        </w:rPr>
        <w:t xml:space="preserve">, regimul hidrologic al bazinelor hidrografice din România </w:t>
      </w:r>
      <w:r w:rsidRPr="005408B9">
        <w:rPr>
          <w:rFonts w:ascii="Arial" w:hAnsi="Arial" w:cs="Arial"/>
          <w:sz w:val="24"/>
          <w:szCs w:val="24"/>
        </w:rPr>
        <w:t xml:space="preserve">(figura </w:t>
      </w:r>
      <w:r>
        <w:rPr>
          <w:rFonts w:ascii="Arial" w:hAnsi="Arial" w:cs="Arial"/>
          <w:sz w:val="24"/>
          <w:szCs w:val="24"/>
        </w:rPr>
        <w:t>II.1.1.3.6</w:t>
      </w:r>
      <w:r w:rsidRPr="005408B9">
        <w:rPr>
          <w:rFonts w:ascii="Arial" w:hAnsi="Arial" w:cs="Arial"/>
          <w:sz w:val="24"/>
          <w:szCs w:val="24"/>
        </w:rPr>
        <w:t xml:space="preserve">) </w:t>
      </w:r>
      <w:r w:rsidRPr="005408B9">
        <w:rPr>
          <w:rFonts w:ascii="Arial" w:hAnsi="Arial" w:cs="Arial"/>
          <w:sz w:val="24"/>
          <w:szCs w:val="24"/>
          <w:lang w:eastAsia="x-none"/>
        </w:rPr>
        <w:t>s-a situat la următoarele valori:</w:t>
      </w:r>
    </w:p>
    <w:p w14:paraId="588B44EF"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 peste mediile lunare multianuale pe râurile din bazinele hidrografice: Vişeu, Iza, Tur şi Someş şi pe cursurile superioare ale Crişului Alb, Arieşului, Bistriţei şi Moldovei; </w:t>
      </w:r>
    </w:p>
    <w:p w14:paraId="71E06388"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între 80</w:t>
      </w:r>
      <w:r w:rsidRPr="005408B9">
        <w:rPr>
          <w:rFonts w:ascii="Arial" w:hAnsi="Arial" w:cs="Arial"/>
          <w:sz w:val="24"/>
          <w:szCs w:val="24"/>
          <w:lang w:val="x-none" w:eastAsia="x-none"/>
        </w:rPr>
        <w:t>–</w:t>
      </w:r>
      <w:r w:rsidRPr="005408B9">
        <w:rPr>
          <w:rFonts w:ascii="Arial" w:hAnsi="Arial" w:cs="Arial"/>
          <w:sz w:val="24"/>
          <w:szCs w:val="24"/>
          <w:lang w:eastAsia="x-none"/>
        </w:rPr>
        <w:t>100% din mediile lunare multianuale pe râurile din bazinele hidrografice Crişul Repede şi Crişul Negru, pe cursurile superioare ale râurilor: Mureş, Târnava Mică, Jiu şi Suceava, pe cursul mijlociu al Moldovei şi pe cursurile mijlocii şi inferioare ale Crişului Alb, Arieşului şi Bistriţei;</w:t>
      </w:r>
    </w:p>
    <w:p w14:paraId="48574906"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între 50</w:t>
      </w:r>
      <w:r w:rsidRPr="005408B9">
        <w:rPr>
          <w:rFonts w:ascii="Arial" w:hAnsi="Arial" w:cs="Arial"/>
          <w:sz w:val="24"/>
          <w:szCs w:val="24"/>
          <w:lang w:val="x-none" w:eastAsia="x-none"/>
        </w:rPr>
        <w:t>–</w:t>
      </w:r>
      <w:r w:rsidRPr="005408B9">
        <w:rPr>
          <w:rFonts w:ascii="Arial" w:hAnsi="Arial" w:cs="Arial"/>
          <w:sz w:val="24"/>
          <w:szCs w:val="24"/>
          <w:lang w:eastAsia="x-none"/>
        </w:rPr>
        <w:t>80% din mediile lunare multianuale pe râurile din bazinele hidrografice: Crasna, Barcău, Târnava Mare, Bega Veche, Bega, Timiş, Bârzava, Moraviţa, Caraş, Nera, Strei, pe cursurile mijlocii şi inferioare ale Târnavei Mici şi Mureşului, în bazinele superioare şi mijlocii ale Oltului, Argeşului, Ialomiţei, Buzăului şi pe cursurile superioare ale Trotuşului şi Prutului;</w:t>
      </w:r>
    </w:p>
    <w:p w14:paraId="57994551"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între 30</w:t>
      </w:r>
      <w:r w:rsidRPr="005408B9">
        <w:rPr>
          <w:rFonts w:ascii="Arial" w:hAnsi="Arial" w:cs="Arial"/>
          <w:sz w:val="24"/>
          <w:szCs w:val="24"/>
          <w:lang w:val="x-none" w:eastAsia="x-none"/>
        </w:rPr>
        <w:t>–</w:t>
      </w:r>
      <w:r w:rsidRPr="005408B9">
        <w:rPr>
          <w:rFonts w:ascii="Arial" w:hAnsi="Arial" w:cs="Arial"/>
          <w:sz w:val="24"/>
          <w:szCs w:val="24"/>
          <w:lang w:eastAsia="x-none"/>
        </w:rPr>
        <w:t>50% din mediile lunare multianuale pe râurile din bazinele hidrografice: Cerna, Jiu mijlociu şi inferior, Olt inferior, pe cursurile inferioare ale Argeşului, Ialomiţei, Buzăului şi Moldovei, pe cursul superior şi mijlociu al Siretului, pe cursul mijlociu şi inferior al Sucevei şi pe râurile din Dobrogea;</w:t>
      </w:r>
    </w:p>
    <w:p w14:paraId="2E0521F9"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sub 30% din normalele lunare pe râurile din bazinele hidrografice ale râurilor: Vedea, Rm. Sărat, Putna, Trotuş mijlociu şi inferior, Bârlad, Jijia, pe cursul inferior al Siretului si pe cursul mijlociu şi inferior al Prutului.</w:t>
      </w:r>
    </w:p>
    <w:p w14:paraId="15F5165D"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7667BD82"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sz w:val="20"/>
          <w:szCs w:val="20"/>
          <w:lang w:val="en-GB" w:eastAsia="en-GB"/>
        </w:rPr>
        <w:lastRenderedPageBreak/>
        <w:drawing>
          <wp:inline distT="0" distB="0" distL="0" distR="0" wp14:anchorId="45DC4BE5" wp14:editId="2F585799">
            <wp:extent cx="4167553" cy="2948289"/>
            <wp:effectExtent l="0" t="0" r="4445" b="5080"/>
            <wp:docPr id="19020278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73778" cy="2952693"/>
                    </a:xfrm>
                    <a:prstGeom prst="rect">
                      <a:avLst/>
                    </a:prstGeom>
                    <a:noFill/>
                    <a:ln>
                      <a:noFill/>
                    </a:ln>
                  </pic:spPr>
                </pic:pic>
              </a:graphicData>
            </a:graphic>
          </wp:inline>
        </w:drawing>
      </w:r>
    </w:p>
    <w:p w14:paraId="04DE0843"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6: </w:t>
      </w:r>
      <w:r w:rsidRPr="00215A93">
        <w:rPr>
          <w:rFonts w:asciiTheme="minorBidi" w:hAnsiTheme="minorBidi"/>
          <w:i/>
          <w:sz w:val="24"/>
          <w:szCs w:val="24"/>
        </w:rPr>
        <w:t>Regimul debitelor medii lunare în luna aprilie 202</w:t>
      </w:r>
      <w:r>
        <w:rPr>
          <w:rFonts w:asciiTheme="minorBidi" w:hAnsiTheme="minorBidi"/>
          <w:i/>
          <w:sz w:val="24"/>
          <w:szCs w:val="24"/>
        </w:rPr>
        <w:t xml:space="preserve">2 </w:t>
      </w:r>
    </w:p>
    <w:p w14:paraId="54EF9255" w14:textId="77777777" w:rsidR="00E30C2C" w:rsidRDefault="00E30C2C" w:rsidP="00E30C2C">
      <w:pPr>
        <w:spacing w:after="0" w:line="240" w:lineRule="auto"/>
        <w:ind w:firstLine="720"/>
        <w:jc w:val="both"/>
        <w:rPr>
          <w:rFonts w:ascii="Arial" w:hAnsi="Arial" w:cs="Arial"/>
          <w:sz w:val="24"/>
          <w:szCs w:val="24"/>
          <w:lang w:eastAsia="x-none"/>
        </w:rPr>
      </w:pPr>
    </w:p>
    <w:p w14:paraId="05CDB63A"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primele trei zile ale lunii aprilie 2022 debitele au fost în general </w:t>
      </w:r>
      <w:r w:rsidRPr="005408B9">
        <w:rPr>
          <w:rFonts w:ascii="Arial" w:hAnsi="Arial" w:cs="Arial"/>
          <w:sz w:val="24"/>
          <w:szCs w:val="24"/>
          <w:lang w:val="x-none" w:eastAsia="x-none"/>
        </w:rPr>
        <w:t>în creștere datorită cedării apei din stratul de zăpadă, precipitațiilor lichide și propagării</w:t>
      </w:r>
      <w:r w:rsidRPr="005408B9">
        <w:rPr>
          <w:rFonts w:ascii="Arial" w:hAnsi="Arial" w:cs="Arial"/>
          <w:sz w:val="24"/>
          <w:szCs w:val="24"/>
          <w:lang w:eastAsia="x-none"/>
        </w:rPr>
        <w:t>,</w:t>
      </w:r>
      <w:r w:rsidRPr="005408B9">
        <w:rPr>
          <w:rFonts w:ascii="Arial" w:hAnsi="Arial" w:cs="Arial"/>
          <w:sz w:val="24"/>
          <w:szCs w:val="24"/>
          <w:lang w:val="x-none" w:eastAsia="x-none"/>
        </w:rPr>
        <w:t xml:space="preserve"> exceptând râurile din bazin</w:t>
      </w:r>
      <w:r w:rsidRPr="005408B9">
        <w:rPr>
          <w:rFonts w:ascii="Arial" w:hAnsi="Arial" w:cs="Arial"/>
          <w:sz w:val="24"/>
          <w:szCs w:val="24"/>
          <w:lang w:eastAsia="x-none"/>
        </w:rPr>
        <w:t>ele h</w:t>
      </w:r>
      <w:r w:rsidRPr="005408B9">
        <w:rPr>
          <w:rFonts w:ascii="Arial" w:hAnsi="Arial" w:cs="Arial"/>
          <w:sz w:val="24"/>
          <w:szCs w:val="24"/>
          <w:lang w:val="x-none" w:eastAsia="x-none"/>
        </w:rPr>
        <w:t>idrografic</w:t>
      </w:r>
      <w:r w:rsidRPr="005408B9">
        <w:rPr>
          <w:rFonts w:ascii="Arial" w:hAnsi="Arial" w:cs="Arial"/>
          <w:sz w:val="24"/>
          <w:szCs w:val="24"/>
          <w:lang w:eastAsia="x-none"/>
        </w:rPr>
        <w:t>e ale</w:t>
      </w:r>
      <w:r w:rsidRPr="005408B9">
        <w:rPr>
          <w:rFonts w:ascii="Arial" w:hAnsi="Arial" w:cs="Arial"/>
          <w:sz w:val="24"/>
          <w:szCs w:val="24"/>
          <w:lang w:val="x-none" w:eastAsia="x-none"/>
        </w:rPr>
        <w:t xml:space="preserve"> Bârlad</w:t>
      </w:r>
      <w:r w:rsidRPr="005408B9">
        <w:rPr>
          <w:rFonts w:ascii="Arial" w:hAnsi="Arial" w:cs="Arial"/>
          <w:sz w:val="24"/>
          <w:szCs w:val="24"/>
          <w:lang w:eastAsia="x-none"/>
        </w:rPr>
        <w:t xml:space="preserve">ului, </w:t>
      </w:r>
      <w:r w:rsidRPr="005408B9">
        <w:rPr>
          <w:rFonts w:ascii="Arial" w:hAnsi="Arial" w:cs="Arial"/>
          <w:sz w:val="24"/>
          <w:szCs w:val="24"/>
          <w:lang w:val="x-none" w:eastAsia="x-none"/>
        </w:rPr>
        <w:t>Prut</w:t>
      </w:r>
      <w:r w:rsidRPr="005408B9">
        <w:rPr>
          <w:rFonts w:ascii="Arial" w:hAnsi="Arial" w:cs="Arial"/>
          <w:sz w:val="24"/>
          <w:szCs w:val="24"/>
          <w:lang w:eastAsia="x-none"/>
        </w:rPr>
        <w:t xml:space="preserve">ului </w:t>
      </w:r>
      <w:r w:rsidRPr="005408B9">
        <w:rPr>
          <w:rFonts w:ascii="Arial" w:hAnsi="Arial" w:cs="Arial"/>
          <w:sz w:val="24"/>
          <w:szCs w:val="24"/>
          <w:lang w:val="x-none" w:eastAsia="x-none"/>
        </w:rPr>
        <w:t>mijlociu şi inferior şi râurile din Dobrogea unde au fost staționare.</w:t>
      </w:r>
      <w:r w:rsidRPr="005408B9">
        <w:rPr>
          <w:rFonts w:ascii="Arial" w:hAnsi="Arial" w:cs="Arial"/>
          <w:sz w:val="24"/>
          <w:szCs w:val="24"/>
          <w:lang w:eastAsia="x-none"/>
        </w:rPr>
        <w:t xml:space="preserve"> Creşteri mai însemnate de niveluri şi debite, cu depăşiri ale COTELOR DE APĂRARE, s-au înregistrat în primele două zile, pe unele râuri din nord-vestul ţării.</w:t>
      </w:r>
    </w:p>
    <w:p w14:paraId="3FD47F66"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acest interval s-au situat peste:</w:t>
      </w:r>
    </w:p>
    <w:p w14:paraId="56284BF6"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COTA DE INUNDAȚIE: râul Someşul Mare la stația hidrometrică Valea Mare.</w:t>
      </w:r>
    </w:p>
    <w:p w14:paraId="62F70963"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COTELE DE ATENȚIE, râurile la stațiile hidrometrice: Cormaia – Sângeorz Băi, Ilva – Poiana Ilvei, Tesna – Coșna, Tisa – Valea Vișeului, Someşul Mare – Valea Mare, Someşul Mare – Rodna, Firiza – Firiza şi Iad – Leșu Amonte.</w:t>
      </w:r>
    </w:p>
    <w:p w14:paraId="3A2FFFD2"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4–9 aprilie debitele au fost în general în scădere pe râurile din Maramureş, Crişana, Banat şi Transilvania şi relativ staţionare pe râurile din Oltenia, Muntenia, Moldova şi Dobrogea, exceptând ultimele două zile ale acestui interval când s-au înregistrat creşteri de niveluri şi debite, datorită efectului combinat al precipitațiilor lichide, cedării apei din stratul de zăpadă din zona de munte și propagării pe râurile din bazinele hidrografice: Vișeu, Iza, Tur, Someșul Mare, Bârzava, Caraș, Nera, Cerna, Buzău, Bistrița şi Moldova.</w:t>
      </w:r>
    </w:p>
    <w:p w14:paraId="5E75E17F"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zilele de 10 şi 11 aprilie, ca urmare a precipitațiilor lichide căzute, cedării apei din stratul de zăpadă din zona de munte şi propagării, debitele au fost în general în creştere, exceptând cursul mijlociu şi inferior al Prutului și râurile din Dobrogea, unde au fost relativ staționare.</w:t>
      </w:r>
    </w:p>
    <w:p w14:paraId="6B58A68B"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12–16 aprilie debitele au fost în general în scădere, exceptând  râurile din bazinele hidrografice: Vedea, Bârlad, Jijia, cursul mijlociu şi inferior al Prutului și râurile din Dobrogea, unde au fost relativ staționare, iar în ultima zi a intervalului râurile din bazinele hidrografice Vişeu şi Arieş şi cele din bazinele superioare ale Someşului Mare, Buzăului, Bistriţei şi Moldovei unde debitele au fost în creştere datorită precipitaţiilor şi propagării.</w:t>
      </w:r>
    </w:p>
    <w:p w14:paraId="42FA016E"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zilele de 17 şi 18 aprilie, debitele </w:t>
      </w:r>
      <w:bookmarkStart w:id="9" w:name="_Hlk102052425"/>
      <w:r w:rsidRPr="005408B9">
        <w:rPr>
          <w:rFonts w:ascii="Arial" w:hAnsi="Arial" w:cs="Arial"/>
          <w:sz w:val="24"/>
          <w:szCs w:val="24"/>
          <w:lang w:eastAsia="x-none"/>
        </w:rPr>
        <w:t xml:space="preserve">au fost în general în creştere, </w:t>
      </w:r>
      <w:bookmarkStart w:id="10" w:name="_Hlk102119749"/>
      <w:r w:rsidRPr="005408B9">
        <w:rPr>
          <w:rFonts w:ascii="Arial" w:hAnsi="Arial" w:cs="Arial"/>
          <w:sz w:val="24"/>
          <w:szCs w:val="24"/>
          <w:lang w:eastAsia="x-none"/>
        </w:rPr>
        <w:t>ca urmare a precipitațiilor, cedării apei din stratul de zăpadă din zona de munte şi propagării</w:t>
      </w:r>
      <w:bookmarkEnd w:id="10"/>
      <w:r w:rsidRPr="005408B9">
        <w:rPr>
          <w:rFonts w:ascii="Arial" w:hAnsi="Arial" w:cs="Arial"/>
          <w:sz w:val="24"/>
          <w:szCs w:val="24"/>
          <w:lang w:eastAsia="x-none"/>
        </w:rPr>
        <w:t>, exceptând râurile din Crişana, nordul Transilvaniei şi Banat unde au fost în scădere.</w:t>
      </w:r>
      <w:bookmarkEnd w:id="9"/>
      <w:r w:rsidRPr="005408B9">
        <w:rPr>
          <w:rFonts w:ascii="Arial" w:hAnsi="Arial" w:cs="Arial"/>
          <w:sz w:val="24"/>
          <w:szCs w:val="24"/>
          <w:lang w:eastAsia="x-none"/>
        </w:rPr>
        <w:t xml:space="preserve"> </w:t>
      </w:r>
    </w:p>
    <w:p w14:paraId="0C15B833"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19–22 aprilie debitele au fost în general în scădere, exceptând râurile din Oltenia, Muntenia, Dobrogea şi estul Moldovei unde au fost relativ staţionare. Creşteri prin propagare s-au înregistrat în prima zi a acestui interval pe cursurile mijlocii şi inferioare ale râurilor mari din sudul ţării şi pe cursul superior al Prutului.</w:t>
      </w:r>
    </w:p>
    <w:p w14:paraId="38482AD5"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lastRenderedPageBreak/>
        <w:t>În intervalul 23–30 aprilie debitele au fost în general în creştere, ca urmare a precipitațiilor căzute, cedării apei din stratul de zăpadă din zona de munte şi propagării, exceptând râurile din Dobrogea unde au fost staţionare. În intervalul 27-29 aprilie, datorită precipitaţiilor mai însemnate cantitativ, sub formă de aversă şi cu caracter torenţial, s-au înregistrat scurgeri importante pe versanţi, torenţi, pâraie şi creşteri de niveluri şi debite, cu depăşiri ale COTELOR DE ATENŢIE, pe unele râuri din Crişana, Banat, Oltenia şi Muntenia: Crasna – Domăneşti, Briheni – Șuștiu, Crișul Alb – Vața de Jos, Crișul Alb – Gurahonț, Bega – Făget, Gladna – Firdea, Hăuzeasca – Firdea, Saşa – Poieni, Tău – Soceni, Bârzava – Partoş, Orlea – Celei, Jiu – Răcari, Bughea – Bughea de Jos, Sabar – Vidra şi  Ciorogârla – Bragadiru.</w:t>
      </w:r>
    </w:p>
    <w:p w14:paraId="43A010F5"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Formațiuni de gheață (gheață la maluri) au fost prezente numai în prima zi a lunii aprilie pe cursul superior al râului Bistriţa.</w:t>
      </w:r>
    </w:p>
    <w:p w14:paraId="6EB77033" w14:textId="77777777" w:rsidR="00E30C2C" w:rsidRPr="005408B9" w:rsidRDefault="00E30C2C" w:rsidP="00E30C2C">
      <w:pPr>
        <w:spacing w:after="0" w:line="240" w:lineRule="auto"/>
        <w:jc w:val="both"/>
        <w:rPr>
          <w:rFonts w:ascii="Arial" w:hAnsi="Arial" w:cs="Arial"/>
          <w:sz w:val="24"/>
          <w:szCs w:val="24"/>
          <w:lang w:eastAsia="x-none"/>
        </w:rPr>
      </w:pPr>
    </w:p>
    <w:p w14:paraId="0E5855A2"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luna </w:t>
      </w:r>
      <w:r w:rsidRPr="005408B9">
        <w:rPr>
          <w:rFonts w:ascii="Arial" w:hAnsi="Arial" w:cs="Arial"/>
          <w:sz w:val="24"/>
          <w:szCs w:val="24"/>
          <w:u w:val="single"/>
          <w:lang w:eastAsia="x-none"/>
        </w:rPr>
        <w:t>mai 2022</w:t>
      </w:r>
      <w:r w:rsidRPr="005408B9">
        <w:rPr>
          <w:rFonts w:ascii="Arial" w:hAnsi="Arial" w:cs="Arial"/>
          <w:sz w:val="24"/>
          <w:szCs w:val="24"/>
          <w:lang w:eastAsia="x-none"/>
        </w:rPr>
        <w:t xml:space="preserve">, regimul hidrologic al bazinelor hidrografice din  România  </w:t>
      </w:r>
      <w:r w:rsidRPr="005408B9">
        <w:rPr>
          <w:rFonts w:ascii="Arial" w:hAnsi="Arial" w:cs="Arial"/>
          <w:sz w:val="24"/>
          <w:szCs w:val="24"/>
        </w:rPr>
        <w:t>(figura</w:t>
      </w:r>
      <w:r>
        <w:rPr>
          <w:rFonts w:ascii="Arial" w:hAnsi="Arial" w:cs="Arial"/>
          <w:sz w:val="24"/>
          <w:szCs w:val="24"/>
        </w:rPr>
        <w:t xml:space="preserve"> II.1.1.3.7</w:t>
      </w:r>
      <w:r w:rsidRPr="005408B9">
        <w:rPr>
          <w:rFonts w:ascii="Arial" w:hAnsi="Arial" w:cs="Arial"/>
          <w:sz w:val="24"/>
          <w:szCs w:val="24"/>
        </w:rPr>
        <w:t xml:space="preserve">) </w:t>
      </w:r>
      <w:r w:rsidRPr="005408B9">
        <w:rPr>
          <w:rFonts w:ascii="Arial" w:hAnsi="Arial" w:cs="Arial"/>
          <w:sz w:val="24"/>
          <w:szCs w:val="24"/>
          <w:lang w:eastAsia="x-none"/>
        </w:rPr>
        <w:t>s-a situat la valori cuprinse între 50</w:t>
      </w:r>
      <w:r w:rsidRPr="005408B9">
        <w:rPr>
          <w:rFonts w:ascii="Arial" w:hAnsi="Arial" w:cs="Arial"/>
          <w:sz w:val="24"/>
          <w:szCs w:val="24"/>
          <w:lang w:val="x-none" w:eastAsia="x-none"/>
        </w:rPr>
        <w:t>–</w:t>
      </w:r>
      <w:r w:rsidRPr="005408B9">
        <w:rPr>
          <w:rFonts w:ascii="Arial" w:hAnsi="Arial" w:cs="Arial"/>
          <w:sz w:val="24"/>
          <w:szCs w:val="24"/>
          <w:lang w:eastAsia="x-none"/>
        </w:rPr>
        <w:t>80% din mediile multianuale lunare, mai mari pe Someşul Mare şi pe cursul superior al Bistriţei (80</w:t>
      </w:r>
      <w:bookmarkStart w:id="11" w:name="_Hlk104897206"/>
      <w:r w:rsidRPr="005408B9">
        <w:rPr>
          <w:rFonts w:ascii="Arial" w:hAnsi="Arial" w:cs="Arial"/>
          <w:sz w:val="24"/>
          <w:szCs w:val="24"/>
          <w:lang w:val="x-none" w:eastAsia="x-none"/>
        </w:rPr>
        <w:t>–</w:t>
      </w:r>
      <w:bookmarkEnd w:id="11"/>
      <w:r w:rsidRPr="005408B9">
        <w:rPr>
          <w:rFonts w:ascii="Arial" w:hAnsi="Arial" w:cs="Arial"/>
          <w:sz w:val="24"/>
          <w:szCs w:val="24"/>
          <w:lang w:eastAsia="x-none"/>
        </w:rPr>
        <w:t>100%) şi mai mici (30-50%) pe râurile din bazinele hidrografice: Crasna, Barcău, Târnava Mică, Târnava Mare, Caraş, Nera, Cerna, Desnăţui, Motru, Olt inferior, Vedea, Moldova, Suceava, în bazinele superioare ale Mureşului, Oltului, Trotuşului, pe cele din bazinul mijlociu şi inferior al Bistriţei, pe cursul superior şi mijlociu al Siretului, pe cursul mijlociu şi inferior al Prutului şi pe râurile din Dobrogea. Cele mai mari valori (peste mediile multianuale lunare) s-au înregistrat pe Vişeu şi pe cursul superior şi mijlociu al Izei, iar cele mai mici (sub 30% din normalele lunare) pe râurile din bazinele hidrografice: Rm. Sărat, Putna, Trotuş mijlociu şi inferior, Bârlad, Jijia şi pe cursul inferior al Siretului.</w:t>
      </w:r>
    </w:p>
    <w:p w14:paraId="6DD9DA20" w14:textId="77777777" w:rsidR="00E30C2C" w:rsidRPr="005408B9" w:rsidRDefault="00E30C2C" w:rsidP="00E30C2C">
      <w:pPr>
        <w:spacing w:after="0" w:line="240" w:lineRule="auto"/>
        <w:ind w:firstLine="720"/>
        <w:jc w:val="both"/>
        <w:rPr>
          <w:rFonts w:ascii="Arial" w:hAnsi="Arial" w:cs="Arial"/>
          <w:bCs/>
          <w:sz w:val="24"/>
          <w:szCs w:val="24"/>
          <w:lang w:val="x-none" w:eastAsia="x-none"/>
        </w:rPr>
      </w:pPr>
      <w:r w:rsidRPr="005408B9">
        <w:rPr>
          <w:rFonts w:ascii="Arial" w:hAnsi="Arial" w:cs="Arial"/>
          <w:sz w:val="24"/>
          <w:szCs w:val="24"/>
          <w:lang w:eastAsia="x-none"/>
        </w:rPr>
        <w:t xml:space="preserve">În intervalul 1–6 mai 2022 debitele au fost în general </w:t>
      </w:r>
      <w:r w:rsidRPr="005408B9">
        <w:rPr>
          <w:rFonts w:ascii="Arial" w:hAnsi="Arial" w:cs="Arial"/>
          <w:sz w:val="24"/>
          <w:szCs w:val="24"/>
          <w:lang w:val="x-none" w:eastAsia="x-none"/>
        </w:rPr>
        <w:t xml:space="preserve">în scădere uşoară,  exceptând râurile din bazinele Bârladului, Jijiei şi cele din Dobrogea unde au fost relativ staţionare. În prima zi a lunii mai s-au înregistrat creșteri datorită precipitațiilor și propagării </w:t>
      </w:r>
      <w:r w:rsidRPr="005408B9">
        <w:rPr>
          <w:rFonts w:ascii="Arial" w:hAnsi="Arial" w:cs="Arial"/>
          <w:bCs/>
          <w:sz w:val="24"/>
          <w:szCs w:val="24"/>
          <w:lang w:val="x-none" w:eastAsia="x-none"/>
        </w:rPr>
        <w:t xml:space="preserve">pe râurile Dâmboviţa şi Sabar, cu situarea nivelurilor peste COTA DE INUNDAȚIE </w:t>
      </w:r>
      <w:r w:rsidRPr="005408B9">
        <w:rPr>
          <w:rFonts w:ascii="Arial" w:hAnsi="Arial" w:cs="Arial"/>
          <w:bCs/>
          <w:sz w:val="24"/>
          <w:szCs w:val="24"/>
          <w:lang w:val="en-US" w:eastAsia="x-none"/>
        </w:rPr>
        <w:t>pe r</w:t>
      </w:r>
      <w:r w:rsidRPr="005408B9">
        <w:rPr>
          <w:rFonts w:ascii="Arial" w:hAnsi="Arial" w:cs="Arial"/>
          <w:bCs/>
          <w:sz w:val="24"/>
          <w:szCs w:val="24"/>
          <w:lang w:val="x-none" w:eastAsia="x-none"/>
        </w:rPr>
        <w:t>âul Dâmbovița la stația hidrometrică Podu Dâmboviței şi menţinerea peste COTA DE ATENȚIE, din ziua anterioară, a nivelurilor pe râul Sabar la stația hidrometrică Vidra.</w:t>
      </w:r>
    </w:p>
    <w:p w14:paraId="5991F941"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7</w:t>
      </w:r>
      <w:bookmarkStart w:id="12" w:name="_Hlk103683368"/>
      <w:r w:rsidRPr="005408B9">
        <w:rPr>
          <w:rFonts w:ascii="Arial" w:hAnsi="Arial" w:cs="Arial"/>
          <w:sz w:val="24"/>
          <w:szCs w:val="24"/>
          <w:lang w:eastAsia="x-none"/>
        </w:rPr>
        <w:t>–</w:t>
      </w:r>
      <w:bookmarkEnd w:id="12"/>
      <w:r w:rsidRPr="005408B9">
        <w:rPr>
          <w:rFonts w:ascii="Arial" w:hAnsi="Arial" w:cs="Arial"/>
          <w:sz w:val="24"/>
          <w:szCs w:val="24"/>
          <w:lang w:eastAsia="x-none"/>
        </w:rPr>
        <w:t>11 mai debitele au fost în general în scădere pe râurile din Maramureş, Crişana, Banat şi Transilvania şi relativ staţionare pe cele din Oltenia, Muntenia, Moldova şi Dobrogea. Datorită instabilităţii atmosferice ridicate, cu precipitaţii sub formă de aversă şi cu caracter torenţial, s-au înregistrat creşteri zilnice de niveluri şi debite, în primele trei zile pe râurile din bazinele hidrografice: Vişeu, Iza, Bistriţa, Moldova şi Suceava şi în următoarele două zile pe râurile din bazinele hidrografice ale Someşului Mare, Someşului Mic, Târnavelor, Oltului superior şi mijlociu şi pe cele din bazinele superioare ale râurilor: Crişul Alb, Arieş, Mureş, Jiu, Argeş, Ialomiţa, Buzău, Trotuş şi Prut.</w:t>
      </w:r>
    </w:p>
    <w:p w14:paraId="501427BA" w14:textId="77777777" w:rsidR="00E30C2C" w:rsidRDefault="00E30C2C" w:rsidP="00E30C2C">
      <w:pPr>
        <w:spacing w:after="0" w:line="240" w:lineRule="auto"/>
        <w:ind w:firstLine="720"/>
        <w:jc w:val="both"/>
        <w:rPr>
          <w:rFonts w:asciiTheme="minorBidi" w:hAnsiTheme="minorBidi"/>
          <w:sz w:val="24"/>
          <w:szCs w:val="24"/>
          <w:lang w:eastAsia="x-none"/>
        </w:rPr>
      </w:pPr>
    </w:p>
    <w:p w14:paraId="3044E0BD" w14:textId="77777777" w:rsidR="00E30C2C" w:rsidRPr="00215A93" w:rsidRDefault="00E30C2C" w:rsidP="00E30C2C">
      <w:pPr>
        <w:spacing w:line="240" w:lineRule="auto"/>
        <w:jc w:val="center"/>
        <w:rPr>
          <w:rFonts w:asciiTheme="minorBidi" w:hAnsiTheme="minorBidi"/>
          <w:sz w:val="24"/>
          <w:szCs w:val="24"/>
          <w:highlight w:val="yellow"/>
          <w:lang w:eastAsia="x-none"/>
        </w:rPr>
      </w:pPr>
      <w:r w:rsidRPr="00804B8B">
        <w:rPr>
          <w:rFonts w:ascii="Arial" w:hAnsi="Arial" w:cs="Arial"/>
          <w:noProof/>
          <w:lang w:val="en-GB" w:eastAsia="en-GB"/>
        </w:rPr>
        <w:lastRenderedPageBreak/>
        <w:drawing>
          <wp:inline distT="0" distB="0" distL="0" distR="0" wp14:anchorId="6B256664" wp14:editId="14D5F40E">
            <wp:extent cx="3754120" cy="2655570"/>
            <wp:effectExtent l="0" t="0" r="0" b="0"/>
            <wp:docPr id="4407036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54120" cy="2655570"/>
                    </a:xfrm>
                    <a:prstGeom prst="rect">
                      <a:avLst/>
                    </a:prstGeom>
                    <a:noFill/>
                    <a:ln>
                      <a:noFill/>
                    </a:ln>
                  </pic:spPr>
                </pic:pic>
              </a:graphicData>
            </a:graphic>
          </wp:inline>
        </w:drawing>
      </w:r>
    </w:p>
    <w:p w14:paraId="5D6E8827"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7</w:t>
      </w:r>
      <w:r w:rsidRPr="00215A93">
        <w:rPr>
          <w:rFonts w:asciiTheme="minorBidi" w:hAnsiTheme="minorBidi"/>
          <w:i/>
          <w:sz w:val="24"/>
          <w:szCs w:val="24"/>
        </w:rPr>
        <w:t>. Regimul hidrologic al debitelor medii lunare în luna mai 202</w:t>
      </w:r>
      <w:r>
        <w:rPr>
          <w:rFonts w:asciiTheme="minorBidi" w:hAnsiTheme="minorBidi"/>
          <w:i/>
          <w:sz w:val="24"/>
          <w:szCs w:val="24"/>
        </w:rPr>
        <w:t xml:space="preserve">2 </w:t>
      </w:r>
    </w:p>
    <w:p w14:paraId="746A23AB" w14:textId="77777777" w:rsidR="00E30C2C" w:rsidRPr="00215A93" w:rsidRDefault="00E30C2C" w:rsidP="00E30C2C">
      <w:pPr>
        <w:spacing w:after="0" w:line="240" w:lineRule="auto"/>
        <w:ind w:firstLine="720"/>
        <w:jc w:val="both"/>
        <w:rPr>
          <w:rFonts w:asciiTheme="minorBidi" w:hAnsiTheme="minorBidi"/>
          <w:sz w:val="24"/>
          <w:szCs w:val="24"/>
          <w:highlight w:val="yellow"/>
        </w:rPr>
      </w:pPr>
    </w:p>
    <w:p w14:paraId="26E75FB8"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12–18 mai debitele au fost în general în scădere, exceptând râurile din Oltenia, sudul Munteniei, Dobrogea şi estul Moldovei unde au fost relativ staţionare. În acest interval s-au înregistrat creşteri de niveluri şi debite, datorită precipitaţiilor şi propagării, în zilele de 13 şi 14 mai şi în data de 18 mai. În intervalul 13–14 mai creşterile s-au produs pe unele râuri din estul ţării (Suceava, Moldova, Bistriţa, Bârlad, Jijia), precum şi pe unele râuri din sud (Calmăţui, Argeş superior, Ialomiţa). În acest interval, datorită precipitaţiilor, sub formă de aversă, izolat mai însemnate cantitativ, s-au înregistrat de asemenea, scurgeri pe versanţi, torenţi, pâraie şi creşteri de niveluri şi debite pe unele râuri mici din estul țării și din zonele de deal și munte din centrul și nordul țării şi s-au situat peste COTELE DE ATENȚIE nivelurile pe râul Vaslui la stațiile hidrometrice Codăești şi Satu Nou. În data de 18 mai s-au înregistrat scurgeri importante pe versanţi, torenţi şi pâraie şi creşteri mai importante de debite şi niveluri, pe unele râuri din bazinele hidrografice: Vișeu, Lăpuș, Barcău, Crișul Repede, Crișul Negru, Crișul Alb, Mureş, Olt, Argeş, Buzău, Rm. Sărat, Trotuș, Bistrița şi Moldova.</w:t>
      </w:r>
    </w:p>
    <w:p w14:paraId="154FCE6B"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19–25 mai debitele au fost relativ staţionare, exceptând râurile din Maramureş, Crişana şi Transilvania unde au fost în general în scădere.</w:t>
      </w:r>
    </w:p>
    <w:p w14:paraId="31AE97AB"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zilele de 26 şi 27 mai debitele au fost în creştere, ca urmare a precipitațiilor căzute şi propagării pe râurile din bazinele hidrografice: Vișeu, Iza, Tur, Someș, Crișul Repede, Crișul Negru, Crișul Alb, Mureş, Timiș şi în bazinele superioare ale râurilor: Jiu, Argeș, Ialomița, Suceava, Moldova și Bistrița, iar pe celelalte râuri debitele au fost relativ staționare. În acest interval s-au înregistrat scurgeri importante pe versanţi, torenţi, pâraie, viituri rapide pe râurile mici cu efecte de inundaţii locale şi creşteri mai importante de debite şi niveluri pe unele râuri din Banat, Crișana și Maramureș.</w:t>
      </w:r>
    </w:p>
    <w:p w14:paraId="11FD48D3"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intervalul 28–30 mai, datorită instabilităţii atmosferice accentuate, cu precipitaţii sub formă de aversă şi cu caracter torenţial, însemnate cantitativ, s-au înregistrat scurgeri importante pe versanţi, torenţi, pâraie, viituri rapide pe râurile mici cu efecte de inundaţii locale şi creşteri de debite şi niveluri, în primele două zile pe râurile din Banat, sudul Transilvaniei şi al Moldovei, nordul Olteniei şi al Munteniei şi pe cele din Dobrogea, iar în următoarea zi pe majoritatea râurilor, exceptând cele din bazinele Bârladului şi din Dobrogea unde au fost staţionare. </w:t>
      </w:r>
    </w:p>
    <w:p w14:paraId="3CDF87FE"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ultima zi a lunii debitele au fost în scădere, exceptând râurile din bazinele Siretului şi Prutului şi cele din Dobrogea unde au fost staţionare şi cursurile inferioare ale râurilor: Crişul Negru, Timiş, Jiu, Vedea, Ialomiţa, Rm. Sărat şi Buzău unde au fost în creştere prin propagare.</w:t>
      </w:r>
    </w:p>
    <w:p w14:paraId="6670DDBC" w14:textId="77777777" w:rsidR="00E30C2C" w:rsidRPr="005408B9" w:rsidRDefault="00E30C2C" w:rsidP="00E30C2C">
      <w:pPr>
        <w:spacing w:after="0" w:line="240" w:lineRule="auto"/>
        <w:ind w:right="-567"/>
        <w:rPr>
          <w:rFonts w:ascii="Arial" w:hAnsi="Arial" w:cs="Arial"/>
          <w:b/>
          <w:sz w:val="24"/>
          <w:szCs w:val="24"/>
        </w:rPr>
      </w:pPr>
    </w:p>
    <w:p w14:paraId="12F7538F" w14:textId="77777777" w:rsidR="00E30C2C" w:rsidRPr="005408B9" w:rsidRDefault="00E30C2C" w:rsidP="00E30C2C">
      <w:pPr>
        <w:spacing w:line="240" w:lineRule="auto"/>
        <w:ind w:right="-567"/>
        <w:rPr>
          <w:rFonts w:ascii="Arial" w:hAnsi="Arial" w:cs="Arial"/>
          <w:b/>
          <w:sz w:val="24"/>
          <w:szCs w:val="24"/>
        </w:rPr>
      </w:pPr>
      <w:r w:rsidRPr="005408B9">
        <w:rPr>
          <w:rFonts w:ascii="Arial" w:hAnsi="Arial" w:cs="Arial"/>
          <w:b/>
          <w:sz w:val="24"/>
          <w:szCs w:val="24"/>
        </w:rPr>
        <w:t>Caracterizarea sezonului de vară 2022</w:t>
      </w:r>
    </w:p>
    <w:p w14:paraId="354D5BC2" w14:textId="77777777" w:rsidR="00E30C2C"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lastRenderedPageBreak/>
        <w:t xml:space="preserve">Vara anului 2022 a fost un anotimp secetos, caracterizat printr-un regim hidrologic deficitar </w:t>
      </w:r>
      <w:r w:rsidRPr="005408B9">
        <w:rPr>
          <w:rFonts w:ascii="Arial" w:hAnsi="Arial" w:cs="Arial"/>
          <w:sz w:val="24"/>
          <w:szCs w:val="24"/>
        </w:rPr>
        <w:t xml:space="preserve">(figura </w:t>
      </w:r>
      <w:r>
        <w:rPr>
          <w:rFonts w:ascii="Arial" w:hAnsi="Arial" w:cs="Arial"/>
          <w:sz w:val="24"/>
          <w:szCs w:val="24"/>
        </w:rPr>
        <w:t>II.1.1.3.8</w:t>
      </w:r>
      <w:r w:rsidRPr="005408B9">
        <w:rPr>
          <w:rFonts w:ascii="Arial" w:hAnsi="Arial" w:cs="Arial"/>
          <w:sz w:val="24"/>
          <w:szCs w:val="24"/>
        </w:rPr>
        <w:t>)</w:t>
      </w:r>
      <w:r w:rsidRPr="005408B9">
        <w:rPr>
          <w:rFonts w:ascii="Arial" w:hAnsi="Arial" w:cs="Arial"/>
          <w:sz w:val="24"/>
          <w:szCs w:val="24"/>
          <w:lang w:eastAsia="x-none"/>
        </w:rPr>
        <w:t>, cu valori situate în general sub 50% din sub mediile multianuale sezoniere, exceptând cursul superior al Jiului şi râurile din bazinul Prahovei unde au avut valori cuprinse între 50-80%. Cele  mai  mici valori ale debitelor medii sezoniere (sub 30%)  s-au înregistrat pe râurile din bazinele hidrografice: Tur, Lăpuş, Crasna, Barcău, Crasna, Barcău, Crişul Repede, Crişul Negru, Crişul Alb, Caraş, Nera, Cerna, Târnave, Olt inferior, Vedea, Rm. Sărat, Bârlad, Prut, pe cursurile mijlocii şi inferioare ale râurilor: Iza, Trotuş, Moldova, Suceava, pe cursul Siretului şi pe râurile din Dobrogea.</w:t>
      </w:r>
    </w:p>
    <w:p w14:paraId="73C5EDE7" w14:textId="77777777" w:rsidR="00E30C2C" w:rsidRPr="005408B9" w:rsidRDefault="00E30C2C" w:rsidP="00E30C2C">
      <w:pPr>
        <w:spacing w:after="0" w:line="240" w:lineRule="auto"/>
        <w:ind w:firstLine="720"/>
        <w:jc w:val="both"/>
        <w:rPr>
          <w:rFonts w:ascii="Arial" w:hAnsi="Arial" w:cs="Arial"/>
          <w:sz w:val="24"/>
          <w:szCs w:val="24"/>
          <w:lang w:eastAsia="x-none"/>
        </w:rPr>
      </w:pPr>
    </w:p>
    <w:p w14:paraId="0B449B40"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lang w:val="en-GB" w:eastAsia="en-GB"/>
        </w:rPr>
        <w:drawing>
          <wp:inline distT="0" distB="0" distL="0" distR="0" wp14:anchorId="6F007BF3" wp14:editId="00A00255">
            <wp:extent cx="4545330" cy="3165475"/>
            <wp:effectExtent l="0" t="0" r="7620" b="0"/>
            <wp:docPr id="19807619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5330" cy="3165475"/>
                    </a:xfrm>
                    <a:prstGeom prst="rect">
                      <a:avLst/>
                    </a:prstGeom>
                    <a:noFill/>
                    <a:ln>
                      <a:noFill/>
                    </a:ln>
                  </pic:spPr>
                </pic:pic>
              </a:graphicData>
            </a:graphic>
          </wp:inline>
        </w:drawing>
      </w:r>
    </w:p>
    <w:p w14:paraId="6204A21E" w14:textId="77777777" w:rsidR="00E30C2C" w:rsidRPr="00215A93" w:rsidRDefault="00E30C2C" w:rsidP="00E30C2C">
      <w:pPr>
        <w:spacing w:after="0" w:line="240" w:lineRule="auto"/>
        <w:jc w:val="center"/>
        <w:rPr>
          <w:rFonts w:asciiTheme="minorBidi" w:hAnsiTheme="minorBidi"/>
          <w:i/>
          <w:iCs/>
          <w:sz w:val="24"/>
          <w:szCs w:val="24"/>
          <w:lang w:eastAsia="x-none"/>
        </w:rPr>
      </w:pPr>
      <w:r w:rsidRPr="00CB2589">
        <w:rPr>
          <w:rFonts w:asciiTheme="minorBidi" w:hAnsiTheme="minorBidi"/>
          <w:b/>
          <w:i/>
          <w:iCs/>
          <w:sz w:val="24"/>
          <w:szCs w:val="24"/>
        </w:rPr>
        <w:t>Figura II.1.1.3.</w:t>
      </w:r>
      <w:r>
        <w:rPr>
          <w:rFonts w:asciiTheme="minorBidi" w:hAnsiTheme="minorBidi"/>
          <w:b/>
          <w:i/>
          <w:iCs/>
          <w:sz w:val="24"/>
          <w:szCs w:val="24"/>
        </w:rPr>
        <w:t>8:</w:t>
      </w:r>
      <w:r w:rsidRPr="00215A93">
        <w:rPr>
          <w:rFonts w:asciiTheme="minorBidi" w:hAnsiTheme="minorBidi"/>
          <w:i/>
          <w:sz w:val="24"/>
          <w:szCs w:val="24"/>
          <w:lang w:eastAsia="x-none"/>
        </w:rPr>
        <w:t xml:space="preserve">  Regimul debitelor medii în sezonul de vară 202</w:t>
      </w:r>
      <w:r>
        <w:rPr>
          <w:rFonts w:asciiTheme="minorBidi" w:hAnsiTheme="minorBidi"/>
          <w:i/>
          <w:sz w:val="24"/>
          <w:szCs w:val="24"/>
          <w:lang w:eastAsia="x-none"/>
        </w:rPr>
        <w:t>2</w:t>
      </w:r>
    </w:p>
    <w:p w14:paraId="66CC37C1"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4383E5AB"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luna </w:t>
      </w:r>
      <w:r w:rsidRPr="005408B9">
        <w:rPr>
          <w:rFonts w:ascii="Arial" w:hAnsi="Arial" w:cs="Arial"/>
          <w:sz w:val="24"/>
          <w:szCs w:val="24"/>
          <w:u w:val="single"/>
          <w:lang w:eastAsia="x-none"/>
        </w:rPr>
        <w:t>iunie 2022</w:t>
      </w:r>
      <w:r w:rsidRPr="005408B9">
        <w:rPr>
          <w:rFonts w:ascii="Arial" w:hAnsi="Arial" w:cs="Arial"/>
          <w:sz w:val="24"/>
          <w:szCs w:val="24"/>
          <w:lang w:eastAsia="x-none"/>
        </w:rPr>
        <w:t xml:space="preserve">, regimul hidrologic al bazinelor hidrografice din România  </w:t>
      </w:r>
      <w:r w:rsidRPr="005408B9">
        <w:rPr>
          <w:rFonts w:ascii="Arial" w:hAnsi="Arial" w:cs="Arial"/>
          <w:sz w:val="24"/>
          <w:szCs w:val="24"/>
        </w:rPr>
        <w:t xml:space="preserve">(figura </w:t>
      </w:r>
      <w:r>
        <w:rPr>
          <w:rFonts w:ascii="Arial" w:hAnsi="Arial" w:cs="Arial"/>
          <w:sz w:val="24"/>
          <w:szCs w:val="24"/>
        </w:rPr>
        <w:t>II.1.1.3.9</w:t>
      </w:r>
      <w:r w:rsidRPr="005408B9">
        <w:rPr>
          <w:rFonts w:ascii="Arial" w:hAnsi="Arial" w:cs="Arial"/>
          <w:sz w:val="24"/>
          <w:szCs w:val="24"/>
        </w:rPr>
        <w:t xml:space="preserve">) </w:t>
      </w:r>
      <w:r w:rsidRPr="005408B9">
        <w:rPr>
          <w:rFonts w:ascii="Arial" w:hAnsi="Arial" w:cs="Arial"/>
          <w:sz w:val="24"/>
          <w:szCs w:val="24"/>
          <w:lang w:eastAsia="x-none"/>
        </w:rPr>
        <w:t>s-a situat la valori cuprinse între 30</w:t>
      </w:r>
      <w:r w:rsidRPr="005408B9">
        <w:rPr>
          <w:rFonts w:ascii="Arial" w:hAnsi="Arial" w:cs="Arial"/>
          <w:sz w:val="24"/>
          <w:szCs w:val="24"/>
          <w:lang w:val="x-none" w:eastAsia="x-none"/>
        </w:rPr>
        <w:t>–</w:t>
      </w:r>
      <w:r w:rsidRPr="005408B9">
        <w:rPr>
          <w:rFonts w:ascii="Arial" w:hAnsi="Arial" w:cs="Arial"/>
          <w:sz w:val="24"/>
          <w:szCs w:val="24"/>
          <w:lang w:eastAsia="x-none"/>
        </w:rPr>
        <w:t xml:space="preserve">50% din mediile multianuale lunare, mai mari (50-80%) pe Vişeu, Jiu superior şi pe râurile din bazinul hidrografic al Ialomiţei şi  mai mici (sub 30%) pe râurile din bazinele hidrografice: Tur, Lăpuş, Crasna, Barcău, Crişul Repede, Crişul Negru, Crişul Alb, Caraş, Nera, Cerna, Târnave, Siret (exceptând Bistriţa şi cursurile superioare ale Buzăului şi Trotuşului), Prut, pe  cursul mijlociu şi inferior al Izei, pe cursul superior al Mureşului şi pe râurile din Dobrogea. </w:t>
      </w:r>
    </w:p>
    <w:p w14:paraId="360EA2F2"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intervalul 1–5 iunie, debitele au fost în general în scădere, exceptând râurile din bazinele hidrografice ale Crasnei, Barcăului, Siretului, Prutului şi cele din Dobrogea unde au fost relativ staţionare. Datorită instabilităţii atmosferice ridicate, cu precipitaţii sub formă de aversă şi cu caracter torenţial, s-au înregistrat zilnic, scurgeri importante pe versanţi, torenţi, pâraie, viituri rapide pe râurile mici cu efecte de inundaţii locale şi creşteri de debite şi niveluri, în primele trei zile pe unele râuri din nord-estul, sud-vestul şi sudul ţării, iar în următoarele două zile pe unele râuri din sudul ţării. În acest interval s-au situat peste COTA DE INUNDAŢIE râul Pârâul Urşanilor la staţia hidrometrică Horezu şi peste COTA DE ATENŢIE râul Bughea la staţia hidrometrică Bughea de Jos. </w:t>
      </w:r>
    </w:p>
    <w:p w14:paraId="6A8DDEE0"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6–10 iunie debitele au fost în general în scădere, exceptând râurile din sud-vestul şi estul ţării unde au fost relativ staţionare. Creşteri izolate, datorită precipitaţiilor căzute şi propagării, s-au înregistrat în prima parte a intervalului pe Vişeu, afluenţii de dreapta ai Siretului, pe cursurile superioare ale Mureşului şi Prutului şi pe unele râuri din Dobrogea, iar în partea a doua pe unele râuri din bazinele hidrografice: Vişeu, Someşul Mic, Crişul Repede, Crişul Negru şi Mureş inferior.</w:t>
      </w:r>
    </w:p>
    <w:p w14:paraId="5FAC23B8" w14:textId="77777777" w:rsidR="00E30C2C" w:rsidRPr="005408B9" w:rsidRDefault="00E30C2C" w:rsidP="00E30C2C">
      <w:pPr>
        <w:spacing w:after="0" w:line="240" w:lineRule="auto"/>
        <w:ind w:firstLine="720"/>
        <w:jc w:val="both"/>
        <w:rPr>
          <w:rFonts w:asciiTheme="minorBidi" w:hAnsiTheme="minorBidi"/>
          <w:sz w:val="24"/>
          <w:szCs w:val="24"/>
          <w:lang w:eastAsia="x-none"/>
        </w:rPr>
      </w:pPr>
    </w:p>
    <w:p w14:paraId="69E33CB5" w14:textId="77777777" w:rsidR="00E30C2C" w:rsidRPr="00215A93" w:rsidRDefault="00E30C2C" w:rsidP="00E30C2C">
      <w:pPr>
        <w:spacing w:after="0" w:line="240" w:lineRule="auto"/>
        <w:jc w:val="center"/>
        <w:rPr>
          <w:rFonts w:asciiTheme="minorBidi" w:hAnsiTheme="minorBidi"/>
          <w:sz w:val="24"/>
          <w:szCs w:val="24"/>
          <w:highlight w:val="yellow"/>
          <w:lang w:eastAsia="x-none"/>
        </w:rPr>
      </w:pPr>
      <w:r w:rsidRPr="00804B8B">
        <w:rPr>
          <w:rFonts w:ascii="Arial" w:hAnsi="Arial" w:cs="Arial"/>
          <w:noProof/>
          <w:sz w:val="20"/>
          <w:szCs w:val="20"/>
          <w:lang w:val="en-GB" w:eastAsia="en-GB"/>
        </w:rPr>
        <w:lastRenderedPageBreak/>
        <w:drawing>
          <wp:inline distT="0" distB="0" distL="0" distR="0" wp14:anchorId="15861D78" wp14:editId="55254CFA">
            <wp:extent cx="4580890" cy="3270885"/>
            <wp:effectExtent l="0" t="0" r="0" b="5715"/>
            <wp:docPr id="15212112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80890" cy="3270885"/>
                    </a:xfrm>
                    <a:prstGeom prst="rect">
                      <a:avLst/>
                    </a:prstGeom>
                    <a:noFill/>
                    <a:ln>
                      <a:noFill/>
                    </a:ln>
                  </pic:spPr>
                </pic:pic>
              </a:graphicData>
            </a:graphic>
          </wp:inline>
        </w:drawing>
      </w:r>
    </w:p>
    <w:p w14:paraId="4D9CD70D" w14:textId="77777777" w:rsidR="00E30C2C" w:rsidRPr="00215A93" w:rsidRDefault="00E30C2C" w:rsidP="00E30C2C">
      <w:pPr>
        <w:spacing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9</w:t>
      </w:r>
      <w:r w:rsidRPr="00215A93">
        <w:rPr>
          <w:rFonts w:asciiTheme="minorBidi" w:hAnsiTheme="minorBidi"/>
          <w:i/>
          <w:sz w:val="24"/>
          <w:szCs w:val="24"/>
        </w:rPr>
        <w:t>. Regimul debitelor medii lunare în luna iunie 202</w:t>
      </w:r>
      <w:r>
        <w:rPr>
          <w:rFonts w:asciiTheme="minorBidi" w:hAnsiTheme="minorBidi"/>
          <w:i/>
          <w:sz w:val="24"/>
          <w:szCs w:val="24"/>
        </w:rPr>
        <w:t xml:space="preserve">2 </w:t>
      </w:r>
    </w:p>
    <w:p w14:paraId="14F2EBC3" w14:textId="77777777" w:rsidR="00E30C2C" w:rsidRPr="005408B9" w:rsidRDefault="00E30C2C" w:rsidP="00E30C2C">
      <w:pPr>
        <w:spacing w:after="0" w:line="240" w:lineRule="auto"/>
        <w:ind w:firstLine="720"/>
        <w:jc w:val="both"/>
        <w:rPr>
          <w:rFonts w:ascii="Arial" w:hAnsi="Arial" w:cs="Arial"/>
          <w:sz w:val="24"/>
          <w:szCs w:val="24"/>
          <w:lang w:val="x-none" w:eastAsia="x-none"/>
        </w:rPr>
      </w:pPr>
      <w:r w:rsidRPr="005408B9">
        <w:rPr>
          <w:rFonts w:ascii="Arial" w:hAnsi="Arial" w:cs="Arial"/>
          <w:sz w:val="24"/>
          <w:szCs w:val="24"/>
          <w:lang w:eastAsia="x-none"/>
        </w:rPr>
        <w:t>În intervalul 11–17 iunie  debitele au fost relativ staţionare, exceptând ultimele trei zile când au fost în scădere pe râurile din Banat, sudul Transilvaniei, Oltenia şi Muntenia. În prima jumătate a acestui interval s-au înregistrat creşteri de niveluri şi debite,</w:t>
      </w:r>
      <w:r w:rsidRPr="005408B9">
        <w:rPr>
          <w:rFonts w:ascii="Arial" w:hAnsi="Arial" w:cs="Arial"/>
          <w:sz w:val="24"/>
          <w:szCs w:val="24"/>
          <w:lang w:val="x-none" w:eastAsia="x-none"/>
        </w:rPr>
        <w:t xml:space="preserve"> datorită precipitaţiilor şi propagării, pe unele râuri din </w:t>
      </w:r>
      <w:r w:rsidRPr="005408B9">
        <w:rPr>
          <w:rFonts w:ascii="Arial" w:hAnsi="Arial" w:cs="Arial"/>
          <w:sz w:val="24"/>
          <w:szCs w:val="24"/>
          <w:lang w:eastAsia="x-none"/>
        </w:rPr>
        <w:t>nordul şi estul ţării (Iza, Tur, Lăpuş, Suceava, Moldova, Trotuş, Jijia, Prut superior), precum şi pe râuri din Oltenia şi Muntenia (afluenţi ai Oltului inferior şi râuri din bazinele superioare ale Argeşului, Ialomiţei şi Buzăului). De asemenea, î</w:t>
      </w:r>
      <w:r w:rsidRPr="005408B9">
        <w:rPr>
          <w:rFonts w:ascii="Arial" w:hAnsi="Arial" w:cs="Arial"/>
          <w:sz w:val="24"/>
          <w:szCs w:val="24"/>
          <w:lang w:val="x-none" w:eastAsia="x-none"/>
        </w:rPr>
        <w:t xml:space="preserve">n </w:t>
      </w:r>
      <w:r w:rsidRPr="005408B9">
        <w:rPr>
          <w:rFonts w:ascii="Arial" w:hAnsi="Arial" w:cs="Arial"/>
          <w:sz w:val="24"/>
          <w:szCs w:val="24"/>
          <w:lang w:eastAsia="x-none"/>
        </w:rPr>
        <w:t>primele două zile ale acestui interval</w:t>
      </w:r>
      <w:r w:rsidRPr="005408B9">
        <w:rPr>
          <w:rFonts w:ascii="Arial" w:hAnsi="Arial" w:cs="Arial"/>
          <w:sz w:val="24"/>
          <w:szCs w:val="24"/>
          <w:lang w:val="x-none" w:eastAsia="x-none"/>
        </w:rPr>
        <w:t xml:space="preserve">, </w:t>
      </w:r>
      <w:r w:rsidRPr="005408B9">
        <w:rPr>
          <w:rFonts w:ascii="Arial" w:hAnsi="Arial" w:cs="Arial"/>
          <w:bCs/>
          <w:sz w:val="24"/>
          <w:szCs w:val="24"/>
          <w:lang w:val="x-none" w:eastAsia="x-none"/>
        </w:rPr>
        <w:t xml:space="preserve">datorită precipitaţiilor sub formă de aversă, cu caracter torenţial, temporar accentuate, </w:t>
      </w:r>
      <w:r w:rsidRPr="005408B9">
        <w:rPr>
          <w:rFonts w:ascii="Arial" w:hAnsi="Arial" w:cs="Arial"/>
          <w:bCs/>
          <w:sz w:val="24"/>
          <w:szCs w:val="24"/>
          <w:lang w:eastAsia="x-none"/>
        </w:rPr>
        <w:t>s</w:t>
      </w:r>
      <w:r w:rsidRPr="005408B9">
        <w:rPr>
          <w:rFonts w:ascii="Arial" w:hAnsi="Arial" w:cs="Arial"/>
          <w:bCs/>
          <w:sz w:val="24"/>
          <w:szCs w:val="24"/>
          <w:lang w:val="x-none" w:eastAsia="x-none"/>
        </w:rPr>
        <w:t>-</w:t>
      </w:r>
      <w:r w:rsidRPr="005408B9">
        <w:rPr>
          <w:rFonts w:ascii="Arial" w:hAnsi="Arial" w:cs="Arial"/>
          <w:sz w:val="24"/>
          <w:szCs w:val="24"/>
          <w:lang w:val="x-none" w:eastAsia="x-none"/>
        </w:rPr>
        <w:t>au înregistrat s</w:t>
      </w:r>
      <w:r w:rsidRPr="005408B9">
        <w:rPr>
          <w:rFonts w:ascii="Arial" w:hAnsi="Arial" w:cs="Arial"/>
          <w:sz w:val="24"/>
          <w:szCs w:val="24"/>
          <w:lang w:eastAsia="x-none"/>
        </w:rPr>
        <w:t xml:space="preserve">curgeri pe versanţi, torenţi, pâraie, </w:t>
      </w:r>
      <w:r w:rsidRPr="005408B9">
        <w:rPr>
          <w:rFonts w:ascii="Arial" w:hAnsi="Arial" w:cs="Arial"/>
          <w:bCs/>
          <w:sz w:val="24"/>
          <w:szCs w:val="24"/>
          <w:lang w:val="x-none" w:eastAsia="x-none"/>
        </w:rPr>
        <w:t>viituri rapide cu efecte de inundaţii locale</w:t>
      </w:r>
      <w:r w:rsidRPr="005408B9">
        <w:rPr>
          <w:rFonts w:ascii="Arial" w:hAnsi="Arial" w:cs="Arial"/>
          <w:sz w:val="24"/>
          <w:szCs w:val="24"/>
          <w:lang w:val="x-none" w:eastAsia="x-none"/>
        </w:rPr>
        <w:t xml:space="preserve"> </w:t>
      </w:r>
      <w:r w:rsidRPr="005408B9">
        <w:rPr>
          <w:rFonts w:ascii="Arial" w:hAnsi="Arial" w:cs="Arial"/>
          <w:sz w:val="24"/>
          <w:szCs w:val="24"/>
          <w:lang w:eastAsia="x-none"/>
        </w:rPr>
        <w:t xml:space="preserve">şi creşteri de niveluri şi debite pe unele râuri mici din zonele de deal și munte din nordul, vestul şi sud-vestul țării. </w:t>
      </w:r>
    </w:p>
    <w:p w14:paraId="464B49BE"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18–31 iunie debitele au fost relativ staţionare, exceptând prima zi a intervalului când au fost în  creştere  uşoară pe  Vişeu şi Iza şi zilele de 26 şi 27 iunie când  s-au mai înregistrat creşteri de niveluri şi debite, ca urmare a precipitaţiilor înregistrate, pe unele râuri din bazinele hidrografice: Iza, Someşul Mare, Lăpuş, Nera, Cerna, Jiu inferior, Lotru, Arieş, Motru, Argeş şi Buzău.</w:t>
      </w:r>
    </w:p>
    <w:p w14:paraId="5158D6D0" w14:textId="77777777" w:rsidR="00E30C2C" w:rsidRPr="005408B9" w:rsidRDefault="00E30C2C" w:rsidP="00E30C2C">
      <w:pPr>
        <w:spacing w:after="0" w:line="240" w:lineRule="auto"/>
        <w:ind w:firstLine="720"/>
        <w:jc w:val="both"/>
        <w:rPr>
          <w:rFonts w:ascii="Arial" w:hAnsi="Arial" w:cs="Arial"/>
          <w:sz w:val="24"/>
          <w:szCs w:val="24"/>
        </w:rPr>
      </w:pPr>
    </w:p>
    <w:p w14:paraId="5835CCC4"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 xml:space="preserve">În luna </w:t>
      </w:r>
      <w:r w:rsidRPr="005408B9">
        <w:rPr>
          <w:rFonts w:ascii="Arial" w:hAnsi="Arial" w:cs="Arial"/>
          <w:sz w:val="24"/>
          <w:szCs w:val="24"/>
          <w:u w:val="single"/>
          <w:lang w:eastAsia="x-none"/>
        </w:rPr>
        <w:t>iulie 2022</w:t>
      </w:r>
      <w:r w:rsidRPr="005408B9">
        <w:rPr>
          <w:rFonts w:ascii="Arial" w:hAnsi="Arial" w:cs="Arial"/>
          <w:sz w:val="24"/>
          <w:szCs w:val="24"/>
          <w:lang w:eastAsia="x-none"/>
        </w:rPr>
        <w:t xml:space="preserve">, regimul hidrologic al bazinelor hidrografice din România </w:t>
      </w:r>
      <w:r w:rsidRPr="005408B9">
        <w:rPr>
          <w:rFonts w:ascii="Arial" w:hAnsi="Arial" w:cs="Arial"/>
          <w:sz w:val="24"/>
          <w:szCs w:val="24"/>
        </w:rPr>
        <w:t xml:space="preserve">(figura </w:t>
      </w:r>
      <w:r>
        <w:rPr>
          <w:rFonts w:ascii="Arial" w:hAnsi="Arial" w:cs="Arial"/>
          <w:sz w:val="24"/>
          <w:szCs w:val="24"/>
        </w:rPr>
        <w:t>II.1.1.3.10</w:t>
      </w:r>
      <w:r w:rsidRPr="005408B9">
        <w:rPr>
          <w:rFonts w:ascii="Arial" w:hAnsi="Arial" w:cs="Arial"/>
          <w:sz w:val="24"/>
          <w:szCs w:val="24"/>
        </w:rPr>
        <w:t xml:space="preserve">) </w:t>
      </w:r>
      <w:r w:rsidRPr="005408B9">
        <w:rPr>
          <w:rFonts w:ascii="Arial" w:hAnsi="Arial" w:cs="Arial"/>
          <w:sz w:val="24"/>
          <w:szCs w:val="24"/>
          <w:lang w:eastAsia="x-none"/>
        </w:rPr>
        <w:t xml:space="preserve">   s-a situat la valori sub 30% din mediile multianuale lunare pe râurile din bazinele hidrografice: Iza, Tur, Lăpuş, Crasna, Barcău, Crişul Repede, Crişul Negru, Crişul Alb, Arieş, Târnava Mare, Târnava Mică, Moraviţa, Caraş, Nera, Cerna, Olt, Vedea, </w:t>
      </w:r>
      <w:bookmarkStart w:id="13" w:name="_Hlk109900182"/>
      <w:r w:rsidRPr="005408B9">
        <w:rPr>
          <w:rFonts w:ascii="Arial" w:hAnsi="Arial" w:cs="Arial"/>
          <w:sz w:val="24"/>
          <w:szCs w:val="24"/>
          <w:lang w:eastAsia="x-none"/>
        </w:rPr>
        <w:t xml:space="preserve">Siret (exceptând cursul superior şi mijlociu al Bistriţei şi cursul superior al Trotuşului), Prut şi pe râurile din Dobrogea </w:t>
      </w:r>
      <w:bookmarkEnd w:id="13"/>
      <w:r w:rsidRPr="005408B9">
        <w:rPr>
          <w:rFonts w:ascii="Arial" w:hAnsi="Arial" w:cs="Arial"/>
          <w:sz w:val="24"/>
          <w:szCs w:val="24"/>
          <w:lang w:eastAsia="x-none"/>
        </w:rPr>
        <w:t xml:space="preserve">şi între 30–50% din normalele lunare pe râurile din bazinele hidrografice: Vişeu, Someş (exceptând Lăpuşul), Mureş (exceptând Arieşul şi Târnavele), Bega Veche, Bega, Timiş, Bârzava, Jiu, Argeş, Ialomiţa, pe cursul superior şi mijlociu al Bistriţei şi pe cursul superior al Trotuşului. </w:t>
      </w:r>
    </w:p>
    <w:p w14:paraId="22FD67ED" w14:textId="77777777" w:rsidR="00E30C2C" w:rsidRPr="005408B9" w:rsidRDefault="00E30C2C" w:rsidP="00E30C2C">
      <w:pPr>
        <w:spacing w:after="0" w:line="240" w:lineRule="auto"/>
        <w:ind w:firstLine="720"/>
        <w:jc w:val="both"/>
        <w:rPr>
          <w:rFonts w:ascii="Arial" w:hAnsi="Arial" w:cs="Arial"/>
          <w:sz w:val="24"/>
          <w:szCs w:val="24"/>
          <w:lang w:eastAsia="x-none"/>
        </w:rPr>
      </w:pPr>
      <w:r w:rsidRPr="005408B9">
        <w:rPr>
          <w:rFonts w:ascii="Arial" w:hAnsi="Arial" w:cs="Arial"/>
          <w:sz w:val="24"/>
          <w:szCs w:val="24"/>
          <w:lang w:eastAsia="x-none"/>
        </w:rPr>
        <w:t>În intervalul 1</w:t>
      </w:r>
      <w:bookmarkStart w:id="14" w:name="_Hlk109899602"/>
      <w:r w:rsidRPr="005408B9">
        <w:rPr>
          <w:rFonts w:ascii="Arial" w:hAnsi="Arial" w:cs="Arial"/>
          <w:sz w:val="24"/>
          <w:szCs w:val="24"/>
          <w:lang w:eastAsia="x-none"/>
        </w:rPr>
        <w:t>–</w:t>
      </w:r>
      <w:bookmarkEnd w:id="14"/>
      <w:r w:rsidRPr="005408B9">
        <w:rPr>
          <w:rFonts w:ascii="Arial" w:hAnsi="Arial" w:cs="Arial"/>
          <w:sz w:val="24"/>
          <w:szCs w:val="24"/>
          <w:lang w:eastAsia="x-none"/>
        </w:rPr>
        <w:t>5 iulie, debitele au fost în general staţionare. În acest interval, datorită instabilităţii atmosferice ridicate, cu precipitaţii sub formă de aversă, cu caracter torenţial şi mai importante cantitativ, s-au înregistrat zilnic, scurgeri importante pe versanţi, torenţi, pâraie, viituri rapide pe râurile mici cu efecte de inundaţii locale şi creşteri de debite şi niveluri, în primele trei zile pe unele râuri din Maramureş, Crişana şi Moldova, iar în următoarele două zile pe unele râuri din Banat şi Muntenia. În acest interval s-au situat peste COTELE DE ATENŢIE râul Bistriţa (afluent al Someşului Mare) la staţia hidrometrică Miţa şi râul Nădrag (afluent al Timişului) la staţia hidrometrică Nădrag.</w:t>
      </w:r>
    </w:p>
    <w:p w14:paraId="6E88B813" w14:textId="77777777" w:rsidR="00E30C2C" w:rsidRPr="00215A93" w:rsidRDefault="00E30C2C" w:rsidP="00E30C2C">
      <w:pPr>
        <w:spacing w:line="240" w:lineRule="auto"/>
        <w:ind w:firstLine="720"/>
        <w:jc w:val="both"/>
        <w:rPr>
          <w:rFonts w:asciiTheme="minorBidi" w:hAnsiTheme="minorBidi"/>
          <w:sz w:val="24"/>
          <w:szCs w:val="24"/>
          <w:lang w:eastAsia="x-none"/>
        </w:rPr>
      </w:pPr>
    </w:p>
    <w:p w14:paraId="0E0AADF6" w14:textId="77777777" w:rsidR="00E30C2C" w:rsidRPr="00215A93" w:rsidRDefault="00E30C2C" w:rsidP="00E30C2C">
      <w:pPr>
        <w:spacing w:line="240" w:lineRule="auto"/>
        <w:jc w:val="center"/>
        <w:rPr>
          <w:rFonts w:asciiTheme="minorBidi" w:hAnsiTheme="minorBidi"/>
          <w:sz w:val="24"/>
          <w:szCs w:val="24"/>
          <w:highlight w:val="yellow"/>
          <w:lang w:eastAsia="x-none"/>
        </w:rPr>
      </w:pPr>
      <w:r w:rsidRPr="00804B8B">
        <w:rPr>
          <w:rFonts w:ascii="Arial" w:hAnsi="Arial" w:cs="Arial"/>
          <w:noProof/>
          <w:sz w:val="20"/>
          <w:szCs w:val="20"/>
          <w:lang w:val="en-GB" w:eastAsia="en-GB"/>
        </w:rPr>
        <w:drawing>
          <wp:inline distT="0" distB="0" distL="0" distR="0" wp14:anchorId="1306E3A2" wp14:editId="0A5780B1">
            <wp:extent cx="4545330" cy="3253105"/>
            <wp:effectExtent l="0" t="0" r="7620" b="4445"/>
            <wp:docPr id="15614178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45330" cy="3253105"/>
                    </a:xfrm>
                    <a:prstGeom prst="rect">
                      <a:avLst/>
                    </a:prstGeom>
                    <a:noFill/>
                    <a:ln>
                      <a:noFill/>
                    </a:ln>
                  </pic:spPr>
                </pic:pic>
              </a:graphicData>
            </a:graphic>
          </wp:inline>
        </w:drawing>
      </w:r>
    </w:p>
    <w:p w14:paraId="4AC06FFD"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10: </w:t>
      </w:r>
      <w:r w:rsidRPr="00215A93">
        <w:rPr>
          <w:rFonts w:asciiTheme="minorBidi" w:hAnsiTheme="minorBidi"/>
          <w:i/>
          <w:sz w:val="24"/>
          <w:szCs w:val="24"/>
        </w:rPr>
        <w:t>Regimul debitelor medii lunare în luna iulie 202</w:t>
      </w:r>
      <w:r>
        <w:rPr>
          <w:rFonts w:asciiTheme="minorBidi" w:hAnsiTheme="minorBidi"/>
          <w:i/>
          <w:sz w:val="24"/>
          <w:szCs w:val="24"/>
        </w:rPr>
        <w:t xml:space="preserve">2 </w:t>
      </w:r>
    </w:p>
    <w:p w14:paraId="53950A89"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17C20A81"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 xml:space="preserve">În zilele de 6 şi 7 iulie debitele au fost în creştere, datorită precipitaţiilor căzute şi propagării, în prima zi pe râurile din Banat, Oltenia şi nordul Munteniei şi în a doua zi pe cele din Maramures, Transilvania, Oltenia şi vestul Moldovei. Pe celelalte râuri debitele au fost relativ staţionare. </w:t>
      </w:r>
    </w:p>
    <w:p w14:paraId="0A19BD73"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În intervalul 8–11 iulie debitele au fost relativ staţionare. În primele două zile ale acestui interval, datorită precipitaţiilor sub formă de aversă, cu caracter torenţial, temporar accentuate, s-au înregistrat scurgeri pe versanţi, torenţi, pâraie,  şi creşteri de niveluri şi debite pe râul Vedea, pe afluenţii Argeşului inferior şi pe cursul superior al Putnei, iar în cea de a doua zi pe râurile din bazinele hidrografice: Bârzava, Caraș, Nera, Cerna, Jiu și Timiș superior.</w:t>
      </w:r>
    </w:p>
    <w:p w14:paraId="18859C4D"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În intervalul 12–29 iulie, debitele pe râuri au fost în general staţionare. În acest interval s-au înregistrat cantităţi reduse de precipitaţii, pe suprafeţe restrânse, în zilele de 12, 13, 17 şi în intervalul 25–29 iulie, care au determinat în zilele respective, creşteri mici de niveluri şi debite pe unele râuri, în special din zona de munte.</w:t>
      </w:r>
    </w:p>
    <w:p w14:paraId="58CA004D"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În ultimele două zile ale lunii iulie, debitele au fost în general în creştere pe râurile din estul şi vestul ţării şi relativ staţionare pe celelalte râuri.</w:t>
      </w:r>
    </w:p>
    <w:p w14:paraId="587A6B01" w14:textId="77777777" w:rsidR="00E30C2C" w:rsidRPr="00803102" w:rsidRDefault="00E30C2C" w:rsidP="00E30C2C">
      <w:pPr>
        <w:spacing w:after="0" w:line="240" w:lineRule="auto"/>
        <w:ind w:firstLine="720"/>
        <w:jc w:val="both"/>
        <w:rPr>
          <w:rFonts w:ascii="Arial" w:hAnsi="Arial" w:cs="Arial"/>
          <w:sz w:val="24"/>
          <w:szCs w:val="24"/>
          <w:lang w:eastAsia="x-none"/>
        </w:rPr>
      </w:pPr>
    </w:p>
    <w:p w14:paraId="6B67E7D1"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 xml:space="preserve">În luna </w:t>
      </w:r>
      <w:r w:rsidRPr="00803102">
        <w:rPr>
          <w:rFonts w:ascii="Arial" w:hAnsi="Arial" w:cs="Arial"/>
          <w:sz w:val="24"/>
          <w:szCs w:val="24"/>
          <w:u w:val="single"/>
          <w:lang w:eastAsia="x-none"/>
        </w:rPr>
        <w:t>august 2022</w:t>
      </w:r>
      <w:r w:rsidRPr="00803102">
        <w:rPr>
          <w:rFonts w:ascii="Arial" w:hAnsi="Arial" w:cs="Arial"/>
          <w:sz w:val="24"/>
          <w:szCs w:val="24"/>
          <w:lang w:eastAsia="x-none"/>
        </w:rPr>
        <w:t xml:space="preserve">, regimul  hidrologic al  bazinelor hidrografice  din  România </w:t>
      </w:r>
      <w:r w:rsidRPr="00803102">
        <w:rPr>
          <w:rFonts w:ascii="Arial" w:hAnsi="Arial" w:cs="Arial"/>
          <w:sz w:val="24"/>
          <w:szCs w:val="24"/>
        </w:rPr>
        <w:t xml:space="preserve">(figura </w:t>
      </w:r>
      <w:r>
        <w:rPr>
          <w:rFonts w:ascii="Arial" w:hAnsi="Arial" w:cs="Arial"/>
          <w:sz w:val="24"/>
          <w:szCs w:val="24"/>
        </w:rPr>
        <w:t>II.1.1.3.11</w:t>
      </w:r>
      <w:r w:rsidRPr="00803102">
        <w:rPr>
          <w:rFonts w:ascii="Arial" w:hAnsi="Arial" w:cs="Arial"/>
          <w:sz w:val="24"/>
          <w:szCs w:val="24"/>
        </w:rPr>
        <w:t>)</w:t>
      </w:r>
      <w:r w:rsidRPr="00803102">
        <w:rPr>
          <w:rFonts w:ascii="Arial" w:hAnsi="Arial" w:cs="Arial"/>
          <w:sz w:val="24"/>
          <w:szCs w:val="24"/>
          <w:lang w:eastAsia="x-none"/>
        </w:rPr>
        <w:t xml:space="preserve">  s-a situat  la următoarele valori:</w:t>
      </w:r>
    </w:p>
    <w:p w14:paraId="0C3530B2"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 între 80</w:t>
      </w:r>
      <w:r w:rsidRPr="00803102">
        <w:rPr>
          <w:rFonts w:ascii="Arial" w:hAnsi="Arial" w:cs="Arial"/>
          <w:sz w:val="24"/>
          <w:szCs w:val="24"/>
          <w:lang w:val="x-none" w:eastAsia="x-none"/>
        </w:rPr>
        <w:t>–</w:t>
      </w:r>
      <w:r w:rsidRPr="00803102">
        <w:rPr>
          <w:rFonts w:ascii="Arial" w:hAnsi="Arial" w:cs="Arial"/>
          <w:sz w:val="24"/>
          <w:szCs w:val="24"/>
          <w:lang w:eastAsia="x-none"/>
        </w:rPr>
        <w:t>100% din mediile multianuale lunare pe cursul Jiului, pe Gilort şi pe râurile din bazinul hidrografic al Prahovei;</w:t>
      </w:r>
    </w:p>
    <w:p w14:paraId="6F99C233"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 între 50</w:t>
      </w:r>
      <w:r w:rsidRPr="00803102">
        <w:rPr>
          <w:rFonts w:ascii="Arial" w:hAnsi="Arial" w:cs="Arial"/>
          <w:sz w:val="24"/>
          <w:szCs w:val="24"/>
          <w:lang w:val="x-none" w:eastAsia="x-none"/>
        </w:rPr>
        <w:t>–</w:t>
      </w:r>
      <w:r w:rsidRPr="00803102">
        <w:rPr>
          <w:rFonts w:ascii="Arial" w:hAnsi="Arial" w:cs="Arial"/>
          <w:sz w:val="24"/>
          <w:szCs w:val="24"/>
          <w:lang w:eastAsia="x-none"/>
        </w:rPr>
        <w:t>80% din mediile multianuale lunare pe râurile din bazinele hidrografice: Vişeu, Iza, Someşul Mare, Someşul Mic, Arieş, Vedea, Argeş, Buzău, Putna, Trotuş, Bistriţa, Suceava, pe cursul Ialomiţei şi pe cursurile superioare ale Mureşului, Târnavelor, Oltului şi Moldovei;</w:t>
      </w:r>
    </w:p>
    <w:p w14:paraId="78BC1ECD"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 între 30</w:t>
      </w:r>
      <w:r w:rsidRPr="00803102">
        <w:rPr>
          <w:rFonts w:ascii="Arial" w:hAnsi="Arial" w:cs="Arial"/>
          <w:sz w:val="24"/>
          <w:szCs w:val="24"/>
          <w:lang w:val="x-none" w:eastAsia="x-none"/>
        </w:rPr>
        <w:t>–</w:t>
      </w:r>
      <w:r w:rsidRPr="00803102">
        <w:rPr>
          <w:rFonts w:ascii="Arial" w:hAnsi="Arial" w:cs="Arial"/>
          <w:sz w:val="24"/>
          <w:szCs w:val="24"/>
          <w:lang w:eastAsia="x-none"/>
        </w:rPr>
        <w:t xml:space="preserve">50% din mediile multianuale lunare </w:t>
      </w:r>
      <w:bookmarkStart w:id="15" w:name="_Hlk112839294"/>
      <w:r w:rsidRPr="00803102">
        <w:rPr>
          <w:rFonts w:ascii="Arial" w:hAnsi="Arial" w:cs="Arial"/>
          <w:sz w:val="24"/>
          <w:szCs w:val="24"/>
          <w:lang w:eastAsia="x-none"/>
        </w:rPr>
        <w:t>pe râurile din bazinele hidrografice: Tur, Someş – aval staţia hidrometrică Dej, Crasna, Barcău, Crişul Repede, Crişul Negru, Crişul Alb, Bega Veche, Bega, Timiş, Bârzava, Moraviţa, Caraş, Nera, Cerna, Motru, Desnăţui, pe cursurile mijlocii şi inferioare ale Mureşului, Târnavelor şi Oltului şi pe râurile din Dobrogea;</w:t>
      </w:r>
    </w:p>
    <w:bookmarkEnd w:id="15"/>
    <w:p w14:paraId="63F69D79" w14:textId="77777777" w:rsidR="00E30C2C" w:rsidRPr="00803102" w:rsidRDefault="00E30C2C" w:rsidP="00E30C2C">
      <w:pPr>
        <w:spacing w:after="0" w:line="240" w:lineRule="auto"/>
        <w:ind w:firstLine="720"/>
        <w:jc w:val="both"/>
        <w:rPr>
          <w:rFonts w:ascii="Arial" w:hAnsi="Arial" w:cs="Arial"/>
          <w:sz w:val="24"/>
          <w:szCs w:val="24"/>
          <w:lang w:eastAsia="x-none"/>
        </w:rPr>
      </w:pPr>
      <w:r w:rsidRPr="00803102">
        <w:rPr>
          <w:rFonts w:ascii="Arial" w:hAnsi="Arial" w:cs="Arial"/>
          <w:sz w:val="24"/>
          <w:szCs w:val="24"/>
          <w:lang w:eastAsia="x-none"/>
        </w:rPr>
        <w:t>- sub 30% din normalele lunare pe râurile din bazinele hidrografice ale Râmnicului Sărat, Bârladului, Prutului şi pe cursul Siretului.</w:t>
      </w:r>
    </w:p>
    <w:p w14:paraId="070426AB" w14:textId="77777777" w:rsidR="00E30C2C" w:rsidRPr="00215A93" w:rsidRDefault="00E30C2C" w:rsidP="00E30C2C">
      <w:pPr>
        <w:spacing w:line="240" w:lineRule="auto"/>
        <w:ind w:firstLine="720"/>
        <w:jc w:val="both"/>
        <w:rPr>
          <w:rFonts w:asciiTheme="minorBidi" w:hAnsiTheme="minorBidi"/>
          <w:sz w:val="24"/>
          <w:szCs w:val="24"/>
          <w:lang w:eastAsia="x-none"/>
        </w:rPr>
      </w:pPr>
    </w:p>
    <w:p w14:paraId="454C1D53" w14:textId="77777777" w:rsidR="00E30C2C" w:rsidRPr="00215A93" w:rsidRDefault="00E30C2C" w:rsidP="00E30C2C">
      <w:pPr>
        <w:spacing w:line="240" w:lineRule="auto"/>
        <w:jc w:val="center"/>
        <w:rPr>
          <w:rFonts w:asciiTheme="minorBidi" w:hAnsiTheme="minorBidi"/>
          <w:sz w:val="24"/>
          <w:szCs w:val="24"/>
          <w:highlight w:val="yellow"/>
          <w:lang w:eastAsia="x-none"/>
        </w:rPr>
      </w:pPr>
      <w:r w:rsidRPr="00804B8B">
        <w:rPr>
          <w:rFonts w:ascii="Arial" w:hAnsi="Arial" w:cs="Arial"/>
          <w:noProof/>
          <w:sz w:val="20"/>
          <w:szCs w:val="20"/>
          <w:lang w:val="en-GB" w:eastAsia="en-GB"/>
        </w:rPr>
        <w:drawing>
          <wp:inline distT="0" distB="0" distL="0" distR="0" wp14:anchorId="59F0BAAD" wp14:editId="0336576B">
            <wp:extent cx="4554220" cy="3200400"/>
            <wp:effectExtent l="0" t="0" r="0" b="0"/>
            <wp:docPr id="16513669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54220" cy="3200400"/>
                    </a:xfrm>
                    <a:prstGeom prst="rect">
                      <a:avLst/>
                    </a:prstGeom>
                    <a:noFill/>
                    <a:ln>
                      <a:noFill/>
                    </a:ln>
                  </pic:spPr>
                </pic:pic>
              </a:graphicData>
            </a:graphic>
          </wp:inline>
        </w:drawing>
      </w:r>
    </w:p>
    <w:p w14:paraId="140DE3A1"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11: </w:t>
      </w:r>
      <w:r w:rsidRPr="00215A93">
        <w:rPr>
          <w:rFonts w:asciiTheme="minorBidi" w:hAnsiTheme="minorBidi"/>
          <w:i/>
          <w:sz w:val="24"/>
          <w:szCs w:val="24"/>
        </w:rPr>
        <w:t>Regimul debitelor medii lunare în luna august 202</w:t>
      </w:r>
      <w:r>
        <w:rPr>
          <w:rFonts w:asciiTheme="minorBidi" w:hAnsiTheme="minorBidi"/>
          <w:i/>
          <w:sz w:val="24"/>
          <w:szCs w:val="24"/>
        </w:rPr>
        <w:t xml:space="preserve">2 </w:t>
      </w:r>
    </w:p>
    <w:p w14:paraId="73E24F3B" w14:textId="77777777" w:rsidR="00E30C2C" w:rsidRPr="00215A93" w:rsidRDefault="00E30C2C" w:rsidP="00E30C2C">
      <w:pPr>
        <w:spacing w:after="0" w:line="240" w:lineRule="auto"/>
        <w:ind w:firstLine="720"/>
        <w:jc w:val="both"/>
        <w:rPr>
          <w:rFonts w:asciiTheme="minorBidi" w:hAnsiTheme="minorBidi"/>
          <w:sz w:val="24"/>
          <w:szCs w:val="24"/>
          <w:highlight w:val="yellow"/>
        </w:rPr>
      </w:pPr>
    </w:p>
    <w:p w14:paraId="4C069008"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primele două zile ale lunii august 2022 debitele au fost în creștere, ca urmare a precipitațiilor căzute și propagării pe cursurile superioare ale Mureşului şi Oltului, pe Trotuş, Rm. Sărat, Sitna şi pe râurile din Dobrogea şi numai prin propagare pe cursul superior al Prutului şi pe cursurile mijlocii şi inferioare ale râurilor: Tur, Crasna, Barcău, Crişul Repede, Crişul Negru, Crişul Alb, Bega, Timiş, Bârzava, Caraş, Nera, Târnave, Ialomița, Buzău, Putna, Bistrița, Moldova şi Suceava. Pe celelalte râuri debitele au fost în uşoară scădere, exceptând râurile din bazinele hidrografice Vedea, Bârlad şi cursul mijlociu şi inferior al Prutului, unde au fost relativ staționare.</w:t>
      </w:r>
    </w:p>
    <w:p w14:paraId="32D057A7"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prima zi a lunii august s-au înregistrat scurgeri importante pe versanţi, torenţi şi pâraie, viituri rapide cu efecte de inundaţii locale şi creşteri de debite şi niveluri pe unele râuri mici din bazinul superior al Prahovei şi din Dobrogea, ca urmare a precipitațiilor torențiale căzute în interval, sub formă de aversă, izolat, mai însemnate cantitativ.</w:t>
      </w:r>
    </w:p>
    <w:p w14:paraId="7DBF65D9"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acest interval s-au situat peste COTELE DE ATENȚIE râul Doftana la stația hidrometrică Teșila, râul Topolog la stația hidrometrică Saraiu şi râul Casimcea la stația hidrometrică Cheia.</w:t>
      </w:r>
    </w:p>
    <w:p w14:paraId="32B34146"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intervalul 3–8 august, debitele râurilor au fost în general în scădere, exceptând râurile din Banat, Oltenia, sudul Munteniei, estul Moldovei şi din Dobrogea unde au fost relativ staţionare.</w:t>
      </w:r>
    </w:p>
    <w:p w14:paraId="21DBF59F"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În zilele de 9 şi 10 august debitele au fost în creştere ca urmare a precipitațiilor căzute şi propagării pe râurile din bazinele hidrografice: Vişeu, Iza, Tur, Someș, Crasna, Barcău, Crișuri, Mureş, Bega, Timiş, Bârzava, Caraş, Jiu, Argeş, Ialomița, Buzău, Bârlad, Trotuş şi Bistriţa. Pe celelalte râuri debitele au fost relativ staționare. </w:t>
      </w:r>
    </w:p>
    <w:p w14:paraId="0E6A8A6A" w14:textId="77777777" w:rsidR="00E30C2C" w:rsidRPr="00DA78C2" w:rsidRDefault="00E30C2C" w:rsidP="00E30C2C">
      <w:pPr>
        <w:spacing w:after="0" w:line="240" w:lineRule="auto"/>
        <w:ind w:firstLine="720"/>
        <w:jc w:val="both"/>
        <w:rPr>
          <w:rFonts w:ascii="Arial" w:hAnsi="Arial" w:cs="Arial"/>
          <w:sz w:val="24"/>
          <w:szCs w:val="24"/>
          <w:lang w:eastAsia="x-none"/>
        </w:rPr>
      </w:pPr>
      <w:bookmarkStart w:id="16" w:name="_Hlk112397256"/>
      <w:r w:rsidRPr="00DA78C2">
        <w:rPr>
          <w:rFonts w:ascii="Arial" w:hAnsi="Arial" w:cs="Arial"/>
          <w:sz w:val="24"/>
          <w:szCs w:val="24"/>
          <w:lang w:eastAsia="x-none"/>
        </w:rPr>
        <w:t xml:space="preserve">De asemenea, s-au înregistrat scurgeri importante pe versanți, torenți, pâraie, formarea de viituri rapide cu efecte de inundații locale și creșteri mai importante de niveluri și debite pe unele râuri mici din Maramureș, Transilvania, Banat, Crișana şi sudul Moldovei, ca urmare a precipitațiilor sub formă de aversă și cu caracter torențial, izolat mai însemnate cantitativ. </w:t>
      </w:r>
    </w:p>
    <w:p w14:paraId="284CBA15"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acest interval s-a situat la COTA DE INUNDAŢIE râul Tecucel la staţia hidrometrică Tecuci şi peste COTELE DE ATENȚIE râul Sălăuța la stația hidrometrică Romuli şi râul Saşa la stația hidrometrică Poieni.</w:t>
      </w:r>
    </w:p>
    <w:p w14:paraId="228B8C9A" w14:textId="77777777" w:rsidR="00E30C2C" w:rsidRPr="00DA78C2" w:rsidRDefault="00E30C2C" w:rsidP="00E30C2C">
      <w:pPr>
        <w:spacing w:after="0" w:line="240" w:lineRule="auto"/>
        <w:ind w:firstLine="720"/>
        <w:jc w:val="both"/>
        <w:rPr>
          <w:rFonts w:ascii="Arial" w:hAnsi="Arial" w:cs="Arial"/>
          <w:sz w:val="24"/>
          <w:szCs w:val="24"/>
          <w:lang w:eastAsia="x-none"/>
        </w:rPr>
      </w:pPr>
      <w:bookmarkStart w:id="17" w:name="_Hlk112246600"/>
      <w:bookmarkEnd w:id="16"/>
      <w:r w:rsidRPr="00DA78C2">
        <w:rPr>
          <w:rFonts w:ascii="Arial" w:hAnsi="Arial" w:cs="Arial"/>
          <w:sz w:val="24"/>
          <w:szCs w:val="24"/>
          <w:lang w:eastAsia="x-none"/>
        </w:rPr>
        <w:t xml:space="preserve">În intervalul 11–16 august, </w:t>
      </w:r>
      <w:bookmarkEnd w:id="17"/>
      <w:r w:rsidRPr="00DA78C2">
        <w:rPr>
          <w:rFonts w:ascii="Arial" w:hAnsi="Arial" w:cs="Arial"/>
          <w:sz w:val="24"/>
          <w:szCs w:val="24"/>
          <w:lang w:eastAsia="x-none"/>
        </w:rPr>
        <w:t xml:space="preserve">debitele au fost în general în scădere, exceptând râurile din zonele de câmpie din sudul şi estul ţării unde au fost relativ staţionare. În acest </w:t>
      </w:r>
      <w:r w:rsidRPr="00DA78C2">
        <w:rPr>
          <w:rFonts w:ascii="Arial" w:hAnsi="Arial" w:cs="Arial"/>
          <w:sz w:val="24"/>
          <w:szCs w:val="24"/>
          <w:lang w:eastAsia="x-none"/>
        </w:rPr>
        <w:lastRenderedPageBreak/>
        <w:t>interval, datorită precipitaţiilor înregistrate, în general sub formă de aversă, s-au înregistrat creşteri de niveluri şi debite, în primele două zile pe cursurile superioare ale râurilor: Arieş, Jiu, Olteţ, Olt, Argeş, Suceava, Moldova şi Prut, iar în ultimele trei zile pe Vişeu, Iza, pe cursurile superioare ale Mureşului şi Bistriţei, pe unii afluenţi ai Oltului inferior, Argeşului mijlociu şi inferior şi pe unele râuri din Dobrogea, cu depăşirea COTEI DE ATENŢIE pe râul Casimcea la stația hidrometrică Cheia şi pe râul Topolog la stația hidrometrică Saraiu.</w:t>
      </w:r>
    </w:p>
    <w:p w14:paraId="5E9DA2AC"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intervalul 17</w:t>
      </w:r>
      <w:bookmarkStart w:id="18" w:name="_Hlk112396527"/>
      <w:r w:rsidRPr="00DA78C2">
        <w:rPr>
          <w:rFonts w:ascii="Arial" w:hAnsi="Arial" w:cs="Arial"/>
          <w:sz w:val="24"/>
          <w:szCs w:val="24"/>
          <w:lang w:eastAsia="x-none"/>
        </w:rPr>
        <w:t>–</w:t>
      </w:r>
      <w:bookmarkEnd w:id="18"/>
      <w:r w:rsidRPr="00DA78C2">
        <w:rPr>
          <w:rFonts w:ascii="Arial" w:hAnsi="Arial" w:cs="Arial"/>
          <w:sz w:val="24"/>
          <w:szCs w:val="24"/>
          <w:lang w:eastAsia="x-none"/>
        </w:rPr>
        <w:t>20 august debitele au fost în general staţionare pe râurile din Oltenia, Muntenia şi Moldova şi în scădere uşoară pe celelalte râuri. În primele două zile, datorită precipitaţiilor sub formă de aversă, mai însemnate cantitativ, s-au înregistrat creşteri de niveluri şi debite pe unele râuri din Maramureş, Crişana, Moldova şi nordul Olteniei şi s-a situat la COTA DE ATENŢIE râul Tur la staţia hidrometrică Negreşti Oaş.</w:t>
      </w:r>
    </w:p>
    <w:p w14:paraId="60767933"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În intervalul 21–24 august, interval caracterizat prin instabilitate atmosferică ridicată, cu precipitaţii pe areale extinse, debitele au fost în general în creştere. În primele două zile debitele au fost în creştere pe râurile din jumătatea de vest a ţării şi relativ staţionare pe cele din jumătatea estică, iar în următoarele două zile debitele au fost în creştere pe majoritatea râurilor. </w:t>
      </w:r>
    </w:p>
    <w:p w14:paraId="3C1475C4"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De asemenea, ca urmare a precipitațiilor sub formă de aversă și cu caracter torențial, izolat mai însemnate cantitativ, s-au înregistrat scurgeri importante pe versanți, torenți, pâraie, formarea de viituri rapide cu efecte de inundații locale și creșteri mai importante de niveluri și debite, cu depăsiri ale COTELOR DE APĂRARE, pe unele râuri mici din Maramureş, Banat, nordul Munteniei, Moldova şi Dobrogea. </w:t>
      </w:r>
    </w:p>
    <w:p w14:paraId="77F6AAAE"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acest interval s-a situat la COTA DE INUNDAŢIE râul Topolog la stația hidrometrică Saraiu şi peste COTELE DE ATENȚIE râurile la staţiile hidrometrice:  Cormaia – Sângeorz Băi, Gladna – Firdea, Bega – Luncani, Ialomicioara – Fieni, Bughea – Bughea de Jos şi Casimcea – Cheia.</w:t>
      </w:r>
    </w:p>
    <w:p w14:paraId="4CFEC42E"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În intervalul 24 – 29 august debitele au fost în scădere, exceptând râurile din bazinele hidrografice: Vedea, Argeş inferior, Prut mijlociu şi inferior şi râurile din Dobrogea unde au fost relativ staţionare. </w:t>
      </w:r>
    </w:p>
    <w:p w14:paraId="64B8F2FF"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ultimele două zile ale lunii august debitele au fost staţionare, exceptând râurile din bazinele hidrografice: Crasna, Barcău, Crişul Repede, Crişul Negru, Trotuş, Suceava şi cele din bazinele superioare ale râurilor: Jiu, Olt,  Buzău, Bistriţa şi Moldova, unde au fost în creştere, ca urmare a precipitaţiilor căzute şi propagării. Datorită precipitaţiilor sub formă de aversă, cu caracter torenţial şi mai însemnate cantitativ, căzute în acest  interval, s-au produs scurgeri importante pe versanţi, torenţi, pâraie, cu formare de viituri rapide și efecte izolate de inundaţii locale şi creşteri mai importante de niveluri şi debite, cu depășirea COTELOR DE ATENȚIE pe râul Ozunca la staţia hidrometrică Bățanii Mari şi pe râul  Hăuzeasca  la staţia hidrometrică Firdea.</w:t>
      </w:r>
    </w:p>
    <w:p w14:paraId="264F1C1F" w14:textId="77777777" w:rsidR="00E30C2C" w:rsidRPr="00DA78C2" w:rsidRDefault="00E30C2C" w:rsidP="00E30C2C">
      <w:pPr>
        <w:spacing w:after="0" w:line="240" w:lineRule="auto"/>
        <w:jc w:val="both"/>
        <w:rPr>
          <w:rFonts w:ascii="Arial" w:hAnsi="Arial" w:cs="Arial"/>
          <w:sz w:val="24"/>
          <w:szCs w:val="24"/>
        </w:rPr>
      </w:pPr>
    </w:p>
    <w:p w14:paraId="43F691ED" w14:textId="77777777" w:rsidR="00E30C2C" w:rsidRPr="00DA78C2" w:rsidRDefault="00E30C2C" w:rsidP="00E30C2C">
      <w:pPr>
        <w:spacing w:after="0" w:line="240" w:lineRule="auto"/>
        <w:ind w:right="-567"/>
        <w:rPr>
          <w:rFonts w:ascii="Arial" w:hAnsi="Arial" w:cs="Arial"/>
          <w:b/>
          <w:sz w:val="24"/>
          <w:szCs w:val="24"/>
        </w:rPr>
      </w:pPr>
      <w:r w:rsidRPr="00DA78C2">
        <w:rPr>
          <w:rFonts w:ascii="Arial" w:hAnsi="Arial" w:cs="Arial"/>
          <w:b/>
          <w:sz w:val="24"/>
          <w:szCs w:val="24"/>
        </w:rPr>
        <w:t>Caracterizarea sezonului de toamnă 2022</w:t>
      </w:r>
    </w:p>
    <w:p w14:paraId="65490192" w14:textId="77777777" w:rsidR="00E30C2C" w:rsidRPr="00DA78C2" w:rsidRDefault="00E30C2C" w:rsidP="00E30C2C">
      <w:pPr>
        <w:spacing w:after="0" w:line="240" w:lineRule="auto"/>
        <w:ind w:right="-567"/>
        <w:rPr>
          <w:rFonts w:ascii="Arial" w:hAnsi="Arial" w:cs="Arial"/>
          <w:b/>
          <w:i/>
          <w:sz w:val="24"/>
          <w:szCs w:val="24"/>
          <w:highlight w:val="yellow"/>
        </w:rPr>
      </w:pPr>
    </w:p>
    <w:p w14:paraId="3CCE1B07"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În toamna anului 2022 regimul hidrologic al râurilor din România (figura </w:t>
      </w:r>
      <w:r>
        <w:rPr>
          <w:rFonts w:ascii="Arial" w:hAnsi="Arial" w:cs="Arial"/>
          <w:sz w:val="24"/>
          <w:szCs w:val="24"/>
          <w:lang w:eastAsia="x-none"/>
        </w:rPr>
        <w:t>II.1.1.3.</w:t>
      </w:r>
      <w:r w:rsidRPr="00DA78C2">
        <w:rPr>
          <w:rFonts w:ascii="Arial" w:hAnsi="Arial" w:cs="Arial"/>
          <w:sz w:val="24"/>
          <w:szCs w:val="24"/>
          <w:lang w:eastAsia="x-none"/>
        </w:rPr>
        <w:t>1</w:t>
      </w:r>
      <w:r>
        <w:rPr>
          <w:rFonts w:ascii="Arial" w:hAnsi="Arial" w:cs="Arial"/>
          <w:sz w:val="24"/>
          <w:szCs w:val="24"/>
          <w:lang w:eastAsia="x-none"/>
        </w:rPr>
        <w:t>2</w:t>
      </w:r>
      <w:r w:rsidRPr="00DA78C2">
        <w:rPr>
          <w:rFonts w:ascii="Arial" w:hAnsi="Arial" w:cs="Arial"/>
          <w:sz w:val="24"/>
          <w:szCs w:val="24"/>
          <w:lang w:eastAsia="x-none"/>
        </w:rPr>
        <w:t>) s-a situat  la valori peste mediile multianuale sezoniere pe râurile din bazinele hidrografice: Vişeu, Iza, Tur, Someş, Crasna, Barcău, Crişul Repede, Crişul Negru, Crişul Alb, Mureş, Bega Veche, Bega, Timiş, Bârzava, Moraviţa, Caraş, Nera, Gilort, Bistriţa, pe cursurile superioare ale râurilor: Olt, Trotuş, Moldova, Suceava şi pe cursul superior şi mijlociu al Jiului. Pe celelalte râuri regimul hidrologic s-a situat la valori cuprinse între 50-80%, din mediile multianuale sezoniere, mai mari (80-100%) pe râurile din bazinul hidrografic al Oltului (aval staţia hidrometrică Sâncrăieni) şi pe cursul inferior al Jiului şi mai mici (30-50%) pe Vedea, afluenţii Prutului şi pe râurile din Dobrogea. Cele mai mici valori  (sub 30% din normalele sezoniere) s-au înregistrat pe râurile din bazinele hidrografice Rm. Sărat şi Bârlad.</w:t>
      </w:r>
    </w:p>
    <w:p w14:paraId="49EF9EFA" w14:textId="77777777" w:rsidR="00E30C2C" w:rsidRPr="00215A93" w:rsidRDefault="00E30C2C" w:rsidP="00E30C2C">
      <w:pPr>
        <w:spacing w:line="240" w:lineRule="auto"/>
        <w:ind w:firstLine="720"/>
        <w:jc w:val="both"/>
        <w:rPr>
          <w:rFonts w:asciiTheme="minorBidi" w:hAnsiTheme="minorBidi"/>
          <w:b/>
          <w:i/>
          <w:sz w:val="24"/>
          <w:szCs w:val="24"/>
        </w:rPr>
      </w:pPr>
    </w:p>
    <w:p w14:paraId="08B2C8F2" w14:textId="77777777" w:rsidR="00E30C2C" w:rsidRPr="00215A93" w:rsidRDefault="00E30C2C" w:rsidP="00E30C2C">
      <w:pPr>
        <w:spacing w:line="240" w:lineRule="auto"/>
        <w:jc w:val="center"/>
        <w:rPr>
          <w:rFonts w:asciiTheme="minorBidi" w:hAnsiTheme="minorBidi"/>
          <w:sz w:val="24"/>
          <w:szCs w:val="24"/>
          <w:lang w:val="en-US"/>
        </w:rPr>
      </w:pPr>
      <w:r w:rsidRPr="00804B8B">
        <w:rPr>
          <w:rFonts w:ascii="Arial" w:hAnsi="Arial" w:cs="Arial"/>
          <w:noProof/>
          <w:lang w:val="en-GB" w:eastAsia="en-GB"/>
        </w:rPr>
        <w:lastRenderedPageBreak/>
        <w:drawing>
          <wp:inline distT="0" distB="0" distL="0" distR="0" wp14:anchorId="56C44BCF" wp14:editId="439D16EC">
            <wp:extent cx="4589780" cy="3165475"/>
            <wp:effectExtent l="0" t="0" r="1270" b="0"/>
            <wp:docPr id="3188474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9780" cy="3165475"/>
                    </a:xfrm>
                    <a:prstGeom prst="rect">
                      <a:avLst/>
                    </a:prstGeom>
                    <a:noFill/>
                    <a:ln>
                      <a:noFill/>
                    </a:ln>
                  </pic:spPr>
                </pic:pic>
              </a:graphicData>
            </a:graphic>
          </wp:inline>
        </w:drawing>
      </w:r>
    </w:p>
    <w:p w14:paraId="4DD3A383" w14:textId="77777777" w:rsidR="00E30C2C" w:rsidRPr="00215A93" w:rsidRDefault="00E30C2C" w:rsidP="00E30C2C">
      <w:pPr>
        <w:spacing w:after="0" w:line="240" w:lineRule="auto"/>
        <w:jc w:val="center"/>
        <w:rPr>
          <w:rFonts w:asciiTheme="minorBidi" w:hAnsiTheme="minorBidi"/>
          <w:i/>
          <w:sz w:val="24"/>
          <w:szCs w:val="24"/>
          <w:lang w:eastAsia="x-none"/>
        </w:rPr>
      </w:pPr>
      <w:r w:rsidRPr="00CB2589">
        <w:rPr>
          <w:rFonts w:asciiTheme="minorBidi" w:hAnsiTheme="minorBidi"/>
          <w:b/>
          <w:i/>
          <w:iCs/>
          <w:sz w:val="24"/>
          <w:szCs w:val="24"/>
        </w:rPr>
        <w:t>Figura II.1.1.3.</w:t>
      </w:r>
      <w:r>
        <w:rPr>
          <w:rFonts w:asciiTheme="minorBidi" w:hAnsiTheme="minorBidi"/>
          <w:b/>
          <w:i/>
          <w:iCs/>
          <w:sz w:val="24"/>
          <w:szCs w:val="24"/>
        </w:rPr>
        <w:t xml:space="preserve">12: </w:t>
      </w:r>
      <w:r w:rsidRPr="00215A93">
        <w:rPr>
          <w:rFonts w:asciiTheme="minorBidi" w:hAnsiTheme="minorBidi"/>
          <w:i/>
          <w:sz w:val="24"/>
          <w:szCs w:val="24"/>
          <w:lang w:eastAsia="x-none"/>
        </w:rPr>
        <w:t>Regimul debitelor medii în sezonul de toamnă 202</w:t>
      </w:r>
      <w:r>
        <w:rPr>
          <w:rFonts w:asciiTheme="minorBidi" w:hAnsiTheme="minorBidi"/>
          <w:i/>
          <w:sz w:val="24"/>
          <w:szCs w:val="24"/>
          <w:lang w:eastAsia="x-none"/>
        </w:rPr>
        <w:t xml:space="preserve">2 </w:t>
      </w:r>
    </w:p>
    <w:p w14:paraId="4B34A9E3"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3E664660"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În luna </w:t>
      </w:r>
      <w:r w:rsidRPr="00DA78C2">
        <w:rPr>
          <w:rFonts w:ascii="Arial" w:hAnsi="Arial" w:cs="Arial"/>
          <w:sz w:val="24"/>
          <w:szCs w:val="24"/>
          <w:u w:val="single"/>
          <w:lang w:eastAsia="x-none"/>
        </w:rPr>
        <w:t>septembrie 2022</w:t>
      </w:r>
      <w:r w:rsidRPr="00DA78C2">
        <w:rPr>
          <w:rFonts w:ascii="Arial" w:hAnsi="Arial" w:cs="Arial"/>
          <w:sz w:val="24"/>
          <w:szCs w:val="24"/>
          <w:lang w:eastAsia="x-none"/>
        </w:rPr>
        <w:t xml:space="preserve">, regimul hidrologic al bazinelor hidrografice din România </w:t>
      </w:r>
      <w:r w:rsidRPr="00DA78C2">
        <w:rPr>
          <w:rFonts w:ascii="Arial" w:hAnsi="Arial" w:cs="Arial"/>
          <w:sz w:val="24"/>
          <w:szCs w:val="24"/>
        </w:rPr>
        <w:t xml:space="preserve">(figura </w:t>
      </w:r>
      <w:r>
        <w:rPr>
          <w:rFonts w:ascii="Arial" w:hAnsi="Arial" w:cs="Arial"/>
          <w:sz w:val="24"/>
          <w:szCs w:val="24"/>
        </w:rPr>
        <w:t>II.1.1.3.</w:t>
      </w:r>
      <w:r w:rsidRPr="00DA78C2">
        <w:rPr>
          <w:rFonts w:ascii="Arial" w:hAnsi="Arial" w:cs="Arial"/>
          <w:sz w:val="24"/>
          <w:szCs w:val="24"/>
        </w:rPr>
        <w:t>1</w:t>
      </w:r>
      <w:r>
        <w:rPr>
          <w:rFonts w:ascii="Arial" w:hAnsi="Arial" w:cs="Arial"/>
          <w:sz w:val="24"/>
          <w:szCs w:val="24"/>
        </w:rPr>
        <w:t>3</w:t>
      </w:r>
      <w:r w:rsidRPr="00DA78C2">
        <w:rPr>
          <w:rFonts w:ascii="Arial" w:hAnsi="Arial" w:cs="Arial"/>
          <w:sz w:val="24"/>
          <w:szCs w:val="24"/>
        </w:rPr>
        <w:t>)</w:t>
      </w:r>
      <w:r w:rsidRPr="00DA78C2">
        <w:rPr>
          <w:rFonts w:ascii="Arial" w:hAnsi="Arial" w:cs="Arial"/>
          <w:sz w:val="24"/>
          <w:szCs w:val="24"/>
          <w:lang w:eastAsia="x-none"/>
        </w:rPr>
        <w:t xml:space="preserve"> s-a situat la valori peste mediile multianuale lunare pe râurile din bazinele hidrografice: Vişeu, Iza, Tur, Someş, Crasna, Barcău, Crişul Repede, Crişul Negru, Crişul Alb, Mureş, Bega Veche, Bega, Timiş, Bârzava, Moraviţa, Caraş, Nera, Cerna, Jiu, Olt, Argeş superior, Doftana, Bistriţa, Suceava şi pe cursurile superioare ale Ialomiţei, Trotuşului şi Moldovei. Pe celelalte râuri regimul hidrologic s-a situat la valori cuprinse între 50-80% din normalele lunare, mai mici (sub 30%) pe râurile din bazinele hidrografice ale Râmnicului Sărat, Bârladului şi Jijiei.</w:t>
      </w:r>
    </w:p>
    <w:p w14:paraId="74A6B3B4" w14:textId="77777777" w:rsidR="00E30C2C" w:rsidRPr="00215A93" w:rsidRDefault="00E30C2C" w:rsidP="00E30C2C">
      <w:pPr>
        <w:spacing w:line="240" w:lineRule="auto"/>
        <w:ind w:firstLine="720"/>
        <w:jc w:val="both"/>
        <w:rPr>
          <w:rFonts w:asciiTheme="minorBidi" w:hAnsiTheme="minorBidi"/>
          <w:sz w:val="24"/>
          <w:szCs w:val="24"/>
          <w:lang w:eastAsia="x-none"/>
        </w:rPr>
      </w:pPr>
    </w:p>
    <w:p w14:paraId="3A48F0A2"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sz w:val="20"/>
          <w:szCs w:val="20"/>
          <w:lang w:val="en-GB" w:eastAsia="en-GB"/>
        </w:rPr>
        <w:drawing>
          <wp:inline distT="0" distB="0" distL="0" distR="0" wp14:anchorId="7C853A97" wp14:editId="1E25B169">
            <wp:extent cx="4572000" cy="3288030"/>
            <wp:effectExtent l="0" t="0" r="0" b="7620"/>
            <wp:docPr id="6944827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2000" cy="3288030"/>
                    </a:xfrm>
                    <a:prstGeom prst="rect">
                      <a:avLst/>
                    </a:prstGeom>
                    <a:noFill/>
                    <a:ln>
                      <a:noFill/>
                    </a:ln>
                  </pic:spPr>
                </pic:pic>
              </a:graphicData>
            </a:graphic>
          </wp:inline>
        </w:drawing>
      </w:r>
    </w:p>
    <w:p w14:paraId="1B445497"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13: </w:t>
      </w:r>
      <w:r w:rsidRPr="00215A93">
        <w:rPr>
          <w:rFonts w:asciiTheme="minorBidi" w:hAnsiTheme="minorBidi"/>
          <w:i/>
          <w:sz w:val="24"/>
          <w:szCs w:val="24"/>
        </w:rPr>
        <w:t>Regimul debitelor medii lunare în luna septembrie  202</w:t>
      </w:r>
      <w:r>
        <w:rPr>
          <w:rFonts w:asciiTheme="minorBidi" w:hAnsiTheme="minorBidi"/>
          <w:i/>
          <w:sz w:val="24"/>
          <w:szCs w:val="24"/>
        </w:rPr>
        <w:t xml:space="preserve">2 </w:t>
      </w:r>
    </w:p>
    <w:p w14:paraId="276DE140" w14:textId="77777777" w:rsidR="00E30C2C" w:rsidRPr="00215A93" w:rsidRDefault="00E30C2C" w:rsidP="00E30C2C">
      <w:pPr>
        <w:spacing w:after="0" w:line="240" w:lineRule="auto"/>
        <w:ind w:firstLine="720"/>
        <w:jc w:val="both"/>
        <w:rPr>
          <w:rFonts w:asciiTheme="minorBidi" w:hAnsiTheme="minorBidi"/>
          <w:sz w:val="24"/>
          <w:szCs w:val="24"/>
          <w:highlight w:val="yellow"/>
        </w:rPr>
      </w:pPr>
    </w:p>
    <w:p w14:paraId="3D671729"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primele trei zile ale lunii septembrie 2022 debitele au fost în creștere, ca urmare a precipitațiilor căzute în interval și propagării, exceptând râurile din bazinele hidrografice Vedea, Bârlad şi Prut unde au fost relativ staționare.</w:t>
      </w:r>
    </w:p>
    <w:p w14:paraId="36F0619A"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lastRenderedPageBreak/>
        <w:t>În acest interval, datorită precipitaţiilor sub formă de aversă, cu caracter torenţial şi însemnate cantitativ, s-au înregistrat scurgeri importante pe versanţi, torenţi, pâraie, cu formarea de viituri rapide și efecte izolate de inundaţii locale şi creşteri mai importante de niveluri şi debite cu atingerea și depășirea COTELOR DE INUNDAŢIE şi a COTELOR DE ATENȚIE pe unele râuri din Banat, Oltenia şi Dobrogea.</w:t>
      </w:r>
    </w:p>
    <w:p w14:paraId="3EDD2564" w14:textId="77777777" w:rsidR="00E30C2C" w:rsidRPr="00DA78C2" w:rsidRDefault="00E30C2C" w:rsidP="00E30C2C">
      <w:pPr>
        <w:spacing w:after="0" w:line="240" w:lineRule="auto"/>
        <w:ind w:firstLine="720"/>
        <w:jc w:val="both"/>
        <w:rPr>
          <w:rFonts w:ascii="Arial" w:hAnsi="Arial" w:cs="Arial"/>
          <w:bCs/>
          <w:sz w:val="24"/>
          <w:szCs w:val="24"/>
        </w:rPr>
      </w:pPr>
      <w:r w:rsidRPr="00DA78C2">
        <w:rPr>
          <w:rFonts w:ascii="Arial" w:hAnsi="Arial" w:cs="Arial"/>
          <w:bCs/>
          <w:sz w:val="24"/>
          <w:szCs w:val="24"/>
        </w:rPr>
        <w:t>S-au situat peste:</w:t>
      </w:r>
    </w:p>
    <w:p w14:paraId="44F03C01" w14:textId="77777777" w:rsidR="00E30C2C" w:rsidRPr="00DA78C2" w:rsidRDefault="00E30C2C" w:rsidP="00E30C2C">
      <w:pPr>
        <w:spacing w:after="0" w:line="240" w:lineRule="auto"/>
        <w:ind w:firstLine="720"/>
        <w:jc w:val="both"/>
        <w:rPr>
          <w:rFonts w:ascii="Arial" w:hAnsi="Arial" w:cs="Arial"/>
          <w:bCs/>
          <w:sz w:val="24"/>
          <w:szCs w:val="24"/>
        </w:rPr>
      </w:pPr>
      <w:r w:rsidRPr="00DA78C2">
        <w:rPr>
          <w:rFonts w:ascii="Arial" w:hAnsi="Arial" w:cs="Arial"/>
          <w:bCs/>
          <w:sz w:val="24"/>
          <w:szCs w:val="24"/>
        </w:rPr>
        <w:t>- COTELE DE ATENŢIE râurile la stațiile hidrometrice: Topolog–Saraiu, Monoroștia–Monoroștia, Bega</w:t>
      </w:r>
      <w:bookmarkStart w:id="19" w:name="_Hlk115427286"/>
      <w:r w:rsidRPr="00DA78C2">
        <w:rPr>
          <w:rFonts w:ascii="Arial" w:hAnsi="Arial" w:cs="Arial"/>
          <w:bCs/>
          <w:sz w:val="24"/>
          <w:szCs w:val="24"/>
        </w:rPr>
        <w:t>–</w:t>
      </w:r>
      <w:bookmarkEnd w:id="19"/>
      <w:r w:rsidRPr="00DA78C2">
        <w:rPr>
          <w:rFonts w:ascii="Arial" w:hAnsi="Arial" w:cs="Arial"/>
          <w:bCs/>
          <w:sz w:val="24"/>
          <w:szCs w:val="24"/>
        </w:rPr>
        <w:t>Făget, Gladna–Firdea, Hăuzeasca–Firdea, Saşa–Poieni, Nădrag–Nădrag, Pârâul Galben–Baia de Fier, Olănești–Olănești Băi, Cheia–Valea Cheii, Otăsău–Păușești, Bistricioara–Tomșani, Cerna–Cerna, Bistrița–Genuneni, Bistrița–Costești, Jiu–Răcari, Latorița–Gura Latoriței și Râul Doamnei–Bahna Rusului.</w:t>
      </w:r>
    </w:p>
    <w:p w14:paraId="4F3AC190" w14:textId="77777777" w:rsidR="00E30C2C" w:rsidRPr="00DA78C2" w:rsidRDefault="00E30C2C" w:rsidP="00E30C2C">
      <w:pPr>
        <w:spacing w:after="0" w:line="240" w:lineRule="auto"/>
        <w:ind w:firstLine="720"/>
        <w:jc w:val="both"/>
        <w:rPr>
          <w:rFonts w:ascii="Arial" w:hAnsi="Arial" w:cs="Arial"/>
          <w:bCs/>
          <w:sz w:val="24"/>
          <w:szCs w:val="24"/>
          <w:lang w:val="fr-FR"/>
        </w:rPr>
      </w:pPr>
      <w:r w:rsidRPr="00DA78C2">
        <w:rPr>
          <w:rFonts w:ascii="Arial" w:hAnsi="Arial" w:cs="Arial"/>
          <w:bCs/>
          <w:sz w:val="24"/>
          <w:szCs w:val="24"/>
          <w:lang w:val="fr-FR"/>
        </w:rPr>
        <w:t>- COTELE DE INUNDAŢIE râurile la stațiile hidrometrice: Bega–Luncani, Olteț–Nistorești şi Lotru–Valea lui Stan.</w:t>
      </w:r>
    </w:p>
    <w:p w14:paraId="1C208AEE"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intervalul 4–9 septembrie, debitele râurilor au fost în general în scădere, exceptând râurile din bazinele hidrografice Bârlad, Jijia, cursul mijlociu şi inferior al Prutului şi râurile din Dobrogea unde au fost relativ staţionare. Creşteri de niveluri şi debite, ca urmare a precipitațiilor căzute şi propagării, s-au înregistrat în prima zi pe râurile din nordul Olteniei, sudul Moldovei şi din Dobrogea şi numai prin propagare pe cursurile mijlocii şi inferioare ale Moraviţei, Jiului şi Oltului şi în ultimele două zile pe unele râuri din Maramureş şi nordul Crişanei. Datorită precipitațiilor sub formă de aversă și cu caracter torențial,  izolat mai însemnate  cantitativ,  în prima zi a intervalului s-au înregistrat scurgeri importante pe versanți, torenți, pâraie, formarea de viituri rapide cu efecte de inundații locale și creșteri mai importante de niveluri și debite pe unele râuri mici din nordul Munteniei, cu depăşirea COTEI DE ATENŢIE pe Râul Doamnei la staţia hidrometrică Bahna Rusului. De asemenea, au fost depăşite COTELE DE ATENŢIE, datorită propagării, pe râul Moraviţa la staţia hidrometrică Moraviţa şi pe râul Jiu la staţia hidrometrică Răcari.</w:t>
      </w:r>
    </w:p>
    <w:p w14:paraId="277E893B"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În zilele de 10 şi 11 septembrie, debitele au fost în general în creştere pe râurile din Maramureş, Crişana, Transilvania, Banat, nordul Moldovei şi pe râurile din Dobrogea şi relativ staţionare pe celelalte râuri. În acest interval s-au produs şi scurgeri importante pe versanţi, torenţi şi pâraie, viituri rapide pe râurile mici cu efecte de inundaţii locale şi creşteri mai importante de debite şi niveluri  pe unele râuri din Maramureş, Crişana şi Dobrogea, ca urmare a precipitațiilor sub formă de aversă, cu caracter torențial, însemnate cantitativ şi a fost depăşită COTA DE ATENŢIE pe râul Topolog la stația hidrometrică Saraiu.</w:t>
      </w:r>
    </w:p>
    <w:p w14:paraId="3C635BD3" w14:textId="77777777" w:rsidR="00E30C2C" w:rsidRPr="00DA78C2" w:rsidRDefault="00E30C2C" w:rsidP="00E30C2C">
      <w:pPr>
        <w:spacing w:after="0" w:line="240" w:lineRule="auto"/>
        <w:ind w:firstLine="720"/>
        <w:jc w:val="both"/>
        <w:rPr>
          <w:rFonts w:ascii="Arial" w:hAnsi="Arial" w:cs="Arial"/>
          <w:sz w:val="24"/>
          <w:szCs w:val="24"/>
        </w:rPr>
      </w:pPr>
      <w:bookmarkStart w:id="20" w:name="_Hlk115179991"/>
      <w:r w:rsidRPr="00DA78C2">
        <w:rPr>
          <w:rFonts w:ascii="Arial" w:hAnsi="Arial" w:cs="Arial"/>
          <w:sz w:val="24"/>
          <w:szCs w:val="24"/>
          <w:lang w:eastAsia="x-none"/>
        </w:rPr>
        <w:t>În intervalul 12–15 septembrie debitele au fost</w:t>
      </w:r>
      <w:r w:rsidRPr="00DA78C2">
        <w:rPr>
          <w:rFonts w:ascii="Arial" w:hAnsi="Arial" w:cs="Arial"/>
          <w:sz w:val="24"/>
          <w:szCs w:val="24"/>
        </w:rPr>
        <w:t xml:space="preserve"> în general în scădere uşoară, exceptând râurile din Banat, Muntenia</w:t>
      </w:r>
      <w:bookmarkEnd w:id="20"/>
      <w:r w:rsidRPr="00DA78C2">
        <w:rPr>
          <w:rFonts w:ascii="Arial" w:hAnsi="Arial" w:cs="Arial"/>
          <w:sz w:val="24"/>
          <w:szCs w:val="24"/>
        </w:rPr>
        <w:t>, Dobrogea şi estul Moldovei unde au fost staţionare şi cursul superior al Prutului unde au fost în creştere prin propagare. Creşteri de niveluri şi debite, datorită precipitaţiilor şi propagării, s-au înregistrat în prima zi pe râurile Arieş şi Bârlad.</w:t>
      </w:r>
    </w:p>
    <w:p w14:paraId="4AC67AC1" w14:textId="77777777" w:rsidR="00E30C2C" w:rsidRPr="00DA78C2" w:rsidRDefault="00E30C2C" w:rsidP="00E30C2C">
      <w:pPr>
        <w:autoSpaceDN w:val="0"/>
        <w:adjustRightInd w:val="0"/>
        <w:spacing w:after="0" w:line="240" w:lineRule="auto"/>
        <w:ind w:firstLine="720"/>
        <w:jc w:val="both"/>
        <w:rPr>
          <w:rFonts w:ascii="Arial" w:hAnsi="Arial" w:cs="Arial"/>
          <w:bCs/>
          <w:sz w:val="24"/>
          <w:szCs w:val="24"/>
          <w:lang w:eastAsia="zh-CN"/>
        </w:rPr>
      </w:pPr>
      <w:r w:rsidRPr="00DA78C2">
        <w:rPr>
          <w:rFonts w:ascii="Arial" w:hAnsi="Arial" w:cs="Arial"/>
          <w:sz w:val="24"/>
          <w:szCs w:val="24"/>
        </w:rPr>
        <w:t xml:space="preserve">În intervalul 16–19 septembrie debitele au fost în </w:t>
      </w:r>
      <w:r w:rsidRPr="00DA78C2">
        <w:rPr>
          <w:rFonts w:ascii="Arial" w:hAnsi="Arial" w:cs="Arial"/>
          <w:bCs/>
          <w:sz w:val="24"/>
          <w:szCs w:val="24"/>
          <w:lang w:eastAsia="zh-CN"/>
        </w:rPr>
        <w:t xml:space="preserve">creştere pe râurile din Maramureş, Crişana şi Banat şi în ultimele două zile şi pe cele din Transilvania, Oltenia, Muntenia şi Moldova. Pe celelalte râuri debitele au fost relativ staţionare. </w:t>
      </w:r>
    </w:p>
    <w:p w14:paraId="3B60146E" w14:textId="77777777" w:rsidR="00E30C2C" w:rsidRPr="00DA78C2" w:rsidRDefault="00E30C2C" w:rsidP="00E30C2C">
      <w:pPr>
        <w:autoSpaceDN w:val="0"/>
        <w:adjustRightInd w:val="0"/>
        <w:spacing w:after="0" w:line="240" w:lineRule="auto"/>
        <w:ind w:firstLine="720"/>
        <w:jc w:val="both"/>
        <w:rPr>
          <w:rFonts w:ascii="Arial" w:hAnsi="Arial" w:cs="Arial"/>
          <w:sz w:val="24"/>
          <w:szCs w:val="24"/>
        </w:rPr>
      </w:pPr>
      <w:r w:rsidRPr="00DA78C2">
        <w:rPr>
          <w:rFonts w:ascii="Arial" w:hAnsi="Arial" w:cs="Arial"/>
          <w:sz w:val="24"/>
          <w:szCs w:val="24"/>
        </w:rPr>
        <w:t>În acest interval, ca urmare a precipitațiilor sub formă de aversă și cu caracter torențial, izolat mai însemnate cantitativ, s-au înregistrat scurgeri importante pe versanți, torenți, pâraie, formarea de viituri rapide cu efecte de inundații locale pe unele râuri mici din nord-vestul nordul şi sud-vestul ţării, iar în ultimele două zile, creșterile mai importante de niveluri și debite, cu depăşiri ale COTELOR DE ATENŢIE s-au produs pe unele râuri din Crişana şi Banat: Valea Galbenă–Pietroasa Galbenă, Crișul Pietros–Pietroasa, Fântâna Galbenă–Stâna de Vale, Iad–Leșu amonte, Arieș–Scărișoara, Gladna–Firdea şi Sașa–Poieni.</w:t>
      </w:r>
    </w:p>
    <w:p w14:paraId="6FFCA363" w14:textId="77777777" w:rsidR="00E30C2C" w:rsidRPr="00DA78C2" w:rsidRDefault="00E30C2C" w:rsidP="00E30C2C">
      <w:pPr>
        <w:autoSpaceDN w:val="0"/>
        <w:adjustRightInd w:val="0"/>
        <w:spacing w:after="0" w:line="240" w:lineRule="auto"/>
        <w:ind w:firstLine="720"/>
        <w:jc w:val="both"/>
        <w:rPr>
          <w:rFonts w:ascii="Arial" w:hAnsi="Arial" w:cs="Arial"/>
          <w:sz w:val="24"/>
          <w:szCs w:val="24"/>
        </w:rPr>
      </w:pPr>
      <w:bookmarkStart w:id="21" w:name="_Hlk115429074"/>
      <w:r w:rsidRPr="00DA78C2">
        <w:rPr>
          <w:rFonts w:ascii="Arial" w:hAnsi="Arial" w:cs="Arial"/>
          <w:sz w:val="24"/>
          <w:szCs w:val="24"/>
        </w:rPr>
        <w:t xml:space="preserve">În intervalul 20–23 septembrie </w:t>
      </w:r>
      <w:bookmarkEnd w:id="21"/>
      <w:r w:rsidRPr="00DA78C2">
        <w:rPr>
          <w:rFonts w:ascii="Arial" w:hAnsi="Arial" w:cs="Arial"/>
          <w:sz w:val="24"/>
          <w:szCs w:val="24"/>
        </w:rPr>
        <w:t xml:space="preserve">debitele au fost în scădere, exceptând râurile din Oltenia, Muntenia, Dobrogea şi din estul Moldovei unde au fost relativ staţionare. Creşteri de niveluri şi debite, ca urmare a precipitaţiilor căzute şi propagării, s-au înregistrat în </w:t>
      </w:r>
      <w:r w:rsidRPr="00DA78C2">
        <w:rPr>
          <w:rFonts w:ascii="Arial" w:hAnsi="Arial" w:cs="Arial"/>
          <w:sz w:val="24"/>
          <w:szCs w:val="24"/>
        </w:rPr>
        <w:lastRenderedPageBreak/>
        <w:t xml:space="preserve">primele două zile ale intervalului pe unele râuri din Crişana şi Transilvania şi în ultima zi pe unele râuri din Banat şi Moldova. </w:t>
      </w:r>
    </w:p>
    <w:p w14:paraId="4A150E97" w14:textId="77777777" w:rsidR="00E30C2C" w:rsidRPr="00DA78C2" w:rsidRDefault="00E30C2C" w:rsidP="00E30C2C">
      <w:pPr>
        <w:autoSpaceDN w:val="0"/>
        <w:adjustRightInd w:val="0"/>
        <w:spacing w:after="0" w:line="240" w:lineRule="auto"/>
        <w:ind w:firstLine="720"/>
        <w:jc w:val="both"/>
        <w:rPr>
          <w:rFonts w:ascii="Arial" w:hAnsi="Arial" w:cs="Arial"/>
          <w:sz w:val="24"/>
          <w:szCs w:val="24"/>
        </w:rPr>
      </w:pPr>
      <w:r w:rsidRPr="00DA78C2">
        <w:rPr>
          <w:rFonts w:ascii="Arial" w:hAnsi="Arial" w:cs="Arial"/>
          <w:sz w:val="24"/>
          <w:szCs w:val="24"/>
        </w:rPr>
        <w:t>În intervalul 24–26 septembrie debitele au fost în scădere pe râurile din jumătatea de vest a ţării şi relativ staţionare pe cele din jumătatea estică.</w:t>
      </w:r>
    </w:p>
    <w:p w14:paraId="24DD99FD" w14:textId="77777777" w:rsidR="00E30C2C" w:rsidRPr="00DA78C2" w:rsidRDefault="00E30C2C" w:rsidP="00E30C2C">
      <w:pPr>
        <w:autoSpaceDN w:val="0"/>
        <w:adjustRightInd w:val="0"/>
        <w:spacing w:after="0" w:line="240" w:lineRule="auto"/>
        <w:ind w:firstLine="720"/>
        <w:jc w:val="both"/>
        <w:rPr>
          <w:rFonts w:ascii="Arial" w:hAnsi="Arial" w:cs="Arial"/>
          <w:sz w:val="24"/>
          <w:szCs w:val="24"/>
        </w:rPr>
      </w:pPr>
      <w:r w:rsidRPr="00DA78C2">
        <w:rPr>
          <w:rFonts w:ascii="Arial" w:hAnsi="Arial" w:cs="Arial"/>
          <w:sz w:val="24"/>
          <w:szCs w:val="24"/>
        </w:rPr>
        <w:t>În zilele de 27 şi 28 septembrie debitele au fost în creştere datorită</w:t>
      </w:r>
      <w:r w:rsidRPr="00DA78C2">
        <w:rPr>
          <w:rFonts w:ascii="Arial" w:hAnsi="Arial" w:cs="Arial"/>
          <w:bCs/>
          <w:sz w:val="24"/>
          <w:szCs w:val="24"/>
        </w:rPr>
        <w:t xml:space="preserve"> precipitațiilor căzute şi propagării, iar </w:t>
      </w:r>
      <w:r w:rsidRPr="00DA78C2">
        <w:rPr>
          <w:rFonts w:ascii="Arial" w:hAnsi="Arial" w:cs="Arial"/>
          <w:bCs/>
          <w:sz w:val="24"/>
          <w:szCs w:val="24"/>
          <w:lang w:eastAsia="zh-CN"/>
        </w:rPr>
        <w:t>ca urmare a precipitațiilor mai însemnate cantitativ, sub formă de aversă şi cu caracter torenţial, s-au înregistrat scurgeri importante pe versanţi, torenţi şi pâraie, viituri rapide pe râurile mici cu efecte de inundaţii locale şi creşteri mai importante de debite şi niveluri, pe unele râuri mici din bazinele superioare ale râurilor Crișul Alb, Crișul Negru, Arieș, Bega, Moraviţa şi pe unii afluenți ai Mureșului aferenți sectorului aval staţia hidrometrică Brănișca şi s-au situat peste COTELE DE PERICOL  râurile la stațiile hidrometrice: Gladna–Firdea și Hăuzeasca–Firdea.</w:t>
      </w:r>
    </w:p>
    <w:p w14:paraId="64693E4C" w14:textId="77777777" w:rsidR="00E30C2C" w:rsidRPr="00DA78C2" w:rsidRDefault="00E30C2C" w:rsidP="00E30C2C">
      <w:pPr>
        <w:spacing w:after="0" w:line="240" w:lineRule="auto"/>
        <w:ind w:firstLine="720"/>
        <w:jc w:val="both"/>
        <w:rPr>
          <w:rFonts w:ascii="Arial" w:hAnsi="Arial" w:cs="Arial"/>
          <w:sz w:val="24"/>
          <w:szCs w:val="24"/>
        </w:rPr>
      </w:pPr>
      <w:r w:rsidRPr="00DA78C2">
        <w:rPr>
          <w:rFonts w:ascii="Arial" w:hAnsi="Arial" w:cs="Arial"/>
          <w:sz w:val="24"/>
          <w:szCs w:val="24"/>
        </w:rPr>
        <w:t xml:space="preserve">În ultimele două zile ale lunii septembrie debitele au fost relativ staţionare, exceptând cursurile mijlocii şi inferioare ale principalelor râuri din nord-vestul şi sud-vestul ţării unde au fost în creştere prin propagare, cu situarea peste COTA DE ATENŢIE a nivelurilor pe râul Moraviţa la staţia hidrometrică Moraviţa. </w:t>
      </w:r>
    </w:p>
    <w:p w14:paraId="3487DD13" w14:textId="77777777" w:rsidR="00E30C2C" w:rsidRPr="00DA78C2" w:rsidRDefault="00E30C2C" w:rsidP="00E30C2C">
      <w:pPr>
        <w:spacing w:after="0" w:line="240" w:lineRule="auto"/>
        <w:ind w:firstLine="720"/>
        <w:jc w:val="both"/>
        <w:rPr>
          <w:rFonts w:ascii="Arial" w:hAnsi="Arial" w:cs="Arial"/>
          <w:sz w:val="24"/>
          <w:szCs w:val="24"/>
        </w:rPr>
      </w:pPr>
      <w:r w:rsidRPr="00DA78C2">
        <w:rPr>
          <w:rFonts w:ascii="Arial" w:hAnsi="Arial" w:cs="Arial"/>
          <w:sz w:val="24"/>
          <w:szCs w:val="24"/>
        </w:rPr>
        <w:t xml:space="preserve">Situaţia depăşirii COTELOR DE APĂRARE în luna septembrie 2022 (valori maxime preliminare determinate pe baza datelor din fluxul operativ) este prezentată în figura </w:t>
      </w:r>
      <w:r>
        <w:rPr>
          <w:rFonts w:ascii="Arial" w:hAnsi="Arial" w:cs="Arial"/>
          <w:sz w:val="24"/>
          <w:szCs w:val="24"/>
        </w:rPr>
        <w:t>II.1.1.3.14</w:t>
      </w:r>
      <w:r w:rsidRPr="00DA78C2">
        <w:rPr>
          <w:rFonts w:ascii="Arial" w:hAnsi="Arial" w:cs="Arial"/>
          <w:sz w:val="24"/>
          <w:szCs w:val="24"/>
        </w:rPr>
        <w:t>.</w:t>
      </w:r>
    </w:p>
    <w:p w14:paraId="5B38F838" w14:textId="77777777" w:rsidR="00E30C2C" w:rsidRPr="00804B8B" w:rsidRDefault="00E30C2C" w:rsidP="00E30C2C">
      <w:pPr>
        <w:spacing w:after="0" w:line="240" w:lineRule="auto"/>
        <w:jc w:val="center"/>
        <w:rPr>
          <w:rFonts w:ascii="Arial" w:hAnsi="Arial" w:cs="Arial"/>
          <w:lang w:eastAsia="x-none"/>
        </w:rPr>
      </w:pPr>
      <w:r w:rsidRPr="00804B8B">
        <w:rPr>
          <w:rFonts w:ascii="Arial" w:hAnsi="Arial" w:cs="Arial"/>
          <w:noProof/>
          <w:lang w:val="en-GB" w:eastAsia="en-GB"/>
        </w:rPr>
        <w:drawing>
          <wp:inline distT="0" distB="0" distL="0" distR="0" wp14:anchorId="2713DB0B" wp14:editId="3FC6FCED">
            <wp:extent cx="4545330" cy="3191510"/>
            <wp:effectExtent l="0" t="0" r="7620" b="8890"/>
            <wp:docPr id="18785185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45330" cy="3191510"/>
                    </a:xfrm>
                    <a:prstGeom prst="rect">
                      <a:avLst/>
                    </a:prstGeom>
                    <a:noFill/>
                    <a:ln>
                      <a:noFill/>
                    </a:ln>
                  </pic:spPr>
                </pic:pic>
              </a:graphicData>
            </a:graphic>
          </wp:inline>
        </w:drawing>
      </w:r>
    </w:p>
    <w:p w14:paraId="33975FC6" w14:textId="77777777" w:rsidR="00E30C2C" w:rsidRPr="00DA78C2" w:rsidRDefault="00E30C2C" w:rsidP="00E30C2C">
      <w:pPr>
        <w:spacing w:line="240" w:lineRule="auto"/>
        <w:jc w:val="center"/>
        <w:rPr>
          <w:rFonts w:ascii="Arial" w:hAnsi="Arial" w:cs="Arial"/>
          <w:i/>
          <w:sz w:val="24"/>
          <w:szCs w:val="24"/>
        </w:rPr>
      </w:pPr>
      <w:r w:rsidRPr="00DA78C2">
        <w:rPr>
          <w:rFonts w:ascii="Arial" w:hAnsi="Arial" w:cs="Arial"/>
          <w:b/>
          <w:bCs/>
          <w:i/>
          <w:sz w:val="24"/>
          <w:szCs w:val="24"/>
        </w:rPr>
        <w:t xml:space="preserve">Figura II.1.1.3.14.  </w:t>
      </w:r>
      <w:r w:rsidRPr="00DA78C2">
        <w:rPr>
          <w:rFonts w:ascii="Arial" w:hAnsi="Arial" w:cs="Arial"/>
          <w:i/>
          <w:iCs/>
          <w:sz w:val="24"/>
          <w:szCs w:val="24"/>
        </w:rPr>
        <w:t>Situaţia depăşiri</w:t>
      </w:r>
      <w:r>
        <w:rPr>
          <w:rFonts w:ascii="Arial" w:hAnsi="Arial" w:cs="Arial"/>
          <w:i/>
          <w:iCs/>
          <w:sz w:val="24"/>
          <w:szCs w:val="24"/>
        </w:rPr>
        <w:t>i</w:t>
      </w:r>
      <w:r w:rsidRPr="00DA78C2">
        <w:rPr>
          <w:rFonts w:ascii="Arial" w:hAnsi="Arial" w:cs="Arial"/>
          <w:i/>
          <w:iCs/>
          <w:sz w:val="24"/>
          <w:szCs w:val="24"/>
        </w:rPr>
        <w:t xml:space="preserve"> COTE</w:t>
      </w:r>
      <w:r>
        <w:rPr>
          <w:rFonts w:ascii="Arial" w:hAnsi="Arial" w:cs="Arial"/>
          <w:i/>
          <w:iCs/>
          <w:sz w:val="24"/>
          <w:szCs w:val="24"/>
        </w:rPr>
        <w:t>LOR</w:t>
      </w:r>
      <w:r w:rsidRPr="00DA78C2">
        <w:rPr>
          <w:rFonts w:ascii="Arial" w:hAnsi="Arial" w:cs="Arial"/>
          <w:i/>
          <w:iCs/>
          <w:sz w:val="24"/>
          <w:szCs w:val="24"/>
        </w:rPr>
        <w:t xml:space="preserve"> DE APĂRARE pentru luna septembrie 2022</w:t>
      </w:r>
    </w:p>
    <w:p w14:paraId="51420A31" w14:textId="77777777" w:rsidR="00E30C2C" w:rsidRPr="00215A93" w:rsidRDefault="00E30C2C" w:rsidP="00E30C2C">
      <w:pPr>
        <w:spacing w:after="0" w:line="240" w:lineRule="auto"/>
        <w:ind w:firstLine="720"/>
        <w:jc w:val="both"/>
        <w:rPr>
          <w:rFonts w:asciiTheme="minorBidi" w:hAnsiTheme="minorBidi"/>
          <w:sz w:val="24"/>
          <w:szCs w:val="24"/>
        </w:rPr>
      </w:pPr>
    </w:p>
    <w:p w14:paraId="6D8DDCC7" w14:textId="77777777" w:rsidR="00E30C2C" w:rsidRPr="00DA78C2" w:rsidRDefault="00E30C2C" w:rsidP="00E30C2C">
      <w:pPr>
        <w:spacing w:after="0" w:line="240" w:lineRule="auto"/>
        <w:ind w:firstLine="720"/>
        <w:jc w:val="both"/>
        <w:rPr>
          <w:rFonts w:ascii="Arial" w:hAnsi="Arial" w:cs="Arial"/>
          <w:sz w:val="24"/>
          <w:szCs w:val="24"/>
          <w:lang w:eastAsia="x-none"/>
        </w:rPr>
      </w:pPr>
      <w:r w:rsidRPr="00DA78C2">
        <w:rPr>
          <w:rFonts w:ascii="Arial" w:hAnsi="Arial" w:cs="Arial"/>
          <w:sz w:val="24"/>
          <w:szCs w:val="24"/>
          <w:lang w:eastAsia="x-none"/>
        </w:rPr>
        <w:t xml:space="preserve">În luna </w:t>
      </w:r>
      <w:r w:rsidRPr="00DA78C2">
        <w:rPr>
          <w:rFonts w:ascii="Arial" w:hAnsi="Arial" w:cs="Arial"/>
          <w:sz w:val="24"/>
          <w:szCs w:val="24"/>
          <w:u w:val="single"/>
          <w:lang w:eastAsia="x-none"/>
        </w:rPr>
        <w:t>octombrie 2022</w:t>
      </w:r>
      <w:r w:rsidRPr="00DA78C2">
        <w:rPr>
          <w:rFonts w:ascii="Arial" w:hAnsi="Arial" w:cs="Arial"/>
          <w:sz w:val="24"/>
          <w:szCs w:val="24"/>
          <w:lang w:eastAsia="x-none"/>
        </w:rPr>
        <w:t xml:space="preserve">, regimul hidrologic al bazinelor hidrografice din România </w:t>
      </w:r>
      <w:r w:rsidRPr="00DA78C2">
        <w:rPr>
          <w:rFonts w:ascii="Arial" w:hAnsi="Arial" w:cs="Arial"/>
          <w:sz w:val="24"/>
          <w:szCs w:val="24"/>
        </w:rPr>
        <w:t xml:space="preserve">(figura </w:t>
      </w:r>
      <w:r>
        <w:rPr>
          <w:rFonts w:ascii="Arial" w:hAnsi="Arial" w:cs="Arial"/>
          <w:sz w:val="24"/>
          <w:szCs w:val="24"/>
        </w:rPr>
        <w:t>II.1.1.3.</w:t>
      </w:r>
      <w:r w:rsidRPr="00DA78C2">
        <w:rPr>
          <w:rFonts w:ascii="Arial" w:hAnsi="Arial" w:cs="Arial"/>
          <w:sz w:val="24"/>
          <w:szCs w:val="24"/>
        </w:rPr>
        <w:t>1</w:t>
      </w:r>
      <w:r>
        <w:rPr>
          <w:rFonts w:ascii="Arial" w:hAnsi="Arial" w:cs="Arial"/>
          <w:sz w:val="24"/>
          <w:szCs w:val="24"/>
        </w:rPr>
        <w:t>5</w:t>
      </w:r>
      <w:r w:rsidRPr="00DA78C2">
        <w:rPr>
          <w:rFonts w:ascii="Arial" w:hAnsi="Arial" w:cs="Arial"/>
          <w:sz w:val="24"/>
          <w:szCs w:val="24"/>
        </w:rPr>
        <w:t>)</w:t>
      </w:r>
      <w:r w:rsidRPr="00DA78C2">
        <w:rPr>
          <w:rFonts w:ascii="Arial" w:hAnsi="Arial" w:cs="Arial"/>
          <w:sz w:val="24"/>
          <w:szCs w:val="24"/>
          <w:lang w:eastAsia="x-none"/>
        </w:rPr>
        <w:t xml:space="preserve"> s-a situat la valori peste mediile multianuale lunare pe râurile din bazinele hidrografice: Vişeu, Iza, Tur, Someş, Crasna, Barcău, Crişul Repede, Crişul Negru, Crişul Alb, Mureş, Bega Veche, Bega, Timiş, Bârzava şi pe cursurile superioare ale Jiului, Oltului şi Bistriţei. Pe celelalte râuri regimul hidrologic s-a situat la valori cuprinse între 50-80% din normalele lunare, mai mici (30-50%) pe Putna, pe cursul Siretului, pe cursurile inferioare ale Moldovei şi Trotuşului şi pe râurile din Dobrogea. Cele mai mci valori (sub 30%) s-au inregistrat pe Vedea, Rm.Sărat, Bârlad şi pe afluenţii Prutului.</w:t>
      </w:r>
    </w:p>
    <w:p w14:paraId="765BBC78" w14:textId="77777777" w:rsidR="00E30C2C" w:rsidRPr="00DA78C2" w:rsidRDefault="00E30C2C" w:rsidP="00E30C2C">
      <w:pPr>
        <w:spacing w:after="0" w:line="240" w:lineRule="auto"/>
        <w:ind w:firstLine="720"/>
        <w:jc w:val="both"/>
        <w:rPr>
          <w:rFonts w:ascii="Arial" w:hAnsi="Arial" w:cs="Arial"/>
          <w:bCs/>
          <w:sz w:val="24"/>
          <w:szCs w:val="24"/>
        </w:rPr>
      </w:pPr>
      <w:r w:rsidRPr="00DA78C2">
        <w:rPr>
          <w:rFonts w:ascii="Arial" w:hAnsi="Arial" w:cs="Arial"/>
          <w:bCs/>
          <w:sz w:val="24"/>
          <w:szCs w:val="24"/>
        </w:rPr>
        <w:t>În prima zi a lunii octombrie 2022 debitele au fost în scădere, exceptând râurile din Muntenia, Dobrogea şi cele din estul Olteniei şi al Moldovei unde au fost relativ staţionare.</w:t>
      </w:r>
    </w:p>
    <w:p w14:paraId="385A434D" w14:textId="77777777" w:rsidR="00E30C2C" w:rsidRPr="00DA78C2" w:rsidRDefault="00E30C2C" w:rsidP="00E30C2C">
      <w:pPr>
        <w:spacing w:after="0" w:line="240" w:lineRule="auto"/>
        <w:ind w:firstLine="720"/>
        <w:jc w:val="both"/>
        <w:rPr>
          <w:rFonts w:ascii="Arial" w:hAnsi="Arial" w:cs="Arial"/>
          <w:bCs/>
          <w:sz w:val="24"/>
          <w:szCs w:val="24"/>
        </w:rPr>
      </w:pPr>
      <w:r w:rsidRPr="00DA78C2">
        <w:rPr>
          <w:rFonts w:ascii="Arial" w:hAnsi="Arial" w:cs="Arial"/>
          <w:bCs/>
          <w:sz w:val="24"/>
          <w:szCs w:val="24"/>
        </w:rPr>
        <w:t xml:space="preserve">În intervalul 2–4 octombrie debitele au fost în general în creștere pe râurile din Maramureş, Crişana, Banat şi pe cele din vestul Transilvaniei, ca urmare a precipitațiilor </w:t>
      </w:r>
      <w:r w:rsidRPr="00DA78C2">
        <w:rPr>
          <w:rFonts w:ascii="Arial" w:hAnsi="Arial" w:cs="Arial"/>
          <w:bCs/>
          <w:sz w:val="24"/>
          <w:szCs w:val="24"/>
        </w:rPr>
        <w:lastRenderedPageBreak/>
        <w:t>căzute și propagării, iar pe cele din Oltenia, Muntenia, Dobrogea, Moldova şi estul Transilvaniei debitele au fost relativ staţionare.</w:t>
      </w:r>
    </w:p>
    <w:p w14:paraId="79D4B69D" w14:textId="77777777" w:rsidR="00E30C2C" w:rsidRPr="00DA78C2" w:rsidRDefault="00E30C2C" w:rsidP="00E30C2C">
      <w:pPr>
        <w:spacing w:after="0" w:line="240" w:lineRule="auto"/>
        <w:ind w:firstLine="720"/>
        <w:jc w:val="both"/>
        <w:rPr>
          <w:rFonts w:ascii="Arial" w:hAnsi="Arial" w:cs="Arial"/>
          <w:bCs/>
          <w:sz w:val="24"/>
          <w:szCs w:val="24"/>
          <w:highlight w:val="yellow"/>
        </w:rPr>
      </w:pPr>
      <w:r w:rsidRPr="00DA78C2">
        <w:rPr>
          <w:rFonts w:ascii="Arial" w:hAnsi="Arial" w:cs="Arial"/>
          <w:bCs/>
          <w:sz w:val="24"/>
          <w:szCs w:val="24"/>
        </w:rPr>
        <w:t>În acest interval, datorită precipitaţiilor sub formă de aversă, cu caracter torenţial şi însemnate cantitativ, s-au înregistrat scurgeri importante pe versanţi, torenţi, pâraie, cu formarea de viituri rapide și efecte izolate de inundaţii locale şi creşteri mai importante de niveluri şi debite, cu atingerea și depășirea COTELOR DE ATENȚIE pe unele râuri din bazinele Arieșului, Crişului Negru şi Begăi: Arieş–Scărişoara, Groşilor–Archiş şi Gladna–Firdea.</w:t>
      </w:r>
    </w:p>
    <w:p w14:paraId="706E9679"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sz w:val="20"/>
          <w:szCs w:val="20"/>
          <w:lang w:val="en-GB" w:eastAsia="en-GB"/>
        </w:rPr>
        <w:drawing>
          <wp:inline distT="0" distB="0" distL="0" distR="0" wp14:anchorId="4FE1F852" wp14:editId="2B005508">
            <wp:extent cx="4554220" cy="3261995"/>
            <wp:effectExtent l="0" t="0" r="0" b="0"/>
            <wp:docPr id="13075655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54220" cy="3261995"/>
                    </a:xfrm>
                    <a:prstGeom prst="rect">
                      <a:avLst/>
                    </a:prstGeom>
                    <a:noFill/>
                    <a:ln>
                      <a:noFill/>
                    </a:ln>
                  </pic:spPr>
                </pic:pic>
              </a:graphicData>
            </a:graphic>
          </wp:inline>
        </w:drawing>
      </w:r>
    </w:p>
    <w:p w14:paraId="5D8FA075"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15:</w:t>
      </w:r>
      <w:r w:rsidRPr="00215A93">
        <w:rPr>
          <w:rFonts w:asciiTheme="minorBidi" w:hAnsiTheme="minorBidi"/>
          <w:i/>
          <w:sz w:val="24"/>
          <w:szCs w:val="24"/>
        </w:rPr>
        <w:t xml:space="preserve"> Regimul debitelor medii lunare în luna octombrie  202</w:t>
      </w:r>
      <w:r>
        <w:rPr>
          <w:rFonts w:asciiTheme="minorBidi" w:hAnsiTheme="minorBidi"/>
          <w:i/>
          <w:sz w:val="24"/>
          <w:szCs w:val="24"/>
        </w:rPr>
        <w:t>2</w:t>
      </w:r>
    </w:p>
    <w:p w14:paraId="6A0B961F" w14:textId="77777777" w:rsidR="00E30C2C" w:rsidRDefault="00E30C2C" w:rsidP="00E30C2C">
      <w:pPr>
        <w:spacing w:after="0" w:line="240" w:lineRule="auto"/>
        <w:ind w:firstLine="720"/>
        <w:jc w:val="both"/>
        <w:rPr>
          <w:rFonts w:ascii="Arial" w:hAnsi="Arial" w:cs="Arial"/>
          <w:bCs/>
        </w:rPr>
      </w:pPr>
    </w:p>
    <w:p w14:paraId="598B197F" w14:textId="77777777" w:rsidR="00E30C2C" w:rsidRPr="00A33E3B" w:rsidRDefault="00E30C2C" w:rsidP="00E30C2C">
      <w:pPr>
        <w:spacing w:after="0" w:line="240" w:lineRule="auto"/>
        <w:ind w:firstLine="720"/>
        <w:jc w:val="both"/>
        <w:rPr>
          <w:rFonts w:ascii="Arial" w:hAnsi="Arial" w:cs="Arial"/>
          <w:bCs/>
          <w:sz w:val="24"/>
          <w:szCs w:val="24"/>
          <w:lang w:val="fr-FR"/>
        </w:rPr>
      </w:pPr>
      <w:r w:rsidRPr="00A33E3B">
        <w:rPr>
          <w:rFonts w:ascii="Arial" w:hAnsi="Arial" w:cs="Arial"/>
          <w:bCs/>
          <w:sz w:val="24"/>
          <w:szCs w:val="24"/>
        </w:rPr>
        <w:t xml:space="preserve">În intervalul 5–24 octombrie debitele au fost relativ staţionare, exceptând râurile din Maramureş, Crişana, Banat şi vestul Transilvaniei unde au fost în general în scădere. Creşteri de niveluri şi debite, datorită precipitaţiilor şi propagării, s-au înregistrat în intervalul 13-14 octombrie pe unele râuri din Crişana (Crasna, Barcău, Crişul Repede, Crişul Alb), Banat (Bega, Timiş, Bârzava, Nera, Cerna) şi din Moldova (Trotuş, Bistriţa) şi a fost depăşită COTA DE ATENŢIE pe râul Gladna la staţia hidrometrică Firdea. </w:t>
      </w:r>
      <w:r w:rsidRPr="00A33E3B">
        <w:rPr>
          <w:rFonts w:ascii="Arial" w:hAnsi="Arial" w:cs="Arial"/>
          <w:bCs/>
          <w:sz w:val="24"/>
          <w:szCs w:val="24"/>
          <w:lang w:val="fr-FR"/>
        </w:rPr>
        <w:t>De asemenea, s-au mai înregistrat mici creşteri în ziua de 23 octombrie pe Vişeu, Iza, Tur, Crişul Repede şi pe cursul superior al Prutului.</w:t>
      </w:r>
    </w:p>
    <w:p w14:paraId="485E0F1A" w14:textId="77777777" w:rsidR="00E30C2C" w:rsidRPr="00A33E3B" w:rsidRDefault="00E30C2C" w:rsidP="00E30C2C">
      <w:pPr>
        <w:spacing w:after="0" w:line="240" w:lineRule="auto"/>
        <w:ind w:firstLine="720"/>
        <w:jc w:val="both"/>
        <w:rPr>
          <w:rFonts w:ascii="Arial" w:hAnsi="Arial" w:cs="Arial"/>
          <w:bCs/>
          <w:sz w:val="24"/>
          <w:szCs w:val="24"/>
          <w:lang w:val="fr-FR"/>
        </w:rPr>
      </w:pPr>
      <w:r w:rsidRPr="00A33E3B">
        <w:rPr>
          <w:rFonts w:ascii="Arial" w:hAnsi="Arial" w:cs="Arial"/>
          <w:bCs/>
          <w:sz w:val="24"/>
          <w:szCs w:val="24"/>
          <w:lang w:val="fr-FR"/>
        </w:rPr>
        <w:t>În intervalul 25–31 octombrie debitele râurilor au fost relativ staţionare. Creşteri de niveluri şi debite, ca urmare a precipitaţiilor şi propagării s-au înregistrat în data de 26 octombrie pe Vişeu, Iza, Tur, Someşul Mare, Crişul Repede şi pe cursul superior al Prutului.</w:t>
      </w:r>
    </w:p>
    <w:p w14:paraId="5B763CD9" w14:textId="77777777" w:rsidR="00E30C2C" w:rsidRPr="00A33E3B" w:rsidRDefault="00E30C2C" w:rsidP="00E30C2C">
      <w:pPr>
        <w:spacing w:after="0" w:line="240" w:lineRule="auto"/>
        <w:ind w:firstLine="720"/>
        <w:jc w:val="both"/>
        <w:rPr>
          <w:rFonts w:ascii="Arial" w:hAnsi="Arial" w:cs="Arial"/>
          <w:bCs/>
          <w:sz w:val="24"/>
          <w:szCs w:val="24"/>
          <w:lang w:val="fr-FR"/>
        </w:rPr>
      </w:pPr>
    </w:p>
    <w:p w14:paraId="620939F4" w14:textId="77777777" w:rsidR="00E30C2C" w:rsidRPr="00A33E3B" w:rsidRDefault="00E30C2C" w:rsidP="00E30C2C">
      <w:pPr>
        <w:spacing w:after="0" w:line="240" w:lineRule="auto"/>
        <w:ind w:firstLine="720"/>
        <w:jc w:val="both"/>
        <w:rPr>
          <w:rFonts w:ascii="Arial" w:hAnsi="Arial" w:cs="Arial"/>
          <w:sz w:val="24"/>
          <w:szCs w:val="24"/>
          <w:lang w:eastAsia="x-none"/>
        </w:rPr>
      </w:pPr>
      <w:r w:rsidRPr="00A33E3B">
        <w:rPr>
          <w:rFonts w:ascii="Arial" w:hAnsi="Arial" w:cs="Arial"/>
          <w:sz w:val="24"/>
          <w:szCs w:val="24"/>
          <w:lang w:eastAsia="x-none"/>
        </w:rPr>
        <w:t xml:space="preserve">În luna </w:t>
      </w:r>
      <w:r w:rsidRPr="00A33E3B">
        <w:rPr>
          <w:rFonts w:ascii="Arial" w:hAnsi="Arial" w:cs="Arial"/>
          <w:sz w:val="24"/>
          <w:szCs w:val="24"/>
          <w:u w:val="single"/>
          <w:lang w:eastAsia="x-none"/>
        </w:rPr>
        <w:t>noiembrie 2022</w:t>
      </w:r>
      <w:r w:rsidRPr="00A33E3B">
        <w:rPr>
          <w:rFonts w:ascii="Arial" w:hAnsi="Arial" w:cs="Arial"/>
          <w:sz w:val="24"/>
          <w:szCs w:val="24"/>
          <w:lang w:eastAsia="x-none"/>
        </w:rPr>
        <w:t xml:space="preserve">, regimul hidrologic al bazinelor hidrografice din România (figura </w:t>
      </w:r>
      <w:r>
        <w:rPr>
          <w:rFonts w:ascii="Arial" w:hAnsi="Arial" w:cs="Arial"/>
          <w:sz w:val="24"/>
          <w:szCs w:val="24"/>
          <w:lang w:eastAsia="x-none"/>
        </w:rPr>
        <w:t>II.1.1.3.16</w:t>
      </w:r>
      <w:r w:rsidRPr="00A33E3B">
        <w:rPr>
          <w:rFonts w:ascii="Arial" w:hAnsi="Arial" w:cs="Arial"/>
          <w:sz w:val="24"/>
          <w:szCs w:val="24"/>
          <w:lang w:eastAsia="x-none"/>
        </w:rPr>
        <w:t xml:space="preserve">) s-a situat la valori peste mediile lunare multianuale pe râurile din bazinele hidrografice: Vişeu, Iza, Tur, Someş, Crasna, Barcău, Crişul Repede, Crişul Negru, Crişul Alb, Arieş, Bega Veche, Bega, Timiş, Bârzava, Moraviţa, Caraş, Nera, Bistriţa, Suceava, pe cursurile superioare ale Mureşului, Târnavelor, Oltului, Trotuşului, Moldovei şi pe cursul Mureşului </w:t>
      </w:r>
      <w:r w:rsidRPr="00A33E3B">
        <w:rPr>
          <w:rFonts w:ascii="Arial" w:hAnsi="Arial" w:cs="Arial"/>
          <w:bCs/>
          <w:sz w:val="24"/>
          <w:szCs w:val="24"/>
          <w:lang w:eastAsia="zh-CN"/>
        </w:rPr>
        <w:t>–</w:t>
      </w:r>
      <w:r w:rsidRPr="00A33E3B">
        <w:rPr>
          <w:rFonts w:ascii="Arial" w:hAnsi="Arial" w:cs="Arial"/>
          <w:sz w:val="24"/>
          <w:szCs w:val="24"/>
          <w:lang w:eastAsia="x-none"/>
        </w:rPr>
        <w:t xml:space="preserve"> aval conflenţă cu râul Arieş. Pe celelalte râuri regimul hidrologic s-a situat la valori cuprinse între 50-80% din normalele lunare, mai mari (80-100%) pe cursurile mijlocii ale Mureşului şi Oltului şi pe cursurile mijlocii şi inferioare ale Târnavelor şi mai mici (30-50%) pe râurile din bazinele hidrografice: Cerna, Desnăţui, Motru, Olt inferior, Vedea, pe cursul inferior al Jiului  şi pe râurile din Dobrogea. Cele mai mici valori (sub 30%) s-au inregistrat pe Rm.Sărat şi Bârlad.</w:t>
      </w:r>
    </w:p>
    <w:p w14:paraId="17013FC7" w14:textId="77777777" w:rsidR="00E30C2C" w:rsidRPr="00A33E3B" w:rsidRDefault="00E30C2C" w:rsidP="00E30C2C">
      <w:pPr>
        <w:spacing w:after="0" w:line="240" w:lineRule="auto"/>
        <w:ind w:firstLine="720"/>
        <w:jc w:val="both"/>
        <w:rPr>
          <w:rFonts w:ascii="Arial" w:hAnsi="Arial" w:cs="Arial"/>
          <w:sz w:val="24"/>
          <w:szCs w:val="24"/>
          <w:lang w:eastAsia="x-none"/>
        </w:rPr>
      </w:pPr>
      <w:r w:rsidRPr="00A33E3B">
        <w:rPr>
          <w:rFonts w:ascii="Arial" w:hAnsi="Arial" w:cs="Arial"/>
          <w:sz w:val="24"/>
          <w:szCs w:val="24"/>
          <w:lang w:eastAsia="x-none"/>
        </w:rPr>
        <w:t>În intervalul 1–16 noiembrie debitele au fost în general relativ staţionare.</w:t>
      </w:r>
    </w:p>
    <w:p w14:paraId="25F86B9E" w14:textId="77777777" w:rsidR="00E30C2C" w:rsidRPr="00A33E3B" w:rsidRDefault="00E30C2C" w:rsidP="00E30C2C">
      <w:pPr>
        <w:spacing w:after="0" w:line="240" w:lineRule="auto"/>
        <w:ind w:firstLine="720"/>
        <w:jc w:val="both"/>
        <w:rPr>
          <w:rFonts w:ascii="Arial" w:hAnsi="Arial" w:cs="Arial"/>
          <w:sz w:val="24"/>
          <w:szCs w:val="24"/>
          <w:lang w:eastAsia="x-none"/>
        </w:rPr>
      </w:pPr>
      <w:bookmarkStart w:id="22" w:name="_Hlk120538231"/>
      <w:r w:rsidRPr="00A33E3B">
        <w:rPr>
          <w:rFonts w:ascii="Arial" w:hAnsi="Arial" w:cs="Arial"/>
          <w:sz w:val="24"/>
          <w:szCs w:val="24"/>
          <w:lang w:eastAsia="x-none"/>
        </w:rPr>
        <w:lastRenderedPageBreak/>
        <w:t>În intervalul 17–19 noiembrie,</w:t>
      </w:r>
      <w:bookmarkEnd w:id="22"/>
      <w:r w:rsidRPr="00A33E3B">
        <w:rPr>
          <w:rFonts w:ascii="Arial" w:hAnsi="Arial" w:cs="Arial"/>
          <w:sz w:val="24"/>
          <w:szCs w:val="24"/>
          <w:lang w:eastAsia="x-none"/>
        </w:rPr>
        <w:t xml:space="preserve"> datorită precipitaţiilor înregistrate şi propagării, s-au înregistrat creşteri de niveluri şi debite pe râurile din Maramureş, Crişana, Banat, nordul Transilvaniei şi nordul Moldovei. Pe celelalte râuri debitele au fost relativ staţionare. </w:t>
      </w:r>
    </w:p>
    <w:p w14:paraId="46455A53" w14:textId="77777777" w:rsidR="00E30C2C" w:rsidRPr="00A33E3B" w:rsidRDefault="00E30C2C" w:rsidP="00E30C2C">
      <w:pPr>
        <w:suppressAutoHyphens/>
        <w:autoSpaceDE w:val="0"/>
        <w:autoSpaceDN w:val="0"/>
        <w:adjustRightInd w:val="0"/>
        <w:spacing w:after="0" w:line="240" w:lineRule="auto"/>
        <w:ind w:firstLine="720"/>
        <w:jc w:val="both"/>
        <w:rPr>
          <w:rFonts w:ascii="Arial" w:hAnsi="Arial" w:cs="Arial"/>
          <w:bCs/>
          <w:sz w:val="24"/>
          <w:szCs w:val="24"/>
          <w:lang w:eastAsia="zh-CN"/>
        </w:rPr>
      </w:pPr>
      <w:r w:rsidRPr="00A33E3B">
        <w:rPr>
          <w:rFonts w:ascii="Arial" w:hAnsi="Arial" w:cs="Arial"/>
          <w:bCs/>
          <w:sz w:val="24"/>
          <w:szCs w:val="24"/>
          <w:lang w:eastAsia="zh-CN"/>
        </w:rPr>
        <w:t xml:space="preserve">Creșteri mai importante de debite și niveluri s-au înregistrat pe unele râuri din zonele de deal și munte din Maramureș și Crișana, cu depăşirea </w:t>
      </w:r>
      <w:r w:rsidRPr="00A33E3B">
        <w:rPr>
          <w:rFonts w:ascii="Arial" w:hAnsi="Arial" w:cs="Arial"/>
          <w:bCs/>
          <w:color w:val="000000"/>
          <w:sz w:val="24"/>
          <w:szCs w:val="24"/>
          <w:lang w:eastAsia="zh-CN"/>
        </w:rPr>
        <w:t>COTELOR DE ATENŢIE pe unele râuri din bazinele hidrografice ale Turului (Talna–Pășunea Mare), Crişului Alb (Crișul Alb–Vața de Jos), Crişului Negru (</w:t>
      </w:r>
      <w:r w:rsidRPr="00A33E3B">
        <w:rPr>
          <w:rFonts w:ascii="Arial" w:hAnsi="Arial" w:cs="Arial"/>
          <w:bCs/>
          <w:sz w:val="24"/>
          <w:szCs w:val="24"/>
          <w:lang w:eastAsia="zh-CN"/>
        </w:rPr>
        <w:t>Crișul Negru–Tinca, Val</w:t>
      </w:r>
      <w:r w:rsidRPr="00A33E3B">
        <w:rPr>
          <w:rFonts w:ascii="Arial" w:hAnsi="Arial" w:cs="Arial"/>
          <w:bCs/>
          <w:color w:val="000000"/>
          <w:sz w:val="24"/>
          <w:szCs w:val="24"/>
          <w:lang w:eastAsia="zh-CN"/>
        </w:rPr>
        <w:t>ea Roșie–Pocola) şi Bega (</w:t>
      </w:r>
      <w:r w:rsidRPr="00A33E3B">
        <w:rPr>
          <w:rFonts w:ascii="Arial" w:hAnsi="Arial" w:cs="Arial"/>
          <w:bCs/>
          <w:sz w:val="24"/>
          <w:szCs w:val="24"/>
          <w:lang w:eastAsia="zh-CN"/>
        </w:rPr>
        <w:t>Gladna–Firdea).</w:t>
      </w:r>
    </w:p>
    <w:p w14:paraId="6DA6F864" w14:textId="77777777" w:rsidR="00E30C2C" w:rsidRPr="00215A93" w:rsidRDefault="00E30C2C" w:rsidP="00E30C2C">
      <w:pPr>
        <w:spacing w:after="0" w:line="240" w:lineRule="auto"/>
        <w:ind w:firstLine="720"/>
        <w:jc w:val="both"/>
        <w:rPr>
          <w:rFonts w:asciiTheme="minorBidi" w:hAnsiTheme="minorBidi"/>
          <w:sz w:val="24"/>
          <w:szCs w:val="24"/>
          <w:highlight w:val="yellow"/>
        </w:rPr>
      </w:pPr>
    </w:p>
    <w:p w14:paraId="39941727" w14:textId="77777777" w:rsidR="00E30C2C" w:rsidRPr="00215A93" w:rsidRDefault="00E30C2C" w:rsidP="00E30C2C">
      <w:pPr>
        <w:spacing w:after="0" w:line="240" w:lineRule="auto"/>
        <w:jc w:val="center"/>
        <w:rPr>
          <w:rFonts w:asciiTheme="minorBidi" w:hAnsiTheme="minorBidi"/>
          <w:sz w:val="24"/>
          <w:szCs w:val="24"/>
          <w:lang w:eastAsia="x-none"/>
        </w:rPr>
      </w:pPr>
      <w:r w:rsidRPr="00804B8B">
        <w:rPr>
          <w:rFonts w:ascii="Arial" w:hAnsi="Arial" w:cs="Arial"/>
          <w:noProof/>
          <w:sz w:val="20"/>
          <w:szCs w:val="20"/>
          <w:lang w:val="en-GB" w:eastAsia="en-GB"/>
        </w:rPr>
        <w:drawing>
          <wp:inline distT="0" distB="0" distL="0" distR="0" wp14:anchorId="46CAD552" wp14:editId="6E667437">
            <wp:extent cx="4545330" cy="3244215"/>
            <wp:effectExtent l="0" t="0" r="7620" b="0"/>
            <wp:docPr id="16915394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45330" cy="3244215"/>
                    </a:xfrm>
                    <a:prstGeom prst="rect">
                      <a:avLst/>
                    </a:prstGeom>
                    <a:noFill/>
                    <a:ln>
                      <a:noFill/>
                    </a:ln>
                  </pic:spPr>
                </pic:pic>
              </a:graphicData>
            </a:graphic>
          </wp:inline>
        </w:drawing>
      </w:r>
    </w:p>
    <w:p w14:paraId="014912B5"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16: </w:t>
      </w:r>
      <w:r w:rsidRPr="00215A93">
        <w:rPr>
          <w:rFonts w:asciiTheme="minorBidi" w:hAnsiTheme="minorBidi"/>
          <w:i/>
          <w:sz w:val="24"/>
          <w:szCs w:val="24"/>
        </w:rPr>
        <w:t>Regimul debitelor medii lunare în luna noiembrie 202</w:t>
      </w:r>
      <w:r>
        <w:rPr>
          <w:rFonts w:asciiTheme="minorBidi" w:hAnsiTheme="minorBidi"/>
          <w:i/>
          <w:sz w:val="24"/>
          <w:szCs w:val="24"/>
        </w:rPr>
        <w:t xml:space="preserve">2 </w:t>
      </w:r>
    </w:p>
    <w:p w14:paraId="6B5F4D91" w14:textId="77777777" w:rsidR="00E30C2C" w:rsidRPr="00215A93" w:rsidRDefault="00E30C2C" w:rsidP="00E30C2C">
      <w:pPr>
        <w:spacing w:after="0" w:line="240" w:lineRule="auto"/>
        <w:ind w:firstLine="720"/>
        <w:jc w:val="both"/>
        <w:rPr>
          <w:rFonts w:asciiTheme="minorBidi" w:hAnsiTheme="minorBidi"/>
          <w:sz w:val="24"/>
          <w:szCs w:val="24"/>
          <w:highlight w:val="yellow"/>
          <w:lang w:eastAsia="x-none"/>
        </w:rPr>
      </w:pPr>
    </w:p>
    <w:p w14:paraId="422FAD23" w14:textId="77777777" w:rsidR="00E30C2C" w:rsidRPr="00A33E3B" w:rsidRDefault="00E30C2C" w:rsidP="00E30C2C">
      <w:pPr>
        <w:suppressAutoHyphens/>
        <w:autoSpaceDE w:val="0"/>
        <w:autoSpaceDN w:val="0"/>
        <w:adjustRightInd w:val="0"/>
        <w:spacing w:after="0" w:line="240" w:lineRule="auto"/>
        <w:ind w:firstLine="720"/>
        <w:jc w:val="both"/>
        <w:rPr>
          <w:rFonts w:ascii="Arial" w:hAnsi="Arial" w:cs="Arial"/>
          <w:bCs/>
          <w:sz w:val="24"/>
          <w:szCs w:val="24"/>
          <w:lang w:eastAsia="zh-CN"/>
        </w:rPr>
      </w:pPr>
      <w:bookmarkStart w:id="23" w:name="_Hlk120539076"/>
      <w:r w:rsidRPr="00A33E3B">
        <w:rPr>
          <w:rFonts w:ascii="Arial" w:hAnsi="Arial" w:cs="Arial"/>
          <w:bCs/>
          <w:sz w:val="24"/>
          <w:szCs w:val="24"/>
        </w:rPr>
        <w:t>În intervalul 20–22 noiembrie, datorită precipitaţiilor căzute pe aproape tot teritoriul ţării, debitele au fost în creştere, exceptând râurile din Dobrogea unde au fost staţionare</w:t>
      </w:r>
      <w:bookmarkEnd w:id="23"/>
      <w:r w:rsidRPr="00A33E3B">
        <w:rPr>
          <w:rFonts w:ascii="Arial" w:hAnsi="Arial" w:cs="Arial"/>
          <w:bCs/>
          <w:sz w:val="24"/>
          <w:szCs w:val="24"/>
        </w:rPr>
        <w:t xml:space="preserve">. </w:t>
      </w:r>
    </w:p>
    <w:p w14:paraId="3A11E7AA" w14:textId="77777777" w:rsidR="00E30C2C" w:rsidRPr="00A33E3B" w:rsidRDefault="00E30C2C" w:rsidP="00E30C2C">
      <w:pPr>
        <w:autoSpaceDN w:val="0"/>
        <w:adjustRightInd w:val="0"/>
        <w:spacing w:after="0" w:line="240" w:lineRule="auto"/>
        <w:ind w:firstLine="720"/>
        <w:jc w:val="both"/>
        <w:rPr>
          <w:rFonts w:ascii="Arial" w:hAnsi="Arial" w:cs="Arial"/>
          <w:bCs/>
          <w:sz w:val="24"/>
          <w:szCs w:val="24"/>
          <w:lang w:eastAsia="zh-CN"/>
        </w:rPr>
      </w:pPr>
      <w:r w:rsidRPr="00A33E3B">
        <w:rPr>
          <w:rFonts w:ascii="Arial" w:hAnsi="Arial" w:cs="Arial"/>
          <w:bCs/>
          <w:sz w:val="24"/>
          <w:szCs w:val="24"/>
          <w:lang w:eastAsia="zh-CN"/>
        </w:rPr>
        <w:t>Creșteri mai importante de debite și niveluri cu atingerea și depășirea COTELOR DE ATENȚIE, ca urmare a precipitațiilor mai însemnate cantitativ căzute în interval și pe fondul unor niveluri ridicate generate de precipitațiile înregistrate în zilele anterioare, s-au înregistrat pe râurile la stațiile hidrometrice: Tur–Micula, Crișul Alb–Vața de Jos, Nirajul Mic–Miercurea Nirajului, Niraj–Miercurea Nirajului, Niraj–Cinta, Gladna–Firdea, Hăuzeasca–Firdea, Sașa</w:t>
      </w:r>
      <w:bookmarkStart w:id="24" w:name="_Hlk120538796"/>
      <w:r w:rsidRPr="00A33E3B">
        <w:rPr>
          <w:rFonts w:ascii="Arial" w:hAnsi="Arial" w:cs="Arial"/>
          <w:bCs/>
          <w:sz w:val="24"/>
          <w:szCs w:val="24"/>
          <w:lang w:eastAsia="zh-CN"/>
        </w:rPr>
        <w:t>–</w:t>
      </w:r>
      <w:bookmarkEnd w:id="24"/>
      <w:r w:rsidRPr="00A33E3B">
        <w:rPr>
          <w:rFonts w:ascii="Arial" w:hAnsi="Arial" w:cs="Arial"/>
          <w:bCs/>
          <w:sz w:val="24"/>
          <w:szCs w:val="24"/>
          <w:lang w:eastAsia="zh-CN"/>
        </w:rPr>
        <w:t xml:space="preserve">Poeni, </w:t>
      </w:r>
      <w:r w:rsidRPr="00A33E3B">
        <w:rPr>
          <w:rFonts w:ascii="Arial" w:hAnsi="Arial" w:cs="Arial"/>
          <w:bCs/>
          <w:sz w:val="24"/>
          <w:szCs w:val="24"/>
        </w:rPr>
        <w:t xml:space="preserve"> Moravița</w:t>
      </w:r>
      <w:r w:rsidRPr="00A33E3B">
        <w:rPr>
          <w:rFonts w:ascii="Arial" w:hAnsi="Arial" w:cs="Arial"/>
          <w:bCs/>
          <w:sz w:val="24"/>
          <w:szCs w:val="24"/>
          <w:lang w:eastAsia="zh-CN"/>
        </w:rPr>
        <w:t>–</w:t>
      </w:r>
      <w:r w:rsidRPr="00A33E3B">
        <w:rPr>
          <w:rFonts w:ascii="Arial" w:hAnsi="Arial" w:cs="Arial"/>
          <w:bCs/>
          <w:sz w:val="24"/>
          <w:szCs w:val="24"/>
        </w:rPr>
        <w:t>Moravița şi</w:t>
      </w:r>
      <w:r w:rsidRPr="00A33E3B">
        <w:rPr>
          <w:rFonts w:ascii="Arial" w:hAnsi="Arial" w:cs="Arial"/>
          <w:bCs/>
          <w:sz w:val="24"/>
          <w:szCs w:val="24"/>
          <w:lang w:eastAsia="zh-CN"/>
        </w:rPr>
        <w:t xml:space="preserve"> Bughea–Bughea de Jos.</w:t>
      </w:r>
    </w:p>
    <w:p w14:paraId="5BF13754" w14:textId="77777777" w:rsidR="00E30C2C" w:rsidRPr="00A33E3B" w:rsidRDefault="00E30C2C" w:rsidP="00E30C2C">
      <w:pPr>
        <w:autoSpaceDN w:val="0"/>
        <w:adjustRightInd w:val="0"/>
        <w:spacing w:after="0" w:line="240" w:lineRule="auto"/>
        <w:ind w:firstLine="720"/>
        <w:jc w:val="both"/>
        <w:rPr>
          <w:rFonts w:ascii="Arial" w:hAnsi="Arial" w:cs="Arial"/>
          <w:bCs/>
          <w:sz w:val="24"/>
          <w:szCs w:val="24"/>
          <w:lang w:eastAsia="zh-CN"/>
        </w:rPr>
      </w:pPr>
      <w:r w:rsidRPr="00A33E3B">
        <w:rPr>
          <w:rFonts w:ascii="Arial" w:hAnsi="Arial" w:cs="Arial"/>
          <w:bCs/>
          <w:sz w:val="24"/>
          <w:szCs w:val="24"/>
        </w:rPr>
        <w:t xml:space="preserve">În intervalul 23–25 noiembrie, datorită efectului combinat al precipitaţiilor şi propagării, debitele au fost în creştere în primele două zile pe râurile din bazinele Siretului şi Prutului şi în ultima zi a acestui interval pe cele din bazinele hidrografice: Vişeu, Iza, Tur, Someş, Crasna, Barcău, Crişuri, Bega, Timiş, Bârzava, Moraviţa, Caraş, Nera, Moldova, Bistrița şi au fost depăşite </w:t>
      </w:r>
      <w:r w:rsidRPr="00A33E3B">
        <w:rPr>
          <w:rFonts w:ascii="Arial" w:hAnsi="Arial" w:cs="Arial"/>
          <w:bCs/>
          <w:sz w:val="24"/>
          <w:szCs w:val="24"/>
          <w:lang w:eastAsia="zh-CN"/>
        </w:rPr>
        <w:t>COTELE DE ATENȚIE pe râul Crasna la stația hidrometrică Domăneşti şi pe râul Moraviţa la stația hidrometrică Moravița.</w:t>
      </w:r>
    </w:p>
    <w:p w14:paraId="4FE471CC" w14:textId="77777777" w:rsidR="00E30C2C" w:rsidRPr="00A33E3B" w:rsidRDefault="00E30C2C" w:rsidP="00E30C2C">
      <w:pPr>
        <w:autoSpaceDN w:val="0"/>
        <w:adjustRightInd w:val="0"/>
        <w:spacing w:after="0" w:line="240" w:lineRule="auto"/>
        <w:ind w:firstLine="720"/>
        <w:jc w:val="both"/>
        <w:rPr>
          <w:rFonts w:ascii="Arial" w:hAnsi="Arial" w:cs="Arial"/>
          <w:bCs/>
          <w:sz w:val="24"/>
          <w:szCs w:val="24"/>
        </w:rPr>
      </w:pPr>
      <w:r w:rsidRPr="00A33E3B">
        <w:rPr>
          <w:rFonts w:ascii="Arial" w:hAnsi="Arial" w:cs="Arial"/>
          <w:bCs/>
          <w:sz w:val="24"/>
          <w:szCs w:val="24"/>
        </w:rPr>
        <w:t>Pe celelalte râuri, debitele au fost în uşoară scădere, exceptând râurile din bazinele hidrografice: Vedea, Trotuş, Rm. Sărat, Buzău, Bârlad, Prut şi râurile din Dobrogea, unde au fost relativ staționare.</w:t>
      </w:r>
    </w:p>
    <w:p w14:paraId="09EE889D" w14:textId="77777777" w:rsidR="00E30C2C" w:rsidRPr="00A33E3B" w:rsidRDefault="00E30C2C" w:rsidP="00E30C2C">
      <w:pPr>
        <w:spacing w:after="0" w:line="240" w:lineRule="auto"/>
        <w:ind w:firstLine="720"/>
        <w:jc w:val="both"/>
        <w:rPr>
          <w:rFonts w:ascii="Arial" w:hAnsi="Arial" w:cs="Arial"/>
          <w:bCs/>
          <w:sz w:val="24"/>
          <w:szCs w:val="24"/>
        </w:rPr>
      </w:pPr>
      <w:r w:rsidRPr="00A33E3B">
        <w:rPr>
          <w:rFonts w:ascii="Arial" w:hAnsi="Arial" w:cs="Arial"/>
          <w:bCs/>
          <w:sz w:val="24"/>
          <w:szCs w:val="24"/>
        </w:rPr>
        <w:t xml:space="preserve">În intervalul 23–30 noiembrie debitele râurilor au fost în scădere, exceptând cele din sudul Munteniei, estul Moldovei şi din Dobrogea unde au fost relativ staţionare. </w:t>
      </w:r>
    </w:p>
    <w:p w14:paraId="1EFB98EC" w14:textId="77777777" w:rsidR="00E30C2C" w:rsidRPr="00A33E3B" w:rsidRDefault="00E30C2C" w:rsidP="00E30C2C">
      <w:pPr>
        <w:spacing w:after="0" w:line="240" w:lineRule="auto"/>
        <w:ind w:firstLine="720"/>
        <w:jc w:val="both"/>
        <w:rPr>
          <w:rFonts w:ascii="Arial" w:hAnsi="Arial" w:cs="Arial"/>
          <w:sz w:val="24"/>
          <w:szCs w:val="24"/>
        </w:rPr>
      </w:pPr>
    </w:p>
    <w:p w14:paraId="35265DD1" w14:textId="77777777" w:rsidR="00E30C2C" w:rsidRPr="00A33E3B" w:rsidRDefault="00E30C2C" w:rsidP="00E30C2C">
      <w:pPr>
        <w:spacing w:after="0" w:line="240" w:lineRule="auto"/>
        <w:ind w:firstLine="720"/>
        <w:jc w:val="both"/>
        <w:rPr>
          <w:rFonts w:ascii="Arial" w:hAnsi="Arial" w:cs="Arial"/>
          <w:sz w:val="24"/>
          <w:szCs w:val="24"/>
          <w:lang w:eastAsia="x-none"/>
        </w:rPr>
      </w:pPr>
      <w:r w:rsidRPr="00A33E3B">
        <w:rPr>
          <w:rFonts w:ascii="Arial" w:hAnsi="Arial" w:cs="Arial"/>
          <w:sz w:val="24"/>
          <w:szCs w:val="24"/>
          <w:lang w:eastAsia="x-none"/>
        </w:rPr>
        <w:t xml:space="preserve">În luna </w:t>
      </w:r>
      <w:r w:rsidRPr="00A33E3B">
        <w:rPr>
          <w:rFonts w:ascii="Arial" w:hAnsi="Arial" w:cs="Arial"/>
          <w:sz w:val="24"/>
          <w:szCs w:val="24"/>
          <w:u w:val="single"/>
          <w:lang w:eastAsia="x-none"/>
        </w:rPr>
        <w:t>decembrie 2022</w:t>
      </w:r>
      <w:r w:rsidRPr="00A33E3B">
        <w:rPr>
          <w:rFonts w:ascii="Arial" w:hAnsi="Arial" w:cs="Arial"/>
          <w:sz w:val="24"/>
          <w:szCs w:val="24"/>
          <w:lang w:eastAsia="x-none"/>
        </w:rPr>
        <w:t xml:space="preserve">, regimul hidrologic al bazinelor hidrografice din România </w:t>
      </w:r>
      <w:r w:rsidRPr="00A33E3B">
        <w:rPr>
          <w:rFonts w:ascii="Arial" w:hAnsi="Arial" w:cs="Arial"/>
          <w:sz w:val="24"/>
          <w:szCs w:val="24"/>
        </w:rPr>
        <w:t xml:space="preserve">(figura </w:t>
      </w:r>
      <w:r>
        <w:rPr>
          <w:rFonts w:ascii="Arial" w:hAnsi="Arial" w:cs="Arial"/>
          <w:sz w:val="24"/>
          <w:szCs w:val="24"/>
        </w:rPr>
        <w:t>II.1.1.3.17</w:t>
      </w:r>
      <w:r w:rsidRPr="00A33E3B">
        <w:rPr>
          <w:rFonts w:ascii="Arial" w:hAnsi="Arial" w:cs="Arial"/>
          <w:sz w:val="24"/>
          <w:szCs w:val="24"/>
        </w:rPr>
        <w:t xml:space="preserve">) </w:t>
      </w:r>
      <w:r w:rsidRPr="00A33E3B">
        <w:rPr>
          <w:rFonts w:ascii="Arial" w:hAnsi="Arial" w:cs="Arial"/>
          <w:sz w:val="24"/>
          <w:szCs w:val="24"/>
          <w:lang w:eastAsia="x-none"/>
        </w:rPr>
        <w:t xml:space="preserve">s-a situat </w:t>
      </w:r>
      <w:bookmarkStart w:id="25" w:name="_Hlk123205145"/>
      <w:r w:rsidRPr="00A33E3B">
        <w:rPr>
          <w:rFonts w:ascii="Arial" w:hAnsi="Arial" w:cs="Arial"/>
          <w:sz w:val="24"/>
          <w:szCs w:val="24"/>
          <w:lang w:eastAsia="x-none"/>
        </w:rPr>
        <w:t xml:space="preserve">la valori peste mediile multianuale lunare pe râurile din bazinele hidrografice: Vişeu, Iza, Tur, Someş, Crasna, Barcău, Crişul Repede, Crişul Negru, Crişul Alb, Mureş, Bega Veche, Bega, Timiş, Bârzava, Moraviţa, Caraş, Nera, Cerna, Desnăţui, Jiu, Olt inferior, Bistriţa, Suceava şi pe cursurile superioare ale Oltului, </w:t>
      </w:r>
      <w:r w:rsidRPr="00A33E3B">
        <w:rPr>
          <w:rFonts w:ascii="Arial" w:hAnsi="Arial" w:cs="Arial"/>
          <w:sz w:val="24"/>
          <w:szCs w:val="24"/>
          <w:lang w:eastAsia="x-none"/>
        </w:rPr>
        <w:lastRenderedPageBreak/>
        <w:t>Trotuşului, Moldovei şi Prutului. Pe celelalte râuri regimul hidrologic s-a situat la valori cuprinse între 50-80% din normalele lunare, mai mari (80-100%) pe râurile din bazinul mijlociu al Oltului şi mai mici (30-50%) pe afluenţii Prutului şi pe râurile din Dobrogea. Cele mai mici valori (sub 30%) s-au ȋnregistrat pe Vedea, Rm.Sărat şi Bârlad.</w:t>
      </w:r>
    </w:p>
    <w:bookmarkEnd w:id="25"/>
    <w:p w14:paraId="1BE9EABA" w14:textId="77777777" w:rsidR="00E30C2C" w:rsidRPr="00A33E3B" w:rsidRDefault="00E30C2C" w:rsidP="00E30C2C">
      <w:pPr>
        <w:spacing w:after="0" w:line="240" w:lineRule="auto"/>
        <w:ind w:firstLine="720"/>
        <w:jc w:val="both"/>
        <w:rPr>
          <w:rFonts w:ascii="Arial" w:hAnsi="Arial" w:cs="Arial"/>
          <w:sz w:val="24"/>
          <w:szCs w:val="24"/>
          <w:lang w:eastAsia="x-none"/>
        </w:rPr>
      </w:pPr>
      <w:r w:rsidRPr="00A33E3B">
        <w:rPr>
          <w:rFonts w:ascii="Arial" w:hAnsi="Arial" w:cs="Arial"/>
          <w:sz w:val="24"/>
          <w:szCs w:val="24"/>
          <w:lang w:eastAsia="x-none"/>
        </w:rPr>
        <w:t>În intervalul 1–6 decembrie 2022 debitele au fost relativ staţionare, exceptând râurile din bazinele hidrografice: Iza, Tur, Someş, Crişuri, Mureş, Bega, Bârzava, Moraviţa, Caraş, Nera, Cerna şi în primele patru zile şi Prutul superior unde au fost în scădere.</w:t>
      </w:r>
    </w:p>
    <w:p w14:paraId="77DEA634" w14:textId="77777777" w:rsidR="00E30C2C" w:rsidRPr="00215A93" w:rsidRDefault="00E30C2C" w:rsidP="00E30C2C">
      <w:pPr>
        <w:spacing w:line="240" w:lineRule="auto"/>
        <w:ind w:firstLine="720"/>
        <w:jc w:val="both"/>
        <w:rPr>
          <w:rFonts w:asciiTheme="minorBidi" w:hAnsiTheme="minorBidi"/>
          <w:sz w:val="24"/>
          <w:szCs w:val="24"/>
          <w:lang w:eastAsia="x-none"/>
        </w:rPr>
      </w:pPr>
    </w:p>
    <w:p w14:paraId="339B016B" w14:textId="77777777" w:rsidR="00E30C2C" w:rsidRPr="00215A93" w:rsidRDefault="00E30C2C" w:rsidP="00E30C2C">
      <w:pPr>
        <w:spacing w:line="240" w:lineRule="auto"/>
        <w:jc w:val="center"/>
        <w:rPr>
          <w:rFonts w:asciiTheme="minorBidi" w:hAnsiTheme="minorBidi"/>
          <w:sz w:val="24"/>
          <w:szCs w:val="24"/>
          <w:lang w:eastAsia="x-none"/>
        </w:rPr>
      </w:pPr>
      <w:r w:rsidRPr="00804B8B">
        <w:rPr>
          <w:rFonts w:ascii="Arial" w:hAnsi="Arial" w:cs="Arial"/>
          <w:noProof/>
          <w:lang w:val="en-GB" w:eastAsia="en-GB"/>
        </w:rPr>
        <w:drawing>
          <wp:inline distT="0" distB="0" distL="0" distR="0" wp14:anchorId="6B85627B" wp14:editId="771FF64D">
            <wp:extent cx="4537075" cy="3235325"/>
            <wp:effectExtent l="0" t="0" r="0" b="3175"/>
            <wp:docPr id="10898281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7075" cy="3235325"/>
                    </a:xfrm>
                    <a:prstGeom prst="rect">
                      <a:avLst/>
                    </a:prstGeom>
                    <a:noFill/>
                    <a:ln>
                      <a:noFill/>
                    </a:ln>
                  </pic:spPr>
                </pic:pic>
              </a:graphicData>
            </a:graphic>
          </wp:inline>
        </w:drawing>
      </w:r>
    </w:p>
    <w:p w14:paraId="5C922855" w14:textId="77777777" w:rsidR="00E30C2C" w:rsidRPr="00215A93" w:rsidRDefault="00E30C2C" w:rsidP="00E30C2C">
      <w:pPr>
        <w:spacing w:after="0" w:line="240" w:lineRule="auto"/>
        <w:jc w:val="center"/>
        <w:rPr>
          <w:rFonts w:asciiTheme="minorBidi" w:hAnsiTheme="minorBidi"/>
          <w:i/>
          <w:sz w:val="24"/>
          <w:szCs w:val="24"/>
        </w:rPr>
      </w:pPr>
      <w:r w:rsidRPr="00CB2589">
        <w:rPr>
          <w:rFonts w:asciiTheme="minorBidi" w:hAnsiTheme="minorBidi"/>
          <w:b/>
          <w:i/>
          <w:iCs/>
          <w:sz w:val="24"/>
          <w:szCs w:val="24"/>
        </w:rPr>
        <w:t>Figura II.1.1.3.</w:t>
      </w:r>
      <w:r>
        <w:rPr>
          <w:rFonts w:asciiTheme="minorBidi" w:hAnsiTheme="minorBidi"/>
          <w:b/>
          <w:i/>
          <w:iCs/>
          <w:sz w:val="24"/>
          <w:szCs w:val="24"/>
        </w:rPr>
        <w:t xml:space="preserve">17: </w:t>
      </w:r>
      <w:r w:rsidRPr="00215A93">
        <w:rPr>
          <w:rFonts w:asciiTheme="minorBidi" w:hAnsiTheme="minorBidi"/>
          <w:i/>
          <w:sz w:val="24"/>
          <w:szCs w:val="24"/>
        </w:rPr>
        <w:t>Regimul debitelor medii lunare în luna decembrie  20</w:t>
      </w:r>
      <w:r>
        <w:rPr>
          <w:rFonts w:asciiTheme="minorBidi" w:hAnsiTheme="minorBidi"/>
          <w:i/>
          <w:sz w:val="24"/>
          <w:szCs w:val="24"/>
        </w:rPr>
        <w:t xml:space="preserve">22 </w:t>
      </w:r>
    </w:p>
    <w:p w14:paraId="6E222323" w14:textId="77777777" w:rsidR="00E30C2C" w:rsidRPr="00215A93" w:rsidRDefault="00E30C2C" w:rsidP="00E30C2C">
      <w:pPr>
        <w:spacing w:after="0" w:line="240" w:lineRule="auto"/>
        <w:ind w:firstLine="720"/>
        <w:jc w:val="both"/>
        <w:rPr>
          <w:rFonts w:asciiTheme="minorBidi" w:hAnsiTheme="minorBidi"/>
          <w:sz w:val="24"/>
          <w:szCs w:val="24"/>
          <w:lang w:eastAsia="x-none"/>
        </w:rPr>
      </w:pPr>
    </w:p>
    <w:p w14:paraId="2EAAE2E3" w14:textId="77777777" w:rsidR="00E30C2C" w:rsidRPr="00A33E3B" w:rsidRDefault="00E30C2C" w:rsidP="00E30C2C">
      <w:pPr>
        <w:spacing w:after="0" w:line="240" w:lineRule="auto"/>
        <w:ind w:firstLine="720"/>
        <w:jc w:val="both"/>
        <w:rPr>
          <w:rFonts w:ascii="Arial" w:hAnsi="Arial" w:cs="Arial"/>
          <w:sz w:val="24"/>
          <w:szCs w:val="24"/>
          <w:lang w:eastAsia="x-none"/>
        </w:rPr>
      </w:pPr>
      <w:r w:rsidRPr="00A33E3B">
        <w:rPr>
          <w:rFonts w:ascii="Arial" w:hAnsi="Arial" w:cs="Arial"/>
          <w:sz w:val="24"/>
          <w:szCs w:val="24"/>
          <w:lang w:eastAsia="x-none"/>
        </w:rPr>
        <w:t xml:space="preserve">În intervalul 7–10 decembrie debitele au fost în general în creştere, datorită precipitaţiilor lichide şi propagării, pe râurile din Maramureş, Crişana, Banat şi, în ultimele două zile, şi pe cele din Oltenia şi nordul Moldovei. Pe celelalte râuri debitele au fost relativ staţionare. </w:t>
      </w:r>
    </w:p>
    <w:p w14:paraId="6CCEEAF7" w14:textId="77777777" w:rsidR="00E30C2C" w:rsidRPr="00A33E3B" w:rsidRDefault="00E30C2C" w:rsidP="00E30C2C">
      <w:pPr>
        <w:spacing w:after="0" w:line="240" w:lineRule="auto"/>
        <w:ind w:firstLine="720"/>
        <w:jc w:val="both"/>
        <w:rPr>
          <w:rFonts w:ascii="Arial" w:hAnsi="Arial" w:cs="Arial"/>
          <w:bCs/>
          <w:sz w:val="24"/>
          <w:szCs w:val="24"/>
          <w:lang w:eastAsia="zh-CN"/>
        </w:rPr>
      </w:pPr>
      <w:r w:rsidRPr="00A33E3B">
        <w:rPr>
          <w:rFonts w:ascii="Arial" w:hAnsi="Arial" w:cs="Arial"/>
          <w:sz w:val="24"/>
          <w:szCs w:val="24"/>
          <w:lang w:eastAsia="x-none"/>
        </w:rPr>
        <w:t xml:space="preserve">Precipitaţiile lichide s-au extins şi în zilele de 11 şi 12 decembrie pe aproape întreg teritoriul ţării şi au determinat creşteri de niveluri şi debite pe majoritatea râurilor, exceptând cele din bazinele hidrografice ale Vedei şi Bârladului unde au fost staţionare. </w:t>
      </w:r>
      <w:r w:rsidRPr="00A33E3B">
        <w:rPr>
          <w:rFonts w:ascii="Arial" w:hAnsi="Arial" w:cs="Arial"/>
          <w:bCs/>
          <w:sz w:val="24"/>
          <w:szCs w:val="24"/>
          <w:lang w:eastAsia="zh-CN"/>
        </w:rPr>
        <w:t xml:space="preserve">Creșteri mai importante, cu depăşirea </w:t>
      </w:r>
      <w:r w:rsidRPr="00A33E3B">
        <w:rPr>
          <w:rFonts w:ascii="Arial" w:hAnsi="Arial" w:cs="Arial"/>
          <w:bCs/>
          <w:color w:val="000000"/>
          <w:sz w:val="24"/>
          <w:szCs w:val="24"/>
          <w:lang w:eastAsia="zh-CN"/>
        </w:rPr>
        <w:t>COTELOR DE ATENŢIE,</w:t>
      </w:r>
      <w:r w:rsidRPr="00A33E3B">
        <w:rPr>
          <w:rFonts w:ascii="Arial" w:hAnsi="Arial" w:cs="Arial"/>
          <w:bCs/>
          <w:sz w:val="24"/>
          <w:szCs w:val="24"/>
          <w:lang w:eastAsia="zh-CN"/>
        </w:rPr>
        <w:t xml:space="preserve"> s-au înregistrat pe unele râuri din Maramureş (Tur, Lăpuş), Crişana (Crasna, Crişul Negru), Banat (Bega, Moraviţa), Oltenia (Jiu, Olteţ) şi Dobrogea (Topolog).</w:t>
      </w:r>
    </w:p>
    <w:p w14:paraId="5918F107" w14:textId="77777777" w:rsidR="00E30C2C" w:rsidRPr="00A33E3B" w:rsidRDefault="00E30C2C" w:rsidP="00E30C2C">
      <w:pPr>
        <w:suppressAutoHyphens/>
        <w:autoSpaceDE w:val="0"/>
        <w:autoSpaceDN w:val="0"/>
        <w:adjustRightInd w:val="0"/>
        <w:spacing w:after="0" w:line="240" w:lineRule="auto"/>
        <w:ind w:firstLine="720"/>
        <w:jc w:val="both"/>
        <w:rPr>
          <w:rFonts w:ascii="Arial" w:hAnsi="Arial" w:cs="Arial"/>
          <w:bCs/>
          <w:sz w:val="24"/>
          <w:szCs w:val="24"/>
        </w:rPr>
      </w:pPr>
      <w:r w:rsidRPr="00A33E3B">
        <w:rPr>
          <w:rFonts w:ascii="Arial" w:hAnsi="Arial" w:cs="Arial"/>
          <w:bCs/>
          <w:sz w:val="24"/>
          <w:szCs w:val="24"/>
        </w:rPr>
        <w:t xml:space="preserve">În intervalul 13–16 decembrie debitele au fost în scădere, exceptând primele două zile când au fost în creştere prin propagare pe cursurile mijlocii şi inferioare ale râurilor mari şi ultimele două zile când pe râurile din Muntenia, Dobrogea şi Moldova debitele au fost relativ staţionare. Prin propagarea viiturilor formate anterior, în primele două zile ale intervalului, nivelurile s-au menţinut peste COTELE DE APĂRARE pe cursurile inferioare ale râurilor Tur, Crasna şi Moraviţa. </w:t>
      </w:r>
    </w:p>
    <w:p w14:paraId="2CE37794" w14:textId="77777777" w:rsidR="00E30C2C" w:rsidRPr="00A33E3B" w:rsidRDefault="00E30C2C" w:rsidP="00E30C2C">
      <w:pPr>
        <w:suppressAutoHyphens/>
        <w:autoSpaceDE w:val="0"/>
        <w:autoSpaceDN w:val="0"/>
        <w:adjustRightInd w:val="0"/>
        <w:spacing w:after="0" w:line="240" w:lineRule="auto"/>
        <w:ind w:firstLine="720"/>
        <w:jc w:val="both"/>
        <w:rPr>
          <w:rFonts w:ascii="Arial" w:hAnsi="Arial" w:cs="Arial"/>
          <w:bCs/>
          <w:sz w:val="24"/>
          <w:szCs w:val="24"/>
          <w:lang w:eastAsia="zh-CN"/>
        </w:rPr>
      </w:pPr>
      <w:r w:rsidRPr="00A33E3B">
        <w:rPr>
          <w:rFonts w:ascii="Arial" w:hAnsi="Arial" w:cs="Arial"/>
          <w:bCs/>
          <w:sz w:val="24"/>
          <w:szCs w:val="24"/>
        </w:rPr>
        <w:t>În zilele de 17 şi 18 decembrie, datorită precipitaţiilor lichide căzute îndeosebi în jumătatea de vest a ţării, debitele au fost în creştere pe râurile din Maramureş, Crişana, Banat, Oltenia şi pe unele râuri din Muntenia şi Moldova. Pe celelalte râuri debitele au fost relativ staţionare.</w:t>
      </w:r>
    </w:p>
    <w:p w14:paraId="2D6F4108" w14:textId="77777777" w:rsidR="00E30C2C" w:rsidRPr="00A33E3B" w:rsidRDefault="00E30C2C" w:rsidP="00E30C2C">
      <w:pPr>
        <w:autoSpaceDN w:val="0"/>
        <w:adjustRightInd w:val="0"/>
        <w:spacing w:after="0" w:line="240" w:lineRule="auto"/>
        <w:ind w:firstLine="720"/>
        <w:jc w:val="both"/>
        <w:rPr>
          <w:rFonts w:ascii="Arial" w:hAnsi="Arial" w:cs="Arial"/>
          <w:bCs/>
          <w:sz w:val="24"/>
          <w:szCs w:val="24"/>
          <w:lang w:eastAsia="zh-CN"/>
        </w:rPr>
      </w:pPr>
      <w:r w:rsidRPr="00A33E3B">
        <w:rPr>
          <w:rFonts w:ascii="Arial" w:hAnsi="Arial" w:cs="Arial"/>
          <w:bCs/>
          <w:sz w:val="24"/>
          <w:szCs w:val="24"/>
          <w:lang w:eastAsia="zh-CN"/>
        </w:rPr>
        <w:t xml:space="preserve">Creșteri mai importante de debite și niveluri, cu depășirea COTELOR DE APĂRARE, ca urmare a precipitațiilor lichide mai însemnate cantitativ și propagării, s-au înregistrat pe râurile din nordul, vestul şi sud-vestul ţării (Tisa, Vişeu, Iza, Tur, Someşul </w:t>
      </w:r>
      <w:r w:rsidRPr="00A33E3B">
        <w:rPr>
          <w:rFonts w:ascii="Arial" w:hAnsi="Arial" w:cs="Arial"/>
          <w:bCs/>
          <w:sz w:val="24"/>
          <w:szCs w:val="24"/>
          <w:lang w:eastAsia="zh-CN"/>
        </w:rPr>
        <w:lastRenderedPageBreak/>
        <w:t>Mare, Lăpuş, Crasna, Crişul Alb, Crişul Negru, Arieş, Bega, Timiş, Bârzava, Moraviţa, Nera, Motru, Olteţ superior).</w:t>
      </w:r>
    </w:p>
    <w:p w14:paraId="201EA8B3" w14:textId="77777777" w:rsidR="00E30C2C" w:rsidRPr="00A33E3B" w:rsidRDefault="00E30C2C" w:rsidP="00E30C2C">
      <w:pPr>
        <w:autoSpaceDN w:val="0"/>
        <w:adjustRightInd w:val="0"/>
        <w:spacing w:after="0" w:line="240" w:lineRule="auto"/>
        <w:ind w:firstLine="720"/>
        <w:jc w:val="both"/>
        <w:rPr>
          <w:rFonts w:ascii="Arial" w:hAnsi="Arial" w:cs="Arial"/>
          <w:bCs/>
          <w:sz w:val="24"/>
          <w:szCs w:val="24"/>
        </w:rPr>
      </w:pPr>
      <w:r w:rsidRPr="00A33E3B">
        <w:rPr>
          <w:rFonts w:ascii="Arial" w:hAnsi="Arial" w:cs="Arial"/>
          <w:bCs/>
          <w:sz w:val="24"/>
          <w:szCs w:val="24"/>
        </w:rPr>
        <w:t>În intervalul 19–21 decembrie debitele au fost în scădere, exceptând râurile din bazinele hidrografice Vedea, Argeş inferior şi cele din Dobrogea unde au fost staţionare şi cursul superior al Prutului unde au fost în creştere prin propagare.</w:t>
      </w:r>
    </w:p>
    <w:p w14:paraId="533A97DE" w14:textId="77777777" w:rsidR="00E30C2C" w:rsidRPr="00A33E3B" w:rsidRDefault="00E30C2C" w:rsidP="00E30C2C">
      <w:pPr>
        <w:autoSpaceDN w:val="0"/>
        <w:adjustRightInd w:val="0"/>
        <w:spacing w:after="0" w:line="240" w:lineRule="auto"/>
        <w:jc w:val="both"/>
        <w:rPr>
          <w:rFonts w:ascii="Arial" w:hAnsi="Arial" w:cs="Arial"/>
          <w:bCs/>
          <w:sz w:val="24"/>
          <w:szCs w:val="24"/>
          <w:lang w:eastAsia="zh-CN"/>
        </w:rPr>
      </w:pPr>
      <w:r w:rsidRPr="00A33E3B">
        <w:rPr>
          <w:rFonts w:ascii="Arial" w:hAnsi="Arial" w:cs="Arial"/>
          <w:bCs/>
          <w:sz w:val="24"/>
          <w:szCs w:val="24"/>
        </w:rPr>
        <w:tab/>
        <w:t xml:space="preserve">În intervalul 22–31 decembrie debitele au fost în scădere pe râurile din jumătatea de vest a ţării şi relativ staţionare pe cele din jumătatea estică. Creşteri de niveluri şi debite, datorită precipitaţiilor lichide şi propagării s-au înregistrat în zilele de 24 şi 25 decembrie pe </w:t>
      </w:r>
      <w:r w:rsidRPr="00A33E3B">
        <w:rPr>
          <w:rFonts w:ascii="Arial" w:hAnsi="Arial" w:cs="Arial"/>
          <w:bCs/>
          <w:sz w:val="24"/>
          <w:szCs w:val="24"/>
          <w:lang w:eastAsia="zh-CN"/>
        </w:rPr>
        <w:t>Vişeu, Iza, Tur, Someş, Suceava, Putna şi Buzău, cu depăşirea COTELOR DE ATENŢIE pe râul Tur şi pe afluentul său, Valea Rea, în data de 28 decembrie pe Vişeu, Iza, Someşul Mare, Bega şi pe cursurile superioare ale Crişului Negru, Mureşului, Bistriţei şi Buzăului şi în ultima zi a lunii pe râurile din Maramureş şi Crişana.</w:t>
      </w:r>
    </w:p>
    <w:p w14:paraId="09E10C5F" w14:textId="77777777" w:rsidR="00E30C2C" w:rsidRPr="00A33E3B" w:rsidRDefault="00E30C2C" w:rsidP="00E30C2C">
      <w:pPr>
        <w:autoSpaceDN w:val="0"/>
        <w:adjustRightInd w:val="0"/>
        <w:spacing w:after="0" w:line="240" w:lineRule="auto"/>
        <w:ind w:firstLine="720"/>
        <w:jc w:val="both"/>
        <w:rPr>
          <w:rFonts w:ascii="Arial" w:hAnsi="Arial" w:cs="Arial"/>
          <w:bCs/>
          <w:sz w:val="24"/>
          <w:szCs w:val="24"/>
        </w:rPr>
      </w:pPr>
      <w:r w:rsidRPr="00A33E3B">
        <w:rPr>
          <w:rFonts w:ascii="Arial" w:hAnsi="Arial" w:cs="Arial"/>
          <w:bCs/>
          <w:sz w:val="24"/>
          <w:szCs w:val="24"/>
          <w:lang w:eastAsia="zh-CN"/>
        </w:rPr>
        <w:t>Formaţiunile încipiente de gheaţă (gheață la maluri) apărute în prima zi a lunii decembrie în bazinul superior al Bistriței s-au menţinut în următoarele trei zile, apoi în data de 4 decembrie au fost în diminuare şi eliminare. Începând cu data de 13 decembrie au apărut din nou formațiuni incipiente de gheață (ace de gheață, gheață la maluri, năboi) pe unele râuri mici din nordul şi centrul țării, care s-au extins şi intensificat în intervalul 19-21 decembrie când erau prezente</w:t>
      </w:r>
      <w:r w:rsidRPr="00A33E3B">
        <w:rPr>
          <w:rFonts w:ascii="Arial" w:hAnsi="Arial" w:cs="Arial"/>
          <w:sz w:val="24"/>
          <w:szCs w:val="24"/>
        </w:rPr>
        <w:t xml:space="preserve"> </w:t>
      </w:r>
      <w:r w:rsidRPr="00A33E3B">
        <w:rPr>
          <w:rFonts w:ascii="Arial" w:hAnsi="Arial" w:cs="Arial"/>
          <w:bCs/>
          <w:sz w:val="24"/>
          <w:szCs w:val="24"/>
        </w:rPr>
        <w:t>în bazinele Oltului, Siretului şi Prutului şi în bazinele superioare ale râurilor: Someş, Crişul Repede, Mureş, Arieş, Ialomița, precum şi pe râurile din Dobrogea. Începând din data de 22 decembrie formaţiunile de gheaţă au fost în diminuare, restrângere şi eliminare, astfel încât la sfârsitul lunii, erau prezente (gheaţă la maluri) numai izolat pe unii afluenţi ai Mureşului, Moldovei, Bistriţei şi Trotuşului.</w:t>
      </w:r>
    </w:p>
    <w:p w14:paraId="19A4617F" w14:textId="77777777" w:rsidR="00E30C2C" w:rsidRPr="00A33E3B" w:rsidRDefault="00E30C2C" w:rsidP="00E30C2C">
      <w:pPr>
        <w:spacing w:after="0" w:line="240" w:lineRule="auto"/>
        <w:ind w:firstLine="720"/>
        <w:jc w:val="both"/>
        <w:rPr>
          <w:rFonts w:ascii="Arial" w:hAnsi="Arial" w:cs="Arial"/>
          <w:sz w:val="24"/>
          <w:szCs w:val="24"/>
        </w:rPr>
      </w:pPr>
      <w:r w:rsidRPr="00A33E3B">
        <w:rPr>
          <w:rFonts w:ascii="Arial" w:hAnsi="Arial" w:cs="Arial"/>
          <w:sz w:val="24"/>
          <w:szCs w:val="24"/>
        </w:rPr>
        <w:t xml:space="preserve">Situaţia depăşirii COTELOR DE APĂRARE în luna decembrie 2022 (valori maxime preliminare determinate pe baza datelor din fluxul operativ) este prezentată în figura </w:t>
      </w:r>
      <w:r>
        <w:rPr>
          <w:rFonts w:ascii="Arial" w:hAnsi="Arial" w:cs="Arial"/>
          <w:sz w:val="24"/>
          <w:szCs w:val="24"/>
        </w:rPr>
        <w:t>II.1.1.3.18</w:t>
      </w:r>
      <w:r w:rsidRPr="00A33E3B">
        <w:rPr>
          <w:rFonts w:ascii="Arial" w:hAnsi="Arial" w:cs="Arial"/>
          <w:sz w:val="24"/>
          <w:szCs w:val="24"/>
        </w:rPr>
        <w:t>.</w:t>
      </w:r>
    </w:p>
    <w:p w14:paraId="523CF577" w14:textId="77777777" w:rsidR="00E30C2C" w:rsidRPr="00804B8B" w:rsidRDefault="00E30C2C" w:rsidP="00E30C2C">
      <w:pPr>
        <w:spacing w:after="0" w:line="240" w:lineRule="auto"/>
        <w:jc w:val="center"/>
        <w:rPr>
          <w:rFonts w:ascii="Arial" w:hAnsi="Arial" w:cs="Arial"/>
        </w:rPr>
      </w:pPr>
    </w:p>
    <w:p w14:paraId="07A1B624" w14:textId="77777777" w:rsidR="00E30C2C" w:rsidRPr="00804B8B" w:rsidRDefault="00E30C2C" w:rsidP="00E30C2C">
      <w:pPr>
        <w:spacing w:after="0" w:line="240" w:lineRule="auto"/>
        <w:jc w:val="center"/>
        <w:rPr>
          <w:rFonts w:ascii="Arial" w:hAnsi="Arial" w:cs="Arial"/>
        </w:rPr>
      </w:pPr>
      <w:r w:rsidRPr="00804B8B">
        <w:rPr>
          <w:rFonts w:ascii="Arial" w:hAnsi="Arial" w:cs="Arial"/>
          <w:noProof/>
          <w:lang w:val="en-GB" w:eastAsia="en-GB"/>
        </w:rPr>
        <w:drawing>
          <wp:inline distT="0" distB="0" distL="0" distR="0" wp14:anchorId="2038DE49" wp14:editId="40B4692A">
            <wp:extent cx="4598670" cy="3218180"/>
            <wp:effectExtent l="0" t="0" r="0" b="1270"/>
            <wp:docPr id="399914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8670" cy="3218180"/>
                    </a:xfrm>
                    <a:prstGeom prst="rect">
                      <a:avLst/>
                    </a:prstGeom>
                    <a:noFill/>
                    <a:ln>
                      <a:noFill/>
                    </a:ln>
                  </pic:spPr>
                </pic:pic>
              </a:graphicData>
            </a:graphic>
          </wp:inline>
        </w:drawing>
      </w:r>
    </w:p>
    <w:p w14:paraId="61D549BC" w14:textId="77777777" w:rsidR="00E30C2C" w:rsidRPr="00A33E3B" w:rsidRDefault="00E30C2C" w:rsidP="00E30C2C">
      <w:pPr>
        <w:spacing w:after="0" w:line="240" w:lineRule="auto"/>
        <w:jc w:val="center"/>
        <w:rPr>
          <w:rFonts w:ascii="Arial" w:hAnsi="Arial" w:cs="Arial"/>
          <w:i/>
          <w:sz w:val="24"/>
          <w:szCs w:val="24"/>
        </w:rPr>
      </w:pPr>
      <w:r w:rsidRPr="00A33E3B">
        <w:rPr>
          <w:rFonts w:ascii="Arial" w:hAnsi="Arial" w:cs="Arial"/>
          <w:b/>
          <w:bCs/>
          <w:i/>
          <w:sz w:val="24"/>
          <w:szCs w:val="24"/>
        </w:rPr>
        <w:t>Figura II.1.1.3.1</w:t>
      </w:r>
      <w:r>
        <w:rPr>
          <w:rFonts w:ascii="Arial" w:hAnsi="Arial" w:cs="Arial"/>
          <w:b/>
          <w:bCs/>
          <w:i/>
          <w:sz w:val="24"/>
          <w:szCs w:val="24"/>
        </w:rPr>
        <w:t>8</w:t>
      </w:r>
      <w:r w:rsidRPr="00A33E3B">
        <w:rPr>
          <w:rFonts w:ascii="Arial" w:hAnsi="Arial" w:cs="Arial"/>
          <w:b/>
          <w:bCs/>
          <w:i/>
          <w:sz w:val="24"/>
          <w:szCs w:val="24"/>
        </w:rPr>
        <w:t>.</w:t>
      </w:r>
      <w:r w:rsidRPr="00A33E3B">
        <w:rPr>
          <w:rFonts w:ascii="Arial" w:hAnsi="Arial" w:cs="Arial"/>
          <w:i/>
          <w:sz w:val="24"/>
          <w:szCs w:val="24"/>
        </w:rPr>
        <w:t xml:space="preserve">  </w:t>
      </w:r>
      <w:r w:rsidRPr="00A33E3B">
        <w:rPr>
          <w:rFonts w:ascii="Arial" w:hAnsi="Arial" w:cs="Arial"/>
          <w:i/>
          <w:iCs/>
          <w:sz w:val="24"/>
          <w:szCs w:val="24"/>
        </w:rPr>
        <w:t>Situaţia depăşir</w:t>
      </w:r>
      <w:r>
        <w:rPr>
          <w:rFonts w:ascii="Arial" w:hAnsi="Arial" w:cs="Arial"/>
          <w:i/>
          <w:iCs/>
          <w:sz w:val="24"/>
          <w:szCs w:val="24"/>
        </w:rPr>
        <w:t>ii</w:t>
      </w:r>
      <w:r w:rsidRPr="00A33E3B">
        <w:rPr>
          <w:rFonts w:ascii="Arial" w:hAnsi="Arial" w:cs="Arial"/>
          <w:i/>
          <w:iCs/>
          <w:sz w:val="24"/>
          <w:szCs w:val="24"/>
        </w:rPr>
        <w:t xml:space="preserve"> COTE</w:t>
      </w:r>
      <w:r>
        <w:rPr>
          <w:rFonts w:ascii="Arial" w:hAnsi="Arial" w:cs="Arial"/>
          <w:i/>
          <w:iCs/>
          <w:sz w:val="24"/>
          <w:szCs w:val="24"/>
        </w:rPr>
        <w:t>LOR</w:t>
      </w:r>
      <w:r w:rsidRPr="00A33E3B">
        <w:rPr>
          <w:rFonts w:ascii="Arial" w:hAnsi="Arial" w:cs="Arial"/>
          <w:i/>
          <w:iCs/>
          <w:sz w:val="24"/>
          <w:szCs w:val="24"/>
        </w:rPr>
        <w:t xml:space="preserve"> DE APĂRARE pentru luna decembrie 2022</w:t>
      </w:r>
    </w:p>
    <w:p w14:paraId="4E7A9626" w14:textId="77777777" w:rsidR="00E30C2C" w:rsidRPr="00215A93" w:rsidRDefault="00E30C2C" w:rsidP="00E30C2C">
      <w:pPr>
        <w:spacing w:after="0" w:line="240" w:lineRule="auto"/>
        <w:ind w:firstLine="720"/>
        <w:jc w:val="both"/>
        <w:rPr>
          <w:rFonts w:asciiTheme="minorBidi" w:hAnsiTheme="minorBidi"/>
          <w:sz w:val="24"/>
          <w:szCs w:val="24"/>
        </w:rPr>
      </w:pPr>
    </w:p>
    <w:p w14:paraId="4FDF1C60" w14:textId="77777777" w:rsidR="00E30C2C" w:rsidRPr="00215A93" w:rsidRDefault="00E30C2C" w:rsidP="00E30C2C">
      <w:pPr>
        <w:spacing w:after="0" w:line="240" w:lineRule="auto"/>
        <w:ind w:firstLine="720"/>
        <w:jc w:val="both"/>
        <w:rPr>
          <w:rFonts w:asciiTheme="minorBidi" w:hAnsiTheme="minorBidi"/>
          <w:b/>
          <w:sz w:val="24"/>
          <w:szCs w:val="24"/>
        </w:rPr>
      </w:pPr>
      <w:r w:rsidRPr="00215A93">
        <w:rPr>
          <w:rFonts w:asciiTheme="minorBidi" w:hAnsiTheme="minorBidi"/>
          <w:b/>
          <w:sz w:val="24"/>
          <w:szCs w:val="24"/>
        </w:rPr>
        <w:t>II) FLUVIUL DUNĂREA</w:t>
      </w:r>
    </w:p>
    <w:p w14:paraId="3D507048" w14:textId="77777777" w:rsidR="00E30C2C" w:rsidRPr="00215A93" w:rsidRDefault="00E30C2C" w:rsidP="00E30C2C">
      <w:pPr>
        <w:suppressAutoHyphens/>
        <w:spacing w:after="0" w:line="240" w:lineRule="auto"/>
        <w:ind w:firstLine="720"/>
        <w:jc w:val="both"/>
        <w:rPr>
          <w:rFonts w:asciiTheme="minorBidi" w:hAnsiTheme="minorBidi"/>
          <w:sz w:val="24"/>
          <w:szCs w:val="24"/>
          <w:lang w:eastAsia="zh-CN"/>
        </w:rPr>
      </w:pPr>
    </w:p>
    <w:p w14:paraId="51F05917" w14:textId="77777777" w:rsidR="00E30C2C" w:rsidRPr="004B7EF6" w:rsidRDefault="00E30C2C" w:rsidP="00E30C2C">
      <w:pPr>
        <w:spacing w:after="0" w:line="240" w:lineRule="auto"/>
        <w:ind w:firstLine="720"/>
        <w:jc w:val="both"/>
        <w:rPr>
          <w:rFonts w:ascii="Arial" w:hAnsi="Arial" w:cs="Arial"/>
          <w:sz w:val="24"/>
          <w:szCs w:val="24"/>
        </w:rPr>
      </w:pPr>
      <w:r w:rsidRPr="00A33E3B">
        <w:rPr>
          <w:rFonts w:ascii="Arial" w:hAnsi="Arial" w:cs="Arial"/>
          <w:sz w:val="24"/>
          <w:szCs w:val="24"/>
          <w:lang w:eastAsia="zh-CN"/>
        </w:rPr>
        <w:t xml:space="preserve">În cursul anului 2022, debitele medii lunare înregistrate pe Dunăre la intrarea în ţară (secţiunea Baziaş) </w:t>
      </w:r>
      <w:r w:rsidRPr="00A33E3B">
        <w:rPr>
          <w:rFonts w:ascii="Arial" w:hAnsi="Arial" w:cs="Arial"/>
          <w:sz w:val="24"/>
          <w:szCs w:val="24"/>
        </w:rPr>
        <w:t xml:space="preserve">s-au situat sub mediile multianuale lunare în intervalul februarie - noiembrie </w:t>
      </w:r>
      <w:r w:rsidRPr="004B7EF6">
        <w:rPr>
          <w:rFonts w:ascii="Arial" w:hAnsi="Arial" w:cs="Arial"/>
          <w:sz w:val="24"/>
          <w:szCs w:val="24"/>
        </w:rPr>
        <w:t>2022, cu valori cuprinse între 47-96% din mediile multianuale lunare) şi uşor peste valorile medii multianuale lunare ȋn lunile ianuarie şi decembrie 2022 (111-115%).</w:t>
      </w:r>
    </w:p>
    <w:p w14:paraId="0C96A685" w14:textId="77777777" w:rsidR="00E30C2C" w:rsidRDefault="00E30C2C" w:rsidP="00E30C2C">
      <w:pPr>
        <w:suppressAutoHyphens/>
        <w:spacing w:after="0" w:line="240" w:lineRule="auto"/>
        <w:ind w:firstLine="720"/>
        <w:jc w:val="both"/>
        <w:rPr>
          <w:rFonts w:ascii="Arial" w:hAnsi="Arial" w:cs="Arial"/>
          <w:bCs/>
          <w:sz w:val="24"/>
          <w:szCs w:val="24"/>
        </w:rPr>
      </w:pPr>
      <w:r w:rsidRPr="004B7EF6">
        <w:rPr>
          <w:rFonts w:ascii="Arial" w:hAnsi="Arial" w:cs="Arial"/>
          <w:sz w:val="24"/>
          <w:szCs w:val="24"/>
        </w:rPr>
        <w:lastRenderedPageBreak/>
        <w:t>În f</w:t>
      </w:r>
      <w:r w:rsidRPr="004B7EF6">
        <w:rPr>
          <w:rFonts w:ascii="Arial" w:hAnsi="Arial" w:cs="Arial"/>
          <w:bCs/>
          <w:sz w:val="24"/>
          <w:szCs w:val="24"/>
        </w:rPr>
        <w:t>igurile II.1.1.3.1</w:t>
      </w:r>
      <w:r>
        <w:rPr>
          <w:rFonts w:ascii="Arial" w:hAnsi="Arial" w:cs="Arial"/>
          <w:bCs/>
          <w:sz w:val="24"/>
          <w:szCs w:val="24"/>
        </w:rPr>
        <w:t>9</w:t>
      </w:r>
      <w:r w:rsidRPr="004B7EF6">
        <w:rPr>
          <w:rFonts w:ascii="Arial" w:hAnsi="Arial" w:cs="Arial"/>
          <w:bCs/>
          <w:sz w:val="24"/>
          <w:szCs w:val="24"/>
        </w:rPr>
        <w:t xml:space="preserve"> – II.1.1.3.</w:t>
      </w:r>
      <w:r>
        <w:rPr>
          <w:rFonts w:ascii="Arial" w:hAnsi="Arial" w:cs="Arial"/>
          <w:bCs/>
          <w:sz w:val="24"/>
          <w:szCs w:val="24"/>
        </w:rPr>
        <w:t>20</w:t>
      </w:r>
      <w:r w:rsidRPr="004B7EF6">
        <w:rPr>
          <w:rFonts w:ascii="Arial" w:hAnsi="Arial" w:cs="Arial"/>
          <w:bCs/>
          <w:sz w:val="24"/>
          <w:szCs w:val="24"/>
        </w:rPr>
        <w:t xml:space="preserve"> este prezentată e</w:t>
      </w:r>
      <w:r w:rsidRPr="004B7EF6">
        <w:rPr>
          <w:rFonts w:ascii="Arial" w:hAnsi="Arial" w:cs="Arial"/>
          <w:iCs/>
          <w:sz w:val="24"/>
          <w:szCs w:val="24"/>
        </w:rPr>
        <w:t>voluţia debitelor medii, maxime şi minime lunare pe Dunăre, la intrarea în ţară</w:t>
      </w:r>
      <w:r w:rsidRPr="004B7EF6">
        <w:rPr>
          <w:rFonts w:ascii="Arial" w:hAnsi="Arial" w:cs="Arial"/>
          <w:bCs/>
          <w:sz w:val="24"/>
          <w:szCs w:val="24"/>
        </w:rPr>
        <w:t>.</w:t>
      </w:r>
    </w:p>
    <w:p w14:paraId="0A7EE3A8" w14:textId="77777777" w:rsidR="00E30C2C" w:rsidRPr="004B7EF6" w:rsidRDefault="00E30C2C" w:rsidP="00E30C2C">
      <w:pPr>
        <w:suppressAutoHyphens/>
        <w:spacing w:after="0" w:line="240" w:lineRule="auto"/>
        <w:ind w:firstLine="720"/>
        <w:jc w:val="both"/>
        <w:rPr>
          <w:rFonts w:ascii="Arial" w:hAnsi="Arial" w:cs="Arial"/>
          <w:bCs/>
          <w:sz w:val="24"/>
          <w:szCs w:val="24"/>
        </w:rPr>
      </w:pPr>
    </w:p>
    <w:p w14:paraId="40F0655E" w14:textId="77777777" w:rsidR="00E30C2C" w:rsidRPr="00215A93" w:rsidRDefault="00E30C2C" w:rsidP="00E30C2C">
      <w:pPr>
        <w:suppressAutoHyphens/>
        <w:spacing w:line="240" w:lineRule="auto"/>
        <w:jc w:val="center"/>
        <w:rPr>
          <w:rFonts w:asciiTheme="minorBidi" w:hAnsiTheme="minorBidi"/>
          <w:bCs/>
          <w:sz w:val="24"/>
          <w:szCs w:val="24"/>
        </w:rPr>
      </w:pPr>
      <w:r w:rsidRPr="00804B8B">
        <w:rPr>
          <w:rFonts w:ascii="Arial" w:hAnsi="Arial" w:cs="Arial"/>
          <w:noProof/>
          <w:lang w:val="en-GB" w:eastAsia="en-GB"/>
        </w:rPr>
        <w:drawing>
          <wp:inline distT="0" distB="0" distL="0" distR="0" wp14:anchorId="64335782" wp14:editId="20B0FB9B">
            <wp:extent cx="5758815" cy="3042285"/>
            <wp:effectExtent l="0" t="0" r="0" b="5715"/>
            <wp:docPr id="11719641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8815" cy="3042285"/>
                    </a:xfrm>
                    <a:prstGeom prst="rect">
                      <a:avLst/>
                    </a:prstGeom>
                    <a:noFill/>
                    <a:ln>
                      <a:noFill/>
                    </a:ln>
                  </pic:spPr>
                </pic:pic>
              </a:graphicData>
            </a:graphic>
          </wp:inline>
        </w:drawing>
      </w:r>
    </w:p>
    <w:p w14:paraId="616DAFF9" w14:textId="77777777" w:rsidR="00E30C2C" w:rsidRPr="00215A93" w:rsidRDefault="00E30C2C" w:rsidP="00E30C2C">
      <w:pPr>
        <w:spacing w:after="120" w:line="240" w:lineRule="auto"/>
        <w:jc w:val="center"/>
        <w:rPr>
          <w:rFonts w:asciiTheme="minorBidi" w:hAnsiTheme="minorBidi"/>
          <w:i/>
          <w:sz w:val="24"/>
          <w:szCs w:val="24"/>
        </w:rPr>
      </w:pPr>
      <w:r>
        <w:rPr>
          <w:rFonts w:asciiTheme="minorBidi" w:hAnsiTheme="minorBidi"/>
          <w:b/>
          <w:i/>
          <w:iCs/>
          <w:sz w:val="24"/>
          <w:szCs w:val="24"/>
        </w:rPr>
        <w:t xml:space="preserve">Figura </w:t>
      </w:r>
      <w:r w:rsidRPr="00CB2589">
        <w:rPr>
          <w:rFonts w:asciiTheme="minorBidi" w:hAnsiTheme="minorBidi"/>
          <w:b/>
          <w:i/>
          <w:iCs/>
          <w:sz w:val="24"/>
          <w:szCs w:val="24"/>
        </w:rPr>
        <w:t>II.1.1.3.</w:t>
      </w:r>
      <w:r>
        <w:rPr>
          <w:rFonts w:asciiTheme="minorBidi" w:hAnsiTheme="minorBidi"/>
          <w:b/>
          <w:i/>
          <w:iCs/>
          <w:sz w:val="24"/>
          <w:szCs w:val="24"/>
        </w:rPr>
        <w:t>19</w:t>
      </w:r>
      <w:r>
        <w:rPr>
          <w:rFonts w:asciiTheme="minorBidi" w:hAnsiTheme="minorBidi"/>
          <w:i/>
          <w:sz w:val="24"/>
          <w:szCs w:val="24"/>
        </w:rPr>
        <w:t>:</w:t>
      </w:r>
      <w:r w:rsidRPr="00215A93">
        <w:rPr>
          <w:rFonts w:asciiTheme="minorBidi" w:hAnsiTheme="minorBidi"/>
          <w:i/>
          <w:sz w:val="24"/>
          <w:szCs w:val="24"/>
        </w:rPr>
        <w:t xml:space="preserve"> Evoluţia debitelor medii lunare pe Dunăre, la intrarea în ţară, în anul 202</w:t>
      </w:r>
      <w:r>
        <w:rPr>
          <w:rFonts w:asciiTheme="minorBidi" w:hAnsiTheme="minorBidi"/>
          <w:i/>
          <w:sz w:val="24"/>
          <w:szCs w:val="24"/>
        </w:rPr>
        <w:t>2</w:t>
      </w:r>
    </w:p>
    <w:p w14:paraId="4804C1B7" w14:textId="77777777" w:rsidR="00E30C2C" w:rsidRPr="00215A93" w:rsidRDefault="00E30C2C" w:rsidP="00E30C2C">
      <w:pPr>
        <w:spacing w:before="240" w:after="120" w:line="240" w:lineRule="auto"/>
        <w:jc w:val="center"/>
        <w:rPr>
          <w:rFonts w:asciiTheme="minorBidi" w:hAnsiTheme="minorBidi"/>
          <w:sz w:val="24"/>
          <w:szCs w:val="24"/>
        </w:rPr>
      </w:pPr>
      <w:r w:rsidRPr="00804B8B">
        <w:rPr>
          <w:rFonts w:ascii="Arial" w:hAnsi="Arial" w:cs="Arial"/>
          <w:noProof/>
          <w:lang w:val="en-GB" w:eastAsia="en-GB"/>
        </w:rPr>
        <w:drawing>
          <wp:inline distT="0" distB="0" distL="0" distR="0" wp14:anchorId="40B139EF" wp14:editId="6A084A62">
            <wp:extent cx="5758815" cy="3112770"/>
            <wp:effectExtent l="0" t="0" r="0" b="0"/>
            <wp:docPr id="7938848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8815" cy="3112770"/>
                    </a:xfrm>
                    <a:prstGeom prst="rect">
                      <a:avLst/>
                    </a:prstGeom>
                    <a:noFill/>
                    <a:ln>
                      <a:noFill/>
                    </a:ln>
                  </pic:spPr>
                </pic:pic>
              </a:graphicData>
            </a:graphic>
          </wp:inline>
        </w:drawing>
      </w:r>
    </w:p>
    <w:p w14:paraId="798876A6" w14:textId="77777777" w:rsidR="00E30C2C" w:rsidRPr="00215A93" w:rsidRDefault="00E30C2C" w:rsidP="00E30C2C">
      <w:pPr>
        <w:spacing w:after="0" w:line="240" w:lineRule="auto"/>
        <w:jc w:val="both"/>
        <w:rPr>
          <w:rFonts w:asciiTheme="minorBidi" w:hAnsiTheme="minorBidi"/>
          <w:i/>
          <w:sz w:val="24"/>
          <w:szCs w:val="24"/>
        </w:rPr>
      </w:pPr>
      <w:r>
        <w:rPr>
          <w:rFonts w:asciiTheme="minorBidi" w:hAnsiTheme="minorBidi"/>
          <w:b/>
          <w:i/>
          <w:iCs/>
          <w:sz w:val="24"/>
          <w:szCs w:val="24"/>
        </w:rPr>
        <w:t xml:space="preserve">Figura </w:t>
      </w:r>
      <w:r w:rsidRPr="00CB2589">
        <w:rPr>
          <w:rFonts w:asciiTheme="minorBidi" w:hAnsiTheme="minorBidi"/>
          <w:b/>
          <w:i/>
          <w:iCs/>
          <w:sz w:val="24"/>
          <w:szCs w:val="24"/>
        </w:rPr>
        <w:t>II.1.1.3.</w:t>
      </w:r>
      <w:r>
        <w:rPr>
          <w:rFonts w:asciiTheme="minorBidi" w:hAnsiTheme="minorBidi"/>
          <w:b/>
          <w:i/>
          <w:iCs/>
          <w:sz w:val="24"/>
          <w:szCs w:val="24"/>
        </w:rPr>
        <w:t xml:space="preserve">20: </w:t>
      </w:r>
      <w:r w:rsidRPr="00215A93">
        <w:rPr>
          <w:rFonts w:asciiTheme="minorBidi" w:hAnsiTheme="minorBidi"/>
          <w:i/>
          <w:sz w:val="24"/>
          <w:szCs w:val="24"/>
        </w:rPr>
        <w:t>Evoluţia debitelor maxime şi minime lunare înregistrate pe Dunăre, la intrarea în ţară, ȋn anul 202</w:t>
      </w:r>
      <w:r>
        <w:rPr>
          <w:rFonts w:asciiTheme="minorBidi" w:hAnsiTheme="minorBidi"/>
          <w:i/>
          <w:sz w:val="24"/>
          <w:szCs w:val="24"/>
        </w:rPr>
        <w:t>2</w:t>
      </w:r>
    </w:p>
    <w:p w14:paraId="033CB119" w14:textId="77777777" w:rsidR="00E30C2C" w:rsidRDefault="00E30C2C" w:rsidP="00E30C2C">
      <w:pPr>
        <w:suppressAutoHyphens/>
        <w:spacing w:after="0" w:line="240" w:lineRule="auto"/>
        <w:ind w:firstLine="720"/>
        <w:jc w:val="both"/>
        <w:rPr>
          <w:rFonts w:asciiTheme="minorBidi" w:hAnsiTheme="minorBidi"/>
          <w:sz w:val="24"/>
          <w:szCs w:val="24"/>
          <w:lang w:eastAsia="zh-CN"/>
        </w:rPr>
      </w:pPr>
    </w:p>
    <w:p w14:paraId="4A62CA0C" w14:textId="77777777" w:rsidR="00E30C2C" w:rsidRPr="004B7EF6" w:rsidRDefault="00E30C2C" w:rsidP="00E30C2C">
      <w:pPr>
        <w:suppressAutoHyphens/>
        <w:spacing w:after="0" w:line="240" w:lineRule="auto"/>
        <w:ind w:firstLine="720"/>
        <w:jc w:val="both"/>
        <w:rPr>
          <w:rFonts w:asciiTheme="minorBidi" w:hAnsiTheme="minorBidi"/>
          <w:sz w:val="24"/>
          <w:szCs w:val="24"/>
          <w:lang w:eastAsia="x-none"/>
        </w:rPr>
      </w:pPr>
      <w:r w:rsidRPr="004B7EF6">
        <w:rPr>
          <w:rFonts w:asciiTheme="minorBidi" w:hAnsiTheme="minorBidi"/>
          <w:sz w:val="24"/>
          <w:szCs w:val="24"/>
          <w:lang w:eastAsia="zh-CN"/>
        </w:rPr>
        <w:t>Valoarea maximă a debitului Dunării la intrarea în ţară a fost de 7000 m</w:t>
      </w:r>
      <w:r w:rsidRPr="004B7EF6">
        <w:rPr>
          <w:rFonts w:asciiTheme="minorBidi" w:hAnsiTheme="minorBidi"/>
          <w:sz w:val="24"/>
          <w:szCs w:val="24"/>
          <w:vertAlign w:val="superscript"/>
          <w:lang w:eastAsia="zh-CN"/>
        </w:rPr>
        <w:t>3</w:t>
      </w:r>
      <w:r w:rsidRPr="004B7EF6">
        <w:rPr>
          <w:rFonts w:asciiTheme="minorBidi" w:hAnsiTheme="minorBidi"/>
          <w:sz w:val="24"/>
          <w:szCs w:val="24"/>
          <w:lang w:eastAsia="zh-CN"/>
        </w:rPr>
        <w:t xml:space="preserve">/s în data de 6 ianuarie 2022, iar valoarea minimă a fost de 1750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 intervalul 17-21 august 2022.</w:t>
      </w:r>
    </w:p>
    <w:p w14:paraId="4AEE1084" w14:textId="77777777" w:rsidR="00E30C2C" w:rsidRPr="004B7EF6" w:rsidRDefault="00E30C2C" w:rsidP="00E30C2C">
      <w:pPr>
        <w:suppressAutoHyphens/>
        <w:spacing w:after="0" w:line="240" w:lineRule="auto"/>
        <w:ind w:firstLine="720"/>
        <w:jc w:val="both"/>
        <w:rPr>
          <w:rFonts w:asciiTheme="minorBidi" w:hAnsiTheme="minorBidi"/>
          <w:sz w:val="24"/>
          <w:szCs w:val="24"/>
          <w:lang w:eastAsia="zh-CN"/>
        </w:rPr>
      </w:pPr>
      <w:r w:rsidRPr="004B7EF6">
        <w:rPr>
          <w:rFonts w:asciiTheme="minorBidi" w:hAnsiTheme="minorBidi"/>
          <w:sz w:val="24"/>
          <w:szCs w:val="24"/>
          <w:lang w:eastAsia="zh-CN"/>
        </w:rPr>
        <w:t>Analizând evoluţia debitelor minime din acest interval, se constată o tendinţă descrescătoare ȋn intervalele ianuarie - martie şi mai - august şi crescătoare în luna aprilie şi ȋn intervalul septembrie - decembrie. În ceea ce priveşte debitele maxime, acestea au prezentat o evoluţie similară cu cea a debitelor minime.</w:t>
      </w:r>
    </w:p>
    <w:p w14:paraId="29FC86D9" w14:textId="77777777" w:rsidR="00E30C2C" w:rsidRPr="004B7EF6" w:rsidRDefault="00E30C2C" w:rsidP="00E30C2C">
      <w:pPr>
        <w:spacing w:after="0" w:line="240" w:lineRule="auto"/>
        <w:ind w:firstLine="720"/>
        <w:jc w:val="both"/>
        <w:rPr>
          <w:rFonts w:asciiTheme="minorBidi" w:hAnsiTheme="minorBidi"/>
          <w:sz w:val="24"/>
          <w:szCs w:val="24"/>
          <w:lang w:eastAsia="x-none"/>
        </w:rPr>
      </w:pPr>
      <w:r w:rsidRPr="004B7EF6">
        <w:rPr>
          <w:rFonts w:asciiTheme="minorBidi" w:hAnsiTheme="minorBidi"/>
          <w:sz w:val="24"/>
          <w:szCs w:val="24"/>
          <w:lang w:eastAsia="x-none"/>
        </w:rPr>
        <w:lastRenderedPageBreak/>
        <w:t xml:space="preserve">În sezonul de iarnă 2022 debitul mediu la intrarea în ţară (secţiunea Baziaş) s-a situat peste media multianuală lunară ȋn luna ianuarie (111%) şi sub media multianuală lunară ȋn luna februarie (80%). </w:t>
      </w:r>
    </w:p>
    <w:p w14:paraId="57CE0614" w14:textId="77777777" w:rsidR="00E30C2C" w:rsidRPr="004B7EF6" w:rsidRDefault="00E30C2C" w:rsidP="00E30C2C">
      <w:pPr>
        <w:spacing w:after="0" w:line="240" w:lineRule="auto"/>
        <w:ind w:firstLine="720"/>
        <w:jc w:val="both"/>
        <w:rPr>
          <w:rFonts w:asciiTheme="minorBidi" w:hAnsiTheme="minorBidi"/>
          <w:sz w:val="24"/>
          <w:szCs w:val="24"/>
          <w:lang w:eastAsia="x-none"/>
        </w:rPr>
      </w:pPr>
      <w:r w:rsidRPr="004B7EF6">
        <w:rPr>
          <w:rFonts w:asciiTheme="minorBidi" w:hAnsiTheme="minorBidi"/>
          <w:sz w:val="24"/>
          <w:szCs w:val="24"/>
          <w:lang w:eastAsia="x-none"/>
        </w:rPr>
        <w:t xml:space="preserve">În luna </w:t>
      </w:r>
      <w:r w:rsidRPr="004B7EF6">
        <w:rPr>
          <w:rFonts w:asciiTheme="minorBidi" w:hAnsiTheme="minorBidi"/>
          <w:b/>
          <w:sz w:val="24"/>
          <w:szCs w:val="24"/>
          <w:lang w:eastAsia="x-none"/>
        </w:rPr>
        <w:t xml:space="preserve">ianuarie </w:t>
      </w:r>
      <w:r w:rsidRPr="004B7EF6">
        <w:rPr>
          <w:rFonts w:asciiTheme="minorBidi" w:hAnsiTheme="minorBidi"/>
          <w:sz w:val="24"/>
          <w:szCs w:val="24"/>
          <w:lang w:eastAsia="x-none"/>
        </w:rPr>
        <w:t>2022 d</w:t>
      </w:r>
      <w:r w:rsidRPr="004B7EF6">
        <w:rPr>
          <w:rFonts w:asciiTheme="minorBidi" w:hAnsiTheme="minorBidi"/>
          <w:sz w:val="24"/>
          <w:szCs w:val="24"/>
          <w:lang w:eastAsia="zh-CN"/>
        </w:rPr>
        <w:t xml:space="preserve">ebitele la intrarea în ţară (secţiunea Baziaş) au fost în creştere </w:t>
      </w:r>
      <w:r w:rsidRPr="004B7EF6">
        <w:rPr>
          <w:rFonts w:asciiTheme="minorBidi" w:hAnsiTheme="minorBidi"/>
          <w:sz w:val="24"/>
          <w:szCs w:val="24"/>
          <w:lang w:eastAsia="x-none"/>
        </w:rPr>
        <w:t>de la valoarea de 59</w:t>
      </w:r>
      <w:r w:rsidRPr="004B7EF6">
        <w:rPr>
          <w:rFonts w:asciiTheme="minorBidi" w:hAnsiTheme="minorBidi"/>
          <w:sz w:val="24"/>
          <w:szCs w:val="24"/>
          <w:lang w:eastAsia="zh-CN"/>
        </w:rPr>
        <w:t xml:space="preserve">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 prima zi a lunii până la valoarea de 7000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înregistrată în data de 6 ianuarie (valoarea maximă lunară), apoi în scădere până la valoarea de 3500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 ultimele două zile ale lunii (valoarea minimă lunară).</w:t>
      </w:r>
    </w:p>
    <w:p w14:paraId="15CBFF8A" w14:textId="77777777" w:rsidR="00E30C2C" w:rsidRPr="004B7EF6" w:rsidRDefault="00E30C2C" w:rsidP="00E30C2C">
      <w:pPr>
        <w:spacing w:after="0" w:line="240" w:lineRule="auto"/>
        <w:ind w:firstLine="720"/>
        <w:jc w:val="both"/>
        <w:rPr>
          <w:rFonts w:asciiTheme="minorBidi" w:hAnsiTheme="minorBidi"/>
          <w:sz w:val="24"/>
          <w:szCs w:val="24"/>
          <w:lang w:eastAsia="x-none"/>
        </w:rPr>
      </w:pPr>
      <w:r w:rsidRPr="004B7EF6">
        <w:rPr>
          <w:rFonts w:asciiTheme="minorBidi" w:hAnsiTheme="minorBidi"/>
          <w:sz w:val="24"/>
          <w:szCs w:val="24"/>
        </w:rPr>
        <w:t xml:space="preserve">În luna </w:t>
      </w:r>
      <w:r w:rsidRPr="004B7EF6">
        <w:rPr>
          <w:rFonts w:asciiTheme="minorBidi" w:hAnsiTheme="minorBidi"/>
          <w:b/>
          <w:sz w:val="24"/>
          <w:szCs w:val="24"/>
        </w:rPr>
        <w:t>februarie</w:t>
      </w:r>
      <w:r w:rsidRPr="004B7EF6">
        <w:rPr>
          <w:rFonts w:asciiTheme="minorBidi" w:hAnsiTheme="minorBidi"/>
          <w:sz w:val="24"/>
          <w:szCs w:val="24"/>
        </w:rPr>
        <w:t xml:space="preserve"> 2022 d</w:t>
      </w:r>
      <w:r w:rsidRPr="004B7EF6">
        <w:rPr>
          <w:rFonts w:asciiTheme="minorBidi" w:hAnsiTheme="minorBidi"/>
          <w:sz w:val="24"/>
          <w:szCs w:val="24"/>
          <w:lang w:eastAsia="zh-CN"/>
        </w:rPr>
        <w:t xml:space="preserve">ebitele la intrarea în ţară (secţiunea Baziaş) au fost în scădere uşoară de la valoarea de 3500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 prima zi a lunii până la valoarea de 3400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înregistrată în intervalul 2-6 februarie (valoarea minimă lunară), apoi în creştere până la valoarea de 5800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înregistrată în ultimele două zile ale lunii (valoarea maximă lunară).</w:t>
      </w:r>
    </w:p>
    <w:p w14:paraId="4E17158B"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Începând cu luna martie 2022, pe fondul precipitaţiilor deficitare în tot bazinul hidrografic al Dunării, valorile debitelor medii lunare realizate în intervalul martie – noiembrie 2022 s-au situat la valori cuprinse între 46 – 96% din valorile multianuale lunare, cele mai scăzute valori înregistrându-se în lunile iulie şi august (46%), iar cele mai mari (96%) în luna octombrie. </w:t>
      </w:r>
    </w:p>
    <w:p w14:paraId="66A2491D"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Din analiza debitelor medii lunare şi a debitelor minime înregistrate în intervalul martie </w:t>
      </w:r>
      <w:bookmarkStart w:id="26" w:name="_Hlk117590596"/>
      <w:r w:rsidRPr="004B7EF6">
        <w:rPr>
          <w:rFonts w:asciiTheme="minorBidi" w:hAnsiTheme="minorBidi"/>
          <w:sz w:val="24"/>
          <w:szCs w:val="24"/>
        </w:rPr>
        <w:t xml:space="preserve">- </w:t>
      </w:r>
      <w:bookmarkEnd w:id="26"/>
      <w:r w:rsidRPr="004B7EF6">
        <w:rPr>
          <w:rFonts w:asciiTheme="minorBidi" w:hAnsiTheme="minorBidi"/>
          <w:sz w:val="24"/>
          <w:szCs w:val="24"/>
        </w:rPr>
        <w:t>noiembrie din perioada 1931</w:t>
      </w:r>
      <w:bookmarkStart w:id="27" w:name="_Hlk117682309"/>
      <w:r w:rsidRPr="004B7EF6">
        <w:rPr>
          <w:rFonts w:asciiTheme="minorBidi" w:hAnsiTheme="minorBidi"/>
          <w:sz w:val="24"/>
          <w:szCs w:val="24"/>
        </w:rPr>
        <w:t xml:space="preserve"> - </w:t>
      </w:r>
      <w:bookmarkEnd w:id="27"/>
      <w:r w:rsidRPr="004B7EF6">
        <w:rPr>
          <w:rFonts w:asciiTheme="minorBidi" w:hAnsiTheme="minorBidi"/>
          <w:sz w:val="24"/>
          <w:szCs w:val="24"/>
        </w:rPr>
        <w:t xml:space="preserve">2022, se observă că anii cu perioade de regim hidrologic deficitar în toate cele trei anotimpuri, dar mai ales în sezonul de vară şi în primele două luni de toamnă, sunt următorii: </w:t>
      </w:r>
      <w:bookmarkStart w:id="28" w:name="_Hlk117601932"/>
      <w:r w:rsidRPr="004B7EF6">
        <w:rPr>
          <w:rFonts w:asciiTheme="minorBidi" w:hAnsiTheme="minorBidi"/>
          <w:sz w:val="24"/>
          <w:szCs w:val="24"/>
        </w:rPr>
        <w:t xml:space="preserve">1950, 1992, 2003, 2017 </w:t>
      </w:r>
      <w:bookmarkEnd w:id="28"/>
      <w:r w:rsidRPr="004B7EF6">
        <w:rPr>
          <w:rFonts w:asciiTheme="minorBidi" w:hAnsiTheme="minorBidi"/>
          <w:sz w:val="24"/>
          <w:szCs w:val="24"/>
        </w:rPr>
        <w:t>şi 2022.</w:t>
      </w:r>
    </w:p>
    <w:p w14:paraId="7ADBD2A5" w14:textId="77777777" w:rsidR="00E30C2C"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Astfel, debitele medii şi minime lunare înregistrate în aceşti ani în sezoanele de primăvară, vară şi toamnă, sunt prezentate ȋn tabelul de mai jos, comparativ cu situația ȋnregistrată ȋn acelaşi interval al anului 2022: </w:t>
      </w:r>
    </w:p>
    <w:p w14:paraId="5E2D0079" w14:textId="77777777" w:rsidR="00E30C2C" w:rsidRPr="004B7EF6" w:rsidRDefault="00E30C2C" w:rsidP="00E30C2C">
      <w:pPr>
        <w:spacing w:after="0" w:line="240" w:lineRule="auto"/>
        <w:ind w:firstLine="720"/>
        <w:jc w:val="both"/>
        <w:rPr>
          <w:rFonts w:asciiTheme="minorBidi" w:hAnsiTheme="minorBidi"/>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992"/>
        <w:gridCol w:w="993"/>
        <w:gridCol w:w="850"/>
        <w:gridCol w:w="992"/>
        <w:gridCol w:w="851"/>
        <w:gridCol w:w="850"/>
        <w:gridCol w:w="851"/>
        <w:gridCol w:w="850"/>
        <w:gridCol w:w="851"/>
      </w:tblGrid>
      <w:tr w:rsidR="00E30C2C" w:rsidRPr="004B7EF6" w14:paraId="39BBB252" w14:textId="77777777" w:rsidTr="00E30C2C">
        <w:trPr>
          <w:cantSplit/>
        </w:trPr>
        <w:tc>
          <w:tcPr>
            <w:tcW w:w="1384" w:type="dxa"/>
          </w:tcPr>
          <w:p w14:paraId="7F77F799" w14:textId="77777777" w:rsidR="00E30C2C" w:rsidRPr="004B7EF6" w:rsidRDefault="00E30C2C" w:rsidP="00E30C2C">
            <w:pPr>
              <w:spacing w:after="0" w:line="240" w:lineRule="auto"/>
              <w:jc w:val="center"/>
              <w:rPr>
                <w:rFonts w:asciiTheme="minorBidi" w:hAnsiTheme="minorBidi"/>
                <w:sz w:val="24"/>
                <w:szCs w:val="24"/>
              </w:rPr>
            </w:pPr>
          </w:p>
        </w:tc>
        <w:tc>
          <w:tcPr>
            <w:tcW w:w="8080" w:type="dxa"/>
            <w:gridSpan w:val="9"/>
          </w:tcPr>
          <w:p w14:paraId="38629A06"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sz w:val="24"/>
                <w:szCs w:val="24"/>
              </w:rPr>
              <w:t>Debite medii/ minime lunare (m</w:t>
            </w:r>
            <w:r w:rsidRPr="004B7EF6">
              <w:rPr>
                <w:rFonts w:asciiTheme="minorBidi" w:hAnsiTheme="minorBidi"/>
                <w:sz w:val="24"/>
                <w:szCs w:val="24"/>
                <w:vertAlign w:val="superscript"/>
              </w:rPr>
              <w:t>3</w:t>
            </w:r>
            <w:r w:rsidRPr="004B7EF6">
              <w:rPr>
                <w:rFonts w:asciiTheme="minorBidi" w:hAnsiTheme="minorBidi"/>
                <w:sz w:val="24"/>
                <w:szCs w:val="24"/>
              </w:rPr>
              <w:t>/s)</w:t>
            </w:r>
          </w:p>
        </w:tc>
      </w:tr>
      <w:tr w:rsidR="00E30C2C" w:rsidRPr="004B7EF6" w14:paraId="43EEE2C1" w14:textId="77777777" w:rsidTr="00E30C2C">
        <w:trPr>
          <w:cantSplit/>
        </w:trPr>
        <w:tc>
          <w:tcPr>
            <w:tcW w:w="1384" w:type="dxa"/>
          </w:tcPr>
          <w:p w14:paraId="70B4BAF8"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Luna</w:t>
            </w:r>
          </w:p>
          <w:p w14:paraId="6075AB5C"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Qmml</w:t>
            </w:r>
          </w:p>
        </w:tc>
        <w:tc>
          <w:tcPr>
            <w:tcW w:w="992" w:type="dxa"/>
          </w:tcPr>
          <w:p w14:paraId="1D3BDE96"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III</w:t>
            </w:r>
          </w:p>
          <w:p w14:paraId="1CD6E521"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6700</w:t>
            </w:r>
          </w:p>
        </w:tc>
        <w:tc>
          <w:tcPr>
            <w:tcW w:w="993" w:type="dxa"/>
          </w:tcPr>
          <w:p w14:paraId="7B20E526"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IV</w:t>
            </w:r>
          </w:p>
          <w:p w14:paraId="3803CB8E"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7900</w:t>
            </w:r>
          </w:p>
        </w:tc>
        <w:tc>
          <w:tcPr>
            <w:tcW w:w="850" w:type="dxa"/>
          </w:tcPr>
          <w:p w14:paraId="04A4DE08"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V</w:t>
            </w:r>
          </w:p>
          <w:p w14:paraId="43E68B68"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7250</w:t>
            </w:r>
          </w:p>
        </w:tc>
        <w:tc>
          <w:tcPr>
            <w:tcW w:w="992" w:type="dxa"/>
          </w:tcPr>
          <w:p w14:paraId="7E7EFEF3"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VI</w:t>
            </w:r>
          </w:p>
          <w:p w14:paraId="6907BF3D"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6400</w:t>
            </w:r>
          </w:p>
        </w:tc>
        <w:tc>
          <w:tcPr>
            <w:tcW w:w="851" w:type="dxa"/>
          </w:tcPr>
          <w:p w14:paraId="694076E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VII</w:t>
            </w:r>
          </w:p>
          <w:p w14:paraId="691D68E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5350</w:t>
            </w:r>
          </w:p>
        </w:tc>
        <w:tc>
          <w:tcPr>
            <w:tcW w:w="850" w:type="dxa"/>
          </w:tcPr>
          <w:p w14:paraId="284E7DF3"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VIII</w:t>
            </w:r>
          </w:p>
          <w:p w14:paraId="66429BC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4300</w:t>
            </w:r>
          </w:p>
        </w:tc>
        <w:tc>
          <w:tcPr>
            <w:tcW w:w="851" w:type="dxa"/>
          </w:tcPr>
          <w:p w14:paraId="2460277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IX</w:t>
            </w:r>
          </w:p>
          <w:p w14:paraId="17D612B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3800</w:t>
            </w:r>
          </w:p>
        </w:tc>
        <w:tc>
          <w:tcPr>
            <w:tcW w:w="850" w:type="dxa"/>
          </w:tcPr>
          <w:p w14:paraId="0A97AE5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X</w:t>
            </w:r>
          </w:p>
          <w:p w14:paraId="78085FF3"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3850</w:t>
            </w:r>
          </w:p>
          <w:p w14:paraId="7455E263" w14:textId="77777777" w:rsidR="00E30C2C" w:rsidRPr="004B7EF6" w:rsidRDefault="00E30C2C" w:rsidP="00E30C2C">
            <w:pPr>
              <w:spacing w:after="0" w:line="240" w:lineRule="auto"/>
              <w:jc w:val="center"/>
              <w:rPr>
                <w:rFonts w:asciiTheme="minorBidi" w:hAnsiTheme="minorBidi"/>
                <w:sz w:val="24"/>
                <w:szCs w:val="24"/>
                <w:lang w:val="fr-FR"/>
              </w:rPr>
            </w:pPr>
          </w:p>
        </w:tc>
        <w:tc>
          <w:tcPr>
            <w:tcW w:w="851" w:type="dxa"/>
          </w:tcPr>
          <w:p w14:paraId="1DDAEC93"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XI</w:t>
            </w:r>
          </w:p>
          <w:p w14:paraId="72B27993"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4650</w:t>
            </w:r>
          </w:p>
        </w:tc>
      </w:tr>
      <w:tr w:rsidR="00E30C2C" w:rsidRPr="004B7EF6" w14:paraId="7EBD5D08" w14:textId="77777777" w:rsidTr="00E30C2C">
        <w:tc>
          <w:tcPr>
            <w:tcW w:w="9464" w:type="dxa"/>
            <w:gridSpan w:val="10"/>
          </w:tcPr>
          <w:p w14:paraId="3E7DE4C0" w14:textId="77777777" w:rsidR="00E30C2C" w:rsidRPr="004B7EF6" w:rsidRDefault="00E30C2C" w:rsidP="00E30C2C">
            <w:pPr>
              <w:spacing w:after="0" w:line="240" w:lineRule="auto"/>
              <w:jc w:val="center"/>
              <w:rPr>
                <w:rFonts w:asciiTheme="minorBidi" w:hAnsiTheme="minorBidi"/>
                <w:b/>
                <w:bCs/>
                <w:sz w:val="24"/>
                <w:szCs w:val="24"/>
                <w:highlight w:val="yellow"/>
                <w:lang w:val="fr-FR"/>
              </w:rPr>
            </w:pPr>
            <w:r w:rsidRPr="004B7EF6">
              <w:rPr>
                <w:rFonts w:asciiTheme="minorBidi" w:hAnsiTheme="minorBidi"/>
                <w:b/>
                <w:bCs/>
                <w:sz w:val="24"/>
                <w:szCs w:val="24"/>
                <w:lang w:val="fr-FR"/>
              </w:rPr>
              <w:t>1950</w:t>
            </w:r>
          </w:p>
        </w:tc>
      </w:tr>
      <w:tr w:rsidR="00E30C2C" w:rsidRPr="004B7EF6" w14:paraId="058D3D3B" w14:textId="77777777" w:rsidTr="00E30C2C">
        <w:tc>
          <w:tcPr>
            <w:tcW w:w="1384" w:type="dxa"/>
          </w:tcPr>
          <w:p w14:paraId="41A70074"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Qmed</w:t>
            </w:r>
          </w:p>
        </w:tc>
        <w:tc>
          <w:tcPr>
            <w:tcW w:w="992" w:type="dxa"/>
            <w:shd w:val="clear" w:color="auto" w:fill="auto"/>
            <w:vAlign w:val="bottom"/>
          </w:tcPr>
          <w:p w14:paraId="3EC9486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6350</w:t>
            </w:r>
          </w:p>
        </w:tc>
        <w:tc>
          <w:tcPr>
            <w:tcW w:w="993" w:type="dxa"/>
            <w:shd w:val="clear" w:color="auto" w:fill="auto"/>
            <w:vAlign w:val="bottom"/>
          </w:tcPr>
          <w:p w14:paraId="4AEC0863"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4800</w:t>
            </w:r>
          </w:p>
        </w:tc>
        <w:tc>
          <w:tcPr>
            <w:tcW w:w="850" w:type="dxa"/>
            <w:shd w:val="clear" w:color="auto" w:fill="auto"/>
            <w:vAlign w:val="bottom"/>
          </w:tcPr>
          <w:p w14:paraId="5C0A9DC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5000</w:t>
            </w:r>
          </w:p>
        </w:tc>
        <w:tc>
          <w:tcPr>
            <w:tcW w:w="992" w:type="dxa"/>
            <w:shd w:val="clear" w:color="auto" w:fill="auto"/>
            <w:vAlign w:val="bottom"/>
          </w:tcPr>
          <w:p w14:paraId="1E54812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3550</w:t>
            </w:r>
          </w:p>
        </w:tc>
        <w:tc>
          <w:tcPr>
            <w:tcW w:w="851" w:type="dxa"/>
            <w:shd w:val="clear" w:color="auto" w:fill="auto"/>
            <w:vAlign w:val="bottom"/>
          </w:tcPr>
          <w:p w14:paraId="2AEBEAD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2450</w:t>
            </w:r>
          </w:p>
        </w:tc>
        <w:tc>
          <w:tcPr>
            <w:tcW w:w="850" w:type="dxa"/>
            <w:shd w:val="clear" w:color="auto" w:fill="auto"/>
            <w:vAlign w:val="bottom"/>
          </w:tcPr>
          <w:p w14:paraId="379E32D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2400</w:t>
            </w:r>
          </w:p>
        </w:tc>
        <w:tc>
          <w:tcPr>
            <w:tcW w:w="851" w:type="dxa"/>
            <w:shd w:val="clear" w:color="auto" w:fill="auto"/>
            <w:vAlign w:val="bottom"/>
          </w:tcPr>
          <w:p w14:paraId="4B116D6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2000</w:t>
            </w:r>
          </w:p>
        </w:tc>
        <w:tc>
          <w:tcPr>
            <w:tcW w:w="850" w:type="dxa"/>
            <w:shd w:val="clear" w:color="auto" w:fill="auto"/>
            <w:vAlign w:val="bottom"/>
          </w:tcPr>
          <w:p w14:paraId="769EAF3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2600</w:t>
            </w:r>
          </w:p>
        </w:tc>
        <w:tc>
          <w:tcPr>
            <w:tcW w:w="851" w:type="dxa"/>
            <w:shd w:val="clear" w:color="auto" w:fill="auto"/>
            <w:vAlign w:val="bottom"/>
          </w:tcPr>
          <w:p w14:paraId="40B547B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4800</w:t>
            </w:r>
          </w:p>
        </w:tc>
      </w:tr>
      <w:tr w:rsidR="00E30C2C" w:rsidRPr="004B7EF6" w14:paraId="21729946" w14:textId="77777777" w:rsidTr="00E30C2C">
        <w:tc>
          <w:tcPr>
            <w:tcW w:w="1384" w:type="dxa"/>
          </w:tcPr>
          <w:p w14:paraId="1672BCA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K (%)</w:t>
            </w:r>
          </w:p>
        </w:tc>
        <w:tc>
          <w:tcPr>
            <w:tcW w:w="992" w:type="dxa"/>
            <w:shd w:val="clear" w:color="auto" w:fill="auto"/>
            <w:vAlign w:val="bottom"/>
          </w:tcPr>
          <w:p w14:paraId="4ABD142F" w14:textId="77777777" w:rsidR="00E30C2C" w:rsidRPr="004B7EF6" w:rsidRDefault="00E30C2C" w:rsidP="00E30C2C">
            <w:pPr>
              <w:spacing w:after="0" w:line="240" w:lineRule="auto"/>
              <w:jc w:val="center"/>
              <w:rPr>
                <w:rFonts w:asciiTheme="minorBidi" w:hAnsiTheme="minorBidi"/>
                <w:color w:val="000000"/>
                <w:sz w:val="24"/>
                <w:szCs w:val="24"/>
                <w:lang w:val="en-US"/>
              </w:rPr>
            </w:pPr>
            <w:r w:rsidRPr="004B7EF6">
              <w:rPr>
                <w:rFonts w:asciiTheme="minorBidi" w:hAnsiTheme="minorBidi"/>
                <w:color w:val="000000"/>
                <w:sz w:val="24"/>
                <w:szCs w:val="24"/>
                <w:lang w:val="en-US"/>
              </w:rPr>
              <w:t>95</w:t>
            </w:r>
          </w:p>
        </w:tc>
        <w:tc>
          <w:tcPr>
            <w:tcW w:w="993" w:type="dxa"/>
            <w:shd w:val="clear" w:color="auto" w:fill="auto"/>
            <w:vAlign w:val="bottom"/>
          </w:tcPr>
          <w:p w14:paraId="52BC3906" w14:textId="77777777" w:rsidR="00E30C2C" w:rsidRPr="004B7EF6" w:rsidRDefault="00E30C2C" w:rsidP="00E30C2C">
            <w:pPr>
              <w:spacing w:after="0" w:line="240" w:lineRule="auto"/>
              <w:jc w:val="center"/>
              <w:rPr>
                <w:rFonts w:asciiTheme="minorBidi" w:hAnsiTheme="minorBidi"/>
                <w:color w:val="000000"/>
                <w:sz w:val="24"/>
                <w:szCs w:val="24"/>
                <w:lang w:val="en-US"/>
              </w:rPr>
            </w:pPr>
            <w:r w:rsidRPr="004B7EF6">
              <w:rPr>
                <w:rFonts w:asciiTheme="minorBidi" w:hAnsiTheme="minorBidi"/>
                <w:color w:val="000000"/>
                <w:sz w:val="24"/>
                <w:szCs w:val="24"/>
                <w:lang w:val="en-US"/>
              </w:rPr>
              <w:t>60</w:t>
            </w:r>
          </w:p>
        </w:tc>
        <w:tc>
          <w:tcPr>
            <w:tcW w:w="850" w:type="dxa"/>
            <w:shd w:val="clear" w:color="auto" w:fill="auto"/>
            <w:vAlign w:val="bottom"/>
          </w:tcPr>
          <w:p w14:paraId="19E46EE1" w14:textId="77777777" w:rsidR="00E30C2C" w:rsidRPr="004B7EF6" w:rsidRDefault="00E30C2C" w:rsidP="00E30C2C">
            <w:pPr>
              <w:spacing w:after="0" w:line="240" w:lineRule="auto"/>
              <w:jc w:val="center"/>
              <w:rPr>
                <w:rFonts w:asciiTheme="minorBidi" w:hAnsiTheme="minorBidi"/>
                <w:color w:val="000000"/>
                <w:sz w:val="24"/>
                <w:szCs w:val="24"/>
                <w:lang w:val="en-US"/>
              </w:rPr>
            </w:pPr>
            <w:r w:rsidRPr="004B7EF6">
              <w:rPr>
                <w:rFonts w:asciiTheme="minorBidi" w:hAnsiTheme="minorBidi"/>
                <w:color w:val="000000"/>
                <w:sz w:val="24"/>
                <w:szCs w:val="24"/>
                <w:lang w:val="en-US"/>
              </w:rPr>
              <w:t>69</w:t>
            </w:r>
          </w:p>
        </w:tc>
        <w:tc>
          <w:tcPr>
            <w:tcW w:w="992" w:type="dxa"/>
            <w:shd w:val="clear" w:color="auto" w:fill="auto"/>
            <w:vAlign w:val="bottom"/>
          </w:tcPr>
          <w:p w14:paraId="6B7E5D17"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55</w:t>
            </w:r>
          </w:p>
        </w:tc>
        <w:tc>
          <w:tcPr>
            <w:tcW w:w="851" w:type="dxa"/>
            <w:shd w:val="clear" w:color="auto" w:fill="auto"/>
            <w:vAlign w:val="bottom"/>
          </w:tcPr>
          <w:p w14:paraId="69C633C3"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46</w:t>
            </w:r>
          </w:p>
        </w:tc>
        <w:tc>
          <w:tcPr>
            <w:tcW w:w="850" w:type="dxa"/>
            <w:shd w:val="clear" w:color="auto" w:fill="auto"/>
            <w:vAlign w:val="bottom"/>
          </w:tcPr>
          <w:p w14:paraId="73BCBC25" w14:textId="77777777" w:rsidR="00E30C2C" w:rsidRPr="004B7EF6" w:rsidRDefault="00E30C2C" w:rsidP="00E30C2C">
            <w:pPr>
              <w:spacing w:after="0" w:line="240" w:lineRule="auto"/>
              <w:jc w:val="center"/>
              <w:rPr>
                <w:rFonts w:asciiTheme="minorBidi" w:hAnsiTheme="minorBidi"/>
                <w:sz w:val="24"/>
                <w:szCs w:val="24"/>
                <w:lang w:val="en-US"/>
              </w:rPr>
            </w:pPr>
            <w:r w:rsidRPr="004B7EF6">
              <w:rPr>
                <w:rFonts w:asciiTheme="minorBidi" w:hAnsiTheme="minorBidi"/>
                <w:sz w:val="24"/>
                <w:szCs w:val="24"/>
                <w:lang w:val="en-US"/>
              </w:rPr>
              <w:t>56</w:t>
            </w:r>
          </w:p>
        </w:tc>
        <w:tc>
          <w:tcPr>
            <w:tcW w:w="851" w:type="dxa"/>
            <w:shd w:val="clear" w:color="auto" w:fill="auto"/>
            <w:vAlign w:val="bottom"/>
          </w:tcPr>
          <w:p w14:paraId="2A8ABE65" w14:textId="77777777" w:rsidR="00E30C2C" w:rsidRPr="004B7EF6" w:rsidRDefault="00E30C2C" w:rsidP="00E30C2C">
            <w:pPr>
              <w:spacing w:after="0" w:line="240" w:lineRule="auto"/>
              <w:jc w:val="center"/>
              <w:rPr>
                <w:rFonts w:asciiTheme="minorBidi" w:hAnsiTheme="minorBidi"/>
                <w:color w:val="000000"/>
                <w:sz w:val="24"/>
                <w:szCs w:val="24"/>
                <w:lang w:val="en-US"/>
              </w:rPr>
            </w:pPr>
            <w:r w:rsidRPr="004B7EF6">
              <w:rPr>
                <w:rFonts w:asciiTheme="minorBidi" w:hAnsiTheme="minorBidi"/>
                <w:color w:val="000000"/>
                <w:sz w:val="24"/>
                <w:szCs w:val="24"/>
                <w:lang w:val="en-US"/>
              </w:rPr>
              <w:t>53</w:t>
            </w:r>
          </w:p>
        </w:tc>
        <w:tc>
          <w:tcPr>
            <w:tcW w:w="850" w:type="dxa"/>
            <w:shd w:val="clear" w:color="auto" w:fill="auto"/>
            <w:vAlign w:val="bottom"/>
          </w:tcPr>
          <w:p w14:paraId="27B6F259" w14:textId="77777777" w:rsidR="00E30C2C" w:rsidRPr="004B7EF6" w:rsidRDefault="00E30C2C" w:rsidP="00E30C2C">
            <w:pPr>
              <w:spacing w:after="0" w:line="240" w:lineRule="auto"/>
              <w:jc w:val="center"/>
              <w:rPr>
                <w:rFonts w:asciiTheme="minorBidi" w:hAnsiTheme="minorBidi"/>
                <w:color w:val="000000"/>
                <w:sz w:val="24"/>
                <w:szCs w:val="24"/>
                <w:lang w:val="en-US"/>
              </w:rPr>
            </w:pPr>
            <w:r w:rsidRPr="004B7EF6">
              <w:rPr>
                <w:rFonts w:asciiTheme="minorBidi" w:hAnsiTheme="minorBidi"/>
                <w:color w:val="000000"/>
                <w:sz w:val="24"/>
                <w:szCs w:val="24"/>
                <w:lang w:val="en-US"/>
              </w:rPr>
              <w:t>67</w:t>
            </w:r>
          </w:p>
        </w:tc>
        <w:tc>
          <w:tcPr>
            <w:tcW w:w="851" w:type="dxa"/>
            <w:shd w:val="clear" w:color="auto" w:fill="auto"/>
            <w:vAlign w:val="bottom"/>
          </w:tcPr>
          <w:p w14:paraId="307C0904" w14:textId="77777777" w:rsidR="00E30C2C" w:rsidRPr="004B7EF6" w:rsidRDefault="00E30C2C" w:rsidP="00E30C2C">
            <w:pPr>
              <w:spacing w:after="0" w:line="240" w:lineRule="auto"/>
              <w:jc w:val="center"/>
              <w:rPr>
                <w:rFonts w:asciiTheme="minorBidi" w:hAnsiTheme="minorBidi"/>
                <w:color w:val="000000"/>
                <w:sz w:val="24"/>
                <w:szCs w:val="24"/>
                <w:lang w:val="en-US"/>
              </w:rPr>
            </w:pPr>
            <w:r w:rsidRPr="004B7EF6">
              <w:rPr>
                <w:rFonts w:asciiTheme="minorBidi" w:hAnsiTheme="minorBidi"/>
                <w:color w:val="000000"/>
                <w:sz w:val="24"/>
                <w:szCs w:val="24"/>
                <w:lang w:val="en-US"/>
              </w:rPr>
              <w:t>103</w:t>
            </w:r>
          </w:p>
        </w:tc>
      </w:tr>
      <w:tr w:rsidR="00E30C2C" w:rsidRPr="004B7EF6" w14:paraId="1B2CAFB1" w14:textId="77777777" w:rsidTr="00E30C2C">
        <w:tc>
          <w:tcPr>
            <w:tcW w:w="1384" w:type="dxa"/>
          </w:tcPr>
          <w:p w14:paraId="446EDC7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 min</w:t>
            </w:r>
          </w:p>
        </w:tc>
        <w:tc>
          <w:tcPr>
            <w:tcW w:w="992" w:type="dxa"/>
          </w:tcPr>
          <w:p w14:paraId="6C0C600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4500</w:t>
            </w:r>
          </w:p>
        </w:tc>
        <w:tc>
          <w:tcPr>
            <w:tcW w:w="993" w:type="dxa"/>
          </w:tcPr>
          <w:p w14:paraId="31CCB91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4000</w:t>
            </w:r>
          </w:p>
        </w:tc>
        <w:tc>
          <w:tcPr>
            <w:tcW w:w="850" w:type="dxa"/>
          </w:tcPr>
          <w:p w14:paraId="15E6A65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4100</w:t>
            </w:r>
          </w:p>
        </w:tc>
        <w:tc>
          <w:tcPr>
            <w:tcW w:w="992" w:type="dxa"/>
          </w:tcPr>
          <w:p w14:paraId="4C8732E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3000</w:t>
            </w:r>
          </w:p>
        </w:tc>
        <w:tc>
          <w:tcPr>
            <w:tcW w:w="851" w:type="dxa"/>
          </w:tcPr>
          <w:p w14:paraId="79B90B6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2200</w:t>
            </w:r>
          </w:p>
        </w:tc>
        <w:tc>
          <w:tcPr>
            <w:tcW w:w="850" w:type="dxa"/>
          </w:tcPr>
          <w:p w14:paraId="4AF76AC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1900</w:t>
            </w:r>
          </w:p>
        </w:tc>
        <w:tc>
          <w:tcPr>
            <w:tcW w:w="851" w:type="dxa"/>
          </w:tcPr>
          <w:p w14:paraId="10C9020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1800</w:t>
            </w:r>
          </w:p>
        </w:tc>
        <w:tc>
          <w:tcPr>
            <w:tcW w:w="850" w:type="dxa"/>
          </w:tcPr>
          <w:p w14:paraId="0A5FB24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2100</w:t>
            </w:r>
          </w:p>
        </w:tc>
        <w:tc>
          <w:tcPr>
            <w:tcW w:w="851" w:type="dxa"/>
          </w:tcPr>
          <w:p w14:paraId="1447A25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3000</w:t>
            </w:r>
          </w:p>
        </w:tc>
      </w:tr>
      <w:tr w:rsidR="00E30C2C" w:rsidRPr="004B7EF6" w14:paraId="2F56BDE6" w14:textId="77777777" w:rsidTr="00E30C2C">
        <w:tc>
          <w:tcPr>
            <w:tcW w:w="9464" w:type="dxa"/>
            <w:gridSpan w:val="10"/>
          </w:tcPr>
          <w:p w14:paraId="1C5CCDFA" w14:textId="77777777" w:rsidR="00E30C2C" w:rsidRPr="004B7EF6" w:rsidRDefault="00E30C2C" w:rsidP="00E30C2C">
            <w:pPr>
              <w:spacing w:after="0" w:line="240" w:lineRule="auto"/>
              <w:jc w:val="center"/>
              <w:rPr>
                <w:rFonts w:asciiTheme="minorBidi" w:hAnsiTheme="minorBidi"/>
                <w:b/>
                <w:bCs/>
                <w:sz w:val="24"/>
                <w:szCs w:val="24"/>
                <w:lang w:val="fr-FR"/>
              </w:rPr>
            </w:pPr>
            <w:r w:rsidRPr="004B7EF6">
              <w:rPr>
                <w:rFonts w:asciiTheme="minorBidi" w:hAnsiTheme="minorBidi"/>
                <w:b/>
                <w:bCs/>
                <w:sz w:val="24"/>
                <w:szCs w:val="24"/>
                <w:lang w:val="fr-FR"/>
              </w:rPr>
              <w:t>1992</w:t>
            </w:r>
          </w:p>
        </w:tc>
      </w:tr>
      <w:tr w:rsidR="00E30C2C" w:rsidRPr="004B7EF6" w14:paraId="6E85F29D" w14:textId="77777777" w:rsidTr="00E30C2C">
        <w:tc>
          <w:tcPr>
            <w:tcW w:w="1384" w:type="dxa"/>
          </w:tcPr>
          <w:p w14:paraId="2DBFDE5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Qmed</w:t>
            </w:r>
          </w:p>
        </w:tc>
        <w:tc>
          <w:tcPr>
            <w:tcW w:w="992" w:type="dxa"/>
            <w:shd w:val="clear" w:color="auto" w:fill="auto"/>
            <w:vAlign w:val="bottom"/>
          </w:tcPr>
          <w:p w14:paraId="34C2B6B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4650</w:t>
            </w:r>
          </w:p>
        </w:tc>
        <w:tc>
          <w:tcPr>
            <w:tcW w:w="993" w:type="dxa"/>
            <w:shd w:val="clear" w:color="auto" w:fill="auto"/>
            <w:vAlign w:val="bottom"/>
          </w:tcPr>
          <w:p w14:paraId="2CE9041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7800</w:t>
            </w:r>
          </w:p>
        </w:tc>
        <w:tc>
          <w:tcPr>
            <w:tcW w:w="850" w:type="dxa"/>
            <w:shd w:val="clear" w:color="auto" w:fill="auto"/>
            <w:vAlign w:val="bottom"/>
          </w:tcPr>
          <w:p w14:paraId="024DDBB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5700</w:t>
            </w:r>
          </w:p>
        </w:tc>
        <w:tc>
          <w:tcPr>
            <w:tcW w:w="992" w:type="dxa"/>
            <w:shd w:val="clear" w:color="auto" w:fill="auto"/>
            <w:vAlign w:val="bottom"/>
          </w:tcPr>
          <w:p w14:paraId="7FF3BA2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5100</w:t>
            </w:r>
          </w:p>
        </w:tc>
        <w:tc>
          <w:tcPr>
            <w:tcW w:w="851" w:type="dxa"/>
            <w:shd w:val="clear" w:color="auto" w:fill="auto"/>
            <w:vAlign w:val="bottom"/>
          </w:tcPr>
          <w:p w14:paraId="4439318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3600</w:t>
            </w:r>
          </w:p>
        </w:tc>
        <w:tc>
          <w:tcPr>
            <w:tcW w:w="850" w:type="dxa"/>
            <w:shd w:val="clear" w:color="auto" w:fill="auto"/>
            <w:vAlign w:val="bottom"/>
          </w:tcPr>
          <w:p w14:paraId="612CE96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2250</w:t>
            </w:r>
          </w:p>
        </w:tc>
        <w:tc>
          <w:tcPr>
            <w:tcW w:w="851" w:type="dxa"/>
            <w:shd w:val="clear" w:color="auto" w:fill="auto"/>
            <w:vAlign w:val="bottom"/>
          </w:tcPr>
          <w:p w14:paraId="1303999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2100</w:t>
            </w:r>
          </w:p>
        </w:tc>
        <w:tc>
          <w:tcPr>
            <w:tcW w:w="850" w:type="dxa"/>
            <w:shd w:val="clear" w:color="auto" w:fill="auto"/>
            <w:vAlign w:val="bottom"/>
          </w:tcPr>
          <w:p w14:paraId="0C2923E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3200</w:t>
            </w:r>
          </w:p>
        </w:tc>
        <w:tc>
          <w:tcPr>
            <w:tcW w:w="851" w:type="dxa"/>
            <w:shd w:val="clear" w:color="auto" w:fill="auto"/>
            <w:vAlign w:val="bottom"/>
          </w:tcPr>
          <w:p w14:paraId="215254A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6700</w:t>
            </w:r>
          </w:p>
        </w:tc>
      </w:tr>
      <w:tr w:rsidR="00E30C2C" w:rsidRPr="004B7EF6" w14:paraId="1EA1A6D8" w14:textId="77777777" w:rsidTr="00E30C2C">
        <w:tc>
          <w:tcPr>
            <w:tcW w:w="1384" w:type="dxa"/>
          </w:tcPr>
          <w:p w14:paraId="23B9657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K (%)</w:t>
            </w:r>
          </w:p>
        </w:tc>
        <w:tc>
          <w:tcPr>
            <w:tcW w:w="992" w:type="dxa"/>
            <w:shd w:val="clear" w:color="auto" w:fill="auto"/>
            <w:vAlign w:val="bottom"/>
          </w:tcPr>
          <w:p w14:paraId="1A76B74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69</w:t>
            </w:r>
          </w:p>
        </w:tc>
        <w:tc>
          <w:tcPr>
            <w:tcW w:w="993" w:type="dxa"/>
            <w:shd w:val="clear" w:color="auto" w:fill="auto"/>
            <w:vAlign w:val="bottom"/>
          </w:tcPr>
          <w:p w14:paraId="57624DA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99</w:t>
            </w:r>
          </w:p>
        </w:tc>
        <w:tc>
          <w:tcPr>
            <w:tcW w:w="850" w:type="dxa"/>
            <w:shd w:val="clear" w:color="auto" w:fill="auto"/>
            <w:vAlign w:val="bottom"/>
          </w:tcPr>
          <w:p w14:paraId="714ABDB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78</w:t>
            </w:r>
          </w:p>
        </w:tc>
        <w:tc>
          <w:tcPr>
            <w:tcW w:w="992" w:type="dxa"/>
            <w:shd w:val="clear" w:color="auto" w:fill="auto"/>
            <w:vAlign w:val="bottom"/>
          </w:tcPr>
          <w:p w14:paraId="5B5DD7F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79</w:t>
            </w:r>
          </w:p>
        </w:tc>
        <w:tc>
          <w:tcPr>
            <w:tcW w:w="851" w:type="dxa"/>
            <w:shd w:val="clear" w:color="auto" w:fill="auto"/>
            <w:vAlign w:val="bottom"/>
          </w:tcPr>
          <w:p w14:paraId="3A333CE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67</w:t>
            </w:r>
          </w:p>
        </w:tc>
        <w:tc>
          <w:tcPr>
            <w:tcW w:w="850" w:type="dxa"/>
            <w:shd w:val="clear" w:color="auto" w:fill="auto"/>
            <w:vAlign w:val="bottom"/>
          </w:tcPr>
          <w:p w14:paraId="5AB454C4"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52</w:t>
            </w:r>
          </w:p>
        </w:tc>
        <w:tc>
          <w:tcPr>
            <w:tcW w:w="851" w:type="dxa"/>
            <w:shd w:val="clear" w:color="auto" w:fill="auto"/>
            <w:vAlign w:val="bottom"/>
          </w:tcPr>
          <w:p w14:paraId="5324BDC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55</w:t>
            </w:r>
          </w:p>
        </w:tc>
        <w:tc>
          <w:tcPr>
            <w:tcW w:w="850" w:type="dxa"/>
            <w:shd w:val="clear" w:color="auto" w:fill="auto"/>
            <w:vAlign w:val="bottom"/>
          </w:tcPr>
          <w:p w14:paraId="4391DF6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83</w:t>
            </w:r>
          </w:p>
        </w:tc>
        <w:tc>
          <w:tcPr>
            <w:tcW w:w="851" w:type="dxa"/>
            <w:shd w:val="clear" w:color="auto" w:fill="auto"/>
            <w:vAlign w:val="bottom"/>
          </w:tcPr>
          <w:p w14:paraId="4E333C6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144</w:t>
            </w:r>
          </w:p>
        </w:tc>
      </w:tr>
      <w:tr w:rsidR="00E30C2C" w:rsidRPr="004B7EF6" w14:paraId="7FB7E849" w14:textId="77777777" w:rsidTr="00E30C2C">
        <w:tc>
          <w:tcPr>
            <w:tcW w:w="1384" w:type="dxa"/>
          </w:tcPr>
          <w:p w14:paraId="3A8A7B5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 min</w:t>
            </w:r>
          </w:p>
        </w:tc>
        <w:tc>
          <w:tcPr>
            <w:tcW w:w="992" w:type="dxa"/>
          </w:tcPr>
          <w:p w14:paraId="6DABA94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3950</w:t>
            </w:r>
          </w:p>
        </w:tc>
        <w:tc>
          <w:tcPr>
            <w:tcW w:w="993" w:type="dxa"/>
          </w:tcPr>
          <w:p w14:paraId="6D88EFD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6000</w:t>
            </w:r>
          </w:p>
        </w:tc>
        <w:tc>
          <w:tcPr>
            <w:tcW w:w="850" w:type="dxa"/>
          </w:tcPr>
          <w:p w14:paraId="3966D59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4300</w:t>
            </w:r>
          </w:p>
        </w:tc>
        <w:tc>
          <w:tcPr>
            <w:tcW w:w="992" w:type="dxa"/>
          </w:tcPr>
          <w:p w14:paraId="391DCA44"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4100</w:t>
            </w:r>
          </w:p>
        </w:tc>
        <w:tc>
          <w:tcPr>
            <w:tcW w:w="851" w:type="dxa"/>
          </w:tcPr>
          <w:p w14:paraId="46E5719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2750</w:t>
            </w:r>
          </w:p>
        </w:tc>
        <w:tc>
          <w:tcPr>
            <w:tcW w:w="850" w:type="dxa"/>
          </w:tcPr>
          <w:p w14:paraId="6B42798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1900</w:t>
            </w:r>
          </w:p>
        </w:tc>
        <w:tc>
          <w:tcPr>
            <w:tcW w:w="851" w:type="dxa"/>
          </w:tcPr>
          <w:p w14:paraId="703C1BA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1700</w:t>
            </w:r>
          </w:p>
        </w:tc>
        <w:tc>
          <w:tcPr>
            <w:tcW w:w="850" w:type="dxa"/>
          </w:tcPr>
          <w:p w14:paraId="4CFEEFE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1600</w:t>
            </w:r>
          </w:p>
        </w:tc>
        <w:tc>
          <w:tcPr>
            <w:tcW w:w="851" w:type="dxa"/>
          </w:tcPr>
          <w:p w14:paraId="6B4636F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5100</w:t>
            </w:r>
          </w:p>
        </w:tc>
      </w:tr>
      <w:tr w:rsidR="00E30C2C" w:rsidRPr="004B7EF6" w14:paraId="282D4BAD" w14:textId="77777777" w:rsidTr="00E30C2C">
        <w:tc>
          <w:tcPr>
            <w:tcW w:w="9464" w:type="dxa"/>
            <w:gridSpan w:val="10"/>
          </w:tcPr>
          <w:p w14:paraId="4D574635" w14:textId="77777777" w:rsidR="00E30C2C" w:rsidRPr="004B7EF6" w:rsidRDefault="00E30C2C" w:rsidP="00E30C2C">
            <w:pPr>
              <w:spacing w:after="0" w:line="240" w:lineRule="auto"/>
              <w:jc w:val="center"/>
              <w:rPr>
                <w:rFonts w:asciiTheme="minorBidi" w:hAnsiTheme="minorBidi"/>
                <w:b/>
                <w:bCs/>
                <w:sz w:val="24"/>
                <w:szCs w:val="24"/>
                <w:lang w:val="fr-FR"/>
              </w:rPr>
            </w:pPr>
            <w:r w:rsidRPr="004B7EF6">
              <w:rPr>
                <w:rFonts w:asciiTheme="minorBidi" w:hAnsiTheme="minorBidi"/>
                <w:b/>
                <w:bCs/>
                <w:sz w:val="24"/>
                <w:szCs w:val="24"/>
                <w:lang w:val="fr-FR"/>
              </w:rPr>
              <w:t>2003</w:t>
            </w:r>
          </w:p>
        </w:tc>
      </w:tr>
      <w:tr w:rsidR="00E30C2C" w:rsidRPr="004B7EF6" w14:paraId="6FC74B47" w14:textId="77777777" w:rsidTr="00E30C2C">
        <w:tc>
          <w:tcPr>
            <w:tcW w:w="1384" w:type="dxa"/>
          </w:tcPr>
          <w:p w14:paraId="6CBCFF5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Qmed</w:t>
            </w:r>
          </w:p>
        </w:tc>
        <w:tc>
          <w:tcPr>
            <w:tcW w:w="992" w:type="dxa"/>
            <w:shd w:val="clear" w:color="auto" w:fill="auto"/>
            <w:vAlign w:val="bottom"/>
          </w:tcPr>
          <w:p w14:paraId="299BAD9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5400</w:t>
            </w:r>
          </w:p>
        </w:tc>
        <w:tc>
          <w:tcPr>
            <w:tcW w:w="993" w:type="dxa"/>
            <w:shd w:val="clear" w:color="auto" w:fill="auto"/>
            <w:vAlign w:val="bottom"/>
          </w:tcPr>
          <w:p w14:paraId="545FCB6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5050</w:t>
            </w:r>
          </w:p>
        </w:tc>
        <w:tc>
          <w:tcPr>
            <w:tcW w:w="850" w:type="dxa"/>
            <w:shd w:val="clear" w:color="auto" w:fill="auto"/>
            <w:vAlign w:val="bottom"/>
          </w:tcPr>
          <w:p w14:paraId="7A0C16A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4400</w:t>
            </w:r>
          </w:p>
        </w:tc>
        <w:tc>
          <w:tcPr>
            <w:tcW w:w="992" w:type="dxa"/>
            <w:shd w:val="clear" w:color="auto" w:fill="auto"/>
            <w:vAlign w:val="bottom"/>
          </w:tcPr>
          <w:p w14:paraId="3CCEAAE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3400</w:t>
            </w:r>
          </w:p>
        </w:tc>
        <w:tc>
          <w:tcPr>
            <w:tcW w:w="851" w:type="dxa"/>
            <w:shd w:val="clear" w:color="auto" w:fill="auto"/>
            <w:vAlign w:val="bottom"/>
          </w:tcPr>
          <w:p w14:paraId="5F7F922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2350</w:t>
            </w:r>
          </w:p>
        </w:tc>
        <w:tc>
          <w:tcPr>
            <w:tcW w:w="850" w:type="dxa"/>
            <w:shd w:val="clear" w:color="auto" w:fill="auto"/>
            <w:vAlign w:val="bottom"/>
          </w:tcPr>
          <w:p w14:paraId="3C17808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1950</w:t>
            </w:r>
          </w:p>
        </w:tc>
        <w:tc>
          <w:tcPr>
            <w:tcW w:w="851" w:type="dxa"/>
            <w:shd w:val="clear" w:color="auto" w:fill="auto"/>
            <w:vAlign w:val="bottom"/>
          </w:tcPr>
          <w:p w14:paraId="6CAB372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1900</w:t>
            </w:r>
          </w:p>
        </w:tc>
        <w:tc>
          <w:tcPr>
            <w:tcW w:w="850" w:type="dxa"/>
            <w:shd w:val="clear" w:color="auto" w:fill="auto"/>
            <w:vAlign w:val="bottom"/>
          </w:tcPr>
          <w:p w14:paraId="7F709BA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3200</w:t>
            </w:r>
          </w:p>
        </w:tc>
        <w:tc>
          <w:tcPr>
            <w:tcW w:w="851" w:type="dxa"/>
            <w:shd w:val="clear" w:color="auto" w:fill="auto"/>
            <w:vAlign w:val="bottom"/>
          </w:tcPr>
          <w:p w14:paraId="1E103B7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3700</w:t>
            </w:r>
          </w:p>
        </w:tc>
      </w:tr>
      <w:tr w:rsidR="00E30C2C" w:rsidRPr="004B7EF6" w14:paraId="1D00EA66" w14:textId="77777777" w:rsidTr="00E30C2C">
        <w:tc>
          <w:tcPr>
            <w:tcW w:w="1384" w:type="dxa"/>
          </w:tcPr>
          <w:p w14:paraId="4B9FE25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K (%)</w:t>
            </w:r>
          </w:p>
        </w:tc>
        <w:tc>
          <w:tcPr>
            <w:tcW w:w="992" w:type="dxa"/>
            <w:shd w:val="clear" w:color="auto" w:fill="auto"/>
            <w:vAlign w:val="bottom"/>
          </w:tcPr>
          <w:p w14:paraId="4FBA439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80</w:t>
            </w:r>
          </w:p>
        </w:tc>
        <w:tc>
          <w:tcPr>
            <w:tcW w:w="993" w:type="dxa"/>
            <w:shd w:val="clear" w:color="auto" w:fill="auto"/>
            <w:vAlign w:val="bottom"/>
          </w:tcPr>
          <w:p w14:paraId="37C110D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64</w:t>
            </w:r>
          </w:p>
        </w:tc>
        <w:tc>
          <w:tcPr>
            <w:tcW w:w="850" w:type="dxa"/>
            <w:shd w:val="clear" w:color="auto" w:fill="auto"/>
            <w:vAlign w:val="bottom"/>
          </w:tcPr>
          <w:p w14:paraId="04AEE48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60</w:t>
            </w:r>
          </w:p>
        </w:tc>
        <w:tc>
          <w:tcPr>
            <w:tcW w:w="992" w:type="dxa"/>
            <w:shd w:val="clear" w:color="auto" w:fill="auto"/>
            <w:vAlign w:val="bottom"/>
          </w:tcPr>
          <w:p w14:paraId="448247F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53</w:t>
            </w:r>
          </w:p>
        </w:tc>
        <w:tc>
          <w:tcPr>
            <w:tcW w:w="851" w:type="dxa"/>
            <w:shd w:val="clear" w:color="auto" w:fill="auto"/>
            <w:vAlign w:val="bottom"/>
          </w:tcPr>
          <w:p w14:paraId="550FB3A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44</w:t>
            </w:r>
          </w:p>
        </w:tc>
        <w:tc>
          <w:tcPr>
            <w:tcW w:w="850" w:type="dxa"/>
            <w:shd w:val="clear" w:color="auto" w:fill="auto"/>
            <w:vAlign w:val="bottom"/>
          </w:tcPr>
          <w:p w14:paraId="566C279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45</w:t>
            </w:r>
          </w:p>
        </w:tc>
        <w:tc>
          <w:tcPr>
            <w:tcW w:w="851" w:type="dxa"/>
            <w:shd w:val="clear" w:color="auto" w:fill="auto"/>
            <w:vAlign w:val="bottom"/>
          </w:tcPr>
          <w:p w14:paraId="0E36E954"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50</w:t>
            </w:r>
          </w:p>
        </w:tc>
        <w:tc>
          <w:tcPr>
            <w:tcW w:w="850" w:type="dxa"/>
            <w:shd w:val="clear" w:color="auto" w:fill="auto"/>
            <w:vAlign w:val="bottom"/>
          </w:tcPr>
          <w:p w14:paraId="6BA1F47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83</w:t>
            </w:r>
          </w:p>
        </w:tc>
        <w:tc>
          <w:tcPr>
            <w:tcW w:w="851" w:type="dxa"/>
            <w:shd w:val="clear" w:color="auto" w:fill="auto"/>
            <w:vAlign w:val="bottom"/>
          </w:tcPr>
          <w:p w14:paraId="3F2C2E8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79</w:t>
            </w:r>
          </w:p>
        </w:tc>
      </w:tr>
      <w:tr w:rsidR="00E30C2C" w:rsidRPr="004B7EF6" w14:paraId="014C1130" w14:textId="77777777" w:rsidTr="00E30C2C">
        <w:tc>
          <w:tcPr>
            <w:tcW w:w="1384" w:type="dxa"/>
          </w:tcPr>
          <w:p w14:paraId="472D153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 min</w:t>
            </w:r>
          </w:p>
        </w:tc>
        <w:tc>
          <w:tcPr>
            <w:tcW w:w="992" w:type="dxa"/>
          </w:tcPr>
          <w:p w14:paraId="279471E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3900</w:t>
            </w:r>
          </w:p>
        </w:tc>
        <w:tc>
          <w:tcPr>
            <w:tcW w:w="993" w:type="dxa"/>
          </w:tcPr>
          <w:p w14:paraId="04E2228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4500</w:t>
            </w:r>
          </w:p>
        </w:tc>
        <w:tc>
          <w:tcPr>
            <w:tcW w:w="850" w:type="dxa"/>
          </w:tcPr>
          <w:p w14:paraId="725361B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3950</w:t>
            </w:r>
          </w:p>
        </w:tc>
        <w:tc>
          <w:tcPr>
            <w:tcW w:w="992" w:type="dxa"/>
          </w:tcPr>
          <w:p w14:paraId="03D7BC8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2800</w:t>
            </w:r>
          </w:p>
        </w:tc>
        <w:tc>
          <w:tcPr>
            <w:tcW w:w="851" w:type="dxa"/>
          </w:tcPr>
          <w:p w14:paraId="0668A9B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2100</w:t>
            </w:r>
          </w:p>
        </w:tc>
        <w:tc>
          <w:tcPr>
            <w:tcW w:w="850" w:type="dxa"/>
          </w:tcPr>
          <w:p w14:paraId="7843921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1500</w:t>
            </w:r>
          </w:p>
        </w:tc>
        <w:tc>
          <w:tcPr>
            <w:tcW w:w="851" w:type="dxa"/>
          </w:tcPr>
          <w:p w14:paraId="5347860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1500</w:t>
            </w:r>
          </w:p>
        </w:tc>
        <w:tc>
          <w:tcPr>
            <w:tcW w:w="850" w:type="dxa"/>
          </w:tcPr>
          <w:p w14:paraId="79EE352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1700</w:t>
            </w:r>
          </w:p>
        </w:tc>
        <w:tc>
          <w:tcPr>
            <w:tcW w:w="851" w:type="dxa"/>
          </w:tcPr>
          <w:p w14:paraId="427AEFB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2800</w:t>
            </w:r>
          </w:p>
        </w:tc>
      </w:tr>
      <w:tr w:rsidR="00E30C2C" w:rsidRPr="004B7EF6" w14:paraId="3F8B4692" w14:textId="77777777" w:rsidTr="00E30C2C">
        <w:tc>
          <w:tcPr>
            <w:tcW w:w="9464" w:type="dxa"/>
            <w:gridSpan w:val="10"/>
          </w:tcPr>
          <w:p w14:paraId="5E3C04A6" w14:textId="77777777" w:rsidR="00E30C2C" w:rsidRPr="004B7EF6" w:rsidRDefault="00E30C2C" w:rsidP="00E30C2C">
            <w:pPr>
              <w:spacing w:after="0" w:line="240" w:lineRule="auto"/>
              <w:jc w:val="center"/>
              <w:rPr>
                <w:rFonts w:asciiTheme="minorBidi" w:hAnsiTheme="minorBidi"/>
                <w:b/>
                <w:bCs/>
                <w:sz w:val="24"/>
                <w:szCs w:val="24"/>
                <w:lang w:val="fr-FR"/>
              </w:rPr>
            </w:pPr>
            <w:r w:rsidRPr="004B7EF6">
              <w:rPr>
                <w:rFonts w:asciiTheme="minorBidi" w:hAnsiTheme="minorBidi"/>
                <w:b/>
                <w:bCs/>
                <w:sz w:val="24"/>
                <w:szCs w:val="24"/>
                <w:lang w:val="fr-FR"/>
              </w:rPr>
              <w:t>2017</w:t>
            </w:r>
          </w:p>
        </w:tc>
      </w:tr>
      <w:tr w:rsidR="00E30C2C" w:rsidRPr="004B7EF6" w14:paraId="57007D45" w14:textId="77777777" w:rsidTr="00E30C2C">
        <w:tc>
          <w:tcPr>
            <w:tcW w:w="1384" w:type="dxa"/>
          </w:tcPr>
          <w:p w14:paraId="5D1F346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Qmed</w:t>
            </w:r>
          </w:p>
        </w:tc>
        <w:tc>
          <w:tcPr>
            <w:tcW w:w="992" w:type="dxa"/>
            <w:shd w:val="clear" w:color="auto" w:fill="auto"/>
            <w:vAlign w:val="bottom"/>
          </w:tcPr>
          <w:p w14:paraId="112ABD7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7100</w:t>
            </w:r>
          </w:p>
        </w:tc>
        <w:tc>
          <w:tcPr>
            <w:tcW w:w="993" w:type="dxa"/>
            <w:shd w:val="clear" w:color="auto" w:fill="auto"/>
            <w:vAlign w:val="bottom"/>
          </w:tcPr>
          <w:p w14:paraId="2FB475B3"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4500</w:t>
            </w:r>
          </w:p>
        </w:tc>
        <w:tc>
          <w:tcPr>
            <w:tcW w:w="850" w:type="dxa"/>
            <w:shd w:val="clear" w:color="auto" w:fill="auto"/>
            <w:vAlign w:val="bottom"/>
          </w:tcPr>
          <w:p w14:paraId="39140F3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6100</w:t>
            </w:r>
          </w:p>
        </w:tc>
        <w:tc>
          <w:tcPr>
            <w:tcW w:w="992" w:type="dxa"/>
            <w:shd w:val="clear" w:color="auto" w:fill="auto"/>
            <w:vAlign w:val="bottom"/>
          </w:tcPr>
          <w:p w14:paraId="5198C43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3800</w:t>
            </w:r>
          </w:p>
        </w:tc>
        <w:tc>
          <w:tcPr>
            <w:tcW w:w="851" w:type="dxa"/>
            <w:shd w:val="clear" w:color="auto" w:fill="auto"/>
            <w:vAlign w:val="bottom"/>
          </w:tcPr>
          <w:p w14:paraId="6CAC48E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2850</w:t>
            </w:r>
          </w:p>
        </w:tc>
        <w:tc>
          <w:tcPr>
            <w:tcW w:w="850" w:type="dxa"/>
            <w:shd w:val="clear" w:color="auto" w:fill="auto"/>
            <w:vAlign w:val="bottom"/>
          </w:tcPr>
          <w:p w14:paraId="28756E0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3350</w:t>
            </w:r>
          </w:p>
        </w:tc>
        <w:tc>
          <w:tcPr>
            <w:tcW w:w="851" w:type="dxa"/>
            <w:shd w:val="clear" w:color="auto" w:fill="auto"/>
            <w:vAlign w:val="bottom"/>
          </w:tcPr>
          <w:p w14:paraId="3C09FD1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3800</w:t>
            </w:r>
          </w:p>
        </w:tc>
        <w:tc>
          <w:tcPr>
            <w:tcW w:w="850" w:type="dxa"/>
            <w:shd w:val="clear" w:color="auto" w:fill="auto"/>
            <w:vAlign w:val="bottom"/>
          </w:tcPr>
          <w:p w14:paraId="663F6EA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3500</w:t>
            </w:r>
          </w:p>
        </w:tc>
        <w:tc>
          <w:tcPr>
            <w:tcW w:w="851" w:type="dxa"/>
            <w:shd w:val="clear" w:color="auto" w:fill="auto"/>
            <w:vAlign w:val="bottom"/>
          </w:tcPr>
          <w:p w14:paraId="2A854DA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color w:val="000000"/>
                <w:sz w:val="24"/>
                <w:szCs w:val="24"/>
                <w:lang w:val="en-US"/>
              </w:rPr>
              <w:t>4500</w:t>
            </w:r>
          </w:p>
        </w:tc>
      </w:tr>
      <w:tr w:rsidR="00E30C2C" w:rsidRPr="004B7EF6" w14:paraId="101D0396" w14:textId="77777777" w:rsidTr="00E30C2C">
        <w:tc>
          <w:tcPr>
            <w:tcW w:w="1384" w:type="dxa"/>
          </w:tcPr>
          <w:p w14:paraId="48D2A11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K (%)</w:t>
            </w:r>
          </w:p>
        </w:tc>
        <w:tc>
          <w:tcPr>
            <w:tcW w:w="992" w:type="dxa"/>
          </w:tcPr>
          <w:p w14:paraId="537B1E8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105</w:t>
            </w:r>
          </w:p>
        </w:tc>
        <w:tc>
          <w:tcPr>
            <w:tcW w:w="993" w:type="dxa"/>
          </w:tcPr>
          <w:p w14:paraId="354F618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57</w:t>
            </w:r>
          </w:p>
        </w:tc>
        <w:tc>
          <w:tcPr>
            <w:tcW w:w="850" w:type="dxa"/>
          </w:tcPr>
          <w:p w14:paraId="415D909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84</w:t>
            </w:r>
          </w:p>
        </w:tc>
        <w:tc>
          <w:tcPr>
            <w:tcW w:w="992" w:type="dxa"/>
            <w:shd w:val="clear" w:color="auto" w:fill="auto"/>
          </w:tcPr>
          <w:p w14:paraId="3D81108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59</w:t>
            </w:r>
          </w:p>
        </w:tc>
        <w:tc>
          <w:tcPr>
            <w:tcW w:w="851" w:type="dxa"/>
          </w:tcPr>
          <w:p w14:paraId="1B63E7C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53</w:t>
            </w:r>
          </w:p>
        </w:tc>
        <w:tc>
          <w:tcPr>
            <w:tcW w:w="850" w:type="dxa"/>
          </w:tcPr>
          <w:p w14:paraId="62C09EB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78</w:t>
            </w:r>
          </w:p>
        </w:tc>
        <w:tc>
          <w:tcPr>
            <w:tcW w:w="851" w:type="dxa"/>
          </w:tcPr>
          <w:p w14:paraId="12963E0F"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100</w:t>
            </w:r>
          </w:p>
        </w:tc>
        <w:tc>
          <w:tcPr>
            <w:tcW w:w="850" w:type="dxa"/>
          </w:tcPr>
          <w:p w14:paraId="28D77BE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91</w:t>
            </w:r>
          </w:p>
        </w:tc>
        <w:tc>
          <w:tcPr>
            <w:tcW w:w="851" w:type="dxa"/>
          </w:tcPr>
          <w:p w14:paraId="6DB9E898"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97</w:t>
            </w:r>
          </w:p>
        </w:tc>
      </w:tr>
      <w:tr w:rsidR="00E30C2C" w:rsidRPr="004B7EF6" w14:paraId="0D77A7C4" w14:textId="77777777" w:rsidTr="00E30C2C">
        <w:tc>
          <w:tcPr>
            <w:tcW w:w="1384" w:type="dxa"/>
          </w:tcPr>
          <w:p w14:paraId="441F486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 min</w:t>
            </w:r>
          </w:p>
        </w:tc>
        <w:tc>
          <w:tcPr>
            <w:tcW w:w="992" w:type="dxa"/>
          </w:tcPr>
          <w:p w14:paraId="7F29E9D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5800</w:t>
            </w:r>
          </w:p>
        </w:tc>
        <w:tc>
          <w:tcPr>
            <w:tcW w:w="993" w:type="dxa"/>
          </w:tcPr>
          <w:p w14:paraId="05FBD29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3900</w:t>
            </w:r>
          </w:p>
        </w:tc>
        <w:tc>
          <w:tcPr>
            <w:tcW w:w="850" w:type="dxa"/>
          </w:tcPr>
          <w:p w14:paraId="28C9BDD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4900</w:t>
            </w:r>
          </w:p>
        </w:tc>
        <w:tc>
          <w:tcPr>
            <w:tcW w:w="992" w:type="dxa"/>
            <w:shd w:val="clear" w:color="auto" w:fill="auto"/>
          </w:tcPr>
          <w:p w14:paraId="5E84F80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2800</w:t>
            </w:r>
          </w:p>
        </w:tc>
        <w:tc>
          <w:tcPr>
            <w:tcW w:w="851" w:type="dxa"/>
          </w:tcPr>
          <w:p w14:paraId="2E2B5E3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2500</w:t>
            </w:r>
          </w:p>
        </w:tc>
        <w:tc>
          <w:tcPr>
            <w:tcW w:w="850" w:type="dxa"/>
          </w:tcPr>
          <w:p w14:paraId="50C91BC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2900</w:t>
            </w:r>
          </w:p>
        </w:tc>
        <w:tc>
          <w:tcPr>
            <w:tcW w:w="851" w:type="dxa"/>
          </w:tcPr>
          <w:p w14:paraId="4E3B479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2600</w:t>
            </w:r>
          </w:p>
        </w:tc>
        <w:tc>
          <w:tcPr>
            <w:tcW w:w="850" w:type="dxa"/>
          </w:tcPr>
          <w:p w14:paraId="5335F20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2600</w:t>
            </w:r>
          </w:p>
        </w:tc>
        <w:tc>
          <w:tcPr>
            <w:tcW w:w="851" w:type="dxa"/>
          </w:tcPr>
          <w:p w14:paraId="5791BFC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3700</w:t>
            </w:r>
          </w:p>
        </w:tc>
      </w:tr>
      <w:tr w:rsidR="00E30C2C" w:rsidRPr="004B7EF6" w14:paraId="39221BDA" w14:textId="77777777" w:rsidTr="00E30C2C">
        <w:tc>
          <w:tcPr>
            <w:tcW w:w="9464" w:type="dxa"/>
            <w:gridSpan w:val="10"/>
          </w:tcPr>
          <w:p w14:paraId="426BB596" w14:textId="77777777" w:rsidR="00E30C2C" w:rsidRPr="004B7EF6" w:rsidRDefault="00E30C2C" w:rsidP="00E30C2C">
            <w:pPr>
              <w:spacing w:after="0" w:line="240" w:lineRule="auto"/>
              <w:jc w:val="center"/>
              <w:rPr>
                <w:rFonts w:asciiTheme="minorBidi" w:hAnsiTheme="minorBidi"/>
                <w:b/>
                <w:bCs/>
                <w:sz w:val="24"/>
                <w:szCs w:val="24"/>
                <w:lang w:val="fr-FR"/>
              </w:rPr>
            </w:pPr>
            <w:r w:rsidRPr="004B7EF6">
              <w:rPr>
                <w:rFonts w:asciiTheme="minorBidi" w:hAnsiTheme="minorBidi"/>
                <w:b/>
                <w:bCs/>
                <w:sz w:val="24"/>
                <w:szCs w:val="24"/>
                <w:lang w:val="fr-FR"/>
              </w:rPr>
              <w:t>2022</w:t>
            </w:r>
          </w:p>
        </w:tc>
      </w:tr>
      <w:tr w:rsidR="00E30C2C" w:rsidRPr="004B7EF6" w14:paraId="6A0E4A3C" w14:textId="77777777" w:rsidTr="00E30C2C">
        <w:tc>
          <w:tcPr>
            <w:tcW w:w="1384" w:type="dxa"/>
          </w:tcPr>
          <w:p w14:paraId="6C93444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Qmed</w:t>
            </w:r>
          </w:p>
        </w:tc>
        <w:tc>
          <w:tcPr>
            <w:tcW w:w="992" w:type="dxa"/>
            <w:shd w:val="clear" w:color="auto" w:fill="auto"/>
            <w:vAlign w:val="bottom"/>
          </w:tcPr>
          <w:p w14:paraId="68B00A1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3800</w:t>
            </w:r>
          </w:p>
        </w:tc>
        <w:tc>
          <w:tcPr>
            <w:tcW w:w="993" w:type="dxa"/>
            <w:shd w:val="clear" w:color="auto" w:fill="auto"/>
            <w:vAlign w:val="bottom"/>
          </w:tcPr>
          <w:p w14:paraId="44804FE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en-US"/>
              </w:rPr>
              <w:t>5100</w:t>
            </w:r>
          </w:p>
        </w:tc>
        <w:tc>
          <w:tcPr>
            <w:tcW w:w="850" w:type="dxa"/>
            <w:shd w:val="clear" w:color="auto" w:fill="auto"/>
            <w:vAlign w:val="bottom"/>
          </w:tcPr>
          <w:p w14:paraId="09861D33" w14:textId="77777777" w:rsidR="00E30C2C" w:rsidRPr="004B7EF6" w:rsidRDefault="00E30C2C" w:rsidP="00E30C2C">
            <w:pPr>
              <w:spacing w:after="0" w:line="240" w:lineRule="auto"/>
              <w:jc w:val="center"/>
              <w:rPr>
                <w:rFonts w:asciiTheme="minorBidi" w:hAnsiTheme="minorBidi"/>
                <w:sz w:val="24"/>
                <w:szCs w:val="24"/>
                <w:highlight w:val="yellow"/>
                <w:lang w:val="fr-FR"/>
              </w:rPr>
            </w:pPr>
            <w:r w:rsidRPr="004B7EF6">
              <w:rPr>
                <w:rFonts w:asciiTheme="minorBidi" w:hAnsiTheme="minorBidi"/>
                <w:sz w:val="24"/>
                <w:szCs w:val="24"/>
                <w:lang w:val="en-US"/>
              </w:rPr>
              <w:t>4550</w:t>
            </w:r>
          </w:p>
        </w:tc>
        <w:tc>
          <w:tcPr>
            <w:tcW w:w="992" w:type="dxa"/>
            <w:shd w:val="clear" w:color="auto" w:fill="auto"/>
            <w:vAlign w:val="bottom"/>
          </w:tcPr>
          <w:p w14:paraId="791ADD8E" w14:textId="77777777" w:rsidR="00E30C2C" w:rsidRPr="004B7EF6" w:rsidRDefault="00E30C2C" w:rsidP="00E30C2C">
            <w:pPr>
              <w:spacing w:after="0" w:line="240" w:lineRule="auto"/>
              <w:jc w:val="center"/>
              <w:rPr>
                <w:rFonts w:asciiTheme="minorBidi" w:hAnsiTheme="minorBidi"/>
                <w:sz w:val="24"/>
                <w:szCs w:val="24"/>
                <w:highlight w:val="yellow"/>
                <w:lang w:val="fr-FR"/>
              </w:rPr>
            </w:pPr>
            <w:r w:rsidRPr="004B7EF6">
              <w:rPr>
                <w:rFonts w:asciiTheme="minorBidi" w:hAnsiTheme="minorBidi"/>
                <w:sz w:val="24"/>
                <w:szCs w:val="24"/>
                <w:lang w:val="en-US"/>
              </w:rPr>
              <w:t>3800</w:t>
            </w:r>
          </w:p>
        </w:tc>
        <w:tc>
          <w:tcPr>
            <w:tcW w:w="851" w:type="dxa"/>
            <w:shd w:val="clear" w:color="auto" w:fill="auto"/>
            <w:vAlign w:val="bottom"/>
          </w:tcPr>
          <w:p w14:paraId="16B27AFD" w14:textId="77777777" w:rsidR="00E30C2C" w:rsidRPr="004B7EF6" w:rsidRDefault="00E30C2C" w:rsidP="00E30C2C">
            <w:pPr>
              <w:spacing w:after="0" w:line="240" w:lineRule="auto"/>
              <w:jc w:val="center"/>
              <w:rPr>
                <w:rFonts w:asciiTheme="minorBidi" w:hAnsiTheme="minorBidi"/>
                <w:sz w:val="24"/>
                <w:szCs w:val="24"/>
                <w:highlight w:val="yellow"/>
                <w:lang w:val="fr-FR"/>
              </w:rPr>
            </w:pPr>
            <w:r w:rsidRPr="004B7EF6">
              <w:rPr>
                <w:rFonts w:asciiTheme="minorBidi" w:hAnsiTheme="minorBidi"/>
                <w:sz w:val="24"/>
                <w:szCs w:val="24"/>
                <w:lang w:val="en-US"/>
              </w:rPr>
              <w:t>2500</w:t>
            </w:r>
          </w:p>
        </w:tc>
        <w:tc>
          <w:tcPr>
            <w:tcW w:w="850" w:type="dxa"/>
          </w:tcPr>
          <w:p w14:paraId="5824ECB0"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2000</w:t>
            </w:r>
          </w:p>
        </w:tc>
        <w:tc>
          <w:tcPr>
            <w:tcW w:w="851" w:type="dxa"/>
          </w:tcPr>
          <w:p w14:paraId="1B98FF4C"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2850</w:t>
            </w:r>
          </w:p>
        </w:tc>
        <w:tc>
          <w:tcPr>
            <w:tcW w:w="850" w:type="dxa"/>
          </w:tcPr>
          <w:p w14:paraId="5786B48A"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3700</w:t>
            </w:r>
          </w:p>
        </w:tc>
        <w:tc>
          <w:tcPr>
            <w:tcW w:w="851" w:type="dxa"/>
          </w:tcPr>
          <w:p w14:paraId="65C8F93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3350</w:t>
            </w:r>
          </w:p>
        </w:tc>
      </w:tr>
      <w:tr w:rsidR="00E30C2C" w:rsidRPr="004B7EF6" w14:paraId="17FECEE5" w14:textId="77777777" w:rsidTr="00E30C2C">
        <w:tc>
          <w:tcPr>
            <w:tcW w:w="1384" w:type="dxa"/>
          </w:tcPr>
          <w:p w14:paraId="4142DF0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K (%)</w:t>
            </w:r>
          </w:p>
        </w:tc>
        <w:tc>
          <w:tcPr>
            <w:tcW w:w="992" w:type="dxa"/>
          </w:tcPr>
          <w:p w14:paraId="3D72D35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57</w:t>
            </w:r>
          </w:p>
        </w:tc>
        <w:tc>
          <w:tcPr>
            <w:tcW w:w="993" w:type="dxa"/>
          </w:tcPr>
          <w:p w14:paraId="79230C4B"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64</w:t>
            </w:r>
          </w:p>
        </w:tc>
        <w:tc>
          <w:tcPr>
            <w:tcW w:w="850" w:type="dxa"/>
          </w:tcPr>
          <w:p w14:paraId="509B88F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63</w:t>
            </w:r>
          </w:p>
        </w:tc>
        <w:tc>
          <w:tcPr>
            <w:tcW w:w="992" w:type="dxa"/>
          </w:tcPr>
          <w:p w14:paraId="79E23EF9"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59</w:t>
            </w:r>
          </w:p>
        </w:tc>
        <w:tc>
          <w:tcPr>
            <w:tcW w:w="851" w:type="dxa"/>
          </w:tcPr>
          <w:p w14:paraId="7796CF1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46</w:t>
            </w:r>
          </w:p>
        </w:tc>
        <w:tc>
          <w:tcPr>
            <w:tcW w:w="850" w:type="dxa"/>
          </w:tcPr>
          <w:p w14:paraId="6F93904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46</w:t>
            </w:r>
          </w:p>
        </w:tc>
        <w:tc>
          <w:tcPr>
            <w:tcW w:w="851" w:type="dxa"/>
          </w:tcPr>
          <w:p w14:paraId="0B12D56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75</w:t>
            </w:r>
          </w:p>
        </w:tc>
        <w:tc>
          <w:tcPr>
            <w:tcW w:w="850" w:type="dxa"/>
          </w:tcPr>
          <w:p w14:paraId="6C92842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96</w:t>
            </w:r>
          </w:p>
        </w:tc>
        <w:tc>
          <w:tcPr>
            <w:tcW w:w="851" w:type="dxa"/>
          </w:tcPr>
          <w:p w14:paraId="4BE47F92"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72</w:t>
            </w:r>
          </w:p>
        </w:tc>
      </w:tr>
      <w:tr w:rsidR="00E30C2C" w:rsidRPr="004B7EF6" w14:paraId="11B3FCDA" w14:textId="77777777" w:rsidTr="00E30C2C">
        <w:tc>
          <w:tcPr>
            <w:tcW w:w="1384" w:type="dxa"/>
          </w:tcPr>
          <w:p w14:paraId="2553EC4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Q min</w:t>
            </w:r>
          </w:p>
        </w:tc>
        <w:tc>
          <w:tcPr>
            <w:tcW w:w="992" w:type="dxa"/>
          </w:tcPr>
          <w:p w14:paraId="1F9C256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3200</w:t>
            </w:r>
          </w:p>
        </w:tc>
        <w:tc>
          <w:tcPr>
            <w:tcW w:w="993" w:type="dxa"/>
          </w:tcPr>
          <w:p w14:paraId="4453B07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3500</w:t>
            </w:r>
          </w:p>
        </w:tc>
        <w:tc>
          <w:tcPr>
            <w:tcW w:w="850" w:type="dxa"/>
          </w:tcPr>
          <w:p w14:paraId="59A4B897"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4000</w:t>
            </w:r>
          </w:p>
        </w:tc>
        <w:tc>
          <w:tcPr>
            <w:tcW w:w="992" w:type="dxa"/>
          </w:tcPr>
          <w:p w14:paraId="1F4A550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2800</w:t>
            </w:r>
          </w:p>
        </w:tc>
        <w:tc>
          <w:tcPr>
            <w:tcW w:w="851" w:type="dxa"/>
          </w:tcPr>
          <w:p w14:paraId="01AC6455"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1850</w:t>
            </w:r>
          </w:p>
        </w:tc>
        <w:tc>
          <w:tcPr>
            <w:tcW w:w="850" w:type="dxa"/>
          </w:tcPr>
          <w:p w14:paraId="4D91B73E"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1750</w:t>
            </w:r>
          </w:p>
        </w:tc>
        <w:tc>
          <w:tcPr>
            <w:tcW w:w="851" w:type="dxa"/>
          </w:tcPr>
          <w:p w14:paraId="6A2F9F5D"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2000</w:t>
            </w:r>
          </w:p>
        </w:tc>
        <w:tc>
          <w:tcPr>
            <w:tcW w:w="850" w:type="dxa"/>
          </w:tcPr>
          <w:p w14:paraId="40019B76"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2400</w:t>
            </w:r>
          </w:p>
        </w:tc>
        <w:tc>
          <w:tcPr>
            <w:tcW w:w="851" w:type="dxa"/>
          </w:tcPr>
          <w:p w14:paraId="18B5CE31" w14:textId="77777777" w:rsidR="00E30C2C" w:rsidRPr="004B7EF6" w:rsidRDefault="00E30C2C" w:rsidP="00E30C2C">
            <w:pPr>
              <w:spacing w:after="0" w:line="240" w:lineRule="auto"/>
              <w:jc w:val="center"/>
              <w:rPr>
                <w:rFonts w:asciiTheme="minorBidi" w:hAnsiTheme="minorBidi"/>
                <w:sz w:val="24"/>
                <w:szCs w:val="24"/>
                <w:lang w:val="fr-FR"/>
              </w:rPr>
            </w:pPr>
            <w:r w:rsidRPr="004B7EF6">
              <w:rPr>
                <w:rFonts w:asciiTheme="minorBidi" w:hAnsiTheme="minorBidi"/>
                <w:sz w:val="24"/>
                <w:szCs w:val="24"/>
                <w:lang w:val="fr-FR"/>
              </w:rPr>
              <w:t>2400</w:t>
            </w:r>
          </w:p>
        </w:tc>
      </w:tr>
    </w:tbl>
    <w:p w14:paraId="40F802E0"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Valorile debitelor prezentate în tabel denotă faptul că în intervalul analizat, începând din luna martie 2022 şi până la sfârşitul lunii mai, situaţia hidrologică a avut un caracter deficitar, deficit care s-a prelungit şi chiar s-a acentuat în intervalul iunie </w:t>
      </w:r>
      <w:bookmarkStart w:id="29" w:name="_Hlk117683384"/>
      <w:r w:rsidRPr="004B7EF6">
        <w:rPr>
          <w:rFonts w:asciiTheme="minorBidi" w:hAnsiTheme="minorBidi"/>
          <w:sz w:val="24"/>
          <w:szCs w:val="24"/>
        </w:rPr>
        <w:t>–</w:t>
      </w:r>
      <w:bookmarkEnd w:id="29"/>
      <w:r w:rsidRPr="004B7EF6">
        <w:rPr>
          <w:rFonts w:asciiTheme="minorBidi" w:hAnsiTheme="minorBidi"/>
          <w:sz w:val="24"/>
          <w:szCs w:val="24"/>
        </w:rPr>
        <w:t xml:space="preserve"> septembrie. Dacă în luna octombrie 2022 situaţia hidrologică s-a mai ameliorat, în luna </w:t>
      </w:r>
      <w:r w:rsidRPr="004B7EF6">
        <w:rPr>
          <w:rFonts w:asciiTheme="minorBidi" w:hAnsiTheme="minorBidi"/>
          <w:sz w:val="24"/>
          <w:szCs w:val="24"/>
        </w:rPr>
        <w:lastRenderedPageBreak/>
        <w:t xml:space="preserve">noiembrie, aportul de apă s-a menţinut din nou la valori reduse, datorită lipsei precipitaţiilor din întreg bazinul hidrografic al Dunării. </w:t>
      </w:r>
    </w:p>
    <w:p w14:paraId="05931063"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Situaţia hidrologică puternic deficitară din perioada primăvară – toamnă a anului 2022 reiese din compararea debitelor medii lunare realizate în aceste luni cu cele realizate în aceleaşi luni ale anilor consideraţi reprezentativi pentru regimul hidrologic deficitar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1</w:t>
      </w:r>
      <w:r w:rsidRPr="004B7EF6">
        <w:rPr>
          <w:rFonts w:asciiTheme="minorBidi" w:hAnsiTheme="minorBidi"/>
          <w:sz w:val="24"/>
          <w:szCs w:val="24"/>
        </w:rPr>
        <w:t>).</w:t>
      </w:r>
    </w:p>
    <w:p w14:paraId="75E8649A" w14:textId="77777777" w:rsidR="00E30C2C"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Din reprezentarea grafică se observă că din intervalul analizat, cele mai scăzute valori ale debitelor medii lunare, din întreg şirul de valori ai anilor de comparaţie, sunt cele înregistrate în lunile martie 2022 </w:t>
      </w:r>
      <w:bookmarkStart w:id="30" w:name="_Hlk123811430"/>
      <w:r w:rsidRPr="004B7EF6">
        <w:rPr>
          <w:rFonts w:asciiTheme="minorBidi" w:hAnsiTheme="minorBidi"/>
          <w:sz w:val="24"/>
          <w:szCs w:val="24"/>
        </w:rPr>
        <w:t xml:space="preserve">(3800 </w:t>
      </w:r>
      <w:bookmarkStart w:id="31" w:name="_Hlk123812457"/>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w:t>
      </w:r>
      <w:bookmarkEnd w:id="30"/>
      <w:bookmarkEnd w:id="31"/>
      <w:r w:rsidRPr="004B7EF6">
        <w:rPr>
          <w:rFonts w:asciiTheme="minorBidi" w:hAnsiTheme="minorBidi"/>
          <w:sz w:val="24"/>
          <w:szCs w:val="24"/>
        </w:rPr>
        <w:t xml:space="preserve">şi noiembrie 2022 (3350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De asemenea, valori foarte scăzute s-au înregistrat şi în lunile iulie şi august 2022, valori apropiate de cele mai mici valori medii înregistrate în anii de comparaţie. </w:t>
      </w:r>
    </w:p>
    <w:p w14:paraId="6F686273" w14:textId="77777777" w:rsidR="00E30C2C" w:rsidRPr="004B7EF6" w:rsidRDefault="00E30C2C" w:rsidP="00E30C2C">
      <w:pPr>
        <w:spacing w:after="0" w:line="240" w:lineRule="auto"/>
        <w:ind w:firstLine="720"/>
        <w:jc w:val="both"/>
        <w:rPr>
          <w:rFonts w:asciiTheme="minorBidi" w:hAnsiTheme="minorBidi"/>
          <w:sz w:val="24"/>
          <w:szCs w:val="24"/>
        </w:rPr>
      </w:pPr>
    </w:p>
    <w:p w14:paraId="1295D562"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drawing>
          <wp:inline distT="0" distB="0" distL="0" distR="0" wp14:anchorId="5B1A7328" wp14:editId="20C0B267">
            <wp:extent cx="5758815" cy="3218180"/>
            <wp:effectExtent l="0" t="0" r="0" b="1270"/>
            <wp:docPr id="10898248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8815" cy="3218180"/>
                    </a:xfrm>
                    <a:prstGeom prst="rect">
                      <a:avLst/>
                    </a:prstGeom>
                    <a:noFill/>
                    <a:ln>
                      <a:noFill/>
                    </a:ln>
                  </pic:spPr>
                </pic:pic>
              </a:graphicData>
            </a:graphic>
          </wp:inline>
        </w:drawing>
      </w:r>
    </w:p>
    <w:p w14:paraId="1927D0F8" w14:textId="77777777" w:rsidR="00E30C2C" w:rsidRPr="004B7EF6" w:rsidRDefault="00E30C2C" w:rsidP="00E30C2C">
      <w:pPr>
        <w:spacing w:line="240" w:lineRule="auto"/>
        <w:jc w:val="both"/>
        <w:rPr>
          <w:rFonts w:asciiTheme="minorBidi" w:hAnsiTheme="minorBidi"/>
          <w:i/>
          <w:sz w:val="24"/>
          <w:szCs w:val="24"/>
        </w:rPr>
      </w:pPr>
      <w:r w:rsidRPr="004B7EF6">
        <w:rPr>
          <w:rFonts w:asciiTheme="minorBidi" w:hAnsiTheme="minorBidi"/>
          <w:b/>
          <w:bCs/>
          <w:iCs/>
          <w:sz w:val="24"/>
          <w:szCs w:val="24"/>
        </w:rPr>
        <w:t>Figura II.1.1.3.2</w:t>
      </w:r>
      <w:r>
        <w:rPr>
          <w:rFonts w:asciiTheme="minorBidi" w:hAnsiTheme="minorBidi"/>
          <w:b/>
          <w:bCs/>
          <w:iCs/>
          <w:sz w:val="24"/>
          <w:szCs w:val="24"/>
        </w:rPr>
        <w:t>1</w:t>
      </w:r>
      <w:r w:rsidRPr="004B7EF6">
        <w:rPr>
          <w:rFonts w:asciiTheme="minorBidi" w:hAnsiTheme="minorBidi"/>
          <w:b/>
          <w:bCs/>
          <w:iCs/>
          <w:sz w:val="24"/>
          <w:szCs w:val="24"/>
        </w:rPr>
        <w:t>.</w:t>
      </w:r>
      <w:r>
        <w:rPr>
          <w:rFonts w:asciiTheme="minorBidi" w:hAnsiTheme="minorBidi"/>
          <w:i/>
          <w:sz w:val="24"/>
          <w:szCs w:val="24"/>
        </w:rPr>
        <w:t xml:space="preserve"> </w:t>
      </w:r>
      <w:r w:rsidRPr="004B7EF6">
        <w:rPr>
          <w:rFonts w:asciiTheme="minorBidi" w:hAnsiTheme="minorBidi"/>
          <w:i/>
          <w:sz w:val="24"/>
          <w:szCs w:val="24"/>
        </w:rPr>
        <w:t>Comparaţie debite medii lunare realizate ȋn intervalul martie-noiembrie 2022 cu cele din anii caracteristici</w:t>
      </w:r>
    </w:p>
    <w:p w14:paraId="27886EB2" w14:textId="77777777" w:rsidR="00E30C2C" w:rsidRPr="004B7EF6" w:rsidRDefault="00E30C2C" w:rsidP="00E30C2C">
      <w:pPr>
        <w:spacing w:after="0" w:line="240" w:lineRule="auto"/>
        <w:jc w:val="center"/>
        <w:rPr>
          <w:rFonts w:asciiTheme="minorBidi" w:hAnsiTheme="minorBidi"/>
          <w:i/>
          <w:sz w:val="24"/>
          <w:szCs w:val="24"/>
        </w:rPr>
      </w:pPr>
    </w:p>
    <w:p w14:paraId="380B69C6" w14:textId="77777777" w:rsidR="00E30C2C" w:rsidRPr="004B7EF6" w:rsidRDefault="00E30C2C" w:rsidP="00E30C2C">
      <w:pPr>
        <w:spacing w:after="0" w:line="240" w:lineRule="auto"/>
        <w:ind w:firstLine="720"/>
        <w:jc w:val="both"/>
        <w:rPr>
          <w:rFonts w:asciiTheme="minorBidi" w:hAnsiTheme="minorBidi"/>
          <w:bCs/>
          <w:sz w:val="24"/>
          <w:szCs w:val="24"/>
        </w:rPr>
      </w:pPr>
      <w:r w:rsidRPr="004B7EF6">
        <w:rPr>
          <w:rFonts w:asciiTheme="minorBidi" w:hAnsiTheme="minorBidi"/>
          <w:sz w:val="24"/>
          <w:szCs w:val="24"/>
        </w:rPr>
        <w:t xml:space="preserve">În ceea ce priveşte valorile debitelor minime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2</w:t>
      </w:r>
      <w:r w:rsidRPr="004B7EF6">
        <w:rPr>
          <w:rFonts w:asciiTheme="minorBidi" w:hAnsiTheme="minorBidi"/>
          <w:sz w:val="24"/>
          <w:szCs w:val="24"/>
        </w:rPr>
        <w:t xml:space="preserve">), cele mai scăzute valori s-au realizat în lunile martie, aprilie, iulie şi noiembrie 2022, iar în luna iunie, valoarea de 2800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este egală cu cea înregistrată în această lună în anii 2003 şi 2017. </w:t>
      </w:r>
    </w:p>
    <w:p w14:paraId="28E592DE" w14:textId="77777777" w:rsidR="00E30C2C" w:rsidRPr="004B7EF6" w:rsidRDefault="00E30C2C" w:rsidP="00E30C2C">
      <w:pPr>
        <w:keepLines/>
        <w:suppressAutoHyphens/>
        <w:spacing w:after="0" w:line="240" w:lineRule="auto"/>
        <w:ind w:right="558"/>
        <w:jc w:val="center"/>
        <w:rPr>
          <w:rFonts w:asciiTheme="minorBidi" w:hAnsiTheme="minorBidi"/>
          <w:bCs/>
          <w:sz w:val="24"/>
          <w:szCs w:val="24"/>
          <w:lang w:val="en-US"/>
        </w:rPr>
      </w:pPr>
      <w:r w:rsidRPr="004B7EF6">
        <w:rPr>
          <w:rFonts w:asciiTheme="minorBidi" w:hAnsiTheme="minorBidi"/>
          <w:noProof/>
          <w:sz w:val="24"/>
          <w:szCs w:val="24"/>
          <w:lang w:val="en-GB" w:eastAsia="en-GB"/>
        </w:rPr>
        <w:lastRenderedPageBreak/>
        <w:drawing>
          <wp:inline distT="0" distB="0" distL="0" distR="0" wp14:anchorId="1B88F056" wp14:editId="6F78E1B1">
            <wp:extent cx="5758815" cy="3508375"/>
            <wp:effectExtent l="0" t="0" r="0" b="0"/>
            <wp:docPr id="18222071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8815" cy="3508375"/>
                    </a:xfrm>
                    <a:prstGeom prst="rect">
                      <a:avLst/>
                    </a:prstGeom>
                    <a:noFill/>
                    <a:ln>
                      <a:noFill/>
                    </a:ln>
                  </pic:spPr>
                </pic:pic>
              </a:graphicData>
            </a:graphic>
          </wp:inline>
        </w:drawing>
      </w:r>
    </w:p>
    <w:p w14:paraId="0A40227F"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b/>
          <w:bCs/>
          <w:iCs/>
          <w:sz w:val="24"/>
          <w:szCs w:val="24"/>
        </w:rPr>
        <w:t xml:space="preserve">Figura </w:t>
      </w:r>
      <w:r>
        <w:rPr>
          <w:rFonts w:asciiTheme="minorBidi" w:hAnsiTheme="minorBidi"/>
          <w:b/>
          <w:bCs/>
          <w:iCs/>
          <w:sz w:val="24"/>
          <w:szCs w:val="24"/>
        </w:rPr>
        <w:t>II.1.1.3.</w:t>
      </w:r>
      <w:r w:rsidRPr="004B7EF6">
        <w:rPr>
          <w:rFonts w:asciiTheme="minorBidi" w:hAnsiTheme="minorBidi"/>
          <w:b/>
          <w:bCs/>
          <w:iCs/>
          <w:sz w:val="24"/>
          <w:szCs w:val="24"/>
        </w:rPr>
        <w:t>2</w:t>
      </w:r>
      <w:r>
        <w:rPr>
          <w:rFonts w:asciiTheme="minorBidi" w:hAnsiTheme="minorBidi"/>
          <w:b/>
          <w:bCs/>
          <w:iCs/>
          <w:sz w:val="24"/>
          <w:szCs w:val="24"/>
        </w:rPr>
        <w:t>2</w:t>
      </w:r>
      <w:r w:rsidRPr="004B7EF6">
        <w:rPr>
          <w:rFonts w:asciiTheme="minorBidi" w:hAnsiTheme="minorBidi"/>
          <w:b/>
          <w:bCs/>
          <w:iCs/>
          <w:sz w:val="24"/>
          <w:szCs w:val="24"/>
        </w:rPr>
        <w:t>.</w:t>
      </w:r>
      <w:r w:rsidRPr="004B7EF6">
        <w:rPr>
          <w:rFonts w:asciiTheme="minorBidi" w:hAnsiTheme="minorBidi"/>
          <w:iCs/>
          <w:sz w:val="24"/>
          <w:szCs w:val="24"/>
        </w:rPr>
        <w:t xml:space="preserve"> Comparaţie debite minime lunare realizate ȋn intervalul martie-noiembrie 2022 cu cele din anii caracteristici</w:t>
      </w:r>
    </w:p>
    <w:p w14:paraId="59781F6D" w14:textId="77777777" w:rsidR="00E30C2C" w:rsidRPr="004B7EF6" w:rsidRDefault="00E30C2C" w:rsidP="00E30C2C">
      <w:pPr>
        <w:spacing w:after="0" w:line="240" w:lineRule="auto"/>
        <w:ind w:firstLine="720"/>
        <w:jc w:val="both"/>
        <w:rPr>
          <w:rFonts w:asciiTheme="minorBidi" w:hAnsiTheme="minorBidi"/>
          <w:sz w:val="24"/>
          <w:szCs w:val="24"/>
        </w:rPr>
      </w:pPr>
    </w:p>
    <w:p w14:paraId="705A88C3"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În sezonul de primăvară al anului 2022, pe Dunăre, la intrarea în ţară (secţiunea Bazias), s-a instalat un regim hidrologic deficitar, datorat atât lipsei precipitaţiilor cât şi a aportului redus de apă rezultat din topirea stratului de zăpadă la nivelul întregului bazin hidrografic al Dunării, astfel încât în fiecare lună de primăvară s-au înregistrat valori scăzute ale debitelor medii şi minime, valori comparabile sau chiar mai mici decât cele înregistrate în anii consideraţi secetoşi în cele trei anotimpuri (primăvară, vară şi toamnă) - figura </w:t>
      </w:r>
      <w:r>
        <w:rPr>
          <w:rFonts w:asciiTheme="minorBidi" w:hAnsiTheme="minorBidi"/>
          <w:sz w:val="24"/>
          <w:szCs w:val="24"/>
        </w:rPr>
        <w:t>II.1.1.3.</w:t>
      </w:r>
      <w:r w:rsidRPr="004B7EF6">
        <w:rPr>
          <w:rFonts w:asciiTheme="minorBidi" w:hAnsiTheme="minorBidi"/>
          <w:sz w:val="24"/>
          <w:szCs w:val="24"/>
        </w:rPr>
        <w:t xml:space="preserve">22. </w:t>
      </w:r>
    </w:p>
    <w:p w14:paraId="5C3D9DD2"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Astfel, în lunile martie şi aprilie 2022 s-au înregistrat cele mai mici valori ale debitelor minime (3200 m</w:t>
      </w:r>
      <w:r w:rsidRPr="004B7EF6">
        <w:rPr>
          <w:rFonts w:asciiTheme="minorBidi" w:hAnsiTheme="minorBidi"/>
          <w:sz w:val="24"/>
          <w:szCs w:val="24"/>
          <w:vertAlign w:val="superscript"/>
        </w:rPr>
        <w:t>3</w:t>
      </w:r>
      <w:r w:rsidRPr="004B7EF6">
        <w:rPr>
          <w:rFonts w:asciiTheme="minorBidi" w:hAnsiTheme="minorBidi"/>
          <w:sz w:val="24"/>
          <w:szCs w:val="24"/>
        </w:rPr>
        <w:t>/s şi respectiv 3500 m</w:t>
      </w:r>
      <w:r w:rsidRPr="004B7EF6">
        <w:rPr>
          <w:rFonts w:asciiTheme="minorBidi" w:hAnsiTheme="minorBidi"/>
          <w:sz w:val="24"/>
          <w:szCs w:val="24"/>
          <w:vertAlign w:val="superscript"/>
        </w:rPr>
        <w:t>3</w:t>
      </w:r>
      <w:r w:rsidRPr="004B7EF6">
        <w:rPr>
          <w:rFonts w:asciiTheme="minorBidi" w:hAnsiTheme="minorBidi"/>
          <w:sz w:val="24"/>
          <w:szCs w:val="24"/>
        </w:rPr>
        <w:t xml:space="preserve">/s) din şirul de date înregistrate în aceste luni în anii de comparaţie 1950, 1992, 2003, 2017, iar în luna mai 2022, valoarea minimă de </w:t>
      </w:r>
      <w:bookmarkStart w:id="32" w:name="_Hlk123812319"/>
      <w:r w:rsidRPr="004B7EF6">
        <w:rPr>
          <w:rFonts w:asciiTheme="minorBidi" w:hAnsiTheme="minorBidi"/>
          <w:sz w:val="24"/>
          <w:szCs w:val="24"/>
        </w:rPr>
        <w:t>4000 m</w:t>
      </w:r>
      <w:r w:rsidRPr="004B7EF6">
        <w:rPr>
          <w:rFonts w:asciiTheme="minorBidi" w:hAnsiTheme="minorBidi"/>
          <w:sz w:val="24"/>
          <w:szCs w:val="24"/>
          <w:vertAlign w:val="superscript"/>
        </w:rPr>
        <w:t>3</w:t>
      </w:r>
      <w:r w:rsidRPr="004B7EF6">
        <w:rPr>
          <w:rFonts w:asciiTheme="minorBidi" w:hAnsiTheme="minorBidi"/>
          <w:sz w:val="24"/>
          <w:szCs w:val="24"/>
        </w:rPr>
        <w:t>/s este aproximativ egală cu cea înregistrată în luna mai 2003 (3950 m</w:t>
      </w:r>
      <w:r w:rsidRPr="004B7EF6">
        <w:rPr>
          <w:rFonts w:asciiTheme="minorBidi" w:hAnsiTheme="minorBidi"/>
          <w:sz w:val="24"/>
          <w:szCs w:val="24"/>
          <w:vertAlign w:val="superscript"/>
        </w:rPr>
        <w:t>3</w:t>
      </w:r>
      <w:r w:rsidRPr="004B7EF6">
        <w:rPr>
          <w:rFonts w:asciiTheme="minorBidi" w:hAnsiTheme="minorBidi"/>
          <w:sz w:val="24"/>
          <w:szCs w:val="24"/>
        </w:rPr>
        <w:t xml:space="preserve">/s). </w:t>
      </w:r>
      <w:bookmarkEnd w:id="32"/>
    </w:p>
    <w:p w14:paraId="42DC5A3B" w14:textId="77777777" w:rsidR="00E30C2C" w:rsidRPr="004B7EF6" w:rsidRDefault="00E30C2C" w:rsidP="00E30C2C">
      <w:pPr>
        <w:spacing w:after="0" w:line="240" w:lineRule="auto"/>
        <w:ind w:firstLine="720"/>
        <w:jc w:val="both"/>
        <w:rPr>
          <w:rFonts w:asciiTheme="minorBidi" w:hAnsiTheme="minorBidi"/>
          <w:sz w:val="24"/>
          <w:szCs w:val="24"/>
        </w:rPr>
      </w:pPr>
    </w:p>
    <w:p w14:paraId="1A7E5437"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drawing>
          <wp:inline distT="0" distB="0" distL="0" distR="0" wp14:anchorId="0B7723F6" wp14:editId="74AB5421">
            <wp:extent cx="5758815" cy="3261995"/>
            <wp:effectExtent l="0" t="0" r="0" b="0"/>
            <wp:docPr id="12815910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8815" cy="3261995"/>
                    </a:xfrm>
                    <a:prstGeom prst="rect">
                      <a:avLst/>
                    </a:prstGeom>
                    <a:noFill/>
                    <a:ln>
                      <a:noFill/>
                    </a:ln>
                  </pic:spPr>
                </pic:pic>
              </a:graphicData>
            </a:graphic>
          </wp:inline>
        </w:drawing>
      </w:r>
    </w:p>
    <w:p w14:paraId="7B718018"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b/>
          <w:bCs/>
          <w:iCs/>
          <w:sz w:val="24"/>
          <w:szCs w:val="24"/>
        </w:rPr>
        <w:lastRenderedPageBreak/>
        <w:t>Figura II.1.1.3.2</w:t>
      </w:r>
      <w:r>
        <w:rPr>
          <w:rFonts w:asciiTheme="minorBidi" w:hAnsiTheme="minorBidi"/>
          <w:b/>
          <w:bCs/>
          <w:iCs/>
          <w:sz w:val="24"/>
          <w:szCs w:val="24"/>
        </w:rPr>
        <w:t>3</w:t>
      </w:r>
      <w:r w:rsidRPr="004B7EF6">
        <w:rPr>
          <w:rFonts w:asciiTheme="minorBidi" w:hAnsiTheme="minorBidi"/>
          <w:b/>
          <w:bCs/>
          <w:iCs/>
          <w:sz w:val="24"/>
          <w:szCs w:val="24"/>
        </w:rPr>
        <w:t>.</w:t>
      </w:r>
      <w:r w:rsidRPr="004B7EF6">
        <w:rPr>
          <w:rFonts w:asciiTheme="minorBidi" w:hAnsiTheme="minorBidi"/>
          <w:iCs/>
          <w:sz w:val="24"/>
          <w:szCs w:val="24"/>
        </w:rPr>
        <w:t xml:space="preserve">  Debite minime lunare realizate ȋn intervalul martie-mai 2022 comparativ </w:t>
      </w:r>
    </w:p>
    <w:p w14:paraId="4C4C08D0" w14:textId="77777777" w:rsidR="00E30C2C" w:rsidRDefault="00E30C2C" w:rsidP="00E30C2C">
      <w:pPr>
        <w:spacing w:after="0" w:line="240" w:lineRule="auto"/>
        <w:jc w:val="both"/>
        <w:rPr>
          <w:rFonts w:asciiTheme="minorBidi" w:hAnsiTheme="minorBidi"/>
          <w:iCs/>
          <w:sz w:val="24"/>
          <w:szCs w:val="24"/>
        </w:rPr>
      </w:pPr>
      <w:r w:rsidRPr="004B7EF6">
        <w:rPr>
          <w:rFonts w:asciiTheme="minorBidi" w:hAnsiTheme="minorBidi"/>
          <w:iCs/>
          <w:sz w:val="24"/>
          <w:szCs w:val="24"/>
        </w:rPr>
        <w:t>cu cele din anii caracteristici</w:t>
      </w:r>
    </w:p>
    <w:p w14:paraId="1BFAE337" w14:textId="77777777" w:rsidR="00E30C2C" w:rsidRPr="004B7EF6" w:rsidRDefault="00E30C2C" w:rsidP="00E30C2C">
      <w:pPr>
        <w:spacing w:after="0" w:line="240" w:lineRule="auto"/>
        <w:jc w:val="both"/>
        <w:rPr>
          <w:rFonts w:asciiTheme="minorBidi" w:hAnsiTheme="minorBidi"/>
          <w:iCs/>
          <w:sz w:val="24"/>
          <w:szCs w:val="24"/>
        </w:rPr>
      </w:pPr>
    </w:p>
    <w:p w14:paraId="02EB6BAF" w14:textId="77777777" w:rsidR="00E30C2C" w:rsidRPr="004B7EF6" w:rsidRDefault="00E30C2C" w:rsidP="00E30C2C">
      <w:pPr>
        <w:spacing w:line="240" w:lineRule="auto"/>
        <w:ind w:firstLine="720"/>
        <w:jc w:val="both"/>
        <w:rPr>
          <w:rFonts w:asciiTheme="minorBidi" w:hAnsiTheme="minorBidi"/>
          <w:sz w:val="24"/>
          <w:szCs w:val="24"/>
        </w:rPr>
      </w:pPr>
      <w:r w:rsidRPr="004B7EF6">
        <w:rPr>
          <w:rFonts w:asciiTheme="minorBidi" w:hAnsiTheme="minorBidi"/>
          <w:sz w:val="24"/>
          <w:szCs w:val="24"/>
        </w:rPr>
        <w:t xml:space="preserve">De asemenea, în ceea ce priveşte regimul debitelor medii înregistrat în lunile de primăvară ale anului 2022 se constată că şi acesta se încadrează în anii cu cele mai reduse valori în luna martie, cu valori comparabile cu cele înregistrate în anii 1950, 2003 şi 2017 în luna aprilie, iar în luna mai cu cele din anul 2003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4</w:t>
      </w:r>
      <w:r w:rsidRPr="004B7EF6">
        <w:rPr>
          <w:rFonts w:asciiTheme="minorBidi" w:hAnsiTheme="minorBidi"/>
          <w:sz w:val="24"/>
          <w:szCs w:val="24"/>
        </w:rPr>
        <w:t>).</w:t>
      </w:r>
    </w:p>
    <w:p w14:paraId="1C8EBC9E"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drawing>
          <wp:inline distT="0" distB="0" distL="0" distR="0" wp14:anchorId="6BC765EE" wp14:editId="5B9E43AF">
            <wp:extent cx="5749925" cy="3323590"/>
            <wp:effectExtent l="0" t="0" r="3175" b="0"/>
            <wp:docPr id="21194907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9925" cy="3323590"/>
                    </a:xfrm>
                    <a:prstGeom prst="rect">
                      <a:avLst/>
                    </a:prstGeom>
                    <a:noFill/>
                    <a:ln>
                      <a:noFill/>
                    </a:ln>
                  </pic:spPr>
                </pic:pic>
              </a:graphicData>
            </a:graphic>
          </wp:inline>
        </w:drawing>
      </w:r>
    </w:p>
    <w:p w14:paraId="2AE6BB0A"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b/>
          <w:bCs/>
          <w:iCs/>
          <w:sz w:val="24"/>
          <w:szCs w:val="24"/>
        </w:rPr>
        <w:t>Figura II.1.1.3.2</w:t>
      </w:r>
      <w:r>
        <w:rPr>
          <w:rFonts w:asciiTheme="minorBidi" w:hAnsiTheme="minorBidi"/>
          <w:b/>
          <w:bCs/>
          <w:iCs/>
          <w:sz w:val="24"/>
          <w:szCs w:val="24"/>
        </w:rPr>
        <w:t>4</w:t>
      </w:r>
      <w:r w:rsidRPr="004B7EF6">
        <w:rPr>
          <w:rFonts w:asciiTheme="minorBidi" w:hAnsiTheme="minorBidi"/>
          <w:b/>
          <w:bCs/>
          <w:iCs/>
          <w:sz w:val="24"/>
          <w:szCs w:val="24"/>
        </w:rPr>
        <w:t xml:space="preserve"> </w:t>
      </w:r>
      <w:r w:rsidRPr="004B7EF6">
        <w:rPr>
          <w:rFonts w:asciiTheme="minorBidi" w:hAnsiTheme="minorBidi"/>
          <w:iCs/>
          <w:sz w:val="24"/>
          <w:szCs w:val="24"/>
        </w:rPr>
        <w:t xml:space="preserve">Debite medii lunare realizate ȋn intervalul martie-mai 2022 comparativ </w:t>
      </w:r>
    </w:p>
    <w:p w14:paraId="70A23D9B"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iCs/>
          <w:sz w:val="24"/>
          <w:szCs w:val="24"/>
        </w:rPr>
        <w:t>cu cele din anii caracteristici</w:t>
      </w:r>
    </w:p>
    <w:p w14:paraId="1B224E62" w14:textId="77777777" w:rsidR="00E30C2C" w:rsidRPr="004B7EF6" w:rsidRDefault="00E30C2C" w:rsidP="00E30C2C">
      <w:pPr>
        <w:spacing w:line="240" w:lineRule="auto"/>
        <w:ind w:firstLine="720"/>
        <w:jc w:val="both"/>
        <w:rPr>
          <w:rFonts w:asciiTheme="minorBidi" w:hAnsiTheme="minorBidi"/>
          <w:sz w:val="24"/>
          <w:szCs w:val="24"/>
        </w:rPr>
      </w:pPr>
    </w:p>
    <w:p w14:paraId="0E25CECF"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În sezonul de vară a anului 2022, lipsa precipitaţiilor şi temperaturile ridicate au accentuat deficitul hidrologic în întregul bazin hidrografic al Dunării, astfel încât, la intrarea în ţară (secţiunea Baziaş), s-a instalat un regim hidrologic cu deficit sever.</w:t>
      </w:r>
    </w:p>
    <w:p w14:paraId="5B7BA06E"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În acest anotimp, debitele minime ale fiecărei luni ale verii 2022 s-au situat în apropierea debitelor minime ale anilor de comparaţie: în luna iunie s-a înregistrat un debit minim de 2800 m</w:t>
      </w:r>
      <w:r w:rsidRPr="004B7EF6">
        <w:rPr>
          <w:rFonts w:asciiTheme="minorBidi" w:hAnsiTheme="minorBidi"/>
          <w:sz w:val="24"/>
          <w:szCs w:val="24"/>
          <w:vertAlign w:val="superscript"/>
        </w:rPr>
        <w:t>3</w:t>
      </w:r>
      <w:r w:rsidRPr="004B7EF6">
        <w:rPr>
          <w:rFonts w:asciiTheme="minorBidi" w:hAnsiTheme="minorBidi"/>
          <w:sz w:val="24"/>
          <w:szCs w:val="24"/>
        </w:rPr>
        <w:t>/s, valoare egală cu valorile minime înregistrate în această lună în anii 2003 şi 2017, în luna iulie un debit minim de 1850 m</w:t>
      </w:r>
      <w:r w:rsidRPr="004B7EF6">
        <w:rPr>
          <w:rFonts w:asciiTheme="minorBidi" w:hAnsiTheme="minorBidi"/>
          <w:sz w:val="24"/>
          <w:szCs w:val="24"/>
          <w:vertAlign w:val="superscript"/>
        </w:rPr>
        <w:t>3</w:t>
      </w:r>
      <w:r w:rsidRPr="004B7EF6">
        <w:rPr>
          <w:rFonts w:asciiTheme="minorBidi" w:hAnsiTheme="minorBidi"/>
          <w:sz w:val="24"/>
          <w:szCs w:val="24"/>
        </w:rPr>
        <w:t>/s, cele mai mici valori fiind de 2100 m</w:t>
      </w:r>
      <w:r w:rsidRPr="004B7EF6">
        <w:rPr>
          <w:rFonts w:asciiTheme="minorBidi" w:hAnsiTheme="minorBidi"/>
          <w:sz w:val="24"/>
          <w:szCs w:val="24"/>
          <w:vertAlign w:val="superscript"/>
        </w:rPr>
        <w:t>3</w:t>
      </w:r>
      <w:r w:rsidRPr="004B7EF6">
        <w:rPr>
          <w:rFonts w:asciiTheme="minorBidi" w:hAnsiTheme="minorBidi"/>
          <w:sz w:val="24"/>
          <w:szCs w:val="24"/>
        </w:rPr>
        <w:t>/s în 2003 şi 2200 m</w:t>
      </w:r>
      <w:r w:rsidRPr="004B7EF6">
        <w:rPr>
          <w:rFonts w:asciiTheme="minorBidi" w:hAnsiTheme="minorBidi"/>
          <w:sz w:val="24"/>
          <w:szCs w:val="24"/>
          <w:vertAlign w:val="superscript"/>
        </w:rPr>
        <w:t>3</w:t>
      </w:r>
      <w:r w:rsidRPr="004B7EF6">
        <w:rPr>
          <w:rFonts w:asciiTheme="minorBidi" w:hAnsiTheme="minorBidi"/>
          <w:sz w:val="24"/>
          <w:szCs w:val="24"/>
        </w:rPr>
        <w:t>/s în 1950, iar în luna august debitul minim de 1750 m</w:t>
      </w:r>
      <w:r w:rsidRPr="004B7EF6">
        <w:rPr>
          <w:rFonts w:asciiTheme="minorBidi" w:hAnsiTheme="minorBidi"/>
          <w:sz w:val="24"/>
          <w:szCs w:val="24"/>
          <w:vertAlign w:val="superscript"/>
        </w:rPr>
        <w:t>3</w:t>
      </w:r>
      <w:r w:rsidRPr="004B7EF6">
        <w:rPr>
          <w:rFonts w:asciiTheme="minorBidi" w:hAnsiTheme="minorBidi"/>
          <w:sz w:val="24"/>
          <w:szCs w:val="24"/>
        </w:rPr>
        <w:t>/s, ocupă a doua poziţie în şirul de valori minime, faţă de valoarea minimă de 1500 m</w:t>
      </w:r>
      <w:r w:rsidRPr="004B7EF6">
        <w:rPr>
          <w:rFonts w:asciiTheme="minorBidi" w:hAnsiTheme="minorBidi"/>
          <w:sz w:val="24"/>
          <w:szCs w:val="24"/>
          <w:vertAlign w:val="superscript"/>
        </w:rPr>
        <w:t>3</w:t>
      </w:r>
      <w:r w:rsidRPr="004B7EF6">
        <w:rPr>
          <w:rFonts w:asciiTheme="minorBidi" w:hAnsiTheme="minorBidi"/>
          <w:sz w:val="24"/>
          <w:szCs w:val="24"/>
        </w:rPr>
        <w:t xml:space="preserve">/s înregistrată în luna august 2003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5</w:t>
      </w:r>
      <w:r w:rsidRPr="004B7EF6">
        <w:rPr>
          <w:rFonts w:asciiTheme="minorBidi" w:hAnsiTheme="minorBidi"/>
          <w:sz w:val="24"/>
          <w:szCs w:val="24"/>
        </w:rPr>
        <w:t>).</w:t>
      </w:r>
    </w:p>
    <w:p w14:paraId="30C695DF" w14:textId="77777777" w:rsidR="00E30C2C" w:rsidRPr="004B7EF6" w:rsidRDefault="00E30C2C" w:rsidP="00E30C2C">
      <w:pPr>
        <w:spacing w:after="0" w:line="240" w:lineRule="auto"/>
        <w:ind w:firstLine="720"/>
        <w:jc w:val="both"/>
        <w:rPr>
          <w:rFonts w:asciiTheme="minorBidi" w:hAnsiTheme="minorBidi"/>
          <w:sz w:val="24"/>
          <w:szCs w:val="24"/>
        </w:rPr>
      </w:pPr>
    </w:p>
    <w:p w14:paraId="4D7053CB"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lastRenderedPageBreak/>
        <w:drawing>
          <wp:inline distT="0" distB="0" distL="0" distR="0" wp14:anchorId="619783E3" wp14:editId="0CAB8A36">
            <wp:extent cx="5758815" cy="3261995"/>
            <wp:effectExtent l="0" t="0" r="0" b="0"/>
            <wp:docPr id="73808217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8815" cy="3261995"/>
                    </a:xfrm>
                    <a:prstGeom prst="rect">
                      <a:avLst/>
                    </a:prstGeom>
                    <a:noFill/>
                    <a:ln>
                      <a:noFill/>
                    </a:ln>
                  </pic:spPr>
                </pic:pic>
              </a:graphicData>
            </a:graphic>
          </wp:inline>
        </w:drawing>
      </w:r>
    </w:p>
    <w:p w14:paraId="694B6D08"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b/>
          <w:bCs/>
          <w:iCs/>
          <w:sz w:val="24"/>
          <w:szCs w:val="24"/>
        </w:rPr>
        <w:t>Figura II.1.1.3.2</w:t>
      </w:r>
      <w:r>
        <w:rPr>
          <w:rFonts w:asciiTheme="minorBidi" w:hAnsiTheme="minorBidi"/>
          <w:b/>
          <w:bCs/>
          <w:iCs/>
          <w:sz w:val="24"/>
          <w:szCs w:val="24"/>
        </w:rPr>
        <w:t>5</w:t>
      </w:r>
      <w:r w:rsidRPr="004B7EF6">
        <w:rPr>
          <w:rFonts w:asciiTheme="minorBidi" w:hAnsiTheme="minorBidi"/>
          <w:b/>
          <w:bCs/>
          <w:iCs/>
          <w:sz w:val="24"/>
          <w:szCs w:val="24"/>
        </w:rPr>
        <w:t>.</w:t>
      </w:r>
      <w:r w:rsidRPr="004B7EF6">
        <w:rPr>
          <w:rFonts w:asciiTheme="minorBidi" w:hAnsiTheme="minorBidi"/>
          <w:iCs/>
          <w:sz w:val="24"/>
          <w:szCs w:val="24"/>
        </w:rPr>
        <w:t xml:space="preserve"> Debite minime lunare realizate ȋn intervalul iunie-august 2022 comparativ </w:t>
      </w:r>
    </w:p>
    <w:p w14:paraId="0DA2C764"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iCs/>
          <w:sz w:val="24"/>
          <w:szCs w:val="24"/>
        </w:rPr>
        <w:t>cu cele din anii caracteristici</w:t>
      </w:r>
    </w:p>
    <w:p w14:paraId="38C807FE" w14:textId="77777777" w:rsidR="00E30C2C" w:rsidRPr="004B7EF6" w:rsidRDefault="00E30C2C" w:rsidP="00E30C2C">
      <w:pPr>
        <w:spacing w:line="240" w:lineRule="auto"/>
        <w:ind w:firstLine="720"/>
        <w:jc w:val="both"/>
        <w:rPr>
          <w:rFonts w:asciiTheme="minorBidi" w:hAnsiTheme="minorBidi"/>
          <w:sz w:val="24"/>
          <w:szCs w:val="24"/>
        </w:rPr>
      </w:pPr>
      <w:bookmarkStart w:id="33" w:name="_Hlk118893867"/>
    </w:p>
    <w:p w14:paraId="6CE76BBE"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Valorile </w:t>
      </w:r>
      <w:bookmarkEnd w:id="33"/>
      <w:r w:rsidRPr="004B7EF6">
        <w:rPr>
          <w:rFonts w:asciiTheme="minorBidi" w:hAnsiTheme="minorBidi"/>
          <w:sz w:val="24"/>
          <w:szCs w:val="24"/>
        </w:rPr>
        <w:t>debitelor medii înregistrate au avut, de asemenea, valori foarte scăzute, valori comparabile cu cele înregistrate în intervalul similar al anilor 2003 şi 1950, ani cu cele mai secetoase trei luni de vară din şirul de observaţii din perioada 1931–2002. Astfel, dacă în lunile iunie şi iulie 2022, valorile medii de 3800 m</w:t>
      </w:r>
      <w:r w:rsidRPr="004B7EF6">
        <w:rPr>
          <w:rFonts w:asciiTheme="minorBidi" w:hAnsiTheme="minorBidi"/>
          <w:sz w:val="24"/>
          <w:szCs w:val="24"/>
          <w:vertAlign w:val="superscript"/>
        </w:rPr>
        <w:t>3</w:t>
      </w:r>
      <w:r w:rsidRPr="004B7EF6">
        <w:rPr>
          <w:rFonts w:asciiTheme="minorBidi" w:hAnsiTheme="minorBidi"/>
          <w:sz w:val="24"/>
          <w:szCs w:val="24"/>
        </w:rPr>
        <w:t>/s şi respectiv 2500 m</w:t>
      </w:r>
      <w:r w:rsidRPr="004B7EF6">
        <w:rPr>
          <w:rFonts w:asciiTheme="minorBidi" w:hAnsiTheme="minorBidi"/>
          <w:sz w:val="24"/>
          <w:szCs w:val="24"/>
          <w:vertAlign w:val="superscript"/>
        </w:rPr>
        <w:t>3</w:t>
      </w:r>
      <w:r w:rsidRPr="004B7EF6">
        <w:rPr>
          <w:rFonts w:asciiTheme="minorBidi" w:hAnsiTheme="minorBidi"/>
          <w:sz w:val="24"/>
          <w:szCs w:val="24"/>
        </w:rPr>
        <w:t>/s au reprezentat a treia valoare faţă de anii de comparaţie, în luna august valoarea medie de 2000 m</w:t>
      </w:r>
      <w:r w:rsidRPr="004B7EF6">
        <w:rPr>
          <w:rFonts w:asciiTheme="minorBidi" w:hAnsiTheme="minorBidi"/>
          <w:sz w:val="24"/>
          <w:szCs w:val="24"/>
          <w:vertAlign w:val="superscript"/>
        </w:rPr>
        <w:t>3</w:t>
      </w:r>
      <w:r w:rsidRPr="004B7EF6">
        <w:rPr>
          <w:rFonts w:asciiTheme="minorBidi" w:hAnsiTheme="minorBidi"/>
          <w:sz w:val="24"/>
          <w:szCs w:val="24"/>
        </w:rPr>
        <w:t>/s a fost apropiată de cea mai mică valoare (1950 m</w:t>
      </w:r>
      <w:r w:rsidRPr="004B7EF6">
        <w:rPr>
          <w:rFonts w:asciiTheme="minorBidi" w:hAnsiTheme="minorBidi"/>
          <w:sz w:val="24"/>
          <w:szCs w:val="24"/>
          <w:vertAlign w:val="superscript"/>
        </w:rPr>
        <w:t>3</w:t>
      </w:r>
      <w:r w:rsidRPr="004B7EF6">
        <w:rPr>
          <w:rFonts w:asciiTheme="minorBidi" w:hAnsiTheme="minorBidi"/>
          <w:sz w:val="24"/>
          <w:szCs w:val="24"/>
        </w:rPr>
        <w:t xml:space="preserve">/s) din luna august a anului 1950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6</w:t>
      </w:r>
      <w:r w:rsidRPr="004B7EF6">
        <w:rPr>
          <w:rFonts w:asciiTheme="minorBidi" w:hAnsiTheme="minorBidi"/>
          <w:sz w:val="24"/>
          <w:szCs w:val="24"/>
        </w:rPr>
        <w:t>).</w:t>
      </w:r>
    </w:p>
    <w:p w14:paraId="051D5B60"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drawing>
          <wp:inline distT="0" distB="0" distL="0" distR="0" wp14:anchorId="2BE1FEED" wp14:editId="17FDA49D">
            <wp:extent cx="5749925" cy="3323590"/>
            <wp:effectExtent l="0" t="0" r="3175" b="0"/>
            <wp:docPr id="5722166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9925" cy="3323590"/>
                    </a:xfrm>
                    <a:prstGeom prst="rect">
                      <a:avLst/>
                    </a:prstGeom>
                    <a:noFill/>
                    <a:ln>
                      <a:noFill/>
                    </a:ln>
                  </pic:spPr>
                </pic:pic>
              </a:graphicData>
            </a:graphic>
          </wp:inline>
        </w:drawing>
      </w:r>
    </w:p>
    <w:p w14:paraId="52473562"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b/>
          <w:bCs/>
          <w:iCs/>
          <w:sz w:val="24"/>
          <w:szCs w:val="24"/>
        </w:rPr>
        <w:t>Figura II.1.1.3.2</w:t>
      </w:r>
      <w:r>
        <w:rPr>
          <w:rFonts w:asciiTheme="minorBidi" w:hAnsiTheme="minorBidi"/>
          <w:b/>
          <w:bCs/>
          <w:iCs/>
          <w:sz w:val="24"/>
          <w:szCs w:val="24"/>
        </w:rPr>
        <w:t>6</w:t>
      </w:r>
      <w:r w:rsidRPr="004B7EF6">
        <w:rPr>
          <w:rFonts w:asciiTheme="minorBidi" w:hAnsiTheme="minorBidi"/>
          <w:iCs/>
          <w:sz w:val="24"/>
          <w:szCs w:val="24"/>
        </w:rPr>
        <w:t xml:space="preserve">. Debite medii lunare realizate ȋn intervalul iunie-august 2022 comparativ </w:t>
      </w:r>
    </w:p>
    <w:p w14:paraId="10D7E3B2" w14:textId="77777777" w:rsidR="00E30C2C" w:rsidRPr="004B7EF6" w:rsidRDefault="00E30C2C" w:rsidP="00E30C2C">
      <w:pPr>
        <w:spacing w:after="0" w:line="240" w:lineRule="auto"/>
        <w:jc w:val="both"/>
        <w:rPr>
          <w:rFonts w:asciiTheme="minorBidi" w:hAnsiTheme="minorBidi"/>
          <w:iCs/>
          <w:sz w:val="24"/>
          <w:szCs w:val="24"/>
        </w:rPr>
      </w:pPr>
      <w:r w:rsidRPr="004B7EF6">
        <w:rPr>
          <w:rFonts w:asciiTheme="minorBidi" w:hAnsiTheme="minorBidi"/>
          <w:iCs/>
          <w:sz w:val="24"/>
          <w:szCs w:val="24"/>
        </w:rPr>
        <w:t>cu cele din anii caracteristici</w:t>
      </w:r>
    </w:p>
    <w:p w14:paraId="4546D724" w14:textId="77777777" w:rsidR="00E30C2C" w:rsidRPr="004B7EF6" w:rsidRDefault="00E30C2C" w:rsidP="00E30C2C">
      <w:pPr>
        <w:keepLines/>
        <w:suppressAutoHyphens/>
        <w:spacing w:after="0" w:line="240" w:lineRule="auto"/>
        <w:ind w:right="558" w:firstLine="720"/>
        <w:jc w:val="both"/>
        <w:rPr>
          <w:rFonts w:asciiTheme="minorBidi" w:hAnsiTheme="minorBidi"/>
          <w:sz w:val="24"/>
          <w:szCs w:val="24"/>
        </w:rPr>
      </w:pPr>
    </w:p>
    <w:p w14:paraId="49B851C0"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lastRenderedPageBreak/>
        <w:t xml:space="preserve">În cele trei luni de toamnă ale anului 2022, regimul hidrologic a avut valori medii situate sub mediile multianuale lunare, însă acestea s-au situat peste valorile medii înregistrate în anii de comparaţie, exceptând luna noiembrie. </w:t>
      </w:r>
    </w:p>
    <w:p w14:paraId="3F250C24"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Ca valori ale debitelor minime, în toamna anului 2022, în lunile septembrie şi octombrie, deşi au avut valori mici (2000 m</w:t>
      </w:r>
      <w:r w:rsidRPr="004B7EF6">
        <w:rPr>
          <w:rFonts w:asciiTheme="minorBidi" w:hAnsiTheme="minorBidi"/>
          <w:sz w:val="24"/>
          <w:szCs w:val="24"/>
          <w:vertAlign w:val="superscript"/>
        </w:rPr>
        <w:t>3</w:t>
      </w:r>
      <w:r w:rsidRPr="004B7EF6">
        <w:rPr>
          <w:rFonts w:asciiTheme="minorBidi" w:hAnsiTheme="minorBidi"/>
          <w:sz w:val="24"/>
          <w:szCs w:val="24"/>
        </w:rPr>
        <w:t>/s în septembrie şi 2400 m</w:t>
      </w:r>
      <w:r w:rsidRPr="004B7EF6">
        <w:rPr>
          <w:rFonts w:asciiTheme="minorBidi" w:hAnsiTheme="minorBidi"/>
          <w:sz w:val="24"/>
          <w:szCs w:val="24"/>
          <w:vertAlign w:val="superscript"/>
        </w:rPr>
        <w:t>3</w:t>
      </w:r>
      <w:r w:rsidRPr="004B7EF6">
        <w:rPr>
          <w:rFonts w:asciiTheme="minorBidi" w:hAnsiTheme="minorBidi"/>
          <w:sz w:val="24"/>
          <w:szCs w:val="24"/>
        </w:rPr>
        <w:t>/s în octombrie), acestea au depăşit valorile realizate în anii 1950, 1992 şi 2003, dar debitul minim de 2400 m</w:t>
      </w:r>
      <w:r w:rsidRPr="004B7EF6">
        <w:rPr>
          <w:rFonts w:asciiTheme="minorBidi" w:hAnsiTheme="minorBidi"/>
          <w:sz w:val="24"/>
          <w:szCs w:val="24"/>
          <w:vertAlign w:val="superscript"/>
        </w:rPr>
        <w:t>3</w:t>
      </w:r>
      <w:r w:rsidRPr="004B7EF6">
        <w:rPr>
          <w:rFonts w:asciiTheme="minorBidi" w:hAnsiTheme="minorBidi"/>
          <w:sz w:val="24"/>
          <w:szCs w:val="24"/>
        </w:rPr>
        <w:t xml:space="preserve">/s realizat în luna noiembrie 2022 reprezintă cea mai scăzută valoare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7</w:t>
      </w:r>
      <w:r w:rsidRPr="004B7EF6">
        <w:rPr>
          <w:rFonts w:asciiTheme="minorBidi" w:hAnsiTheme="minorBidi"/>
          <w:sz w:val="24"/>
          <w:szCs w:val="24"/>
        </w:rPr>
        <w:t>).</w:t>
      </w:r>
    </w:p>
    <w:p w14:paraId="0B4F8F4F" w14:textId="77777777" w:rsidR="00E30C2C" w:rsidRPr="004B7EF6" w:rsidRDefault="00E30C2C" w:rsidP="00E30C2C">
      <w:pPr>
        <w:spacing w:after="0" w:line="240" w:lineRule="auto"/>
        <w:ind w:firstLine="720"/>
        <w:jc w:val="both"/>
        <w:rPr>
          <w:rFonts w:asciiTheme="minorBidi" w:hAnsiTheme="minorBidi"/>
          <w:sz w:val="24"/>
          <w:szCs w:val="24"/>
        </w:rPr>
      </w:pPr>
    </w:p>
    <w:p w14:paraId="06396F18"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drawing>
          <wp:inline distT="0" distB="0" distL="0" distR="0" wp14:anchorId="78A0DEB1" wp14:editId="4E8C2D54">
            <wp:extent cx="5758815" cy="3261995"/>
            <wp:effectExtent l="0" t="0" r="0" b="0"/>
            <wp:docPr id="8233726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8815" cy="3261995"/>
                    </a:xfrm>
                    <a:prstGeom prst="rect">
                      <a:avLst/>
                    </a:prstGeom>
                    <a:noFill/>
                    <a:ln>
                      <a:noFill/>
                    </a:ln>
                  </pic:spPr>
                </pic:pic>
              </a:graphicData>
            </a:graphic>
          </wp:inline>
        </w:drawing>
      </w:r>
    </w:p>
    <w:p w14:paraId="64679155" w14:textId="77777777" w:rsidR="00E30C2C" w:rsidRPr="0080688A" w:rsidRDefault="00E30C2C" w:rsidP="00E30C2C">
      <w:pPr>
        <w:spacing w:after="0" w:line="240" w:lineRule="auto"/>
        <w:jc w:val="both"/>
        <w:rPr>
          <w:rFonts w:asciiTheme="minorBidi" w:hAnsiTheme="minorBidi"/>
          <w:iCs/>
          <w:sz w:val="24"/>
          <w:szCs w:val="24"/>
        </w:rPr>
      </w:pPr>
      <w:r w:rsidRPr="00343629">
        <w:rPr>
          <w:rFonts w:asciiTheme="minorBidi" w:hAnsiTheme="minorBidi"/>
          <w:b/>
          <w:bCs/>
          <w:iCs/>
          <w:sz w:val="24"/>
          <w:szCs w:val="24"/>
        </w:rPr>
        <w:t>Figura II.1.1.3.2</w:t>
      </w:r>
      <w:r>
        <w:rPr>
          <w:rFonts w:asciiTheme="minorBidi" w:hAnsiTheme="minorBidi"/>
          <w:b/>
          <w:bCs/>
          <w:iCs/>
          <w:sz w:val="24"/>
          <w:szCs w:val="24"/>
        </w:rPr>
        <w:t>7</w:t>
      </w:r>
      <w:r w:rsidRPr="00343629">
        <w:rPr>
          <w:rFonts w:asciiTheme="minorBidi" w:hAnsiTheme="minorBidi"/>
          <w:iCs/>
          <w:sz w:val="24"/>
          <w:szCs w:val="24"/>
        </w:rPr>
        <w:t xml:space="preserve"> Debite minime lunare realizate ȋn intervalul septembrie-noiembrie 2022 comparativ</w:t>
      </w:r>
      <w:r>
        <w:rPr>
          <w:rFonts w:asciiTheme="minorBidi" w:hAnsiTheme="minorBidi"/>
          <w:iCs/>
          <w:sz w:val="24"/>
          <w:szCs w:val="24"/>
        </w:rPr>
        <w:t xml:space="preserve"> </w:t>
      </w:r>
      <w:r w:rsidRPr="0080688A">
        <w:rPr>
          <w:rFonts w:asciiTheme="minorBidi" w:hAnsiTheme="minorBidi"/>
          <w:iCs/>
          <w:sz w:val="24"/>
          <w:szCs w:val="24"/>
        </w:rPr>
        <w:t>cu cele din anii caracteristici</w:t>
      </w:r>
    </w:p>
    <w:p w14:paraId="743F4AC2" w14:textId="77777777" w:rsidR="00E30C2C" w:rsidRPr="004B7EF6" w:rsidRDefault="00E30C2C" w:rsidP="00E30C2C">
      <w:pPr>
        <w:spacing w:line="240" w:lineRule="auto"/>
        <w:ind w:firstLine="720"/>
        <w:jc w:val="both"/>
        <w:rPr>
          <w:rFonts w:asciiTheme="minorBidi" w:hAnsiTheme="minorBidi"/>
          <w:sz w:val="24"/>
          <w:szCs w:val="24"/>
        </w:rPr>
      </w:pPr>
      <w:r w:rsidRPr="004B7EF6">
        <w:rPr>
          <w:rFonts w:asciiTheme="minorBidi" w:hAnsiTheme="minorBidi"/>
          <w:sz w:val="24"/>
          <w:szCs w:val="24"/>
        </w:rPr>
        <w:t xml:space="preserve">Debitele medii realizate în lunile septembrie şi octombrie 2022 au avut, de asemenea, valori reduse, dar situate peste cele realizate în anii de comparaţie, iar în luna noiembrie, la fel ca şi valoarea debitului minim, ocupă prima poziţie (figura </w:t>
      </w:r>
      <w:r>
        <w:rPr>
          <w:rFonts w:asciiTheme="minorBidi" w:hAnsiTheme="minorBidi"/>
          <w:sz w:val="24"/>
          <w:szCs w:val="24"/>
        </w:rPr>
        <w:t>II.1.1.3.</w:t>
      </w:r>
      <w:r w:rsidRPr="004B7EF6">
        <w:rPr>
          <w:rFonts w:asciiTheme="minorBidi" w:hAnsiTheme="minorBidi"/>
          <w:sz w:val="24"/>
          <w:szCs w:val="24"/>
        </w:rPr>
        <w:t>2</w:t>
      </w:r>
      <w:r>
        <w:rPr>
          <w:rFonts w:asciiTheme="minorBidi" w:hAnsiTheme="minorBidi"/>
          <w:sz w:val="24"/>
          <w:szCs w:val="24"/>
        </w:rPr>
        <w:t>8</w:t>
      </w:r>
      <w:r w:rsidRPr="004B7EF6">
        <w:rPr>
          <w:rFonts w:asciiTheme="minorBidi" w:hAnsiTheme="minorBidi"/>
          <w:sz w:val="24"/>
          <w:szCs w:val="24"/>
        </w:rPr>
        <w:t>).</w:t>
      </w:r>
    </w:p>
    <w:p w14:paraId="3B23EF5C" w14:textId="77777777" w:rsidR="00E30C2C" w:rsidRPr="004B7EF6" w:rsidRDefault="00E30C2C" w:rsidP="00E30C2C">
      <w:pPr>
        <w:spacing w:after="0" w:line="240" w:lineRule="auto"/>
        <w:jc w:val="center"/>
        <w:rPr>
          <w:rFonts w:asciiTheme="minorBidi" w:hAnsiTheme="minorBidi"/>
          <w:sz w:val="24"/>
          <w:szCs w:val="24"/>
        </w:rPr>
      </w:pPr>
      <w:r w:rsidRPr="004B7EF6">
        <w:rPr>
          <w:rFonts w:asciiTheme="minorBidi" w:hAnsiTheme="minorBidi"/>
          <w:noProof/>
          <w:sz w:val="24"/>
          <w:szCs w:val="24"/>
          <w:lang w:val="en-GB" w:eastAsia="en-GB"/>
        </w:rPr>
        <w:drawing>
          <wp:inline distT="0" distB="0" distL="0" distR="0" wp14:anchorId="72B3C142" wp14:editId="750A07B2">
            <wp:extent cx="5749925" cy="3323590"/>
            <wp:effectExtent l="0" t="0" r="3175" b="0"/>
            <wp:docPr id="16037581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9925" cy="3323590"/>
                    </a:xfrm>
                    <a:prstGeom prst="rect">
                      <a:avLst/>
                    </a:prstGeom>
                    <a:noFill/>
                    <a:ln>
                      <a:noFill/>
                    </a:ln>
                  </pic:spPr>
                </pic:pic>
              </a:graphicData>
            </a:graphic>
          </wp:inline>
        </w:drawing>
      </w:r>
    </w:p>
    <w:p w14:paraId="6CA27210" w14:textId="77777777" w:rsidR="00E30C2C" w:rsidRPr="0080688A" w:rsidRDefault="00E30C2C" w:rsidP="00E30C2C">
      <w:pPr>
        <w:spacing w:after="0" w:line="240" w:lineRule="auto"/>
        <w:jc w:val="both"/>
        <w:rPr>
          <w:rFonts w:asciiTheme="minorBidi" w:hAnsiTheme="minorBidi"/>
          <w:iCs/>
          <w:sz w:val="24"/>
          <w:szCs w:val="24"/>
        </w:rPr>
      </w:pPr>
      <w:r w:rsidRPr="0080688A">
        <w:rPr>
          <w:rFonts w:asciiTheme="minorBidi" w:hAnsiTheme="minorBidi"/>
          <w:b/>
          <w:bCs/>
          <w:iCs/>
          <w:sz w:val="24"/>
          <w:szCs w:val="24"/>
        </w:rPr>
        <w:t>Figura II.1.1.3.2</w:t>
      </w:r>
      <w:r>
        <w:rPr>
          <w:rFonts w:asciiTheme="minorBidi" w:hAnsiTheme="minorBidi"/>
          <w:b/>
          <w:bCs/>
          <w:iCs/>
          <w:sz w:val="24"/>
          <w:szCs w:val="24"/>
        </w:rPr>
        <w:t>8</w:t>
      </w:r>
      <w:r w:rsidRPr="0080688A">
        <w:rPr>
          <w:rFonts w:asciiTheme="minorBidi" w:hAnsiTheme="minorBidi"/>
          <w:iCs/>
          <w:sz w:val="24"/>
          <w:szCs w:val="24"/>
        </w:rPr>
        <w:t xml:space="preserve"> Debite medii lunare realizate ȋn intervalul septembrie-noiembrie 2022 comparativ</w:t>
      </w:r>
      <w:r>
        <w:rPr>
          <w:rFonts w:asciiTheme="minorBidi" w:hAnsiTheme="minorBidi"/>
          <w:iCs/>
          <w:sz w:val="24"/>
          <w:szCs w:val="24"/>
        </w:rPr>
        <w:t xml:space="preserve"> </w:t>
      </w:r>
      <w:r w:rsidRPr="0080688A">
        <w:rPr>
          <w:rFonts w:asciiTheme="minorBidi" w:hAnsiTheme="minorBidi"/>
          <w:iCs/>
          <w:sz w:val="24"/>
          <w:szCs w:val="24"/>
        </w:rPr>
        <w:t>cu cele din anii caracteristici</w:t>
      </w:r>
    </w:p>
    <w:p w14:paraId="2EFEC141" w14:textId="77777777" w:rsidR="00E30C2C" w:rsidRPr="004B7EF6" w:rsidRDefault="00E30C2C" w:rsidP="00E30C2C">
      <w:pPr>
        <w:keepLines/>
        <w:suppressAutoHyphens/>
        <w:spacing w:after="0" w:line="240" w:lineRule="auto"/>
        <w:ind w:right="558" w:firstLine="720"/>
        <w:jc w:val="both"/>
        <w:rPr>
          <w:rFonts w:asciiTheme="minorBidi" w:hAnsiTheme="minorBidi"/>
          <w:sz w:val="24"/>
          <w:szCs w:val="24"/>
        </w:rPr>
      </w:pPr>
    </w:p>
    <w:p w14:paraId="7E48B4C0" w14:textId="77777777" w:rsidR="00E30C2C" w:rsidRPr="004B7EF6" w:rsidRDefault="00E30C2C" w:rsidP="00E30C2C">
      <w:pPr>
        <w:spacing w:after="0" w:line="240" w:lineRule="auto"/>
        <w:ind w:firstLine="720"/>
        <w:jc w:val="both"/>
        <w:rPr>
          <w:rFonts w:asciiTheme="minorBidi" w:hAnsiTheme="minorBidi"/>
          <w:sz w:val="24"/>
          <w:szCs w:val="24"/>
          <w:lang w:eastAsia="x-none"/>
        </w:rPr>
      </w:pPr>
      <w:r w:rsidRPr="004B7EF6">
        <w:rPr>
          <w:rFonts w:asciiTheme="minorBidi" w:hAnsiTheme="minorBidi"/>
          <w:sz w:val="24"/>
          <w:szCs w:val="24"/>
          <w:lang w:eastAsia="x-none"/>
        </w:rPr>
        <w:t>Ȋn luna decembrie 2022, pe Dunăre la intrarea în ţară (secţiunea Baziaş) debitul mediu realizat a fost de 6000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valoare situată peste media multianuală lunară (5200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p>
    <w:p w14:paraId="464B174C" w14:textId="77777777" w:rsidR="00E30C2C" w:rsidRPr="004B7EF6" w:rsidRDefault="00E30C2C" w:rsidP="00E30C2C">
      <w:pPr>
        <w:spacing w:after="0" w:line="240" w:lineRule="auto"/>
        <w:ind w:firstLine="720"/>
        <w:jc w:val="both"/>
        <w:rPr>
          <w:rFonts w:asciiTheme="minorBidi" w:hAnsiTheme="minorBidi"/>
          <w:sz w:val="24"/>
          <w:szCs w:val="24"/>
          <w:lang w:eastAsia="x-none"/>
        </w:rPr>
      </w:pPr>
      <w:r w:rsidRPr="004B7EF6">
        <w:rPr>
          <w:rFonts w:asciiTheme="minorBidi" w:hAnsiTheme="minorBidi"/>
          <w:sz w:val="24"/>
          <w:szCs w:val="24"/>
          <w:lang w:eastAsia="zh-CN"/>
        </w:rPr>
        <w:t>Debitele la intrarea în ţară (secţiunea Baziaş) au fost în scădere de la valoarea de 58</w:t>
      </w:r>
      <w:r w:rsidRPr="004B7EF6">
        <w:rPr>
          <w:rFonts w:asciiTheme="minorBidi" w:hAnsiTheme="minorBidi"/>
          <w:bCs/>
          <w:sz w:val="24"/>
          <w:szCs w:val="24"/>
          <w:lang w:eastAsia="x-none"/>
        </w:rPr>
        <w:t>00</w:t>
      </w:r>
      <w:r w:rsidRPr="004B7EF6">
        <w:rPr>
          <w:rFonts w:asciiTheme="minorBidi" w:hAnsiTheme="minorBidi"/>
          <w:sz w:val="24"/>
          <w:szCs w:val="24"/>
          <w:lang w:eastAsia="zh-CN"/>
        </w:rPr>
        <w:t xml:space="preserve">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 prima zi a lunii până la valoarea de 3900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înregistrată în data de 8 decembrie ( valoarea minimă lunară ), în  creştere până la  valoarea  maximă  lunară de 800</w:t>
      </w:r>
      <w:bookmarkStart w:id="34" w:name="_Hlk102029400"/>
      <w:r w:rsidRPr="004B7EF6">
        <w:rPr>
          <w:rFonts w:asciiTheme="minorBidi" w:hAnsiTheme="minorBidi"/>
          <w:sz w:val="24"/>
          <w:szCs w:val="24"/>
          <w:lang w:eastAsia="x-none"/>
        </w:rPr>
        <w:t xml:space="preserve">0 </w:t>
      </w:r>
      <w:bookmarkStart w:id="35" w:name="_Hlk112231830"/>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bookmarkEnd w:id="34"/>
      <w:r w:rsidRPr="004B7EF6">
        <w:rPr>
          <w:rFonts w:asciiTheme="minorBidi" w:hAnsiTheme="minorBidi"/>
          <w:sz w:val="24"/>
          <w:szCs w:val="24"/>
          <w:lang w:eastAsia="x-none"/>
        </w:rPr>
        <w:t xml:space="preserve"> înregistrată în data de 21 decembrie, în scădere până la</w:t>
      </w:r>
      <w:bookmarkEnd w:id="35"/>
      <w:r w:rsidRPr="004B7EF6">
        <w:rPr>
          <w:rFonts w:asciiTheme="minorBidi" w:hAnsiTheme="minorBidi"/>
          <w:sz w:val="24"/>
          <w:szCs w:val="24"/>
          <w:lang w:eastAsia="x-none"/>
        </w:rPr>
        <w:t xml:space="preserve"> valoarea 6800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 xml:space="preserve">/s </w:t>
      </w:r>
      <w:bookmarkStart w:id="36" w:name="_Hlk120534940"/>
      <w:r w:rsidRPr="004B7EF6">
        <w:rPr>
          <w:rFonts w:asciiTheme="minorBidi" w:hAnsiTheme="minorBidi"/>
          <w:sz w:val="24"/>
          <w:szCs w:val="24"/>
          <w:lang w:eastAsia="x-none"/>
        </w:rPr>
        <w:t xml:space="preserve"> </w:t>
      </w:r>
      <w:bookmarkEnd w:id="36"/>
      <w:r w:rsidRPr="004B7EF6">
        <w:rPr>
          <w:rFonts w:asciiTheme="minorBidi" w:hAnsiTheme="minorBidi"/>
          <w:sz w:val="24"/>
          <w:szCs w:val="24"/>
          <w:lang w:eastAsia="x-none"/>
        </w:rPr>
        <w:t>în ziua de 28 decembrie, apoi în creştere la 7200 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  în ultima zi a lunii.</w:t>
      </w:r>
    </w:p>
    <w:p w14:paraId="49C987AA" w14:textId="77777777" w:rsidR="00E30C2C" w:rsidRPr="004B7EF6" w:rsidRDefault="00E30C2C" w:rsidP="00E30C2C">
      <w:pPr>
        <w:suppressAutoHyphens/>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În anul 2022 debitul mediu înregistrat pe Dunăre la intrarea în ţară (secţiunea Baziaş) s-a situat la 72% din media multianuală, valoare rezultată din faptul că debitele medii lunare realizate </w:t>
      </w:r>
      <w:r w:rsidRPr="004B7EF6">
        <w:rPr>
          <w:rFonts w:asciiTheme="minorBidi" w:hAnsiTheme="minorBidi"/>
          <w:sz w:val="24"/>
          <w:szCs w:val="24"/>
          <w:lang w:eastAsia="zh-CN"/>
        </w:rPr>
        <w:t>în zece luni din intervalul celor douăsprezece luni analizate</w:t>
      </w:r>
      <w:r w:rsidRPr="004B7EF6">
        <w:rPr>
          <w:rFonts w:asciiTheme="minorBidi" w:hAnsiTheme="minorBidi"/>
          <w:sz w:val="24"/>
          <w:szCs w:val="24"/>
        </w:rPr>
        <w:t xml:space="preserve"> au avut valori situate sub mediile lunare multianuale, iar valoarea debitului mediu realizat ȋn lunile ianuarie şi decembrie au fost uşor peste mediile lunare multianuale ale acestor luni. </w:t>
      </w:r>
    </w:p>
    <w:p w14:paraId="5366626B"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Prin comparaţie cu valorile de debite medii şi minime istorice înregistrate din anul 1931 şi până în 2022, din sezoanele de primăvară, vară şi toamnă ale anului 2022, se detaşează lunile martie, iunie, iulie şi august.</w:t>
      </w:r>
    </w:p>
    <w:p w14:paraId="19DA7EA9" w14:textId="77777777" w:rsidR="00E30C2C" w:rsidRPr="004B7EF6" w:rsidRDefault="00E30C2C" w:rsidP="00E30C2C">
      <w:pPr>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În ceea ce priveşte valorile debitelor minime, sezonul de vară este reprezentativ.  </w:t>
      </w:r>
    </w:p>
    <w:p w14:paraId="6E39E06D" w14:textId="77777777" w:rsidR="00E30C2C" w:rsidRPr="004B7EF6" w:rsidRDefault="00E30C2C" w:rsidP="00E30C2C">
      <w:pPr>
        <w:suppressAutoHyphens/>
        <w:spacing w:after="0" w:line="240" w:lineRule="auto"/>
        <w:ind w:firstLine="720"/>
        <w:jc w:val="both"/>
        <w:rPr>
          <w:rFonts w:asciiTheme="minorBidi" w:hAnsiTheme="minorBidi"/>
          <w:sz w:val="24"/>
          <w:szCs w:val="24"/>
        </w:rPr>
      </w:pPr>
      <w:r w:rsidRPr="004B7EF6">
        <w:rPr>
          <w:rFonts w:asciiTheme="minorBidi" w:hAnsiTheme="minorBidi"/>
          <w:sz w:val="24"/>
          <w:szCs w:val="24"/>
        </w:rPr>
        <w:t xml:space="preserve">În acest anotimp, debitele minime ale fiecărei luni ale verii 2022 s-au situat în apropierea debitelor minime istorice: în luna iunie s-a înregistrat un debit minim de 2800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valoare egală cu valorile minime istorice înregistrate în această lună în anii 2003 şi 2017, în luna iulie un debit minim istoric de 1850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cele mai mici valori fiind de 2100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în 2003 şi 2200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în 1950, iar în luna august debitul minim de 1750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ocupă a doua poziţie în şirul de valori minime, faţă de minima istorică de 1500 </w:t>
      </w:r>
      <w:r w:rsidRPr="004B7EF6">
        <w:rPr>
          <w:rFonts w:asciiTheme="minorBidi" w:hAnsiTheme="minorBidi"/>
          <w:sz w:val="24"/>
          <w:szCs w:val="24"/>
          <w:lang w:eastAsia="x-none"/>
        </w:rPr>
        <w:t>m</w:t>
      </w:r>
      <w:r w:rsidRPr="004B7EF6">
        <w:rPr>
          <w:rFonts w:asciiTheme="minorBidi" w:hAnsiTheme="minorBidi"/>
          <w:sz w:val="24"/>
          <w:szCs w:val="24"/>
          <w:vertAlign w:val="superscript"/>
          <w:lang w:eastAsia="x-none"/>
        </w:rPr>
        <w:t>3</w:t>
      </w:r>
      <w:r w:rsidRPr="004B7EF6">
        <w:rPr>
          <w:rFonts w:asciiTheme="minorBidi" w:hAnsiTheme="minorBidi"/>
          <w:sz w:val="24"/>
          <w:szCs w:val="24"/>
          <w:lang w:eastAsia="x-none"/>
        </w:rPr>
        <w:t>/s</w:t>
      </w:r>
      <w:r w:rsidRPr="004B7EF6">
        <w:rPr>
          <w:rFonts w:asciiTheme="minorBidi" w:hAnsiTheme="minorBidi"/>
          <w:sz w:val="24"/>
          <w:szCs w:val="24"/>
        </w:rPr>
        <w:t xml:space="preserve"> înregistrată în luna august 2003.</w:t>
      </w:r>
    </w:p>
    <w:p w14:paraId="3D6396EE" w14:textId="77777777" w:rsidR="00E30C2C" w:rsidRPr="00215A93" w:rsidRDefault="00E30C2C" w:rsidP="00E30C2C">
      <w:pPr>
        <w:suppressAutoHyphens/>
        <w:spacing w:after="0" w:line="240" w:lineRule="auto"/>
        <w:ind w:firstLine="720"/>
        <w:jc w:val="both"/>
        <w:rPr>
          <w:rFonts w:asciiTheme="minorBidi" w:hAnsiTheme="minorBidi"/>
          <w:sz w:val="24"/>
          <w:szCs w:val="24"/>
          <w:lang w:eastAsia="zh-CN"/>
        </w:rPr>
      </w:pPr>
      <w:r w:rsidRPr="004B7EF6">
        <w:rPr>
          <w:rFonts w:asciiTheme="minorBidi" w:hAnsiTheme="minorBidi"/>
          <w:sz w:val="24"/>
          <w:szCs w:val="24"/>
        </w:rPr>
        <w:t>În sezonul de toamnă a anului 2022 regimul hidrologic a avut valori medii situate sub mediile lunare multianuale, dar peste valorile medii istorice.</w:t>
      </w:r>
    </w:p>
    <w:p w14:paraId="036762F3" w14:textId="72C9DC9A" w:rsidR="00E30C2C" w:rsidRDefault="00E30C2C" w:rsidP="00647093">
      <w:pPr>
        <w:rPr>
          <w:rFonts w:asciiTheme="minorBidi" w:eastAsia="Times New Roman" w:hAnsiTheme="minorBidi"/>
          <w:color w:val="FF0000"/>
          <w:sz w:val="24"/>
          <w:szCs w:val="24"/>
          <w:lang w:eastAsia="ro-RO"/>
        </w:rPr>
      </w:pPr>
    </w:p>
    <w:p w14:paraId="4520E71F" w14:textId="77777777" w:rsidR="004B3AAB" w:rsidRDefault="004B3AAB" w:rsidP="00647093">
      <w:pPr>
        <w:rPr>
          <w:rFonts w:asciiTheme="minorBidi" w:eastAsia="Times New Roman" w:hAnsiTheme="minorBidi"/>
          <w:color w:val="FF0000"/>
          <w:sz w:val="24"/>
          <w:szCs w:val="24"/>
          <w:lang w:eastAsia="ro-RO"/>
        </w:rPr>
      </w:pPr>
    </w:p>
    <w:p w14:paraId="6367FDB3" w14:textId="77777777" w:rsidR="00E30C2C" w:rsidRPr="007564F2" w:rsidRDefault="00E30C2C" w:rsidP="00647093">
      <w:pPr>
        <w:rPr>
          <w:rFonts w:asciiTheme="minorBidi" w:eastAsia="Times New Roman" w:hAnsiTheme="minorBidi"/>
          <w:color w:val="FF0000"/>
          <w:sz w:val="24"/>
          <w:szCs w:val="24"/>
          <w:lang w:eastAsia="ro-RO"/>
        </w:rPr>
      </w:pPr>
    </w:p>
    <w:p w14:paraId="6A116CBF" w14:textId="77777777" w:rsidR="004B3AAB" w:rsidRDefault="004B3AAB" w:rsidP="004B3AAB">
      <w:pPr>
        <w:pStyle w:val="Default"/>
        <w:jc w:val="both"/>
      </w:pPr>
    </w:p>
    <w:p w14:paraId="3985C509" w14:textId="77777777" w:rsidR="004B3AAB" w:rsidRDefault="004B3AAB" w:rsidP="004B3AAB">
      <w:pPr>
        <w:pStyle w:val="Default"/>
        <w:ind w:firstLine="567"/>
        <w:jc w:val="both"/>
        <w:rPr>
          <w:b/>
        </w:rPr>
      </w:pPr>
      <w:r>
        <w:rPr>
          <w:b/>
        </w:rPr>
        <w:t>II.1.1.4 Schimbări hidromorfologice ale cursurilor de apă</w:t>
      </w:r>
    </w:p>
    <w:p w14:paraId="5BE4C874" w14:textId="77777777" w:rsidR="004B3AAB" w:rsidRDefault="004B3AAB" w:rsidP="004B3AAB">
      <w:pPr>
        <w:pStyle w:val="Default"/>
        <w:ind w:firstLine="567"/>
        <w:jc w:val="both"/>
      </w:pPr>
    </w:p>
    <w:p w14:paraId="72EAF057" w14:textId="77777777" w:rsidR="004B3AAB" w:rsidRDefault="004B3AAB" w:rsidP="004B3AAB">
      <w:pPr>
        <w:pStyle w:val="Default"/>
        <w:ind w:firstLine="567"/>
        <w:jc w:val="both"/>
      </w:pPr>
      <w:r>
        <w:t xml:space="preserve">Modificările caracteristicilor hidromorfologice ale cursurilor de apă (schimbări ale cursurilor naturale, schimbări ale regimului hidrologic, deteriorarea biodiversităţii acvatice, etc.) sunt rezultatul prezenței presiunilor hidromorfologice care produc un impact asupra stării ecosistemelor acvatice şi pot contribui la neatingerea obiectivelor de mediu ale corpurilor de apă. </w:t>
      </w:r>
    </w:p>
    <w:p w14:paraId="3A133084"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 xml:space="preserve">Conform Directivei Cadru Apă 2000/60/CE, corpurile de apă puternic modificate sunt acele corpuri de apă de suprafaţă care datorită „alterărilor fizice” şi-au schimbat substanţial caracterul lor natural. </w:t>
      </w:r>
      <w:r>
        <w:rPr>
          <w:rFonts w:ascii="Arial" w:hAnsi="Arial" w:cs="Arial"/>
          <w:noProof/>
          <w:sz w:val="24"/>
          <w:szCs w:val="24"/>
        </w:rPr>
        <w:t>Alterarea trebuie să fie la o scară largă a corpului de apă, profundă, permanentă</w:t>
      </w:r>
      <w:r>
        <w:rPr>
          <w:rFonts w:ascii="Arial" w:hAnsi="Arial" w:cs="Arial"/>
          <w:sz w:val="24"/>
          <w:szCs w:val="24"/>
        </w:rPr>
        <w:t xml:space="preserve"> Conform Art. 2.8 din Directiva Cadru a Apei, corpurile de apă artificiale sunt corpurile de apă de suprafaţă create prin activitatea umană. </w:t>
      </w:r>
    </w:p>
    <w:p w14:paraId="0D391BFC" w14:textId="77777777" w:rsidR="004B3AAB" w:rsidRDefault="004B3AAB" w:rsidP="004B3AAB">
      <w:pPr>
        <w:spacing w:before="120" w:after="120" w:line="240" w:lineRule="auto"/>
        <w:ind w:firstLine="567"/>
        <w:jc w:val="both"/>
        <w:rPr>
          <w:rFonts w:ascii="Arial" w:hAnsi="Arial" w:cs="Arial"/>
          <w:sz w:val="24"/>
          <w:szCs w:val="24"/>
        </w:rPr>
      </w:pPr>
      <w:r>
        <w:rPr>
          <w:rFonts w:ascii="Arial" w:hAnsi="Arial" w:cs="Arial"/>
          <w:sz w:val="24"/>
          <w:szCs w:val="24"/>
        </w:rPr>
        <w:t>Corpurile de apă puternic modificate si corpurile de apă artificiale au ca obiectiv atingerea unui „potenţial ecologic bun”, precum şi atingerea „stării chimice bune”.</w:t>
      </w:r>
    </w:p>
    <w:p w14:paraId="62F358D4"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 xml:space="preserve">Un corp de apă care nu este în stare ecologică bună, consecinţă a alterărilor hidromorfologice semnificative, au fost parcurse etapele testului de desemnare, conform cerințelor art. 4.3 al Directivei Cadru </w:t>
      </w:r>
    </w:p>
    <w:p w14:paraId="2CA3A564"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 xml:space="preserve">Construcţiile hidrotehnice cu barare transversală (baraje, stavilare, praguri de fund) întrerup conectivitatea longitudinală a râurilor cu efecte asupra regimului hidrologic, transportului de sedimente, dar mai ales asupra migrării biotei. Lucrările în lungul râului </w:t>
      </w:r>
      <w:r>
        <w:rPr>
          <w:rFonts w:ascii="Arial" w:hAnsi="Arial" w:cs="Arial"/>
          <w:sz w:val="24"/>
          <w:szCs w:val="24"/>
        </w:rPr>
        <w:lastRenderedPageBreak/>
        <w:t xml:space="preserve">(îndiguirile, lucrări de regularizare şi consolidare maluri) întrerup conectivitatea laterală a corpurilor de apă cu luncile inundabile şi zonele de reproducere ce au ca rezultat deteriorarea stării </w:t>
      </w:r>
      <w:r>
        <w:rPr>
          <w:rFonts w:ascii="Arial" w:hAnsi="Arial" w:cs="Arial"/>
          <w:noProof/>
          <w:sz w:val="24"/>
          <w:szCs w:val="24"/>
          <w:lang w:eastAsia="en-GB"/>
        </w:rPr>
        <w:t>ecologice</w:t>
      </w:r>
      <w:r>
        <w:rPr>
          <w:rFonts w:ascii="Arial" w:hAnsi="Arial" w:cs="Arial"/>
          <w:sz w:val="24"/>
          <w:szCs w:val="24"/>
        </w:rPr>
        <w:t>. Prelevările şi restituţiile semnificative au efecte asupra regimului hidrologic, dar şi asupra biotei.</w:t>
      </w:r>
    </w:p>
    <w:p w14:paraId="1D0CC825"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14:paraId="0E66EC9D"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În tabelul următor se prezintă evoluţia procentuală a clasificării corpurilor de apă, la nivel naţional, pentru perioada 2004-2022, observându-se că predomină corpurile de apă naturale.</w:t>
      </w:r>
    </w:p>
    <w:p w14:paraId="1D900D37" w14:textId="77777777" w:rsidR="004B3AAB" w:rsidRDefault="004B3AAB" w:rsidP="004B3AAB">
      <w:pPr>
        <w:pStyle w:val="Default"/>
        <w:spacing w:before="120" w:after="120"/>
        <w:ind w:firstLine="567"/>
        <w:jc w:val="both"/>
        <w:rPr>
          <w:color w:val="auto"/>
        </w:rPr>
      </w:pPr>
      <w:r>
        <w:rPr>
          <w:color w:val="auto"/>
        </w:rPr>
        <w:t xml:space="preserve">Numărul total al corpurilor de apă s-a modificat (Tabel II.1.1.4.1) având în vedere aplicarea criteriilor din Planul naţional de management </w:t>
      </w:r>
      <w:bookmarkStart w:id="37" w:name="_Hlk138244407"/>
      <w:r>
        <w:rPr>
          <w:color w:val="auto"/>
        </w:rPr>
        <w:t xml:space="preserve">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aprobate prin HG nr. 392/2023. </w:t>
      </w:r>
    </w:p>
    <w:p w14:paraId="3A57CA14" w14:textId="77777777" w:rsidR="004B3AAB" w:rsidRDefault="004B3AAB" w:rsidP="004B3AAB">
      <w:pPr>
        <w:pStyle w:val="Default"/>
        <w:spacing w:before="120" w:after="120"/>
        <w:ind w:firstLine="567"/>
        <w:jc w:val="both"/>
        <w:rPr>
          <w:color w:val="auto"/>
        </w:rPr>
      </w:pPr>
    </w:p>
    <w:p w14:paraId="54F02599" w14:textId="77777777" w:rsidR="004B3AAB" w:rsidRDefault="004B3AAB" w:rsidP="004B3AAB">
      <w:pPr>
        <w:pStyle w:val="Default"/>
        <w:spacing w:before="120" w:after="120"/>
        <w:ind w:firstLine="567"/>
        <w:jc w:val="both"/>
        <w:rPr>
          <w:color w:val="auto"/>
        </w:rPr>
      </w:pPr>
    </w:p>
    <w:p w14:paraId="1BDF5199" w14:textId="77777777" w:rsidR="004B3AAB" w:rsidRDefault="004B3AAB" w:rsidP="004B3AAB">
      <w:pPr>
        <w:pStyle w:val="Default"/>
        <w:spacing w:before="120" w:after="120"/>
        <w:ind w:firstLine="567"/>
        <w:jc w:val="both"/>
        <w:rPr>
          <w:color w:val="auto"/>
        </w:rPr>
      </w:pPr>
    </w:p>
    <w:p w14:paraId="614A2D73" w14:textId="77777777" w:rsidR="004B3AAB" w:rsidRDefault="004B3AAB" w:rsidP="004B3AAB">
      <w:pPr>
        <w:pStyle w:val="Default"/>
        <w:spacing w:before="120" w:after="120"/>
        <w:ind w:firstLine="567"/>
        <w:jc w:val="both"/>
        <w:rPr>
          <w:color w:val="auto"/>
        </w:rPr>
      </w:pPr>
    </w:p>
    <w:p w14:paraId="75BE90EE" w14:textId="77777777" w:rsidR="004B3AAB" w:rsidRDefault="004B3AAB" w:rsidP="004B3AAB">
      <w:pPr>
        <w:pStyle w:val="Default"/>
        <w:spacing w:before="120" w:after="120"/>
        <w:ind w:firstLine="567"/>
        <w:jc w:val="both"/>
        <w:rPr>
          <w:color w:val="auto"/>
        </w:rPr>
      </w:pPr>
    </w:p>
    <w:p w14:paraId="2ACAF9D7" w14:textId="77777777" w:rsidR="004B3AAB" w:rsidRDefault="004B3AAB" w:rsidP="004B3AAB">
      <w:pPr>
        <w:pStyle w:val="Default"/>
        <w:spacing w:before="120" w:after="120"/>
        <w:ind w:firstLine="567"/>
        <w:jc w:val="both"/>
        <w:rPr>
          <w:color w:val="auto"/>
        </w:rPr>
      </w:pPr>
    </w:p>
    <w:p w14:paraId="47DF7EDA" w14:textId="77777777" w:rsidR="004B3AAB" w:rsidRDefault="004B3AAB" w:rsidP="004B3AAB">
      <w:pPr>
        <w:pStyle w:val="Default"/>
        <w:spacing w:before="120" w:after="120"/>
        <w:ind w:firstLine="567"/>
        <w:jc w:val="both"/>
        <w:rPr>
          <w:color w:val="auto"/>
        </w:rPr>
      </w:pPr>
    </w:p>
    <w:p w14:paraId="6412518D" w14:textId="77777777" w:rsidR="004B3AAB" w:rsidRDefault="004B3AAB" w:rsidP="004B3AAB">
      <w:pPr>
        <w:pStyle w:val="Default"/>
        <w:spacing w:before="120" w:after="120"/>
        <w:ind w:firstLine="567"/>
        <w:jc w:val="both"/>
        <w:rPr>
          <w:color w:val="auto"/>
        </w:rPr>
      </w:pPr>
    </w:p>
    <w:p w14:paraId="2DCF7EB1" w14:textId="77777777" w:rsidR="004B3AAB" w:rsidRDefault="004B3AAB" w:rsidP="004B3AAB">
      <w:pPr>
        <w:pStyle w:val="Default"/>
        <w:spacing w:before="120" w:after="120"/>
        <w:ind w:firstLine="567"/>
        <w:jc w:val="both"/>
        <w:rPr>
          <w:color w:val="auto"/>
        </w:rPr>
      </w:pPr>
    </w:p>
    <w:p w14:paraId="0C3C186E" w14:textId="77777777" w:rsidR="004B3AAB" w:rsidRDefault="004B3AAB" w:rsidP="004B3AAB">
      <w:pPr>
        <w:pStyle w:val="Default"/>
        <w:spacing w:before="120" w:after="120"/>
        <w:ind w:firstLine="567"/>
        <w:jc w:val="both"/>
        <w:rPr>
          <w:color w:val="auto"/>
        </w:rPr>
      </w:pPr>
    </w:p>
    <w:p w14:paraId="7881FC6A" w14:textId="77777777" w:rsidR="004B3AAB" w:rsidRPr="00801A8F" w:rsidRDefault="004B3AAB" w:rsidP="004B3AAB">
      <w:pPr>
        <w:spacing w:before="120" w:after="120" w:line="240" w:lineRule="auto"/>
        <w:jc w:val="both"/>
        <w:rPr>
          <w:rFonts w:ascii="Arial" w:hAnsi="Arial" w:cs="Arial"/>
          <w:b/>
          <w:sz w:val="20"/>
          <w:szCs w:val="20"/>
        </w:rPr>
      </w:pPr>
      <w:bookmarkStart w:id="38" w:name="_Hlk105575998"/>
      <w:bookmarkEnd w:id="37"/>
      <w:r w:rsidRPr="00801A8F">
        <w:rPr>
          <w:rFonts w:ascii="Arial" w:hAnsi="Arial" w:cs="Arial"/>
          <w:b/>
          <w:sz w:val="20"/>
          <w:szCs w:val="20"/>
        </w:rPr>
        <w:t>Tabel II.1.1.4.1</w:t>
      </w:r>
      <w:bookmarkEnd w:id="38"/>
      <w:r w:rsidRPr="00801A8F">
        <w:rPr>
          <w:rFonts w:ascii="Arial" w:hAnsi="Arial" w:cs="Arial"/>
          <w:b/>
          <w:sz w:val="20"/>
          <w:szCs w:val="20"/>
        </w:rPr>
        <w:t xml:space="preserve"> </w:t>
      </w:r>
      <w:r>
        <w:rPr>
          <w:rFonts w:ascii="Arial" w:hAnsi="Arial" w:cs="Arial"/>
          <w:b/>
          <w:sz w:val="20"/>
          <w:szCs w:val="20"/>
        </w:rPr>
        <w:t>Clasificarea corpurilor de apă la nivel național în perioada 2004-2020</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6"/>
        <w:gridCol w:w="2046"/>
        <w:gridCol w:w="1858"/>
        <w:gridCol w:w="2006"/>
        <w:gridCol w:w="1710"/>
      </w:tblGrid>
      <w:tr w:rsidR="004B3AAB" w14:paraId="4A53B94E" w14:textId="77777777" w:rsidTr="00C74E50">
        <w:trPr>
          <w:trHeight w:val="433"/>
        </w:trPr>
        <w:tc>
          <w:tcPr>
            <w:tcW w:w="1276" w:type="dxa"/>
            <w:vMerge w:val="restart"/>
            <w:shd w:val="clear" w:color="auto" w:fill="B6DDE8"/>
            <w:vAlign w:val="center"/>
          </w:tcPr>
          <w:p w14:paraId="2DBD6126" w14:textId="77777777" w:rsidR="004B3AAB" w:rsidRDefault="004B3AAB" w:rsidP="00C74E50">
            <w:pPr>
              <w:pStyle w:val="Default"/>
              <w:jc w:val="center"/>
              <w:rPr>
                <w:b/>
                <w:color w:val="auto"/>
                <w:sz w:val="20"/>
                <w:szCs w:val="20"/>
              </w:rPr>
            </w:pPr>
            <w:r>
              <w:rPr>
                <w:b/>
                <w:color w:val="auto"/>
                <w:sz w:val="20"/>
                <w:szCs w:val="20"/>
              </w:rPr>
              <w:t>Anul</w:t>
            </w:r>
          </w:p>
        </w:tc>
        <w:tc>
          <w:tcPr>
            <w:tcW w:w="7620" w:type="dxa"/>
            <w:gridSpan w:val="4"/>
            <w:shd w:val="clear" w:color="auto" w:fill="B6DDE8"/>
            <w:vAlign w:val="center"/>
          </w:tcPr>
          <w:p w14:paraId="5544C559" w14:textId="77777777" w:rsidR="004B3AAB" w:rsidRDefault="004B3AAB" w:rsidP="00C74E50">
            <w:pPr>
              <w:pStyle w:val="Default"/>
              <w:jc w:val="center"/>
              <w:rPr>
                <w:b/>
                <w:color w:val="auto"/>
                <w:sz w:val="20"/>
                <w:szCs w:val="20"/>
              </w:rPr>
            </w:pPr>
            <w:r>
              <w:rPr>
                <w:b/>
                <w:color w:val="auto"/>
                <w:sz w:val="20"/>
                <w:szCs w:val="20"/>
              </w:rPr>
              <w:t>Categoria corpului de apă</w:t>
            </w:r>
          </w:p>
        </w:tc>
      </w:tr>
      <w:tr w:rsidR="004B3AAB" w14:paraId="6B4DD552" w14:textId="77777777" w:rsidTr="00C74E50">
        <w:tc>
          <w:tcPr>
            <w:tcW w:w="1276" w:type="dxa"/>
            <w:vMerge/>
            <w:shd w:val="clear" w:color="auto" w:fill="B6DDE8"/>
            <w:vAlign w:val="center"/>
          </w:tcPr>
          <w:p w14:paraId="08F8B43D" w14:textId="77777777" w:rsidR="004B3AAB" w:rsidRDefault="004B3AAB" w:rsidP="00C74E50">
            <w:pPr>
              <w:pStyle w:val="Default"/>
              <w:jc w:val="center"/>
              <w:rPr>
                <w:color w:val="auto"/>
                <w:sz w:val="20"/>
                <w:szCs w:val="20"/>
              </w:rPr>
            </w:pPr>
          </w:p>
        </w:tc>
        <w:tc>
          <w:tcPr>
            <w:tcW w:w="2046" w:type="dxa"/>
            <w:shd w:val="clear" w:color="auto" w:fill="B6DDE8"/>
            <w:vAlign w:val="center"/>
          </w:tcPr>
          <w:p w14:paraId="482745E7" w14:textId="77777777" w:rsidR="004B3AAB" w:rsidRDefault="004B3AAB" w:rsidP="00C74E50">
            <w:pPr>
              <w:pStyle w:val="Default"/>
              <w:jc w:val="center"/>
              <w:rPr>
                <w:b/>
                <w:color w:val="auto"/>
                <w:sz w:val="20"/>
                <w:szCs w:val="20"/>
              </w:rPr>
            </w:pPr>
            <w:r>
              <w:rPr>
                <w:b/>
                <w:color w:val="auto"/>
                <w:sz w:val="20"/>
                <w:szCs w:val="20"/>
              </w:rPr>
              <w:t>% nr. corpuri de apă naturale</w:t>
            </w:r>
          </w:p>
        </w:tc>
        <w:tc>
          <w:tcPr>
            <w:tcW w:w="1858" w:type="dxa"/>
            <w:shd w:val="clear" w:color="auto" w:fill="B6DDE8"/>
            <w:vAlign w:val="center"/>
          </w:tcPr>
          <w:p w14:paraId="25B17C2C" w14:textId="77777777" w:rsidR="004B3AAB" w:rsidRDefault="004B3AAB" w:rsidP="00C74E50">
            <w:pPr>
              <w:pStyle w:val="Default"/>
              <w:jc w:val="center"/>
              <w:rPr>
                <w:b/>
                <w:color w:val="auto"/>
                <w:sz w:val="20"/>
                <w:szCs w:val="20"/>
              </w:rPr>
            </w:pPr>
            <w:r>
              <w:rPr>
                <w:b/>
                <w:color w:val="auto"/>
                <w:sz w:val="20"/>
                <w:szCs w:val="20"/>
              </w:rPr>
              <w:t>% nr. corpuri de apă artificiale</w:t>
            </w:r>
          </w:p>
        </w:tc>
        <w:tc>
          <w:tcPr>
            <w:tcW w:w="2006" w:type="dxa"/>
            <w:shd w:val="clear" w:color="auto" w:fill="B6DDE8"/>
            <w:vAlign w:val="center"/>
          </w:tcPr>
          <w:p w14:paraId="24F561E1" w14:textId="77777777" w:rsidR="004B3AAB" w:rsidRDefault="004B3AAB" w:rsidP="00C74E50">
            <w:pPr>
              <w:pStyle w:val="Default"/>
              <w:jc w:val="center"/>
              <w:rPr>
                <w:b/>
                <w:color w:val="auto"/>
                <w:sz w:val="20"/>
                <w:szCs w:val="20"/>
              </w:rPr>
            </w:pPr>
            <w:r>
              <w:rPr>
                <w:b/>
                <w:color w:val="auto"/>
                <w:sz w:val="20"/>
                <w:szCs w:val="20"/>
              </w:rPr>
              <w:t>% nr. corpuri de apă puternic modificate</w:t>
            </w:r>
          </w:p>
        </w:tc>
        <w:tc>
          <w:tcPr>
            <w:tcW w:w="1710" w:type="dxa"/>
            <w:shd w:val="clear" w:color="auto" w:fill="B6DDE8"/>
            <w:vAlign w:val="center"/>
          </w:tcPr>
          <w:p w14:paraId="74B8A98F" w14:textId="77777777" w:rsidR="004B3AAB" w:rsidRDefault="004B3AAB" w:rsidP="00C74E50">
            <w:pPr>
              <w:pStyle w:val="Default"/>
              <w:jc w:val="center"/>
              <w:rPr>
                <w:b/>
                <w:color w:val="auto"/>
                <w:sz w:val="20"/>
                <w:szCs w:val="20"/>
              </w:rPr>
            </w:pPr>
            <w:r>
              <w:rPr>
                <w:b/>
                <w:color w:val="auto"/>
                <w:sz w:val="20"/>
                <w:szCs w:val="20"/>
              </w:rPr>
              <w:t>Total</w:t>
            </w:r>
          </w:p>
        </w:tc>
      </w:tr>
      <w:tr w:rsidR="004B3AAB" w14:paraId="213CD2C6" w14:textId="77777777" w:rsidTr="00C74E50">
        <w:tc>
          <w:tcPr>
            <w:tcW w:w="1276" w:type="dxa"/>
            <w:shd w:val="clear" w:color="auto" w:fill="auto"/>
          </w:tcPr>
          <w:p w14:paraId="23FDAD17" w14:textId="77777777" w:rsidR="004B3AAB" w:rsidRDefault="004B3AAB" w:rsidP="00C74E50">
            <w:pPr>
              <w:pStyle w:val="Default"/>
              <w:jc w:val="center"/>
              <w:rPr>
                <w:color w:val="auto"/>
                <w:sz w:val="20"/>
                <w:szCs w:val="20"/>
              </w:rPr>
            </w:pPr>
            <w:r>
              <w:rPr>
                <w:color w:val="auto"/>
                <w:sz w:val="20"/>
                <w:szCs w:val="20"/>
              </w:rPr>
              <w:t>2004</w:t>
            </w:r>
          </w:p>
        </w:tc>
        <w:tc>
          <w:tcPr>
            <w:tcW w:w="2046" w:type="dxa"/>
            <w:shd w:val="clear" w:color="auto" w:fill="auto"/>
          </w:tcPr>
          <w:p w14:paraId="55E62066" w14:textId="77777777" w:rsidR="004B3AAB" w:rsidRDefault="004B3AAB" w:rsidP="00C74E50">
            <w:pPr>
              <w:pStyle w:val="Default"/>
              <w:jc w:val="center"/>
              <w:rPr>
                <w:color w:val="auto"/>
                <w:sz w:val="20"/>
                <w:szCs w:val="20"/>
              </w:rPr>
            </w:pPr>
            <w:r>
              <w:rPr>
                <w:color w:val="auto"/>
                <w:sz w:val="20"/>
                <w:szCs w:val="20"/>
              </w:rPr>
              <w:t>76,91</w:t>
            </w:r>
          </w:p>
        </w:tc>
        <w:tc>
          <w:tcPr>
            <w:tcW w:w="1858" w:type="dxa"/>
            <w:shd w:val="clear" w:color="auto" w:fill="auto"/>
          </w:tcPr>
          <w:p w14:paraId="7875C91C" w14:textId="77777777" w:rsidR="004B3AAB" w:rsidRDefault="004B3AAB" w:rsidP="00C74E50">
            <w:pPr>
              <w:pStyle w:val="Default"/>
              <w:jc w:val="center"/>
              <w:rPr>
                <w:color w:val="auto"/>
                <w:sz w:val="20"/>
                <w:szCs w:val="20"/>
              </w:rPr>
            </w:pPr>
            <w:r>
              <w:rPr>
                <w:color w:val="auto"/>
                <w:sz w:val="20"/>
                <w:szCs w:val="20"/>
              </w:rPr>
              <w:t>2,07</w:t>
            </w:r>
          </w:p>
        </w:tc>
        <w:tc>
          <w:tcPr>
            <w:tcW w:w="2006" w:type="dxa"/>
            <w:shd w:val="clear" w:color="auto" w:fill="auto"/>
          </w:tcPr>
          <w:p w14:paraId="59B13221" w14:textId="77777777" w:rsidR="004B3AAB" w:rsidRDefault="004B3AAB" w:rsidP="00C74E50">
            <w:pPr>
              <w:pStyle w:val="Default"/>
              <w:jc w:val="center"/>
              <w:rPr>
                <w:color w:val="auto"/>
                <w:sz w:val="20"/>
                <w:szCs w:val="20"/>
              </w:rPr>
            </w:pPr>
            <w:r>
              <w:rPr>
                <w:color w:val="auto"/>
                <w:sz w:val="20"/>
                <w:szCs w:val="20"/>
              </w:rPr>
              <w:t>21,03*</w:t>
            </w:r>
          </w:p>
        </w:tc>
        <w:tc>
          <w:tcPr>
            <w:tcW w:w="1710" w:type="dxa"/>
            <w:shd w:val="clear" w:color="auto" w:fill="auto"/>
          </w:tcPr>
          <w:p w14:paraId="7DDCF8AC" w14:textId="77777777" w:rsidR="004B3AAB" w:rsidRDefault="004B3AAB" w:rsidP="00C74E50">
            <w:pPr>
              <w:pStyle w:val="Default"/>
              <w:jc w:val="center"/>
              <w:rPr>
                <w:color w:val="auto"/>
                <w:sz w:val="20"/>
                <w:szCs w:val="20"/>
              </w:rPr>
            </w:pPr>
            <w:r>
              <w:rPr>
                <w:color w:val="auto"/>
                <w:sz w:val="20"/>
                <w:szCs w:val="20"/>
              </w:rPr>
              <w:t>100</w:t>
            </w:r>
          </w:p>
        </w:tc>
      </w:tr>
      <w:tr w:rsidR="004B3AAB" w14:paraId="4D86D8C4" w14:textId="77777777" w:rsidTr="00C74E50">
        <w:tc>
          <w:tcPr>
            <w:tcW w:w="1276" w:type="dxa"/>
            <w:shd w:val="clear" w:color="auto" w:fill="auto"/>
          </w:tcPr>
          <w:p w14:paraId="356ECC2C" w14:textId="77777777" w:rsidR="004B3AAB" w:rsidRDefault="004B3AAB" w:rsidP="00C74E50">
            <w:pPr>
              <w:pStyle w:val="Default"/>
              <w:jc w:val="center"/>
              <w:rPr>
                <w:color w:val="auto"/>
                <w:sz w:val="20"/>
                <w:szCs w:val="20"/>
              </w:rPr>
            </w:pPr>
            <w:r>
              <w:rPr>
                <w:color w:val="auto"/>
                <w:sz w:val="20"/>
                <w:szCs w:val="20"/>
              </w:rPr>
              <w:t>2007</w:t>
            </w:r>
          </w:p>
        </w:tc>
        <w:tc>
          <w:tcPr>
            <w:tcW w:w="2046" w:type="dxa"/>
            <w:shd w:val="clear" w:color="auto" w:fill="auto"/>
          </w:tcPr>
          <w:p w14:paraId="769B9071" w14:textId="77777777" w:rsidR="004B3AAB" w:rsidRDefault="004B3AAB" w:rsidP="00C74E50">
            <w:pPr>
              <w:pStyle w:val="Default"/>
              <w:jc w:val="center"/>
              <w:rPr>
                <w:color w:val="auto"/>
                <w:sz w:val="20"/>
                <w:szCs w:val="20"/>
              </w:rPr>
            </w:pPr>
            <w:r>
              <w:rPr>
                <w:color w:val="auto"/>
                <w:sz w:val="20"/>
                <w:szCs w:val="20"/>
              </w:rPr>
              <w:t>82,11</w:t>
            </w:r>
          </w:p>
        </w:tc>
        <w:tc>
          <w:tcPr>
            <w:tcW w:w="1858" w:type="dxa"/>
            <w:shd w:val="clear" w:color="auto" w:fill="auto"/>
          </w:tcPr>
          <w:p w14:paraId="490144CC" w14:textId="77777777" w:rsidR="004B3AAB" w:rsidRDefault="004B3AAB" w:rsidP="00C74E50">
            <w:pPr>
              <w:pStyle w:val="Default"/>
              <w:jc w:val="center"/>
              <w:rPr>
                <w:color w:val="auto"/>
                <w:sz w:val="20"/>
                <w:szCs w:val="20"/>
              </w:rPr>
            </w:pPr>
            <w:r>
              <w:rPr>
                <w:color w:val="auto"/>
                <w:sz w:val="20"/>
                <w:szCs w:val="20"/>
              </w:rPr>
              <w:t>2,79</w:t>
            </w:r>
          </w:p>
        </w:tc>
        <w:tc>
          <w:tcPr>
            <w:tcW w:w="2006" w:type="dxa"/>
            <w:shd w:val="clear" w:color="auto" w:fill="auto"/>
          </w:tcPr>
          <w:p w14:paraId="50B928CA" w14:textId="77777777" w:rsidR="004B3AAB" w:rsidRDefault="004B3AAB" w:rsidP="00C74E50">
            <w:pPr>
              <w:pStyle w:val="Default"/>
              <w:jc w:val="center"/>
              <w:rPr>
                <w:color w:val="auto"/>
                <w:sz w:val="20"/>
                <w:szCs w:val="20"/>
              </w:rPr>
            </w:pPr>
            <w:r>
              <w:rPr>
                <w:color w:val="auto"/>
                <w:sz w:val="20"/>
                <w:szCs w:val="20"/>
              </w:rPr>
              <w:t>15,09</w:t>
            </w:r>
          </w:p>
        </w:tc>
        <w:tc>
          <w:tcPr>
            <w:tcW w:w="1710" w:type="dxa"/>
            <w:shd w:val="clear" w:color="auto" w:fill="auto"/>
          </w:tcPr>
          <w:p w14:paraId="6A5EAFB0" w14:textId="77777777" w:rsidR="004B3AAB" w:rsidRDefault="004B3AAB" w:rsidP="00C74E50">
            <w:pPr>
              <w:pStyle w:val="Default"/>
              <w:jc w:val="center"/>
              <w:rPr>
                <w:color w:val="auto"/>
                <w:sz w:val="20"/>
                <w:szCs w:val="20"/>
              </w:rPr>
            </w:pPr>
            <w:r>
              <w:rPr>
                <w:color w:val="auto"/>
                <w:sz w:val="20"/>
                <w:szCs w:val="20"/>
              </w:rPr>
              <w:t>100</w:t>
            </w:r>
          </w:p>
        </w:tc>
      </w:tr>
      <w:tr w:rsidR="004B3AAB" w14:paraId="28B9D08B" w14:textId="77777777" w:rsidTr="00C74E50">
        <w:tc>
          <w:tcPr>
            <w:tcW w:w="1276" w:type="dxa"/>
            <w:shd w:val="clear" w:color="auto" w:fill="auto"/>
          </w:tcPr>
          <w:p w14:paraId="4936AB46" w14:textId="77777777" w:rsidR="004B3AAB" w:rsidRDefault="004B3AAB" w:rsidP="00C74E50">
            <w:pPr>
              <w:pStyle w:val="Default"/>
              <w:jc w:val="center"/>
              <w:rPr>
                <w:color w:val="auto"/>
                <w:sz w:val="20"/>
                <w:szCs w:val="20"/>
              </w:rPr>
            </w:pPr>
            <w:r>
              <w:rPr>
                <w:color w:val="auto"/>
                <w:sz w:val="20"/>
                <w:szCs w:val="20"/>
              </w:rPr>
              <w:t>2012</w:t>
            </w:r>
          </w:p>
        </w:tc>
        <w:tc>
          <w:tcPr>
            <w:tcW w:w="2046" w:type="dxa"/>
            <w:shd w:val="clear" w:color="auto" w:fill="auto"/>
          </w:tcPr>
          <w:p w14:paraId="51556EA0" w14:textId="77777777" w:rsidR="004B3AAB" w:rsidRDefault="004B3AAB" w:rsidP="00C74E50">
            <w:pPr>
              <w:pStyle w:val="Default"/>
              <w:jc w:val="center"/>
              <w:rPr>
                <w:color w:val="auto"/>
                <w:sz w:val="20"/>
                <w:szCs w:val="20"/>
              </w:rPr>
            </w:pPr>
            <w:r>
              <w:rPr>
                <w:color w:val="auto"/>
                <w:sz w:val="20"/>
                <w:szCs w:val="20"/>
              </w:rPr>
              <w:t>80,86</w:t>
            </w:r>
          </w:p>
        </w:tc>
        <w:tc>
          <w:tcPr>
            <w:tcW w:w="1858" w:type="dxa"/>
            <w:shd w:val="clear" w:color="auto" w:fill="auto"/>
          </w:tcPr>
          <w:p w14:paraId="5581D3EE" w14:textId="77777777" w:rsidR="004B3AAB" w:rsidRDefault="004B3AAB" w:rsidP="00C74E50">
            <w:pPr>
              <w:pStyle w:val="Default"/>
              <w:jc w:val="center"/>
              <w:rPr>
                <w:color w:val="auto"/>
                <w:sz w:val="20"/>
                <w:szCs w:val="20"/>
              </w:rPr>
            </w:pPr>
            <w:r>
              <w:rPr>
                <w:color w:val="auto"/>
                <w:sz w:val="20"/>
                <w:szCs w:val="20"/>
              </w:rPr>
              <w:t>3,01</w:t>
            </w:r>
          </w:p>
        </w:tc>
        <w:tc>
          <w:tcPr>
            <w:tcW w:w="2006" w:type="dxa"/>
            <w:shd w:val="clear" w:color="auto" w:fill="auto"/>
          </w:tcPr>
          <w:p w14:paraId="70AC2933" w14:textId="77777777" w:rsidR="004B3AAB" w:rsidRDefault="004B3AAB" w:rsidP="00C74E50">
            <w:pPr>
              <w:pStyle w:val="Default"/>
              <w:jc w:val="center"/>
              <w:rPr>
                <w:color w:val="auto"/>
                <w:sz w:val="20"/>
                <w:szCs w:val="20"/>
              </w:rPr>
            </w:pPr>
            <w:r>
              <w:rPr>
                <w:color w:val="auto"/>
                <w:sz w:val="20"/>
                <w:szCs w:val="20"/>
              </w:rPr>
              <w:t>16,13</w:t>
            </w:r>
          </w:p>
        </w:tc>
        <w:tc>
          <w:tcPr>
            <w:tcW w:w="1710" w:type="dxa"/>
            <w:shd w:val="clear" w:color="auto" w:fill="auto"/>
          </w:tcPr>
          <w:p w14:paraId="17B57E45" w14:textId="77777777" w:rsidR="004B3AAB" w:rsidRDefault="004B3AAB" w:rsidP="00C74E50">
            <w:pPr>
              <w:pStyle w:val="Default"/>
              <w:jc w:val="center"/>
              <w:rPr>
                <w:color w:val="auto"/>
                <w:sz w:val="20"/>
                <w:szCs w:val="20"/>
              </w:rPr>
            </w:pPr>
            <w:r>
              <w:rPr>
                <w:color w:val="auto"/>
                <w:sz w:val="20"/>
                <w:szCs w:val="20"/>
              </w:rPr>
              <w:t>100</w:t>
            </w:r>
          </w:p>
        </w:tc>
      </w:tr>
      <w:tr w:rsidR="004B3AAB" w14:paraId="3EECA606" w14:textId="77777777" w:rsidTr="00C74E50">
        <w:tc>
          <w:tcPr>
            <w:tcW w:w="1276" w:type="dxa"/>
            <w:shd w:val="clear" w:color="auto" w:fill="auto"/>
          </w:tcPr>
          <w:p w14:paraId="7B82362A" w14:textId="77777777" w:rsidR="004B3AAB" w:rsidRDefault="004B3AAB" w:rsidP="00C74E50">
            <w:pPr>
              <w:pStyle w:val="Default"/>
              <w:jc w:val="center"/>
              <w:rPr>
                <w:color w:val="auto"/>
                <w:sz w:val="20"/>
                <w:szCs w:val="20"/>
              </w:rPr>
            </w:pPr>
            <w:r>
              <w:rPr>
                <w:color w:val="auto"/>
                <w:sz w:val="20"/>
                <w:szCs w:val="20"/>
              </w:rPr>
              <w:t>2013</w:t>
            </w:r>
          </w:p>
        </w:tc>
        <w:tc>
          <w:tcPr>
            <w:tcW w:w="2046" w:type="dxa"/>
            <w:shd w:val="clear" w:color="auto" w:fill="auto"/>
          </w:tcPr>
          <w:p w14:paraId="4D64E903" w14:textId="77777777" w:rsidR="004B3AAB" w:rsidRDefault="004B3AAB" w:rsidP="00C74E50">
            <w:pPr>
              <w:pStyle w:val="Default"/>
              <w:jc w:val="center"/>
              <w:rPr>
                <w:color w:val="auto"/>
                <w:sz w:val="20"/>
                <w:szCs w:val="20"/>
              </w:rPr>
            </w:pPr>
            <w:r>
              <w:rPr>
                <w:color w:val="auto"/>
                <w:sz w:val="20"/>
                <w:szCs w:val="20"/>
              </w:rPr>
              <w:t>81,64</w:t>
            </w:r>
          </w:p>
        </w:tc>
        <w:tc>
          <w:tcPr>
            <w:tcW w:w="1858" w:type="dxa"/>
            <w:shd w:val="clear" w:color="auto" w:fill="auto"/>
          </w:tcPr>
          <w:p w14:paraId="334BE664" w14:textId="77777777" w:rsidR="004B3AAB" w:rsidRDefault="004B3AAB" w:rsidP="00C74E50">
            <w:pPr>
              <w:pStyle w:val="Default"/>
              <w:jc w:val="center"/>
              <w:rPr>
                <w:color w:val="auto"/>
                <w:sz w:val="20"/>
                <w:szCs w:val="20"/>
              </w:rPr>
            </w:pPr>
            <w:r>
              <w:rPr>
                <w:color w:val="auto"/>
                <w:sz w:val="20"/>
                <w:szCs w:val="20"/>
              </w:rPr>
              <w:t>2,43</w:t>
            </w:r>
          </w:p>
        </w:tc>
        <w:tc>
          <w:tcPr>
            <w:tcW w:w="2006" w:type="dxa"/>
            <w:shd w:val="clear" w:color="auto" w:fill="auto"/>
          </w:tcPr>
          <w:p w14:paraId="01D25D0E" w14:textId="77777777" w:rsidR="004B3AAB" w:rsidRDefault="004B3AAB" w:rsidP="00C74E50">
            <w:pPr>
              <w:pStyle w:val="Default"/>
              <w:jc w:val="center"/>
              <w:rPr>
                <w:color w:val="auto"/>
                <w:sz w:val="20"/>
                <w:szCs w:val="20"/>
              </w:rPr>
            </w:pPr>
            <w:r>
              <w:rPr>
                <w:color w:val="auto"/>
                <w:sz w:val="20"/>
                <w:szCs w:val="20"/>
              </w:rPr>
              <w:t>15,93</w:t>
            </w:r>
          </w:p>
        </w:tc>
        <w:tc>
          <w:tcPr>
            <w:tcW w:w="1710" w:type="dxa"/>
            <w:shd w:val="clear" w:color="auto" w:fill="auto"/>
          </w:tcPr>
          <w:p w14:paraId="7E488393" w14:textId="77777777" w:rsidR="004B3AAB" w:rsidRDefault="004B3AAB" w:rsidP="00C74E50">
            <w:pPr>
              <w:pStyle w:val="Default"/>
              <w:jc w:val="center"/>
              <w:rPr>
                <w:color w:val="auto"/>
                <w:sz w:val="20"/>
                <w:szCs w:val="20"/>
              </w:rPr>
            </w:pPr>
            <w:r>
              <w:rPr>
                <w:color w:val="auto"/>
                <w:sz w:val="20"/>
                <w:szCs w:val="20"/>
              </w:rPr>
              <w:t>100</w:t>
            </w:r>
          </w:p>
        </w:tc>
      </w:tr>
      <w:tr w:rsidR="004B3AAB" w14:paraId="1EA8ADC0" w14:textId="77777777" w:rsidTr="00C74E50">
        <w:tc>
          <w:tcPr>
            <w:tcW w:w="1276" w:type="dxa"/>
            <w:shd w:val="clear" w:color="auto" w:fill="auto"/>
          </w:tcPr>
          <w:p w14:paraId="17AA1C42" w14:textId="77777777" w:rsidR="004B3AAB" w:rsidRDefault="004B3AAB" w:rsidP="00C74E50">
            <w:pPr>
              <w:pStyle w:val="Default"/>
              <w:jc w:val="center"/>
              <w:rPr>
                <w:color w:val="auto"/>
                <w:sz w:val="20"/>
                <w:szCs w:val="20"/>
              </w:rPr>
            </w:pPr>
            <w:r>
              <w:rPr>
                <w:color w:val="auto"/>
                <w:sz w:val="20"/>
                <w:szCs w:val="20"/>
              </w:rPr>
              <w:t>2015</w:t>
            </w:r>
          </w:p>
        </w:tc>
        <w:tc>
          <w:tcPr>
            <w:tcW w:w="2046" w:type="dxa"/>
            <w:shd w:val="clear" w:color="auto" w:fill="auto"/>
          </w:tcPr>
          <w:p w14:paraId="740ACEEA" w14:textId="77777777" w:rsidR="004B3AAB" w:rsidRDefault="004B3AAB" w:rsidP="00C74E50">
            <w:pPr>
              <w:pStyle w:val="Default"/>
              <w:jc w:val="center"/>
              <w:rPr>
                <w:color w:val="auto"/>
                <w:sz w:val="20"/>
                <w:szCs w:val="20"/>
              </w:rPr>
            </w:pPr>
            <w:r>
              <w:rPr>
                <w:color w:val="auto"/>
                <w:sz w:val="20"/>
                <w:szCs w:val="20"/>
              </w:rPr>
              <w:t>81,60</w:t>
            </w:r>
          </w:p>
        </w:tc>
        <w:tc>
          <w:tcPr>
            <w:tcW w:w="1858" w:type="dxa"/>
            <w:shd w:val="clear" w:color="auto" w:fill="auto"/>
          </w:tcPr>
          <w:p w14:paraId="5DB0D706" w14:textId="77777777" w:rsidR="004B3AAB" w:rsidRDefault="004B3AAB" w:rsidP="00C74E50">
            <w:pPr>
              <w:pStyle w:val="Default"/>
              <w:jc w:val="center"/>
              <w:rPr>
                <w:color w:val="auto"/>
                <w:sz w:val="20"/>
                <w:szCs w:val="20"/>
              </w:rPr>
            </w:pPr>
            <w:r>
              <w:rPr>
                <w:color w:val="auto"/>
                <w:sz w:val="20"/>
                <w:szCs w:val="20"/>
              </w:rPr>
              <w:t>2,28</w:t>
            </w:r>
          </w:p>
        </w:tc>
        <w:tc>
          <w:tcPr>
            <w:tcW w:w="2006" w:type="dxa"/>
            <w:shd w:val="clear" w:color="auto" w:fill="auto"/>
          </w:tcPr>
          <w:p w14:paraId="6435F04C" w14:textId="77777777" w:rsidR="004B3AAB" w:rsidRDefault="004B3AAB" w:rsidP="00C74E50">
            <w:pPr>
              <w:pStyle w:val="Default"/>
              <w:jc w:val="center"/>
              <w:rPr>
                <w:color w:val="auto"/>
                <w:sz w:val="20"/>
                <w:szCs w:val="20"/>
              </w:rPr>
            </w:pPr>
            <w:r>
              <w:rPr>
                <w:color w:val="auto"/>
                <w:sz w:val="20"/>
                <w:szCs w:val="20"/>
              </w:rPr>
              <w:t>16,12</w:t>
            </w:r>
          </w:p>
        </w:tc>
        <w:tc>
          <w:tcPr>
            <w:tcW w:w="1710" w:type="dxa"/>
            <w:shd w:val="clear" w:color="auto" w:fill="auto"/>
          </w:tcPr>
          <w:p w14:paraId="04507BC3" w14:textId="77777777" w:rsidR="004B3AAB" w:rsidRDefault="004B3AAB" w:rsidP="00C74E50">
            <w:pPr>
              <w:pStyle w:val="Default"/>
              <w:jc w:val="center"/>
              <w:rPr>
                <w:color w:val="auto"/>
                <w:sz w:val="20"/>
                <w:szCs w:val="20"/>
              </w:rPr>
            </w:pPr>
            <w:r>
              <w:rPr>
                <w:color w:val="auto"/>
                <w:sz w:val="20"/>
                <w:szCs w:val="20"/>
              </w:rPr>
              <w:t>100</w:t>
            </w:r>
          </w:p>
        </w:tc>
      </w:tr>
      <w:tr w:rsidR="004B3AAB" w14:paraId="2B81A927" w14:textId="77777777" w:rsidTr="00C74E50">
        <w:tc>
          <w:tcPr>
            <w:tcW w:w="1276" w:type="dxa"/>
            <w:shd w:val="clear" w:color="auto" w:fill="auto"/>
          </w:tcPr>
          <w:p w14:paraId="481E6449" w14:textId="77777777" w:rsidR="004B3AAB" w:rsidRDefault="004B3AAB" w:rsidP="00C74E50">
            <w:pPr>
              <w:pStyle w:val="Default"/>
              <w:jc w:val="center"/>
              <w:rPr>
                <w:color w:val="auto"/>
                <w:sz w:val="20"/>
                <w:szCs w:val="20"/>
              </w:rPr>
            </w:pPr>
            <w:r>
              <w:rPr>
                <w:color w:val="auto"/>
                <w:sz w:val="20"/>
                <w:szCs w:val="20"/>
              </w:rPr>
              <w:t>2016</w:t>
            </w:r>
          </w:p>
        </w:tc>
        <w:tc>
          <w:tcPr>
            <w:tcW w:w="2046" w:type="dxa"/>
            <w:shd w:val="clear" w:color="auto" w:fill="auto"/>
          </w:tcPr>
          <w:p w14:paraId="50FA0D93" w14:textId="77777777" w:rsidR="004B3AAB" w:rsidRDefault="004B3AAB" w:rsidP="00C74E50">
            <w:pPr>
              <w:pStyle w:val="Default"/>
              <w:jc w:val="center"/>
              <w:rPr>
                <w:color w:val="auto"/>
                <w:sz w:val="20"/>
                <w:szCs w:val="20"/>
              </w:rPr>
            </w:pPr>
            <w:r>
              <w:rPr>
                <w:sz w:val="20"/>
                <w:szCs w:val="20"/>
              </w:rPr>
              <w:t>81,60</w:t>
            </w:r>
          </w:p>
        </w:tc>
        <w:tc>
          <w:tcPr>
            <w:tcW w:w="1858" w:type="dxa"/>
            <w:shd w:val="clear" w:color="auto" w:fill="auto"/>
          </w:tcPr>
          <w:p w14:paraId="23E79E11" w14:textId="77777777" w:rsidR="004B3AAB" w:rsidRDefault="004B3AAB" w:rsidP="00C74E50">
            <w:pPr>
              <w:pStyle w:val="Default"/>
              <w:jc w:val="center"/>
              <w:rPr>
                <w:color w:val="auto"/>
                <w:sz w:val="20"/>
                <w:szCs w:val="20"/>
              </w:rPr>
            </w:pPr>
            <w:r>
              <w:rPr>
                <w:sz w:val="20"/>
                <w:szCs w:val="20"/>
              </w:rPr>
              <w:t>2,28</w:t>
            </w:r>
          </w:p>
        </w:tc>
        <w:tc>
          <w:tcPr>
            <w:tcW w:w="2006" w:type="dxa"/>
            <w:shd w:val="clear" w:color="auto" w:fill="auto"/>
          </w:tcPr>
          <w:p w14:paraId="07A7A79A" w14:textId="77777777" w:rsidR="004B3AAB" w:rsidRDefault="004B3AAB" w:rsidP="00C74E50">
            <w:pPr>
              <w:pStyle w:val="Default"/>
              <w:jc w:val="center"/>
              <w:rPr>
                <w:color w:val="auto"/>
                <w:sz w:val="20"/>
                <w:szCs w:val="20"/>
              </w:rPr>
            </w:pPr>
            <w:r>
              <w:rPr>
                <w:sz w:val="20"/>
                <w:szCs w:val="20"/>
              </w:rPr>
              <w:t>16,12</w:t>
            </w:r>
          </w:p>
        </w:tc>
        <w:tc>
          <w:tcPr>
            <w:tcW w:w="1710" w:type="dxa"/>
            <w:shd w:val="clear" w:color="auto" w:fill="auto"/>
          </w:tcPr>
          <w:p w14:paraId="45D585FA" w14:textId="77777777" w:rsidR="004B3AAB" w:rsidRDefault="004B3AAB" w:rsidP="00C74E50">
            <w:pPr>
              <w:pStyle w:val="Default"/>
              <w:jc w:val="center"/>
              <w:rPr>
                <w:color w:val="auto"/>
                <w:sz w:val="20"/>
                <w:szCs w:val="20"/>
              </w:rPr>
            </w:pPr>
            <w:r>
              <w:rPr>
                <w:sz w:val="20"/>
                <w:szCs w:val="20"/>
              </w:rPr>
              <w:t>100</w:t>
            </w:r>
          </w:p>
        </w:tc>
      </w:tr>
      <w:tr w:rsidR="004B3AAB" w14:paraId="7BBD3131" w14:textId="77777777" w:rsidTr="00C74E50">
        <w:tc>
          <w:tcPr>
            <w:tcW w:w="1276" w:type="dxa"/>
            <w:shd w:val="clear" w:color="auto" w:fill="auto"/>
          </w:tcPr>
          <w:p w14:paraId="28431523" w14:textId="77777777" w:rsidR="004B3AAB" w:rsidRDefault="004B3AAB" w:rsidP="00C74E50">
            <w:pPr>
              <w:pStyle w:val="Default"/>
              <w:jc w:val="center"/>
              <w:rPr>
                <w:color w:val="auto"/>
                <w:sz w:val="20"/>
                <w:szCs w:val="20"/>
              </w:rPr>
            </w:pPr>
            <w:r>
              <w:rPr>
                <w:color w:val="auto"/>
                <w:sz w:val="20"/>
                <w:szCs w:val="20"/>
              </w:rPr>
              <w:t>2017</w:t>
            </w:r>
          </w:p>
        </w:tc>
        <w:tc>
          <w:tcPr>
            <w:tcW w:w="2046" w:type="dxa"/>
            <w:shd w:val="clear" w:color="auto" w:fill="auto"/>
          </w:tcPr>
          <w:p w14:paraId="308E9CA2" w14:textId="77777777" w:rsidR="004B3AAB" w:rsidRDefault="004B3AAB" w:rsidP="00C74E50">
            <w:pPr>
              <w:pStyle w:val="Default"/>
              <w:jc w:val="center"/>
              <w:rPr>
                <w:sz w:val="20"/>
                <w:szCs w:val="20"/>
              </w:rPr>
            </w:pPr>
            <w:r>
              <w:rPr>
                <w:sz w:val="20"/>
                <w:szCs w:val="20"/>
              </w:rPr>
              <w:t>81,60</w:t>
            </w:r>
          </w:p>
        </w:tc>
        <w:tc>
          <w:tcPr>
            <w:tcW w:w="1858" w:type="dxa"/>
            <w:shd w:val="clear" w:color="auto" w:fill="auto"/>
          </w:tcPr>
          <w:p w14:paraId="6A1BC02D" w14:textId="77777777" w:rsidR="004B3AAB" w:rsidRDefault="004B3AAB" w:rsidP="00C74E50">
            <w:pPr>
              <w:pStyle w:val="Default"/>
              <w:jc w:val="center"/>
              <w:rPr>
                <w:sz w:val="20"/>
                <w:szCs w:val="20"/>
              </w:rPr>
            </w:pPr>
            <w:r>
              <w:rPr>
                <w:sz w:val="20"/>
                <w:szCs w:val="20"/>
              </w:rPr>
              <w:t>2,28</w:t>
            </w:r>
          </w:p>
        </w:tc>
        <w:tc>
          <w:tcPr>
            <w:tcW w:w="2006" w:type="dxa"/>
            <w:shd w:val="clear" w:color="auto" w:fill="auto"/>
          </w:tcPr>
          <w:p w14:paraId="45A86992" w14:textId="77777777" w:rsidR="004B3AAB" w:rsidRDefault="004B3AAB" w:rsidP="00C74E50">
            <w:pPr>
              <w:pStyle w:val="Default"/>
              <w:jc w:val="center"/>
              <w:rPr>
                <w:sz w:val="20"/>
                <w:szCs w:val="20"/>
              </w:rPr>
            </w:pPr>
            <w:r>
              <w:rPr>
                <w:sz w:val="20"/>
                <w:szCs w:val="20"/>
              </w:rPr>
              <w:t>16,12</w:t>
            </w:r>
          </w:p>
        </w:tc>
        <w:tc>
          <w:tcPr>
            <w:tcW w:w="1710" w:type="dxa"/>
            <w:shd w:val="clear" w:color="auto" w:fill="auto"/>
          </w:tcPr>
          <w:p w14:paraId="68E6DD1B" w14:textId="77777777" w:rsidR="004B3AAB" w:rsidRDefault="004B3AAB" w:rsidP="00C74E50">
            <w:pPr>
              <w:pStyle w:val="Default"/>
              <w:jc w:val="center"/>
              <w:rPr>
                <w:sz w:val="20"/>
                <w:szCs w:val="20"/>
              </w:rPr>
            </w:pPr>
            <w:r>
              <w:rPr>
                <w:sz w:val="20"/>
                <w:szCs w:val="20"/>
              </w:rPr>
              <w:t>100</w:t>
            </w:r>
          </w:p>
        </w:tc>
      </w:tr>
      <w:tr w:rsidR="004B3AAB" w14:paraId="5432FBB5" w14:textId="77777777" w:rsidTr="00C74E50">
        <w:tc>
          <w:tcPr>
            <w:tcW w:w="1276" w:type="dxa"/>
            <w:shd w:val="clear" w:color="auto" w:fill="auto"/>
          </w:tcPr>
          <w:p w14:paraId="24152395" w14:textId="77777777" w:rsidR="004B3AAB" w:rsidRDefault="004B3AAB" w:rsidP="00C74E50">
            <w:pPr>
              <w:pStyle w:val="Default"/>
              <w:jc w:val="center"/>
              <w:rPr>
                <w:color w:val="auto"/>
                <w:sz w:val="20"/>
                <w:szCs w:val="20"/>
              </w:rPr>
            </w:pPr>
            <w:r>
              <w:rPr>
                <w:color w:val="auto"/>
                <w:sz w:val="20"/>
                <w:szCs w:val="20"/>
              </w:rPr>
              <w:t>2018</w:t>
            </w:r>
          </w:p>
        </w:tc>
        <w:tc>
          <w:tcPr>
            <w:tcW w:w="2046" w:type="dxa"/>
            <w:shd w:val="clear" w:color="auto" w:fill="auto"/>
          </w:tcPr>
          <w:p w14:paraId="5A02CB7E" w14:textId="77777777" w:rsidR="004B3AAB" w:rsidRDefault="004B3AAB" w:rsidP="00C74E50">
            <w:pPr>
              <w:pStyle w:val="Default"/>
              <w:jc w:val="center"/>
              <w:rPr>
                <w:sz w:val="20"/>
                <w:szCs w:val="20"/>
              </w:rPr>
            </w:pPr>
            <w:r>
              <w:rPr>
                <w:sz w:val="20"/>
                <w:szCs w:val="20"/>
              </w:rPr>
              <w:t>81,60</w:t>
            </w:r>
          </w:p>
        </w:tc>
        <w:tc>
          <w:tcPr>
            <w:tcW w:w="1858" w:type="dxa"/>
            <w:shd w:val="clear" w:color="auto" w:fill="auto"/>
          </w:tcPr>
          <w:p w14:paraId="38457BBD" w14:textId="77777777" w:rsidR="004B3AAB" w:rsidRDefault="004B3AAB" w:rsidP="00C74E50">
            <w:pPr>
              <w:pStyle w:val="Default"/>
              <w:jc w:val="center"/>
              <w:rPr>
                <w:sz w:val="20"/>
                <w:szCs w:val="20"/>
              </w:rPr>
            </w:pPr>
            <w:r>
              <w:rPr>
                <w:sz w:val="20"/>
                <w:szCs w:val="20"/>
              </w:rPr>
              <w:t>2,28</w:t>
            </w:r>
          </w:p>
        </w:tc>
        <w:tc>
          <w:tcPr>
            <w:tcW w:w="2006" w:type="dxa"/>
            <w:shd w:val="clear" w:color="auto" w:fill="auto"/>
          </w:tcPr>
          <w:p w14:paraId="5CA8C8C4" w14:textId="77777777" w:rsidR="004B3AAB" w:rsidRDefault="004B3AAB" w:rsidP="00C74E50">
            <w:pPr>
              <w:pStyle w:val="Default"/>
              <w:jc w:val="center"/>
              <w:rPr>
                <w:sz w:val="20"/>
                <w:szCs w:val="20"/>
              </w:rPr>
            </w:pPr>
            <w:r>
              <w:rPr>
                <w:sz w:val="20"/>
                <w:szCs w:val="20"/>
              </w:rPr>
              <w:t>16,12</w:t>
            </w:r>
          </w:p>
        </w:tc>
        <w:tc>
          <w:tcPr>
            <w:tcW w:w="1710" w:type="dxa"/>
            <w:shd w:val="clear" w:color="auto" w:fill="auto"/>
          </w:tcPr>
          <w:p w14:paraId="522AEF81" w14:textId="77777777" w:rsidR="004B3AAB" w:rsidRDefault="004B3AAB" w:rsidP="00C74E50">
            <w:pPr>
              <w:pStyle w:val="Default"/>
              <w:jc w:val="center"/>
              <w:rPr>
                <w:sz w:val="20"/>
                <w:szCs w:val="20"/>
              </w:rPr>
            </w:pPr>
            <w:r>
              <w:rPr>
                <w:sz w:val="20"/>
                <w:szCs w:val="20"/>
              </w:rPr>
              <w:t>100</w:t>
            </w:r>
          </w:p>
        </w:tc>
      </w:tr>
      <w:tr w:rsidR="004B3AAB" w14:paraId="32386678" w14:textId="77777777" w:rsidTr="00C74E50">
        <w:tc>
          <w:tcPr>
            <w:tcW w:w="1276" w:type="dxa"/>
            <w:shd w:val="clear" w:color="auto" w:fill="auto"/>
          </w:tcPr>
          <w:p w14:paraId="42EF3269" w14:textId="77777777" w:rsidR="004B3AAB" w:rsidRDefault="004B3AAB" w:rsidP="00C74E50">
            <w:pPr>
              <w:pStyle w:val="Default"/>
              <w:jc w:val="center"/>
              <w:rPr>
                <w:color w:val="auto"/>
                <w:sz w:val="20"/>
                <w:szCs w:val="20"/>
              </w:rPr>
            </w:pPr>
            <w:r>
              <w:rPr>
                <w:color w:val="auto"/>
                <w:sz w:val="20"/>
                <w:szCs w:val="20"/>
              </w:rPr>
              <w:t>2019</w:t>
            </w:r>
          </w:p>
        </w:tc>
        <w:tc>
          <w:tcPr>
            <w:tcW w:w="2046" w:type="dxa"/>
            <w:shd w:val="clear" w:color="auto" w:fill="auto"/>
          </w:tcPr>
          <w:p w14:paraId="6D6DAFF2" w14:textId="77777777" w:rsidR="004B3AAB" w:rsidRDefault="004B3AAB" w:rsidP="00C74E50">
            <w:pPr>
              <w:pStyle w:val="Default"/>
              <w:jc w:val="center"/>
              <w:rPr>
                <w:sz w:val="20"/>
                <w:szCs w:val="20"/>
              </w:rPr>
            </w:pPr>
            <w:r>
              <w:rPr>
                <w:sz w:val="20"/>
                <w:szCs w:val="20"/>
              </w:rPr>
              <w:t>81,60</w:t>
            </w:r>
          </w:p>
        </w:tc>
        <w:tc>
          <w:tcPr>
            <w:tcW w:w="1858" w:type="dxa"/>
            <w:shd w:val="clear" w:color="auto" w:fill="auto"/>
          </w:tcPr>
          <w:p w14:paraId="2403D3E5" w14:textId="77777777" w:rsidR="004B3AAB" w:rsidRDefault="004B3AAB" w:rsidP="00C74E50">
            <w:pPr>
              <w:pStyle w:val="Default"/>
              <w:jc w:val="center"/>
              <w:rPr>
                <w:sz w:val="20"/>
                <w:szCs w:val="20"/>
              </w:rPr>
            </w:pPr>
            <w:r>
              <w:rPr>
                <w:sz w:val="20"/>
                <w:szCs w:val="20"/>
              </w:rPr>
              <w:t>2,28</w:t>
            </w:r>
          </w:p>
        </w:tc>
        <w:tc>
          <w:tcPr>
            <w:tcW w:w="2006" w:type="dxa"/>
            <w:shd w:val="clear" w:color="auto" w:fill="auto"/>
          </w:tcPr>
          <w:p w14:paraId="41E4D122" w14:textId="77777777" w:rsidR="004B3AAB" w:rsidRDefault="004B3AAB" w:rsidP="00C74E50">
            <w:pPr>
              <w:pStyle w:val="Default"/>
              <w:jc w:val="center"/>
              <w:rPr>
                <w:sz w:val="20"/>
                <w:szCs w:val="20"/>
              </w:rPr>
            </w:pPr>
            <w:r>
              <w:rPr>
                <w:sz w:val="20"/>
                <w:szCs w:val="20"/>
              </w:rPr>
              <w:t>16,12</w:t>
            </w:r>
          </w:p>
        </w:tc>
        <w:tc>
          <w:tcPr>
            <w:tcW w:w="1710" w:type="dxa"/>
            <w:shd w:val="clear" w:color="auto" w:fill="auto"/>
          </w:tcPr>
          <w:p w14:paraId="0237D022" w14:textId="77777777" w:rsidR="004B3AAB" w:rsidRDefault="004B3AAB" w:rsidP="00C74E50">
            <w:pPr>
              <w:pStyle w:val="Default"/>
              <w:jc w:val="center"/>
              <w:rPr>
                <w:sz w:val="20"/>
                <w:szCs w:val="20"/>
              </w:rPr>
            </w:pPr>
            <w:r>
              <w:rPr>
                <w:sz w:val="20"/>
                <w:szCs w:val="20"/>
              </w:rPr>
              <w:t>100</w:t>
            </w:r>
          </w:p>
        </w:tc>
      </w:tr>
      <w:tr w:rsidR="004B3AAB" w14:paraId="3B791C3D" w14:textId="77777777" w:rsidTr="00C74E50">
        <w:tc>
          <w:tcPr>
            <w:tcW w:w="1276" w:type="dxa"/>
            <w:shd w:val="clear" w:color="auto" w:fill="auto"/>
          </w:tcPr>
          <w:p w14:paraId="38BFD354" w14:textId="77777777" w:rsidR="004B3AAB" w:rsidRDefault="004B3AAB" w:rsidP="00C74E50">
            <w:pPr>
              <w:pStyle w:val="Default"/>
              <w:jc w:val="center"/>
              <w:rPr>
                <w:color w:val="auto"/>
                <w:sz w:val="20"/>
                <w:szCs w:val="20"/>
              </w:rPr>
            </w:pPr>
            <w:r>
              <w:rPr>
                <w:color w:val="auto"/>
                <w:sz w:val="20"/>
                <w:szCs w:val="20"/>
              </w:rPr>
              <w:t>2020**</w:t>
            </w:r>
          </w:p>
        </w:tc>
        <w:tc>
          <w:tcPr>
            <w:tcW w:w="2046" w:type="dxa"/>
            <w:shd w:val="clear" w:color="auto" w:fill="auto"/>
          </w:tcPr>
          <w:p w14:paraId="321AFDCE" w14:textId="77777777" w:rsidR="004B3AAB" w:rsidRDefault="004B3AAB" w:rsidP="00C74E50">
            <w:pPr>
              <w:pStyle w:val="Default"/>
              <w:jc w:val="center"/>
              <w:rPr>
                <w:sz w:val="20"/>
                <w:szCs w:val="20"/>
              </w:rPr>
            </w:pPr>
            <w:r>
              <w:rPr>
                <w:sz w:val="20"/>
                <w:szCs w:val="20"/>
              </w:rPr>
              <w:t>81,32</w:t>
            </w:r>
          </w:p>
        </w:tc>
        <w:tc>
          <w:tcPr>
            <w:tcW w:w="1858" w:type="dxa"/>
            <w:shd w:val="clear" w:color="auto" w:fill="auto"/>
          </w:tcPr>
          <w:p w14:paraId="50879BD4" w14:textId="77777777" w:rsidR="004B3AAB" w:rsidRDefault="004B3AAB" w:rsidP="00C74E50">
            <w:pPr>
              <w:pStyle w:val="Default"/>
              <w:jc w:val="center"/>
              <w:rPr>
                <w:sz w:val="20"/>
                <w:szCs w:val="20"/>
              </w:rPr>
            </w:pPr>
            <w:r>
              <w:rPr>
                <w:sz w:val="20"/>
                <w:szCs w:val="20"/>
              </w:rPr>
              <w:t>2,28</w:t>
            </w:r>
          </w:p>
        </w:tc>
        <w:tc>
          <w:tcPr>
            <w:tcW w:w="2006" w:type="dxa"/>
            <w:shd w:val="clear" w:color="auto" w:fill="auto"/>
          </w:tcPr>
          <w:p w14:paraId="7D72059A" w14:textId="77777777" w:rsidR="004B3AAB" w:rsidRDefault="004B3AAB" w:rsidP="00C74E50">
            <w:pPr>
              <w:pStyle w:val="Default"/>
              <w:jc w:val="center"/>
              <w:rPr>
                <w:sz w:val="20"/>
                <w:szCs w:val="20"/>
              </w:rPr>
            </w:pPr>
            <w:r>
              <w:rPr>
                <w:sz w:val="20"/>
                <w:szCs w:val="20"/>
              </w:rPr>
              <w:t>16,40</w:t>
            </w:r>
          </w:p>
        </w:tc>
        <w:tc>
          <w:tcPr>
            <w:tcW w:w="1710" w:type="dxa"/>
            <w:shd w:val="clear" w:color="auto" w:fill="auto"/>
          </w:tcPr>
          <w:p w14:paraId="1A4DF33D" w14:textId="77777777" w:rsidR="004B3AAB" w:rsidRDefault="004B3AAB" w:rsidP="00C74E50">
            <w:pPr>
              <w:pStyle w:val="Default"/>
              <w:jc w:val="center"/>
              <w:rPr>
                <w:sz w:val="20"/>
                <w:szCs w:val="20"/>
              </w:rPr>
            </w:pPr>
            <w:r>
              <w:rPr>
                <w:sz w:val="20"/>
                <w:szCs w:val="20"/>
              </w:rPr>
              <w:t>100</w:t>
            </w:r>
          </w:p>
        </w:tc>
      </w:tr>
      <w:tr w:rsidR="004B3AAB" w14:paraId="4FA27139" w14:textId="77777777" w:rsidTr="00C74E50">
        <w:tc>
          <w:tcPr>
            <w:tcW w:w="1276" w:type="dxa"/>
            <w:shd w:val="clear" w:color="auto" w:fill="auto"/>
          </w:tcPr>
          <w:p w14:paraId="303D2907" w14:textId="77777777" w:rsidR="004B3AAB" w:rsidRDefault="004B3AAB" w:rsidP="00C74E50">
            <w:pPr>
              <w:pStyle w:val="Default"/>
              <w:jc w:val="center"/>
              <w:rPr>
                <w:color w:val="auto"/>
                <w:sz w:val="20"/>
                <w:szCs w:val="20"/>
              </w:rPr>
            </w:pPr>
            <w:r>
              <w:rPr>
                <w:color w:val="auto"/>
                <w:sz w:val="20"/>
                <w:szCs w:val="20"/>
              </w:rPr>
              <w:t>2021**</w:t>
            </w:r>
          </w:p>
        </w:tc>
        <w:tc>
          <w:tcPr>
            <w:tcW w:w="2046" w:type="dxa"/>
            <w:shd w:val="clear" w:color="auto" w:fill="auto"/>
          </w:tcPr>
          <w:p w14:paraId="355BB55B" w14:textId="77777777" w:rsidR="004B3AAB" w:rsidRDefault="004B3AAB" w:rsidP="00C74E50">
            <w:pPr>
              <w:pStyle w:val="Default"/>
              <w:jc w:val="center"/>
              <w:rPr>
                <w:sz w:val="20"/>
                <w:szCs w:val="20"/>
              </w:rPr>
            </w:pPr>
            <w:r>
              <w:rPr>
                <w:sz w:val="20"/>
                <w:szCs w:val="20"/>
              </w:rPr>
              <w:t>81,19</w:t>
            </w:r>
          </w:p>
        </w:tc>
        <w:tc>
          <w:tcPr>
            <w:tcW w:w="1858" w:type="dxa"/>
            <w:shd w:val="clear" w:color="auto" w:fill="auto"/>
          </w:tcPr>
          <w:p w14:paraId="1A49264C" w14:textId="77777777" w:rsidR="004B3AAB" w:rsidRDefault="004B3AAB" w:rsidP="00C74E50">
            <w:pPr>
              <w:pStyle w:val="Default"/>
              <w:jc w:val="center"/>
              <w:rPr>
                <w:sz w:val="20"/>
                <w:szCs w:val="20"/>
              </w:rPr>
            </w:pPr>
            <w:r>
              <w:rPr>
                <w:sz w:val="20"/>
                <w:szCs w:val="20"/>
              </w:rPr>
              <w:t>2,28</w:t>
            </w:r>
          </w:p>
        </w:tc>
        <w:tc>
          <w:tcPr>
            <w:tcW w:w="2006" w:type="dxa"/>
            <w:shd w:val="clear" w:color="auto" w:fill="auto"/>
          </w:tcPr>
          <w:p w14:paraId="034EFAF8" w14:textId="77777777" w:rsidR="004B3AAB" w:rsidRDefault="004B3AAB" w:rsidP="00C74E50">
            <w:pPr>
              <w:pStyle w:val="Default"/>
              <w:jc w:val="center"/>
              <w:rPr>
                <w:sz w:val="20"/>
                <w:szCs w:val="20"/>
              </w:rPr>
            </w:pPr>
            <w:r>
              <w:rPr>
                <w:sz w:val="20"/>
                <w:szCs w:val="20"/>
              </w:rPr>
              <w:t>16,53</w:t>
            </w:r>
          </w:p>
        </w:tc>
        <w:tc>
          <w:tcPr>
            <w:tcW w:w="1710" w:type="dxa"/>
            <w:shd w:val="clear" w:color="auto" w:fill="auto"/>
          </w:tcPr>
          <w:p w14:paraId="07FEA8E8" w14:textId="77777777" w:rsidR="004B3AAB" w:rsidRDefault="004B3AAB" w:rsidP="00C74E50">
            <w:pPr>
              <w:pStyle w:val="Default"/>
              <w:jc w:val="center"/>
              <w:rPr>
                <w:sz w:val="20"/>
                <w:szCs w:val="20"/>
              </w:rPr>
            </w:pPr>
            <w:r>
              <w:rPr>
                <w:sz w:val="20"/>
                <w:szCs w:val="20"/>
              </w:rPr>
              <w:t>100</w:t>
            </w:r>
          </w:p>
        </w:tc>
      </w:tr>
      <w:tr w:rsidR="004B3AAB" w14:paraId="33A8A761" w14:textId="77777777" w:rsidTr="00C74E50">
        <w:tc>
          <w:tcPr>
            <w:tcW w:w="1276" w:type="dxa"/>
            <w:shd w:val="clear" w:color="auto" w:fill="auto"/>
          </w:tcPr>
          <w:p w14:paraId="25DE773C" w14:textId="77777777" w:rsidR="004B3AAB" w:rsidRDefault="004B3AAB" w:rsidP="00C74E50">
            <w:pPr>
              <w:pStyle w:val="Default"/>
              <w:jc w:val="center"/>
              <w:rPr>
                <w:color w:val="auto"/>
                <w:sz w:val="20"/>
                <w:szCs w:val="20"/>
              </w:rPr>
            </w:pPr>
            <w:r>
              <w:rPr>
                <w:color w:val="auto"/>
                <w:sz w:val="20"/>
                <w:szCs w:val="20"/>
              </w:rPr>
              <w:t>2022**</w:t>
            </w:r>
          </w:p>
        </w:tc>
        <w:tc>
          <w:tcPr>
            <w:tcW w:w="2046" w:type="dxa"/>
            <w:shd w:val="clear" w:color="auto" w:fill="auto"/>
          </w:tcPr>
          <w:p w14:paraId="6290F3B0" w14:textId="77777777" w:rsidR="004B3AAB" w:rsidRDefault="004B3AAB" w:rsidP="00C74E50">
            <w:pPr>
              <w:pStyle w:val="Default"/>
              <w:jc w:val="center"/>
              <w:rPr>
                <w:sz w:val="20"/>
                <w:szCs w:val="20"/>
              </w:rPr>
            </w:pPr>
            <w:r>
              <w:rPr>
                <w:sz w:val="20"/>
                <w:szCs w:val="20"/>
              </w:rPr>
              <w:t>81,19</w:t>
            </w:r>
          </w:p>
        </w:tc>
        <w:tc>
          <w:tcPr>
            <w:tcW w:w="1858" w:type="dxa"/>
            <w:shd w:val="clear" w:color="auto" w:fill="auto"/>
          </w:tcPr>
          <w:p w14:paraId="6DE19E4C" w14:textId="77777777" w:rsidR="004B3AAB" w:rsidRDefault="004B3AAB" w:rsidP="00C74E50">
            <w:pPr>
              <w:pStyle w:val="Default"/>
              <w:jc w:val="center"/>
              <w:rPr>
                <w:sz w:val="20"/>
                <w:szCs w:val="20"/>
              </w:rPr>
            </w:pPr>
            <w:r>
              <w:rPr>
                <w:sz w:val="20"/>
                <w:szCs w:val="20"/>
              </w:rPr>
              <w:t>2,28</w:t>
            </w:r>
          </w:p>
        </w:tc>
        <w:tc>
          <w:tcPr>
            <w:tcW w:w="2006" w:type="dxa"/>
            <w:shd w:val="clear" w:color="auto" w:fill="auto"/>
          </w:tcPr>
          <w:p w14:paraId="0382B104" w14:textId="77777777" w:rsidR="004B3AAB" w:rsidRDefault="004B3AAB" w:rsidP="00C74E50">
            <w:pPr>
              <w:pStyle w:val="Default"/>
              <w:jc w:val="center"/>
              <w:rPr>
                <w:sz w:val="20"/>
                <w:szCs w:val="20"/>
              </w:rPr>
            </w:pPr>
            <w:r>
              <w:rPr>
                <w:sz w:val="20"/>
                <w:szCs w:val="20"/>
              </w:rPr>
              <w:t>16,53</w:t>
            </w:r>
          </w:p>
        </w:tc>
        <w:tc>
          <w:tcPr>
            <w:tcW w:w="1710" w:type="dxa"/>
            <w:shd w:val="clear" w:color="auto" w:fill="auto"/>
          </w:tcPr>
          <w:p w14:paraId="47CD8D0B" w14:textId="77777777" w:rsidR="004B3AAB" w:rsidRDefault="004B3AAB" w:rsidP="00C74E50">
            <w:pPr>
              <w:pStyle w:val="Default"/>
              <w:jc w:val="center"/>
              <w:rPr>
                <w:sz w:val="20"/>
                <w:szCs w:val="20"/>
              </w:rPr>
            </w:pPr>
            <w:r>
              <w:rPr>
                <w:sz w:val="20"/>
                <w:szCs w:val="20"/>
              </w:rPr>
              <w:t>100</w:t>
            </w:r>
          </w:p>
        </w:tc>
      </w:tr>
    </w:tbl>
    <w:p w14:paraId="6829F98B" w14:textId="77777777" w:rsidR="004B3AAB" w:rsidRDefault="004B3AAB" w:rsidP="004B3AAB">
      <w:pPr>
        <w:spacing w:after="0" w:line="240" w:lineRule="auto"/>
        <w:ind w:left="426" w:hanging="142"/>
        <w:rPr>
          <w:rFonts w:ascii="Arial" w:hAnsi="Arial" w:cs="Arial"/>
          <w:i/>
          <w:sz w:val="20"/>
          <w:szCs w:val="20"/>
        </w:rPr>
      </w:pPr>
      <w:r>
        <w:rPr>
          <w:rFonts w:ascii="Arial" w:hAnsi="Arial" w:cs="Arial"/>
          <w:i/>
          <w:sz w:val="20"/>
          <w:szCs w:val="20"/>
        </w:rPr>
        <w:t>* inclusiv corpurile de apă considerate posibil a fi puternic modificate, conform nivelului de informații disponibile la acel moment (2004)</w:t>
      </w:r>
    </w:p>
    <w:p w14:paraId="2D574A60" w14:textId="77777777" w:rsidR="004B3AAB" w:rsidRDefault="004B3AAB" w:rsidP="004B3AAB">
      <w:pPr>
        <w:spacing w:after="0" w:line="240" w:lineRule="auto"/>
        <w:ind w:left="426" w:hanging="142"/>
        <w:rPr>
          <w:rFonts w:ascii="Arial" w:hAnsi="Arial" w:cs="Arial"/>
          <w:i/>
          <w:sz w:val="20"/>
          <w:szCs w:val="20"/>
        </w:rPr>
      </w:pPr>
      <w:r>
        <w:rPr>
          <w:rFonts w:ascii="Arial" w:hAnsi="Arial" w:cs="Arial"/>
          <w:i/>
          <w:sz w:val="20"/>
          <w:szCs w:val="20"/>
        </w:rPr>
        <w:t xml:space="preserve">** potrivit Planului Național de management actualizat  </w:t>
      </w:r>
      <w:bookmarkStart w:id="39" w:name="_Hlk76479484"/>
      <w:r>
        <w:rPr>
          <w:rFonts w:ascii="Arial" w:hAnsi="Arial" w:cs="Arial"/>
          <w:i/>
          <w:sz w:val="20"/>
          <w:szCs w:val="20"/>
        </w:rPr>
        <w:t>(</w:t>
      </w:r>
      <w:hyperlink r:id="rId44" w:history="1">
        <w:r>
          <w:rPr>
            <w:rStyle w:val="Hyperlink"/>
            <w:rFonts w:ascii="Arial" w:hAnsi="Arial" w:cs="Arial"/>
            <w:i/>
            <w:sz w:val="20"/>
            <w:szCs w:val="20"/>
          </w:rPr>
          <w:t>https://rowater.ro/despre-noi/descrierea-activitatii/managementul-european-integrat-resurse-de-apa/planurile-de-management-ale-bazinelor-hidrografice/planuri-de-management-nationale/</w:t>
        </w:r>
      </w:hyperlink>
      <w:r>
        <w:rPr>
          <w:rFonts w:ascii="Arial" w:hAnsi="Arial" w:cs="Arial"/>
          <w:i/>
          <w:sz w:val="20"/>
          <w:szCs w:val="20"/>
        </w:rPr>
        <w:t>)</w:t>
      </w:r>
    </w:p>
    <w:bookmarkEnd w:id="39"/>
    <w:p w14:paraId="08CD088A" w14:textId="77777777" w:rsidR="004B3AAB" w:rsidRDefault="004B3AAB" w:rsidP="004B3AAB">
      <w:pPr>
        <w:spacing w:after="0" w:line="240" w:lineRule="auto"/>
        <w:jc w:val="both"/>
        <w:rPr>
          <w:rFonts w:ascii="Arial" w:hAnsi="Arial" w:cs="Arial"/>
          <w:i/>
          <w:sz w:val="20"/>
          <w:szCs w:val="20"/>
        </w:rPr>
      </w:pPr>
      <w:r>
        <w:rPr>
          <w:rFonts w:ascii="Arial" w:hAnsi="Arial" w:cs="Arial"/>
          <w:i/>
          <w:sz w:val="20"/>
          <w:szCs w:val="20"/>
        </w:rPr>
        <w:t>(Sursa datelor: Administrația Națională „Apele Române”, rapoarte conform cerințelor art. 5 și 13 ale Directivei Cadru Apă 2000/60/CE)</w:t>
      </w:r>
    </w:p>
    <w:p w14:paraId="3CCD4A6F" w14:textId="77777777" w:rsidR="004B3AAB" w:rsidRDefault="004B3AAB" w:rsidP="004B3AAB">
      <w:pPr>
        <w:spacing w:after="0" w:line="240" w:lineRule="auto"/>
        <w:ind w:firstLine="567"/>
        <w:jc w:val="both"/>
        <w:rPr>
          <w:rFonts w:ascii="Arial" w:hAnsi="Arial" w:cs="Arial"/>
          <w:sz w:val="24"/>
          <w:szCs w:val="24"/>
        </w:rPr>
      </w:pPr>
    </w:p>
    <w:p w14:paraId="2AAD55EC"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Criteriile pentru identificarea presiunilor hidromorfologice utilizate în cadrul Planului de Management actualizat (definite în cadrul Proiectului Regional UNDP-GEF al Dunării), au fost utilizate și în  proiectul Planului de Management actualizat 2021, ținând cont de tipul de presiune, intensitatea presiunii, stabilită pe baza unor parametrii abiotici, precum și efectul acestora asupra biotei.</w:t>
      </w:r>
    </w:p>
    <w:p w14:paraId="56C61128"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 xml:space="preserve">Astfel, în cadrul celui de-al treilea Plan Național de Management actualizat, au fost inventariate tipurile de presiuni hidromorfologice potențial semnificative identificate la nivel naţional </w:t>
      </w:r>
      <w:r>
        <w:rPr>
          <w:rFonts w:ascii="Arial" w:hAnsi="Arial" w:cs="Arial"/>
          <w:i/>
          <w:sz w:val="24"/>
          <w:szCs w:val="24"/>
        </w:rPr>
        <w:t>(Tabel II.1.1.4.2)</w:t>
      </w:r>
      <w:r>
        <w:rPr>
          <w:rFonts w:ascii="Arial" w:hAnsi="Arial" w:cs="Arial"/>
          <w:sz w:val="24"/>
          <w:szCs w:val="24"/>
        </w:rPr>
        <w:t xml:space="preserve">, datorate următoarelor categorii de lucrări: </w:t>
      </w:r>
    </w:p>
    <w:p w14:paraId="078CFDE2" w14:textId="77777777" w:rsidR="004B3AAB" w:rsidRDefault="004B3AAB" w:rsidP="004B3AAB">
      <w:pPr>
        <w:spacing w:after="0" w:line="240" w:lineRule="auto"/>
        <w:ind w:left="284" w:hanging="284"/>
        <w:jc w:val="both"/>
        <w:rPr>
          <w:rFonts w:ascii="Arial" w:hAnsi="Arial" w:cs="Arial"/>
          <w:sz w:val="24"/>
          <w:szCs w:val="24"/>
        </w:rPr>
      </w:pPr>
      <w:r>
        <w:rPr>
          <w:rFonts w:ascii="Arial" w:hAnsi="Arial" w:cs="Arial"/>
          <w:sz w:val="24"/>
          <w:szCs w:val="24"/>
        </w:rPr>
        <w:t>•</w:t>
      </w:r>
      <w:r>
        <w:rPr>
          <w:rFonts w:ascii="Arial" w:hAnsi="Arial" w:cs="Arial"/>
          <w:sz w:val="24"/>
          <w:szCs w:val="24"/>
        </w:rPr>
        <w:tab/>
      </w:r>
      <w:r>
        <w:rPr>
          <w:rFonts w:ascii="Arial" w:hAnsi="Arial" w:cs="Arial"/>
          <w:b/>
          <w:bCs/>
          <w:sz w:val="24"/>
          <w:szCs w:val="24"/>
        </w:rPr>
        <w:t>Lucrări de barare transversală situate pe corpul de apă</w:t>
      </w:r>
      <w:r>
        <w:rPr>
          <w:rFonts w:ascii="Arial" w:hAnsi="Arial" w:cs="Arial"/>
          <w:sz w:val="24"/>
          <w:szCs w:val="24"/>
        </w:rPr>
        <w:t xml:space="preserve"> – de tip baraje, praguri de priză de alimentare cu apă, irigații, praguri de cădere sau rupere de pantă, praguri pentru corecție sau stabilizare talveg,</w:t>
      </w:r>
      <w:r>
        <w:rPr>
          <w:rFonts w:ascii="Arial" w:hAnsi="Arial" w:cs="Arial"/>
        </w:rPr>
        <w:t xml:space="preserve"> </w:t>
      </w:r>
      <w:r>
        <w:rPr>
          <w:rFonts w:ascii="Arial" w:hAnsi="Arial" w:cs="Arial"/>
          <w:sz w:val="24"/>
          <w:szCs w:val="24"/>
        </w:rPr>
        <w:t>praguri de fund, care întrerup conectivitatea longitudinală a corpului de apă, cu efecte asupra regimului hidrologic, stabilității albiei, transportului sedimentelor și a migrării biotei;</w:t>
      </w:r>
    </w:p>
    <w:p w14:paraId="46F46C1E" w14:textId="77777777" w:rsidR="004B3AAB" w:rsidRDefault="004B3AAB" w:rsidP="004B3AAB">
      <w:pPr>
        <w:spacing w:after="0" w:line="240" w:lineRule="auto"/>
        <w:ind w:left="284" w:hanging="284"/>
        <w:jc w:val="both"/>
        <w:rPr>
          <w:rFonts w:ascii="Arial" w:hAnsi="Arial" w:cs="Arial"/>
          <w:sz w:val="24"/>
          <w:szCs w:val="24"/>
        </w:rPr>
      </w:pPr>
      <w:r>
        <w:rPr>
          <w:rFonts w:ascii="Arial" w:hAnsi="Arial" w:cs="Arial"/>
          <w:sz w:val="24"/>
          <w:szCs w:val="24"/>
        </w:rPr>
        <w:t>•</w:t>
      </w:r>
      <w:r>
        <w:rPr>
          <w:rFonts w:ascii="Arial" w:hAnsi="Arial" w:cs="Arial"/>
          <w:sz w:val="24"/>
          <w:szCs w:val="24"/>
        </w:rPr>
        <w:tab/>
      </w:r>
      <w:r>
        <w:rPr>
          <w:rFonts w:ascii="Arial" w:hAnsi="Arial" w:cs="Arial"/>
          <w:b/>
          <w:bCs/>
          <w:sz w:val="24"/>
          <w:szCs w:val="24"/>
        </w:rPr>
        <w:t>Lucrări în lungul râului</w:t>
      </w:r>
      <w:r>
        <w:rPr>
          <w:rFonts w:ascii="Arial" w:hAnsi="Arial" w:cs="Arial"/>
          <w:sz w:val="24"/>
          <w:szCs w:val="24"/>
        </w:rPr>
        <w:t xml:space="preserve"> - de tip diguri, amenajări agricole și piscicole, lucrări de regularizare și consolidare maluri, tăieri de meandre - care conduc la pierderea conectivității laterale, cu efecte asupra morfologiei albiei  si a zonei ripariene, a luncii inundabile, a vegetației din lunca inundabilă și a zonelor de reproducere și asupra profilului longitudinal al râului, structurii substratului și biotei;</w:t>
      </w:r>
      <w:r>
        <w:rPr>
          <w:rFonts w:ascii="Arial" w:hAnsi="Arial" w:cs="Arial"/>
        </w:rPr>
        <w:t xml:space="preserve"> </w:t>
      </w:r>
      <w:r>
        <w:rPr>
          <w:rFonts w:ascii="Arial" w:hAnsi="Arial" w:cs="Arial"/>
          <w:sz w:val="24"/>
          <w:szCs w:val="24"/>
        </w:rPr>
        <w:t>luncile inundabile, în starea lor naturală, reprezintă o componentă ecologică importantă a ecosistemului: filtrează și stochează apă, funcționează ca protecție împotriva inundațiilor, asigură o bună funcționare a râurilor și ajută la conservarea biodiversității;</w:t>
      </w:r>
    </w:p>
    <w:p w14:paraId="29E48A66" w14:textId="77777777" w:rsidR="004B3AAB" w:rsidRDefault="004B3AAB" w:rsidP="004B3AAB">
      <w:pPr>
        <w:spacing w:after="0" w:line="240" w:lineRule="auto"/>
        <w:ind w:left="284" w:hanging="284"/>
        <w:jc w:val="both"/>
        <w:rPr>
          <w:rFonts w:ascii="Arial" w:hAnsi="Arial" w:cs="Arial"/>
          <w:sz w:val="24"/>
          <w:szCs w:val="24"/>
        </w:rPr>
      </w:pPr>
      <w:r>
        <w:rPr>
          <w:rFonts w:ascii="Arial" w:hAnsi="Arial" w:cs="Arial"/>
          <w:sz w:val="24"/>
          <w:szCs w:val="24"/>
        </w:rPr>
        <w:t>•</w:t>
      </w:r>
      <w:r>
        <w:rPr>
          <w:rFonts w:ascii="Arial" w:hAnsi="Arial" w:cs="Arial"/>
          <w:sz w:val="24"/>
          <w:szCs w:val="24"/>
        </w:rPr>
        <w:tab/>
      </w:r>
      <w:r>
        <w:rPr>
          <w:rFonts w:ascii="Arial" w:hAnsi="Arial" w:cs="Arial"/>
          <w:b/>
          <w:bCs/>
          <w:sz w:val="24"/>
          <w:szCs w:val="24"/>
        </w:rPr>
        <w:t>Prelevări și restituții/ derivații</w:t>
      </w:r>
      <w:r>
        <w:rPr>
          <w:rFonts w:ascii="Arial" w:hAnsi="Arial" w:cs="Arial"/>
          <w:sz w:val="24"/>
          <w:szCs w:val="24"/>
        </w:rPr>
        <w:t xml:space="preserve"> - prize de apă, restituții folosințe (evacuări), derivații cu efecte asupra curgerii minime, stabilității albiei și biotei;</w:t>
      </w:r>
    </w:p>
    <w:p w14:paraId="3F9E3A2E" w14:textId="77777777" w:rsidR="004B3AAB" w:rsidRDefault="004B3AAB" w:rsidP="004B3AAB">
      <w:pPr>
        <w:spacing w:after="0" w:line="240" w:lineRule="auto"/>
        <w:ind w:left="284" w:hanging="284"/>
        <w:jc w:val="both"/>
        <w:rPr>
          <w:rFonts w:ascii="Arial" w:hAnsi="Arial" w:cs="Arial"/>
          <w:sz w:val="24"/>
          <w:szCs w:val="24"/>
        </w:rPr>
      </w:pPr>
      <w:r>
        <w:rPr>
          <w:rFonts w:ascii="Arial" w:hAnsi="Arial" w:cs="Arial"/>
          <w:sz w:val="24"/>
          <w:szCs w:val="24"/>
        </w:rPr>
        <w:t>•</w:t>
      </w:r>
      <w:r>
        <w:rPr>
          <w:rFonts w:ascii="Arial" w:hAnsi="Arial" w:cs="Arial"/>
          <w:sz w:val="24"/>
          <w:szCs w:val="24"/>
        </w:rPr>
        <w:tab/>
        <w:t xml:space="preserve"> </w:t>
      </w:r>
      <w:r>
        <w:rPr>
          <w:rFonts w:ascii="Arial" w:hAnsi="Arial" w:cs="Arial"/>
          <w:b/>
          <w:bCs/>
          <w:sz w:val="24"/>
          <w:szCs w:val="24"/>
        </w:rPr>
        <w:t>Șenale navigabile</w:t>
      </w:r>
      <w:r>
        <w:rPr>
          <w:rFonts w:ascii="Arial" w:hAnsi="Arial" w:cs="Arial"/>
          <w:sz w:val="24"/>
          <w:szCs w:val="24"/>
        </w:rPr>
        <w:t xml:space="preserve"> – cu efecte asupra stabilității albiei și biotei.</w:t>
      </w:r>
    </w:p>
    <w:p w14:paraId="342AC95C" w14:textId="77777777" w:rsidR="004B3AAB" w:rsidRDefault="004B3AAB" w:rsidP="004B3AAB">
      <w:pPr>
        <w:spacing w:after="0" w:line="240" w:lineRule="auto"/>
        <w:ind w:firstLine="567"/>
        <w:jc w:val="both"/>
        <w:rPr>
          <w:rFonts w:ascii="Arial" w:hAnsi="Arial" w:cs="Arial"/>
          <w:sz w:val="24"/>
          <w:szCs w:val="24"/>
        </w:rPr>
      </w:pPr>
      <w:r>
        <w:rPr>
          <w:rFonts w:ascii="Arial" w:hAnsi="Arial" w:cs="Arial"/>
          <w:sz w:val="24"/>
          <w:szCs w:val="24"/>
        </w:rPr>
        <w:t xml:space="preserve">Aceste lucrări au fost executate pe corpurile de apă în diverse scopuri, și anume: protejarea populației împotriva inundațiilor, asigurarea cerinţei de apă, regularizarea debitelor naturale, producerea de energie prin hidrocentrale etc), cu efecte funcţionale pentru comunităţile umane. </w:t>
      </w:r>
    </w:p>
    <w:p w14:paraId="687B8F4F" w14:textId="77777777" w:rsidR="004B3AAB" w:rsidRDefault="004B3AAB" w:rsidP="004B3AAB">
      <w:pPr>
        <w:spacing w:before="120" w:after="120" w:line="240" w:lineRule="auto"/>
        <w:ind w:firstLine="567"/>
        <w:jc w:val="both"/>
        <w:rPr>
          <w:rFonts w:ascii="Arial" w:hAnsi="Arial" w:cs="Arial"/>
          <w:sz w:val="24"/>
          <w:szCs w:val="24"/>
        </w:rPr>
      </w:pPr>
      <w:r>
        <w:rPr>
          <w:rFonts w:ascii="Arial" w:hAnsi="Arial" w:cs="Arial"/>
          <w:sz w:val="24"/>
          <w:szCs w:val="24"/>
        </w:rPr>
        <w:t xml:space="preserve">Potrivit Planului național de management actualizat 2021,  centralizarea la nivel naţional a presiunilor potențial semnificative care afectează în mod semnificativ caracteristicile hidromorfologice ale corpurilor de apă este prezentată în continuare în </w:t>
      </w:r>
      <w:r>
        <w:rPr>
          <w:rFonts w:ascii="Arial" w:hAnsi="Arial" w:cs="Arial"/>
          <w:i/>
          <w:sz w:val="24"/>
          <w:szCs w:val="24"/>
        </w:rPr>
        <w:t>Tabelul II.1.1.4.2</w:t>
      </w:r>
      <w:r>
        <w:rPr>
          <w:rFonts w:ascii="Arial" w:hAnsi="Arial" w:cs="Arial"/>
          <w:sz w:val="24"/>
          <w:szCs w:val="24"/>
        </w:rPr>
        <w:t xml:space="preserve"> și </w:t>
      </w:r>
      <w:r>
        <w:rPr>
          <w:rFonts w:ascii="Arial" w:hAnsi="Arial" w:cs="Arial"/>
          <w:i/>
          <w:sz w:val="24"/>
          <w:szCs w:val="24"/>
        </w:rPr>
        <w:t xml:space="preserve">Figurile II.1.1.4-5. </w:t>
      </w:r>
      <w:r>
        <w:rPr>
          <w:rFonts w:ascii="Arial" w:hAnsi="Arial" w:cs="Arial"/>
          <w:sz w:val="24"/>
          <w:szCs w:val="24"/>
        </w:rPr>
        <w:t xml:space="preserve">Astfel, la nivel național s-au identificat 5.349 presiuni hidromorfologice potențial semnificative. Se precizează că toate acest presiuni reprezintă presiuni </w:t>
      </w:r>
      <w:r>
        <w:rPr>
          <w:rFonts w:ascii="Arial" w:hAnsi="Arial" w:cs="Arial"/>
        </w:rPr>
        <w:t xml:space="preserve">punctuale </w:t>
      </w:r>
      <w:r>
        <w:rPr>
          <w:rFonts w:ascii="Arial" w:hAnsi="Arial" w:cs="Arial"/>
          <w:sz w:val="24"/>
          <w:szCs w:val="24"/>
        </w:rPr>
        <w:t>de natură hidromorfologică, situate pe corpurile de apă, aproape in totalitatea lor caracterul potential semnificativ fiind dat de cumulul aceluasi tip de presiune la nivelul corpului de apă</w:t>
      </w:r>
    </w:p>
    <w:p w14:paraId="6735AF13" w14:textId="77777777" w:rsidR="004B3AAB" w:rsidRDefault="004B3AAB" w:rsidP="004B3AAB">
      <w:pPr>
        <w:spacing w:before="120" w:after="120" w:line="240" w:lineRule="auto"/>
        <w:ind w:firstLine="567"/>
        <w:jc w:val="both"/>
        <w:rPr>
          <w:rFonts w:ascii="Arial" w:hAnsi="Arial" w:cs="Arial"/>
          <w:i/>
          <w:sz w:val="24"/>
          <w:szCs w:val="24"/>
        </w:rPr>
      </w:pPr>
      <w:r>
        <w:rPr>
          <w:rFonts w:ascii="Arial" w:hAnsi="Arial" w:cs="Arial"/>
          <w:sz w:val="24"/>
          <w:szCs w:val="24"/>
        </w:rPr>
        <w:t>În urma aplicării procesului de validare a presiunilor potențial semnificative – alterări hidromorfologice cu atingerea obiectivelor de mediu de către corpurile de apă de suprafață, la nivel național s-a identificat un număr de 402 presiuni hidromorfologice semnificative</w:t>
      </w:r>
      <w:r>
        <w:rPr>
          <w:rFonts w:ascii="Arial" w:hAnsi="Arial" w:cs="Arial"/>
          <w:i/>
          <w:sz w:val="24"/>
          <w:szCs w:val="24"/>
        </w:rPr>
        <w:t>.</w:t>
      </w:r>
    </w:p>
    <w:p w14:paraId="118A62E4" w14:textId="77777777" w:rsidR="004B3AAB" w:rsidRDefault="004B3AAB" w:rsidP="004B3AAB">
      <w:pPr>
        <w:spacing w:after="0" w:line="240" w:lineRule="auto"/>
        <w:jc w:val="both"/>
        <w:rPr>
          <w:rFonts w:ascii="Arial" w:hAnsi="Arial" w:cs="Arial"/>
          <w:b/>
        </w:rPr>
      </w:pPr>
      <w:r w:rsidRPr="00801A8F">
        <w:rPr>
          <w:rFonts w:ascii="Arial" w:hAnsi="Arial" w:cs="Arial"/>
          <w:b/>
        </w:rPr>
        <w:t xml:space="preserve">Tabel II.1.1.4.2. </w:t>
      </w:r>
      <w:r>
        <w:rPr>
          <w:rFonts w:ascii="Arial" w:hAnsi="Arial" w:cs="Arial"/>
          <w:b/>
        </w:rPr>
        <w:t>Presiuni hidromorfologice potențial semnificative ale corpurilor de apă</w:t>
      </w:r>
    </w:p>
    <w:p w14:paraId="05008964" w14:textId="77777777" w:rsidR="004B3AAB" w:rsidRDefault="004B3AAB" w:rsidP="004B3AAB">
      <w:pPr>
        <w:spacing w:after="0" w:line="240" w:lineRule="auto"/>
        <w:jc w:val="both"/>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1680"/>
        <w:gridCol w:w="1845"/>
        <w:gridCol w:w="980"/>
        <w:gridCol w:w="1078"/>
        <w:gridCol w:w="3038"/>
      </w:tblGrid>
      <w:tr w:rsidR="004B3AAB" w14:paraId="70D7C941" w14:textId="77777777" w:rsidTr="00C74E50">
        <w:trPr>
          <w:jc w:val="center"/>
        </w:trPr>
        <w:tc>
          <w:tcPr>
            <w:tcW w:w="738" w:type="dxa"/>
            <w:shd w:val="clear" w:color="auto" w:fill="BDD6EE"/>
            <w:vAlign w:val="center"/>
          </w:tcPr>
          <w:p w14:paraId="00A37C87" w14:textId="77777777" w:rsidR="004B3AAB" w:rsidRDefault="004B3AAB" w:rsidP="00C74E50">
            <w:pPr>
              <w:spacing w:after="0" w:line="240" w:lineRule="auto"/>
              <w:jc w:val="center"/>
              <w:rPr>
                <w:rFonts w:ascii="Arial" w:hAnsi="Arial" w:cs="Arial"/>
                <w:b/>
                <w:sz w:val="20"/>
                <w:szCs w:val="20"/>
              </w:rPr>
            </w:pPr>
            <w:r>
              <w:rPr>
                <w:rFonts w:ascii="Arial" w:hAnsi="Arial" w:cs="Arial"/>
                <w:b/>
                <w:sz w:val="20"/>
                <w:szCs w:val="20"/>
              </w:rPr>
              <w:t>Nr. crt.</w:t>
            </w:r>
          </w:p>
        </w:tc>
        <w:tc>
          <w:tcPr>
            <w:tcW w:w="3600" w:type="dxa"/>
            <w:gridSpan w:val="2"/>
            <w:shd w:val="clear" w:color="auto" w:fill="BDD6EE"/>
            <w:vAlign w:val="center"/>
          </w:tcPr>
          <w:p w14:paraId="1AECE731" w14:textId="77777777" w:rsidR="004B3AAB" w:rsidRDefault="004B3AAB" w:rsidP="00C74E50">
            <w:pPr>
              <w:spacing w:after="0" w:line="240" w:lineRule="auto"/>
              <w:jc w:val="center"/>
              <w:rPr>
                <w:rFonts w:ascii="Arial" w:hAnsi="Arial" w:cs="Arial"/>
                <w:b/>
                <w:sz w:val="20"/>
                <w:szCs w:val="20"/>
              </w:rPr>
            </w:pPr>
            <w:r>
              <w:rPr>
                <w:rFonts w:ascii="Arial" w:hAnsi="Arial" w:cs="Arial"/>
                <w:b/>
                <w:sz w:val="20"/>
                <w:szCs w:val="20"/>
              </w:rPr>
              <w:t>Presiuni hidromorfologice</w:t>
            </w:r>
          </w:p>
        </w:tc>
        <w:tc>
          <w:tcPr>
            <w:tcW w:w="990" w:type="dxa"/>
            <w:shd w:val="clear" w:color="auto" w:fill="BDD6EE"/>
            <w:vAlign w:val="center"/>
          </w:tcPr>
          <w:p w14:paraId="0D6DF35C" w14:textId="77777777" w:rsidR="004B3AAB" w:rsidRDefault="004B3AAB" w:rsidP="00C74E50">
            <w:pPr>
              <w:spacing w:after="0" w:line="240" w:lineRule="auto"/>
              <w:jc w:val="center"/>
              <w:rPr>
                <w:rFonts w:ascii="Arial" w:hAnsi="Arial" w:cs="Arial"/>
                <w:b/>
                <w:sz w:val="20"/>
                <w:szCs w:val="20"/>
              </w:rPr>
            </w:pPr>
            <w:r>
              <w:rPr>
                <w:rFonts w:ascii="Arial" w:hAnsi="Arial" w:cs="Arial"/>
                <w:b/>
                <w:sz w:val="20"/>
                <w:szCs w:val="20"/>
              </w:rPr>
              <w:t>Număr</w:t>
            </w:r>
          </w:p>
        </w:tc>
        <w:tc>
          <w:tcPr>
            <w:tcW w:w="1080" w:type="dxa"/>
            <w:shd w:val="clear" w:color="auto" w:fill="BDD6EE"/>
            <w:vAlign w:val="center"/>
          </w:tcPr>
          <w:p w14:paraId="4E1DC402" w14:textId="77777777" w:rsidR="004B3AAB" w:rsidRDefault="004B3AAB" w:rsidP="00C74E50">
            <w:pPr>
              <w:spacing w:after="0" w:line="240" w:lineRule="auto"/>
              <w:jc w:val="center"/>
              <w:rPr>
                <w:rFonts w:ascii="Arial" w:hAnsi="Arial" w:cs="Arial"/>
                <w:b/>
                <w:sz w:val="20"/>
                <w:szCs w:val="20"/>
              </w:rPr>
            </w:pPr>
            <w:r>
              <w:rPr>
                <w:rFonts w:ascii="Arial" w:hAnsi="Arial" w:cs="Arial"/>
                <w:b/>
                <w:sz w:val="20"/>
                <w:szCs w:val="20"/>
              </w:rPr>
              <w:t>Lungime (km)</w:t>
            </w:r>
          </w:p>
        </w:tc>
        <w:tc>
          <w:tcPr>
            <w:tcW w:w="3162" w:type="dxa"/>
            <w:shd w:val="clear" w:color="auto" w:fill="BDD6EE"/>
            <w:vAlign w:val="center"/>
          </w:tcPr>
          <w:p w14:paraId="66F57008" w14:textId="77777777" w:rsidR="004B3AAB" w:rsidRDefault="004B3AAB" w:rsidP="00C74E50">
            <w:pPr>
              <w:spacing w:after="0" w:line="240" w:lineRule="auto"/>
              <w:jc w:val="center"/>
              <w:rPr>
                <w:rFonts w:ascii="Arial" w:hAnsi="Arial" w:cs="Arial"/>
                <w:b/>
                <w:sz w:val="20"/>
                <w:szCs w:val="20"/>
              </w:rPr>
            </w:pPr>
            <w:r>
              <w:rPr>
                <w:rFonts w:ascii="Arial" w:hAnsi="Arial" w:cs="Arial"/>
                <w:b/>
                <w:sz w:val="20"/>
                <w:szCs w:val="20"/>
              </w:rPr>
              <w:t>Exemple</w:t>
            </w:r>
          </w:p>
        </w:tc>
      </w:tr>
      <w:tr w:rsidR="004B3AAB" w14:paraId="6501AB23" w14:textId="77777777" w:rsidTr="00C74E50">
        <w:trPr>
          <w:jc w:val="center"/>
        </w:trPr>
        <w:tc>
          <w:tcPr>
            <w:tcW w:w="738" w:type="dxa"/>
            <w:shd w:val="clear" w:color="auto" w:fill="auto"/>
            <w:vAlign w:val="center"/>
          </w:tcPr>
          <w:p w14:paraId="2150C777"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1</w:t>
            </w:r>
          </w:p>
        </w:tc>
        <w:tc>
          <w:tcPr>
            <w:tcW w:w="1710" w:type="dxa"/>
            <w:shd w:val="clear" w:color="auto" w:fill="auto"/>
            <w:vAlign w:val="center"/>
          </w:tcPr>
          <w:p w14:paraId="3300D5A8"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Lucrări de barare transversală situate pe corpul de apă</w:t>
            </w:r>
          </w:p>
        </w:tc>
        <w:tc>
          <w:tcPr>
            <w:tcW w:w="1890" w:type="dxa"/>
            <w:shd w:val="clear" w:color="auto" w:fill="auto"/>
            <w:vAlign w:val="center"/>
          </w:tcPr>
          <w:p w14:paraId="42115510"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Lacuri de acumulare a căror suprafaţă este mai mare de 0,5 km</w:t>
            </w:r>
            <w:r>
              <w:rPr>
                <w:rFonts w:ascii="Arial" w:hAnsi="Arial" w:cs="Arial"/>
                <w:sz w:val="20"/>
                <w:szCs w:val="20"/>
                <w:vertAlign w:val="superscript"/>
              </w:rPr>
              <w:t>2</w:t>
            </w:r>
          </w:p>
        </w:tc>
        <w:tc>
          <w:tcPr>
            <w:tcW w:w="990" w:type="dxa"/>
            <w:shd w:val="clear" w:color="auto" w:fill="auto"/>
            <w:vAlign w:val="center"/>
          </w:tcPr>
          <w:p w14:paraId="2DF92825"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2.917</w:t>
            </w:r>
          </w:p>
        </w:tc>
        <w:tc>
          <w:tcPr>
            <w:tcW w:w="1080" w:type="dxa"/>
            <w:shd w:val="clear" w:color="auto" w:fill="auto"/>
            <w:vAlign w:val="center"/>
          </w:tcPr>
          <w:p w14:paraId="4A85EB68" w14:textId="77777777" w:rsidR="004B3AAB" w:rsidRDefault="004B3AAB" w:rsidP="00C74E50">
            <w:pPr>
              <w:spacing w:after="0" w:line="240" w:lineRule="auto"/>
              <w:jc w:val="both"/>
              <w:rPr>
                <w:rFonts w:ascii="Arial" w:hAnsi="Arial" w:cs="Arial"/>
                <w:b/>
                <w:sz w:val="20"/>
                <w:szCs w:val="20"/>
              </w:rPr>
            </w:pPr>
          </w:p>
        </w:tc>
        <w:tc>
          <w:tcPr>
            <w:tcW w:w="3162" w:type="dxa"/>
            <w:shd w:val="clear" w:color="auto" w:fill="auto"/>
            <w:vAlign w:val="center"/>
          </w:tcPr>
          <w:p w14:paraId="0EA4D811"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Baraje, praguri  pentru următoarele folosințe: producere de energie electrică, apărare împotriva inundațiilor, apă potabilă, irigații, recreere, industrie, navigație etc. Dintre acestea, 211 au fost evaluate ca presiuni semnificative.</w:t>
            </w:r>
          </w:p>
        </w:tc>
      </w:tr>
      <w:tr w:rsidR="004B3AAB" w14:paraId="4606F8F2" w14:textId="77777777" w:rsidTr="00C74E50">
        <w:trPr>
          <w:jc w:val="center"/>
        </w:trPr>
        <w:tc>
          <w:tcPr>
            <w:tcW w:w="738" w:type="dxa"/>
            <w:vMerge w:val="restart"/>
            <w:shd w:val="clear" w:color="auto" w:fill="auto"/>
            <w:vAlign w:val="center"/>
          </w:tcPr>
          <w:p w14:paraId="0C0F48F1"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2</w:t>
            </w:r>
          </w:p>
        </w:tc>
        <w:tc>
          <w:tcPr>
            <w:tcW w:w="1710" w:type="dxa"/>
            <w:vMerge w:val="restart"/>
            <w:shd w:val="clear" w:color="auto" w:fill="auto"/>
            <w:vAlign w:val="center"/>
          </w:tcPr>
          <w:p w14:paraId="416DF641"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Lucrări în lungul cursurilor de apă</w:t>
            </w:r>
          </w:p>
        </w:tc>
        <w:tc>
          <w:tcPr>
            <w:tcW w:w="1890" w:type="dxa"/>
            <w:shd w:val="clear" w:color="auto" w:fill="auto"/>
            <w:vAlign w:val="center"/>
          </w:tcPr>
          <w:p w14:paraId="328CF800"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Îndiguiri</w:t>
            </w:r>
          </w:p>
        </w:tc>
        <w:tc>
          <w:tcPr>
            <w:tcW w:w="990" w:type="dxa"/>
            <w:vMerge w:val="restart"/>
            <w:shd w:val="clear" w:color="auto" w:fill="auto"/>
            <w:vAlign w:val="center"/>
          </w:tcPr>
          <w:p w14:paraId="6512F06A"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1697</w:t>
            </w:r>
          </w:p>
        </w:tc>
        <w:tc>
          <w:tcPr>
            <w:tcW w:w="1080" w:type="dxa"/>
            <w:shd w:val="clear" w:color="auto" w:fill="auto"/>
            <w:vAlign w:val="center"/>
          </w:tcPr>
          <w:p w14:paraId="229DF93D"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8.783</w:t>
            </w:r>
          </w:p>
        </w:tc>
        <w:tc>
          <w:tcPr>
            <w:tcW w:w="3162" w:type="dxa"/>
            <w:vMerge w:val="restart"/>
            <w:shd w:val="clear" w:color="auto" w:fill="auto"/>
            <w:vAlign w:val="center"/>
          </w:tcPr>
          <w:p w14:paraId="216F4DC3"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Presiunile potențial semnificative sunt datorate folosințelor de tipul apărare împotriva inundațiilor, agricultură, navigație având ca efecte alterări ale albiei, alterări ale zonei ripariene, precum și pierderi fizice ale unei părți din corpul de apă. Dintre acestea, 168 au fost evaluate ca presiuni semnificative.</w:t>
            </w:r>
          </w:p>
        </w:tc>
      </w:tr>
      <w:tr w:rsidR="004B3AAB" w14:paraId="3368964F" w14:textId="77777777" w:rsidTr="00C74E50">
        <w:trPr>
          <w:jc w:val="center"/>
        </w:trPr>
        <w:tc>
          <w:tcPr>
            <w:tcW w:w="738" w:type="dxa"/>
            <w:vMerge/>
            <w:shd w:val="clear" w:color="auto" w:fill="auto"/>
            <w:vAlign w:val="center"/>
          </w:tcPr>
          <w:p w14:paraId="14894438" w14:textId="77777777" w:rsidR="004B3AAB" w:rsidRDefault="004B3AAB" w:rsidP="00C74E50">
            <w:pPr>
              <w:spacing w:after="0" w:line="240" w:lineRule="auto"/>
              <w:jc w:val="both"/>
              <w:rPr>
                <w:rFonts w:ascii="Arial" w:hAnsi="Arial" w:cs="Arial"/>
                <w:b/>
                <w:sz w:val="20"/>
                <w:szCs w:val="20"/>
              </w:rPr>
            </w:pPr>
          </w:p>
        </w:tc>
        <w:tc>
          <w:tcPr>
            <w:tcW w:w="1710" w:type="dxa"/>
            <w:vMerge/>
            <w:shd w:val="clear" w:color="auto" w:fill="auto"/>
            <w:vAlign w:val="center"/>
          </w:tcPr>
          <w:p w14:paraId="710AC5D3" w14:textId="77777777" w:rsidR="004B3AAB" w:rsidRDefault="004B3AAB" w:rsidP="00C74E50">
            <w:pPr>
              <w:spacing w:after="0" w:line="240" w:lineRule="auto"/>
              <w:jc w:val="both"/>
              <w:rPr>
                <w:rFonts w:ascii="Arial" w:hAnsi="Arial" w:cs="Arial"/>
                <w:b/>
                <w:sz w:val="20"/>
                <w:szCs w:val="20"/>
              </w:rPr>
            </w:pPr>
          </w:p>
        </w:tc>
        <w:tc>
          <w:tcPr>
            <w:tcW w:w="1890" w:type="dxa"/>
            <w:shd w:val="clear" w:color="auto" w:fill="auto"/>
            <w:vAlign w:val="center"/>
          </w:tcPr>
          <w:p w14:paraId="4554134F"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Lucrări de regularizare</w:t>
            </w:r>
          </w:p>
        </w:tc>
        <w:tc>
          <w:tcPr>
            <w:tcW w:w="990" w:type="dxa"/>
            <w:vMerge/>
            <w:shd w:val="clear" w:color="auto" w:fill="auto"/>
            <w:vAlign w:val="center"/>
          </w:tcPr>
          <w:p w14:paraId="457587A7" w14:textId="77777777" w:rsidR="004B3AAB" w:rsidRDefault="004B3AAB" w:rsidP="00C74E50">
            <w:pPr>
              <w:spacing w:after="0" w:line="240" w:lineRule="auto"/>
              <w:jc w:val="both"/>
              <w:rPr>
                <w:rFonts w:ascii="Arial" w:hAnsi="Arial" w:cs="Arial"/>
                <w:b/>
                <w:sz w:val="20"/>
                <w:szCs w:val="20"/>
              </w:rPr>
            </w:pPr>
          </w:p>
        </w:tc>
        <w:tc>
          <w:tcPr>
            <w:tcW w:w="1080" w:type="dxa"/>
            <w:shd w:val="clear" w:color="auto" w:fill="auto"/>
            <w:vAlign w:val="center"/>
          </w:tcPr>
          <w:p w14:paraId="48E1F639"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7.176</w:t>
            </w:r>
          </w:p>
        </w:tc>
        <w:tc>
          <w:tcPr>
            <w:tcW w:w="3162" w:type="dxa"/>
            <w:vMerge/>
            <w:shd w:val="clear" w:color="auto" w:fill="auto"/>
            <w:vAlign w:val="center"/>
          </w:tcPr>
          <w:p w14:paraId="1FAFB968" w14:textId="77777777" w:rsidR="004B3AAB" w:rsidRDefault="004B3AAB" w:rsidP="00C74E50">
            <w:pPr>
              <w:spacing w:after="0" w:line="240" w:lineRule="auto"/>
              <w:jc w:val="both"/>
              <w:rPr>
                <w:rFonts w:ascii="Arial" w:hAnsi="Arial" w:cs="Arial"/>
                <w:b/>
                <w:sz w:val="20"/>
                <w:szCs w:val="20"/>
              </w:rPr>
            </w:pPr>
          </w:p>
        </w:tc>
      </w:tr>
      <w:tr w:rsidR="004B3AAB" w14:paraId="5CB80109" w14:textId="77777777" w:rsidTr="00C74E50">
        <w:trPr>
          <w:jc w:val="center"/>
        </w:trPr>
        <w:tc>
          <w:tcPr>
            <w:tcW w:w="738" w:type="dxa"/>
            <w:vMerge w:val="restart"/>
            <w:shd w:val="clear" w:color="auto" w:fill="auto"/>
            <w:vAlign w:val="center"/>
          </w:tcPr>
          <w:p w14:paraId="4E5B3222"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3</w:t>
            </w:r>
          </w:p>
        </w:tc>
        <w:tc>
          <w:tcPr>
            <w:tcW w:w="1710" w:type="dxa"/>
            <w:vMerge w:val="restart"/>
            <w:shd w:val="clear" w:color="auto" w:fill="auto"/>
            <w:vAlign w:val="center"/>
          </w:tcPr>
          <w:p w14:paraId="1B9F2F99"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Lucrări de prelevare și restituție a apelor</w:t>
            </w:r>
          </w:p>
        </w:tc>
        <w:tc>
          <w:tcPr>
            <w:tcW w:w="1890" w:type="dxa"/>
            <w:shd w:val="clear" w:color="auto" w:fill="auto"/>
            <w:vAlign w:val="center"/>
          </w:tcPr>
          <w:p w14:paraId="44F1D3FA"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Prelevări de apă</w:t>
            </w:r>
          </w:p>
        </w:tc>
        <w:tc>
          <w:tcPr>
            <w:tcW w:w="990" w:type="dxa"/>
            <w:shd w:val="clear" w:color="auto" w:fill="auto"/>
            <w:vAlign w:val="center"/>
          </w:tcPr>
          <w:p w14:paraId="0C5DFE08"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535</w:t>
            </w:r>
          </w:p>
        </w:tc>
        <w:tc>
          <w:tcPr>
            <w:tcW w:w="1080" w:type="dxa"/>
            <w:shd w:val="clear" w:color="auto" w:fill="auto"/>
            <w:vAlign w:val="center"/>
          </w:tcPr>
          <w:p w14:paraId="0CE73514" w14:textId="77777777" w:rsidR="004B3AAB" w:rsidRDefault="004B3AAB" w:rsidP="00C74E50">
            <w:pPr>
              <w:spacing w:after="0" w:line="240" w:lineRule="auto"/>
              <w:jc w:val="both"/>
              <w:rPr>
                <w:rFonts w:ascii="Arial" w:hAnsi="Arial" w:cs="Arial"/>
                <w:b/>
                <w:sz w:val="20"/>
                <w:szCs w:val="20"/>
              </w:rPr>
            </w:pPr>
          </w:p>
        </w:tc>
        <w:tc>
          <w:tcPr>
            <w:tcW w:w="3162" w:type="dxa"/>
            <w:shd w:val="clear" w:color="auto" w:fill="auto"/>
            <w:vAlign w:val="center"/>
          </w:tcPr>
          <w:p w14:paraId="1CEBEE46" w14:textId="77777777" w:rsidR="004B3AAB" w:rsidRDefault="004B3AAB" w:rsidP="00C74E50">
            <w:pPr>
              <w:spacing w:after="0" w:line="240" w:lineRule="auto"/>
              <w:jc w:val="both"/>
              <w:rPr>
                <w:rFonts w:ascii="Arial" w:hAnsi="Arial" w:cs="Arial"/>
                <w:sz w:val="20"/>
                <w:szCs w:val="20"/>
              </w:rPr>
            </w:pPr>
            <w:r>
              <w:rPr>
                <w:rFonts w:ascii="Arial" w:hAnsi="Arial" w:cs="Arial"/>
                <w:sz w:val="20"/>
                <w:szCs w:val="20"/>
              </w:rPr>
              <w:t>Pentru următoarele folosințe: prelevări de apă, având ca scop prelevări de apă pentru folosințe alimentare cu apă, hidroenergie, industrie, agricultură, alimentare cu apă pentru populație, apă de răcire, producere de energie electrică, ferme piscicole, altele.</w:t>
            </w:r>
          </w:p>
          <w:p w14:paraId="2220BB23"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Dintre acestea, 6 au fost evaluate ca presiuni semnificative.</w:t>
            </w:r>
          </w:p>
        </w:tc>
      </w:tr>
      <w:tr w:rsidR="004B3AAB" w14:paraId="45562A06" w14:textId="77777777" w:rsidTr="00C74E50">
        <w:trPr>
          <w:jc w:val="center"/>
        </w:trPr>
        <w:tc>
          <w:tcPr>
            <w:tcW w:w="738" w:type="dxa"/>
            <w:vMerge/>
            <w:shd w:val="clear" w:color="auto" w:fill="auto"/>
            <w:vAlign w:val="center"/>
          </w:tcPr>
          <w:p w14:paraId="1A0C8F83" w14:textId="77777777" w:rsidR="004B3AAB" w:rsidRDefault="004B3AAB" w:rsidP="00C74E50">
            <w:pPr>
              <w:spacing w:after="0" w:line="240" w:lineRule="auto"/>
              <w:jc w:val="both"/>
              <w:rPr>
                <w:rFonts w:ascii="Arial" w:hAnsi="Arial" w:cs="Arial"/>
                <w:b/>
                <w:sz w:val="20"/>
                <w:szCs w:val="20"/>
              </w:rPr>
            </w:pPr>
          </w:p>
        </w:tc>
        <w:tc>
          <w:tcPr>
            <w:tcW w:w="1710" w:type="dxa"/>
            <w:vMerge/>
            <w:shd w:val="clear" w:color="auto" w:fill="auto"/>
            <w:vAlign w:val="center"/>
          </w:tcPr>
          <w:p w14:paraId="6EEA54E0" w14:textId="77777777" w:rsidR="004B3AAB" w:rsidRDefault="004B3AAB" w:rsidP="00C74E50">
            <w:pPr>
              <w:spacing w:after="0" w:line="240" w:lineRule="auto"/>
              <w:jc w:val="both"/>
              <w:rPr>
                <w:rFonts w:ascii="Arial" w:hAnsi="Arial" w:cs="Arial"/>
                <w:b/>
                <w:sz w:val="20"/>
                <w:szCs w:val="20"/>
              </w:rPr>
            </w:pPr>
          </w:p>
        </w:tc>
        <w:tc>
          <w:tcPr>
            <w:tcW w:w="1890" w:type="dxa"/>
            <w:shd w:val="clear" w:color="auto" w:fill="auto"/>
            <w:vAlign w:val="center"/>
          </w:tcPr>
          <w:p w14:paraId="2EC70FBC"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Derivații și canale</w:t>
            </w:r>
          </w:p>
        </w:tc>
        <w:tc>
          <w:tcPr>
            <w:tcW w:w="990" w:type="dxa"/>
            <w:shd w:val="clear" w:color="auto" w:fill="auto"/>
            <w:vAlign w:val="center"/>
          </w:tcPr>
          <w:p w14:paraId="25B36A9A"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135</w:t>
            </w:r>
          </w:p>
        </w:tc>
        <w:tc>
          <w:tcPr>
            <w:tcW w:w="1080" w:type="dxa"/>
            <w:shd w:val="clear" w:color="auto" w:fill="auto"/>
            <w:vAlign w:val="center"/>
          </w:tcPr>
          <w:p w14:paraId="6F0D5E79" w14:textId="77777777" w:rsidR="004B3AAB" w:rsidRDefault="004B3AAB" w:rsidP="00C74E50">
            <w:pPr>
              <w:spacing w:after="0" w:line="240" w:lineRule="auto"/>
              <w:jc w:val="both"/>
              <w:rPr>
                <w:rFonts w:ascii="Arial" w:hAnsi="Arial" w:cs="Arial"/>
                <w:b/>
                <w:sz w:val="20"/>
                <w:szCs w:val="20"/>
              </w:rPr>
            </w:pPr>
          </w:p>
        </w:tc>
        <w:tc>
          <w:tcPr>
            <w:tcW w:w="3162" w:type="dxa"/>
            <w:shd w:val="clear" w:color="auto" w:fill="auto"/>
            <w:vAlign w:val="center"/>
          </w:tcPr>
          <w:p w14:paraId="6EEE4190"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Derivații și canale având ca scop suplimentarea debitului afluent pentru anumite acumulări, asigurarea cerinţei de apă pentru folosinte de tip gospodărie comunală, industrie, agricultură. Dintre acestea, 15 au fost evaluate ca presiuni semnificative.</w:t>
            </w:r>
          </w:p>
        </w:tc>
      </w:tr>
      <w:tr w:rsidR="004B3AAB" w14:paraId="323F2D14" w14:textId="77777777" w:rsidTr="00C74E50">
        <w:trPr>
          <w:jc w:val="center"/>
        </w:trPr>
        <w:tc>
          <w:tcPr>
            <w:tcW w:w="738" w:type="dxa"/>
            <w:shd w:val="clear" w:color="auto" w:fill="auto"/>
            <w:vAlign w:val="center"/>
          </w:tcPr>
          <w:p w14:paraId="1596F3A3"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4</w:t>
            </w:r>
          </w:p>
        </w:tc>
        <w:tc>
          <w:tcPr>
            <w:tcW w:w="1710" w:type="dxa"/>
            <w:shd w:val="clear" w:color="auto" w:fill="auto"/>
            <w:vAlign w:val="center"/>
          </w:tcPr>
          <w:p w14:paraId="5B0D6451"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Canale navigabile</w:t>
            </w:r>
          </w:p>
        </w:tc>
        <w:tc>
          <w:tcPr>
            <w:tcW w:w="1890" w:type="dxa"/>
            <w:shd w:val="clear" w:color="auto" w:fill="auto"/>
            <w:vAlign w:val="center"/>
          </w:tcPr>
          <w:p w14:paraId="2BCE68CB" w14:textId="77777777" w:rsidR="004B3AAB" w:rsidRDefault="004B3AAB" w:rsidP="00C74E50">
            <w:pPr>
              <w:spacing w:after="0" w:line="240" w:lineRule="auto"/>
              <w:jc w:val="both"/>
              <w:rPr>
                <w:rFonts w:ascii="Arial" w:hAnsi="Arial" w:cs="Arial"/>
                <w:b/>
                <w:sz w:val="20"/>
                <w:szCs w:val="20"/>
              </w:rPr>
            </w:pPr>
          </w:p>
        </w:tc>
        <w:tc>
          <w:tcPr>
            <w:tcW w:w="990" w:type="dxa"/>
            <w:shd w:val="clear" w:color="auto" w:fill="auto"/>
            <w:vAlign w:val="center"/>
          </w:tcPr>
          <w:p w14:paraId="289706C5" w14:textId="77777777" w:rsidR="004B3AAB" w:rsidRDefault="004B3AAB" w:rsidP="00C74E50">
            <w:pPr>
              <w:spacing w:after="0" w:line="240" w:lineRule="auto"/>
              <w:jc w:val="both"/>
              <w:rPr>
                <w:rFonts w:ascii="Arial" w:hAnsi="Arial" w:cs="Arial"/>
                <w:b/>
                <w:sz w:val="20"/>
                <w:szCs w:val="20"/>
              </w:rPr>
            </w:pPr>
            <w:r>
              <w:rPr>
                <w:rFonts w:ascii="Arial" w:hAnsi="Arial" w:cs="Arial"/>
                <w:b/>
                <w:sz w:val="20"/>
                <w:szCs w:val="20"/>
              </w:rPr>
              <w:t>3</w:t>
            </w:r>
          </w:p>
        </w:tc>
        <w:tc>
          <w:tcPr>
            <w:tcW w:w="1080" w:type="dxa"/>
            <w:shd w:val="clear" w:color="auto" w:fill="auto"/>
            <w:vAlign w:val="center"/>
          </w:tcPr>
          <w:p w14:paraId="44EB70EF" w14:textId="77777777" w:rsidR="004B3AAB" w:rsidRDefault="004B3AAB" w:rsidP="00C74E50">
            <w:pPr>
              <w:spacing w:after="0" w:line="240" w:lineRule="auto"/>
              <w:jc w:val="both"/>
              <w:rPr>
                <w:rFonts w:ascii="Arial" w:hAnsi="Arial" w:cs="Arial"/>
                <w:b/>
                <w:sz w:val="20"/>
                <w:szCs w:val="20"/>
              </w:rPr>
            </w:pPr>
          </w:p>
        </w:tc>
        <w:tc>
          <w:tcPr>
            <w:tcW w:w="3162" w:type="dxa"/>
            <w:shd w:val="clear" w:color="auto" w:fill="auto"/>
            <w:vAlign w:val="center"/>
          </w:tcPr>
          <w:p w14:paraId="1758519A" w14:textId="77777777" w:rsidR="004B3AAB" w:rsidRDefault="004B3AAB" w:rsidP="00C74E50">
            <w:pPr>
              <w:spacing w:after="0" w:line="240" w:lineRule="auto"/>
              <w:jc w:val="both"/>
              <w:rPr>
                <w:rFonts w:ascii="Arial" w:hAnsi="Arial" w:cs="Arial"/>
                <w:b/>
                <w:sz w:val="20"/>
                <w:szCs w:val="20"/>
              </w:rPr>
            </w:pPr>
            <w:r>
              <w:rPr>
                <w:rFonts w:ascii="Arial" w:hAnsi="Arial" w:cs="Arial"/>
                <w:sz w:val="20"/>
                <w:szCs w:val="20"/>
              </w:rPr>
              <w:t>Fluviul Dunărea este principala rută navigabilă din România. Pe teritoriul românesc, calea navigabilă se împarte în Dunărea fluvială, de la intrarea în țară până la Tulcea, și Dunărea maritimă, de la Tulcea până la vărsarea în Marea Neagră. De asemenea, canalul Dunăre - Marea Neagră (CDMN) și canalul Poarta Albă - Midia - Năvodari (CPAMN) asigură conexiunea cu Marea Neagră. Singura rută navigabilă pe râurile interioare este canalul Bega. Navigaţia pe canalul Bega nu se mai desfăşoară din anul 1967. În prezent, pe canalul Bega se desfăşoară doar navigaţie de agrement, foarte redusă şi doar pe tronsonul Timişoara – Frontieră.</w:t>
            </w:r>
            <w:r>
              <w:rPr>
                <w:sz w:val="20"/>
                <w:szCs w:val="20"/>
              </w:rPr>
              <w:t xml:space="preserve"> </w:t>
            </w:r>
            <w:r>
              <w:rPr>
                <w:rFonts w:ascii="Arial" w:hAnsi="Arial" w:cs="Arial"/>
                <w:sz w:val="20"/>
                <w:szCs w:val="20"/>
              </w:rPr>
              <w:t>Din cele 3 presiuni potențial semnificative de tipul canale navigabile, niciuna nu a fost evaluată ca presiune semnificativă.</w:t>
            </w:r>
          </w:p>
        </w:tc>
      </w:tr>
    </w:tbl>
    <w:p w14:paraId="3CB13195" w14:textId="77777777" w:rsidR="004B3AAB" w:rsidRDefault="004B3AAB" w:rsidP="004B3AAB">
      <w:pPr>
        <w:spacing w:before="120" w:after="120" w:line="240" w:lineRule="auto"/>
        <w:jc w:val="both"/>
        <w:rPr>
          <w:rFonts w:ascii="Arial" w:hAnsi="Arial" w:cs="Arial"/>
          <w:i/>
          <w:sz w:val="20"/>
          <w:szCs w:val="20"/>
        </w:rPr>
      </w:pPr>
      <w:r>
        <w:rPr>
          <w:rFonts w:ascii="Arial" w:hAnsi="Arial" w:cs="Arial"/>
          <w:i/>
          <w:sz w:val="20"/>
          <w:szCs w:val="20"/>
        </w:rPr>
        <w:t>(Sursa datelor: Administrația Națională „Apele Române”, Planul Național de Management actualizat (</w:t>
      </w:r>
      <w:hyperlink r:id="rId45" w:history="1">
        <w:r>
          <w:rPr>
            <w:rStyle w:val="Hyperlink"/>
            <w:rFonts w:ascii="Arial" w:hAnsi="Arial" w:cs="Arial"/>
            <w:i/>
            <w:sz w:val="20"/>
            <w:szCs w:val="20"/>
          </w:rPr>
          <w:t>https://rowater.ro/despre-noi/descrierea-activitatii/managementul-european-integrat-resurse-de-apa/planurile-de-management-ale-bazinelor-hidrografice/planuri-de-management-nationale/</w:t>
        </w:r>
      </w:hyperlink>
      <w:r>
        <w:rPr>
          <w:rFonts w:ascii="Arial" w:hAnsi="Arial" w:cs="Arial"/>
          <w:i/>
          <w:sz w:val="20"/>
          <w:szCs w:val="20"/>
        </w:rPr>
        <w:t>) )</w:t>
      </w:r>
    </w:p>
    <w:p w14:paraId="74C7E862" w14:textId="77777777" w:rsidR="004B3AAB" w:rsidRDefault="004B3AAB" w:rsidP="004B3AAB">
      <w:pPr>
        <w:spacing w:after="0" w:line="240" w:lineRule="auto"/>
        <w:jc w:val="both"/>
        <w:rPr>
          <w:rFonts w:ascii="Arial" w:hAnsi="Arial" w:cs="Arial"/>
          <w:b/>
        </w:rPr>
      </w:pPr>
    </w:p>
    <w:p w14:paraId="342AEDD7" w14:textId="77777777" w:rsidR="004B3AAB" w:rsidRPr="00CF5D74" w:rsidRDefault="004B3AAB" w:rsidP="004B3AAB">
      <w:pPr>
        <w:pStyle w:val="Default"/>
        <w:jc w:val="both"/>
        <w:rPr>
          <w:iCs/>
        </w:rPr>
      </w:pPr>
      <w:r w:rsidRPr="00CF5D74">
        <w:rPr>
          <w:b/>
          <w:bCs/>
          <w:iCs/>
        </w:rPr>
        <w:lastRenderedPageBreak/>
        <w:t>Figura II.1.1.4.</w:t>
      </w:r>
      <w:r w:rsidRPr="00CF5D74">
        <w:rPr>
          <w:iCs/>
        </w:rPr>
        <w:t>Lucrări hidrotehnice – presiuni hidromorfologice potențial semnificative (diguri, regularizări și derivații) în anul 2021</w:t>
      </w:r>
    </w:p>
    <w:p w14:paraId="6DF31CDB" w14:textId="0FC8B87A" w:rsidR="004B3AAB" w:rsidRDefault="004B3AAB" w:rsidP="004B3AAB">
      <w:pPr>
        <w:pStyle w:val="Default"/>
        <w:jc w:val="center"/>
        <w:rPr>
          <w:noProof/>
          <w:lang w:val="en-GB" w:eastAsia="en-GB"/>
        </w:rPr>
      </w:pPr>
      <w:r>
        <w:rPr>
          <w:noProof/>
          <w:lang w:val="en-GB" w:eastAsia="en-GB"/>
        </w:rPr>
        <w:drawing>
          <wp:inline distT="0" distB="0" distL="0" distR="0" wp14:anchorId="7FF7B281" wp14:editId="7FF90884">
            <wp:extent cx="4791075" cy="33813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91075" cy="3381375"/>
                    </a:xfrm>
                    <a:prstGeom prst="rect">
                      <a:avLst/>
                    </a:prstGeom>
                    <a:noFill/>
                    <a:ln>
                      <a:noFill/>
                    </a:ln>
                  </pic:spPr>
                </pic:pic>
              </a:graphicData>
            </a:graphic>
          </wp:inline>
        </w:drawing>
      </w:r>
    </w:p>
    <w:p w14:paraId="22A6EFE7" w14:textId="77777777" w:rsidR="004B3AAB" w:rsidRPr="00CF5D74" w:rsidRDefault="004B3AAB" w:rsidP="004B3AAB">
      <w:pPr>
        <w:spacing w:after="0" w:line="240" w:lineRule="auto"/>
        <w:jc w:val="both"/>
        <w:rPr>
          <w:rFonts w:ascii="Arial" w:hAnsi="Arial" w:cs="Arial"/>
          <w:i/>
          <w:sz w:val="20"/>
          <w:szCs w:val="20"/>
        </w:rPr>
      </w:pPr>
      <w:r w:rsidRPr="00CF5D74">
        <w:rPr>
          <w:rFonts w:ascii="Arial" w:hAnsi="Arial" w:cs="Arial"/>
          <w:i/>
          <w:sz w:val="20"/>
          <w:szCs w:val="20"/>
        </w:rPr>
        <w:t>(Sursa datelor: Administrația Națională „Apele Române”, lanul Național de Management actualizat)</w:t>
      </w:r>
    </w:p>
    <w:p w14:paraId="794E2B95" w14:textId="77777777" w:rsidR="004B3AAB" w:rsidRDefault="004B3AAB" w:rsidP="004B3AAB">
      <w:pPr>
        <w:pStyle w:val="Default"/>
        <w:jc w:val="both"/>
      </w:pPr>
    </w:p>
    <w:p w14:paraId="46EAFBF3" w14:textId="77777777" w:rsidR="004B3AAB" w:rsidRDefault="004B3AAB" w:rsidP="004B3AAB">
      <w:pPr>
        <w:pStyle w:val="Default"/>
        <w:jc w:val="both"/>
      </w:pPr>
    </w:p>
    <w:p w14:paraId="3FD066D4" w14:textId="77777777" w:rsidR="004B3AAB" w:rsidRDefault="004B3AAB" w:rsidP="004B3AAB">
      <w:pPr>
        <w:pStyle w:val="Default"/>
        <w:jc w:val="both"/>
      </w:pPr>
    </w:p>
    <w:p w14:paraId="3905ACC8" w14:textId="77777777" w:rsidR="004B3AAB" w:rsidRDefault="004B3AAB" w:rsidP="004B3AAB">
      <w:pPr>
        <w:pStyle w:val="Default"/>
        <w:jc w:val="both"/>
      </w:pPr>
    </w:p>
    <w:p w14:paraId="29C23F5D" w14:textId="77777777" w:rsidR="004B3AAB" w:rsidRDefault="004B3AAB" w:rsidP="004B3AAB">
      <w:pPr>
        <w:pStyle w:val="Default"/>
        <w:jc w:val="both"/>
      </w:pPr>
    </w:p>
    <w:p w14:paraId="1C0589EF" w14:textId="77777777" w:rsidR="004B3AAB" w:rsidRDefault="004B3AAB" w:rsidP="004B3AAB">
      <w:pPr>
        <w:pStyle w:val="Default"/>
        <w:jc w:val="both"/>
      </w:pPr>
    </w:p>
    <w:p w14:paraId="1B8963AD" w14:textId="77777777" w:rsidR="004B3AAB" w:rsidRDefault="004B3AAB" w:rsidP="004B3AAB">
      <w:pPr>
        <w:pStyle w:val="Default"/>
        <w:jc w:val="both"/>
      </w:pPr>
    </w:p>
    <w:p w14:paraId="00C1B320" w14:textId="77777777" w:rsidR="004B3AAB" w:rsidRDefault="004B3AAB" w:rsidP="004B3AAB">
      <w:pPr>
        <w:pStyle w:val="Default"/>
        <w:jc w:val="both"/>
      </w:pPr>
    </w:p>
    <w:p w14:paraId="22018CD9" w14:textId="77777777" w:rsidR="004B3AAB" w:rsidRDefault="004B3AAB" w:rsidP="004B3AAB">
      <w:pPr>
        <w:pStyle w:val="Default"/>
        <w:jc w:val="both"/>
      </w:pPr>
    </w:p>
    <w:p w14:paraId="3085197B" w14:textId="77777777" w:rsidR="004B3AAB" w:rsidRDefault="004B3AAB" w:rsidP="004B3AAB">
      <w:pPr>
        <w:pStyle w:val="Default"/>
        <w:jc w:val="both"/>
      </w:pPr>
    </w:p>
    <w:p w14:paraId="7D2F4EF2" w14:textId="77777777" w:rsidR="004B3AAB" w:rsidRDefault="004B3AAB" w:rsidP="004B3AAB">
      <w:pPr>
        <w:pStyle w:val="Default"/>
        <w:jc w:val="both"/>
      </w:pPr>
    </w:p>
    <w:p w14:paraId="1AF49882" w14:textId="77777777" w:rsidR="004B3AAB" w:rsidRDefault="004B3AAB" w:rsidP="004B3AAB">
      <w:pPr>
        <w:pStyle w:val="Default"/>
        <w:jc w:val="both"/>
      </w:pPr>
    </w:p>
    <w:p w14:paraId="348B7564" w14:textId="77777777" w:rsidR="004B3AAB" w:rsidRDefault="004B3AAB" w:rsidP="004B3AAB">
      <w:pPr>
        <w:pStyle w:val="Default"/>
        <w:jc w:val="both"/>
      </w:pPr>
    </w:p>
    <w:p w14:paraId="65233FB6" w14:textId="77777777" w:rsidR="004B3AAB" w:rsidRDefault="004B3AAB" w:rsidP="004B3AAB">
      <w:pPr>
        <w:pStyle w:val="Default"/>
        <w:jc w:val="both"/>
      </w:pPr>
    </w:p>
    <w:p w14:paraId="145026C6" w14:textId="77777777" w:rsidR="004B3AAB" w:rsidRDefault="004B3AAB" w:rsidP="004B3AAB">
      <w:pPr>
        <w:pStyle w:val="Default"/>
        <w:jc w:val="both"/>
      </w:pPr>
    </w:p>
    <w:p w14:paraId="61EC44DB" w14:textId="77777777" w:rsidR="004B3AAB" w:rsidRPr="00CF5D74" w:rsidRDefault="004B3AAB" w:rsidP="004B3AAB">
      <w:pPr>
        <w:spacing w:before="120" w:after="120" w:line="240" w:lineRule="auto"/>
        <w:jc w:val="center"/>
        <w:rPr>
          <w:rFonts w:ascii="Arial" w:hAnsi="Arial" w:cs="Arial"/>
          <w:b/>
          <w:bCs/>
          <w:i/>
          <w:sz w:val="24"/>
          <w:szCs w:val="24"/>
        </w:rPr>
      </w:pPr>
    </w:p>
    <w:p w14:paraId="401A77F9" w14:textId="77777777" w:rsidR="004B3AAB" w:rsidRPr="00CF5D74" w:rsidRDefault="004B3AAB" w:rsidP="004B3AAB">
      <w:pPr>
        <w:spacing w:after="0" w:line="240" w:lineRule="auto"/>
        <w:jc w:val="both"/>
        <w:rPr>
          <w:rFonts w:ascii="Arial" w:hAnsi="Arial" w:cs="Arial"/>
          <w:iCs/>
          <w:sz w:val="24"/>
          <w:szCs w:val="24"/>
        </w:rPr>
      </w:pPr>
      <w:r w:rsidRPr="00CF5D74">
        <w:rPr>
          <w:rFonts w:ascii="Arial" w:hAnsi="Arial" w:cs="Arial"/>
          <w:b/>
          <w:bCs/>
          <w:iCs/>
          <w:sz w:val="24"/>
          <w:szCs w:val="24"/>
        </w:rPr>
        <w:t>Figura II.1.1.5.</w:t>
      </w:r>
      <w:r w:rsidRPr="00CF5D74">
        <w:rPr>
          <w:rFonts w:ascii="Arial" w:hAnsi="Arial" w:cs="Arial"/>
          <w:iCs/>
          <w:sz w:val="24"/>
          <w:szCs w:val="24"/>
        </w:rPr>
        <w:t xml:space="preserve"> Prelevările de apă de suprafață potențial semnificative la nivel național în anul 2021</w:t>
      </w:r>
    </w:p>
    <w:p w14:paraId="5279734F" w14:textId="615EEE22" w:rsidR="004B3AAB" w:rsidRDefault="004B3AAB" w:rsidP="004B3AAB">
      <w:pPr>
        <w:pStyle w:val="Default"/>
        <w:jc w:val="center"/>
        <w:rPr>
          <w:i/>
        </w:rPr>
      </w:pPr>
      <w:r>
        <w:rPr>
          <w:i/>
          <w:noProof/>
          <w:lang w:val="en-GB" w:eastAsia="en-GB"/>
        </w:rPr>
        <w:lastRenderedPageBreak/>
        <w:drawing>
          <wp:inline distT="0" distB="0" distL="0" distR="0" wp14:anchorId="5C880AC1" wp14:editId="6283479B">
            <wp:extent cx="5153025" cy="36290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53025" cy="3629025"/>
                    </a:xfrm>
                    <a:prstGeom prst="rect">
                      <a:avLst/>
                    </a:prstGeom>
                    <a:noFill/>
                    <a:ln>
                      <a:noFill/>
                    </a:ln>
                  </pic:spPr>
                </pic:pic>
              </a:graphicData>
            </a:graphic>
          </wp:inline>
        </w:drawing>
      </w:r>
    </w:p>
    <w:p w14:paraId="18496E1A" w14:textId="77777777" w:rsidR="004B3AAB" w:rsidRDefault="004B3AAB" w:rsidP="004B3AAB">
      <w:pPr>
        <w:spacing w:after="0" w:line="240" w:lineRule="auto"/>
        <w:jc w:val="both"/>
        <w:rPr>
          <w:rFonts w:ascii="Arial" w:hAnsi="Arial" w:cs="Arial"/>
          <w:i/>
          <w:sz w:val="20"/>
          <w:szCs w:val="20"/>
        </w:rPr>
      </w:pPr>
      <w:r w:rsidRPr="00CF5D74">
        <w:rPr>
          <w:rFonts w:ascii="Arial" w:hAnsi="Arial" w:cs="Arial"/>
          <w:i/>
          <w:sz w:val="20"/>
          <w:szCs w:val="20"/>
        </w:rPr>
        <w:t>(Sursa datelor: Administrația Națională „Apele Române”, Planul Național de Management actualizat)</w:t>
      </w:r>
    </w:p>
    <w:p w14:paraId="54118B19" w14:textId="77777777" w:rsidR="004B3AAB" w:rsidRDefault="004B3AAB" w:rsidP="004B3AAB">
      <w:pPr>
        <w:spacing w:after="0" w:line="240" w:lineRule="auto"/>
        <w:jc w:val="both"/>
        <w:rPr>
          <w:rFonts w:ascii="Arial" w:hAnsi="Arial" w:cs="Arial"/>
          <w:i/>
          <w:sz w:val="20"/>
          <w:szCs w:val="20"/>
        </w:rPr>
      </w:pPr>
    </w:p>
    <w:p w14:paraId="40122C01"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Pe lângă impactul produs de alterările hidromorfologice existente asupra stării corpurilor de apă, există o serie de proiecte aflate în diferite stadii de planificare şi implementare, care pot contribui la alterarea fizică a corpurilor de apă. Proiectele viitoare de infrastructură fac subiectul, în principal a următoarelor tipuri de activități:</w:t>
      </w:r>
    </w:p>
    <w:p w14:paraId="142EE7C0"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b/>
          <w:bCs/>
          <w:sz w:val="24"/>
          <w:szCs w:val="24"/>
        </w:rPr>
        <w:t>Managementul riscului la inundații conform documentelor de planificare</w:t>
      </w:r>
      <w:r>
        <w:rPr>
          <w:rFonts w:ascii="Arial" w:hAnsi="Arial" w:cs="Arial"/>
          <w:sz w:val="24"/>
          <w:szCs w:val="24"/>
        </w:rPr>
        <w:t>: Strategia Națională de Management al Riscului la Inundații (SNMRI) pe termen mediu și lung, Planurile de Management al Riscului la Inundații actualizate 2021, proiectul “Întărirea capacității autorității publice centrale în domeniul managementului apelor în scopul implementării Strategiei Naționale de Management al Riscului la Inundații (SNMRI) pe termen mediu și lung”, cod SIPOCA 601 / cod MySMIS 127559 - rezultatele proiectului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legislatiei din domeniul managementului riscurilor, stabilirea rolurilor și competențelor autorităților publice centrale și locale; proiectul „Întărirea capacității autorității publice centrale în domeniul apelor în scopul implementării etapelor a 2-a și a 3-a ale Ciclului II al Directivei Inundații - RO-FLOODS” cod SIPOCA 734 / cod MySMIS 130033 - obiectivul general al proiectului îl reprezintă fundamentarea și sprijinirea măsurilor de implementare ce vizează adaptarea structurilor, optimizarea proceselor și pregătirea resurselor umane necesare îndeplinirii obligațiilor asumate prin Legea Apelor nr. 107/1996 cu modificările și completările ulterioare și conformarea cu cerințele Directivei 2007/60/EC privind evaluarea și gestionarea riscului la inundații; se precizează că la nivel național se au în vedere un număr de 172 obiective de investiții pe anul 2021, cu finanțare integrală sau parțială de la bugetul de stat, repartizate ANAR; tipurile de lucrări avute în vedere în cadrul obiectivelor de investiții sunt: punere în siguranță acumulări, acumulări nepermanente, consolidare faleze, îndiguiri, supraînălțări diguri, consolidări diguri, regularizări;</w:t>
      </w:r>
    </w:p>
    <w:p w14:paraId="667D6BDE"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b/>
          <w:bCs/>
          <w:sz w:val="24"/>
          <w:szCs w:val="24"/>
        </w:rPr>
        <w:t>Producerea de energie prin centrale hidroelectrice</w:t>
      </w:r>
      <w:r>
        <w:rPr>
          <w:rFonts w:ascii="Arial" w:hAnsi="Arial" w:cs="Arial"/>
          <w:sz w:val="24"/>
          <w:szCs w:val="24"/>
        </w:rPr>
        <w:t>, având în vedere prevederile Strategiei Energetice a României 2020 - 2030, cu perspectiva anului 2050;</w:t>
      </w:r>
    </w:p>
    <w:p w14:paraId="74A0098C"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sz w:val="24"/>
          <w:szCs w:val="24"/>
        </w:rPr>
        <w:t xml:space="preserve">asigurarea apei pentru irigații potrivit Strategiei naţională de reabilitare și extindere a infrastructurii de irigații din România, Programului Național de Reabilitare a </w:t>
      </w:r>
      <w:r>
        <w:rPr>
          <w:rFonts w:ascii="Arial" w:hAnsi="Arial" w:cs="Arial"/>
          <w:sz w:val="24"/>
          <w:szCs w:val="24"/>
        </w:rPr>
        <w:lastRenderedPageBreak/>
        <w:t>Infrastructurii principale de Irigații, proiecte PNDR și Program Național Strategic pot CAP 2023-2027);</w:t>
      </w:r>
    </w:p>
    <w:p w14:paraId="3A9B4143"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sz w:val="24"/>
          <w:szCs w:val="24"/>
        </w:rPr>
        <w:t>Asigurarea apei pentru irigații , având în vedere prevederile Strategiei naţionale de reabilitare și extindere a infrastructurii de irigații din România</w:t>
      </w:r>
    </w:p>
    <w:p w14:paraId="7123757D"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b/>
          <w:bCs/>
          <w:sz w:val="24"/>
          <w:szCs w:val="24"/>
        </w:rPr>
        <w:t>Asigurarea condițiilor de transport rutier, feroviar și navigație</w:t>
      </w:r>
      <w:r>
        <w:rPr>
          <w:rFonts w:ascii="Arial" w:hAnsi="Arial" w:cs="Arial"/>
          <w:sz w:val="24"/>
          <w:szCs w:val="24"/>
        </w:rPr>
        <w:t xml:space="preserve"> - Strategia națională pentru dezvoltarea durabilă a României 2030, proiecte</w:t>
      </w:r>
      <w:r>
        <w:rPr>
          <w:rFonts w:ascii="Arial" w:hAnsi="Arial" w:cs="Arial"/>
        </w:rPr>
        <w:t xml:space="preserve"> </w:t>
      </w:r>
      <w:r>
        <w:rPr>
          <w:rFonts w:ascii="Arial" w:hAnsi="Arial" w:cs="Arial"/>
          <w:sz w:val="24"/>
          <w:szCs w:val="24"/>
        </w:rPr>
        <w:t>care au făcut/fac subiectul reglementării din punct de vedere al gospodăririi apelor, alte proiecte internaționale;</w:t>
      </w:r>
    </w:p>
    <w:p w14:paraId="785F278E"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b/>
          <w:bCs/>
          <w:sz w:val="24"/>
          <w:szCs w:val="24"/>
        </w:rPr>
        <w:t>Reducerea eroziune costiere</w:t>
      </w:r>
      <w:r>
        <w:rPr>
          <w:rFonts w:ascii="Arial" w:hAnsi="Arial" w:cs="Arial"/>
          <w:sz w:val="24"/>
          <w:szCs w:val="24"/>
        </w:rPr>
        <w:t xml:space="preserve"> - proiectul Reducerea Eroziunii costiere Faza II, finanțat prin Programul Operațional Infrastructură Mare 2014-2020, Axa Prioritară 5 - Promovarea adaptării la schimbările climatice, prevenirea și gestionarea riscurilor), aflat în curs de implementare;</w:t>
      </w:r>
    </w:p>
    <w:p w14:paraId="757D6932" w14:textId="77777777" w:rsidR="004B3AAB" w:rsidRDefault="004B3AAB" w:rsidP="0054709F">
      <w:pPr>
        <w:numPr>
          <w:ilvl w:val="0"/>
          <w:numId w:val="7"/>
        </w:numPr>
        <w:spacing w:after="0" w:line="240" w:lineRule="auto"/>
        <w:ind w:left="360"/>
        <w:jc w:val="both"/>
        <w:rPr>
          <w:rFonts w:ascii="Arial" w:hAnsi="Arial" w:cs="Arial"/>
          <w:sz w:val="24"/>
          <w:szCs w:val="24"/>
        </w:rPr>
      </w:pPr>
      <w:r>
        <w:rPr>
          <w:rFonts w:ascii="Arial" w:hAnsi="Arial" w:cs="Arial"/>
          <w:b/>
          <w:bCs/>
          <w:sz w:val="24"/>
          <w:szCs w:val="24"/>
        </w:rPr>
        <w:t>Infrastructura pentru alimentare cu apă și canalizare – epurare</w:t>
      </w:r>
      <w:r>
        <w:rPr>
          <w:rFonts w:ascii="Arial" w:hAnsi="Arial" w:cs="Arial"/>
          <w:sz w:val="24"/>
          <w:szCs w:val="24"/>
        </w:rPr>
        <w:t xml:space="preserve"> (Programul Operațional Infrastructură Mare 2014-2020, Planul National de Reziliență 2021-2026, Programul Operațional Dezvoltare Durabilă 2021-2027, Programul Național „Anghel Saligny” și viitoarea Strategie națională privind alimentarea cu apă, colectarea și epurarea apelor uzate urbane).</w:t>
      </w:r>
    </w:p>
    <w:p w14:paraId="673991AE" w14:textId="77777777" w:rsidR="004B3AAB" w:rsidRDefault="004B3AAB" w:rsidP="004B3AAB">
      <w:pPr>
        <w:spacing w:before="120" w:after="120" w:line="240" w:lineRule="auto"/>
        <w:ind w:firstLine="720"/>
        <w:jc w:val="both"/>
        <w:rPr>
          <w:rFonts w:ascii="Arial" w:hAnsi="Arial" w:cs="Arial"/>
          <w:sz w:val="24"/>
          <w:szCs w:val="24"/>
        </w:rPr>
      </w:pPr>
      <w:r>
        <w:rPr>
          <w:rFonts w:ascii="Arial" w:hAnsi="Arial" w:cs="Arial"/>
          <w:sz w:val="24"/>
          <w:szCs w:val="24"/>
        </w:rPr>
        <w:t xml:space="preserve">Directiva Cadru a Apei subliniază rolul esențial al cantităţii şi dinamicii apei ca suport al calităţii ecosistemelor acvatice şi îndeplinirii obiectivelor de mediu. Conform acesteia, lista elementelor de calitate aferentă obiectivelor de mediu pentru fiecare categorie de apă de suprafață cuprinde: elemente hidromorfologice și elemente fizico-chimice și poluanţi specifici care reprezintă suport pentru elementele biologice. Regimul hidrologic este inclus în categoria elementelor hidromorfologice. La nivel european, preocupările în ceea ce privește definirea unui </w:t>
      </w:r>
      <w:r>
        <w:rPr>
          <w:rFonts w:ascii="Arial" w:hAnsi="Arial" w:cs="Arial"/>
          <w:b/>
          <w:bCs/>
          <w:sz w:val="24"/>
          <w:szCs w:val="24"/>
        </w:rPr>
        <w:t>debit ecologic</w:t>
      </w:r>
      <w:r>
        <w:rPr>
          <w:rFonts w:ascii="Arial" w:hAnsi="Arial" w:cs="Arial"/>
          <w:sz w:val="24"/>
          <w:szCs w:val="24"/>
        </w:rPr>
        <w:t xml:space="preserve"> au apărut ca urmare a cerințelor Directivei Cadru a Apei cu privire la stabilirea unui regim hidrologic care să reprezinte suport pentru îndeplinirea obiectivelor de mediu („debit ecologic” – „ecological flow”).</w:t>
      </w:r>
    </w:p>
    <w:p w14:paraId="2696BD6B"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 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14:paraId="7FED7959"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 xml:space="preserve">În calitate de Stat Membru, România trebuie să răspundă tuturor cerințelor Uniunii Europene şi implicit cerinţei de asigurare a unui debit ecologic. Astfel, în contextul atingerii obiectivelor de mediu pentru corpurile de apă de suprafaţă s-a introdus în Legea Apelor 107/1996 cu modificările și completările ulterioare, noțiunea de debit ecologic, definit în conformitate cu recomandările europene. </w:t>
      </w:r>
    </w:p>
    <w:p w14:paraId="54555679"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Ulterior prin aprobarea Hotărârii de Guvern 148/2020 s-a stabilit modul de determinare și de calcul al debitului ecologic, ce a avut la bază cerințele Ghidului WFD CIS nr. 31 , legislația națională, rezultatele recente din literatura de specialitate, precum și de posibilitățile de implementare în operativ. Metodologia are la bază următoarele principii: variabilitatea naturală a regimului hidrologic ținând cont de variația sezonieră; definirea Debitului Ecologic în funcție de tipologia cursurilor de apă din România și nevoile de habitat ale speciilor de pești dominante, corespunzătoare fiecărei tipologii.</w:t>
      </w:r>
    </w:p>
    <w:p w14:paraId="68E345A2"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lastRenderedPageBreak/>
        <w:t>Asigurarea debitului ecologic în aval de lucrările de barare sau de captare a apei amplasate pe cursurile de apă de suprafață (având ca tipuri de folosințe alimentare cu apă a localităților și a operatorilor economici, producerea de energie electrică, atenuarea undelor de viitura, piscicultură, agrement, irigații) constituie o măsură de bază care asigură suport pentru atingerea şi menținerea stării ecologice bune, respectiv atingerea potențialului ecologic bun pentru toate corpurile de apă de suprafață.</w:t>
      </w:r>
    </w:p>
    <w:p w14:paraId="71F34458"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Având în vedere calculul debitelor ecologice în conformitate cu cerințele legislative, începând cu anul 2020, la nivelul INHGA se desfășoară studiul „Determinarea debitelor ecologice, în conformitate cu cerinţele Directivei Cadru a Apei, pentru o serie de baraje prioritare aflate în administrarea Adimnistrației Naționale “Apele Române””, studiu ce are ca obiectiv calculul debitelor ecologice în conformitate cu prevederile HG nr. 148/2020. Astfel până în prezent au fost calculate valorile debitelor ecologice pentru un număr de 103 baraje aparținând ANAR, iar până la sfârșitul anului 2022 au fost calculate debitele ecologice pentru înca 44 baraje.</w:t>
      </w:r>
    </w:p>
    <w:p w14:paraId="1C91E4C6"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De asemenea, începând cu anul 2021, la nivelul INHGA se desfășoară „Studiul suport pentru implementarea debitelor ecologice, în conformitate cu cerinţele Directivei Cadru a Apei, pentru o serie de baraje prioritare”. Studiul cuprinde următoarele etape:</w:t>
      </w:r>
    </w:p>
    <w:p w14:paraId="24023CB3" w14:textId="77777777" w:rsidR="004B3AAB" w:rsidRDefault="004B3AAB" w:rsidP="004B3AAB">
      <w:pPr>
        <w:spacing w:after="0" w:line="240" w:lineRule="auto"/>
        <w:ind w:firstLine="547"/>
        <w:jc w:val="both"/>
        <w:rPr>
          <w:rFonts w:ascii="Arial" w:hAnsi="Arial" w:cs="Arial"/>
          <w:sz w:val="24"/>
          <w:szCs w:val="24"/>
        </w:rPr>
      </w:pPr>
      <w:r>
        <w:rPr>
          <w:rFonts w:ascii="Arial" w:hAnsi="Arial" w:cs="Arial"/>
          <w:sz w:val="24"/>
          <w:szCs w:val="24"/>
        </w:rPr>
        <w:t>- analiză regulamente de exploatare pentru o serie de baraje;</w:t>
      </w:r>
    </w:p>
    <w:p w14:paraId="04DF5E6C" w14:textId="77777777" w:rsidR="004B3AAB" w:rsidRDefault="004B3AAB" w:rsidP="004B3AAB">
      <w:pPr>
        <w:spacing w:after="0" w:line="240" w:lineRule="auto"/>
        <w:ind w:firstLine="547"/>
        <w:jc w:val="both"/>
        <w:rPr>
          <w:rFonts w:ascii="Arial" w:hAnsi="Arial" w:cs="Arial"/>
          <w:sz w:val="24"/>
          <w:szCs w:val="24"/>
        </w:rPr>
      </w:pPr>
      <w:r>
        <w:rPr>
          <w:rFonts w:ascii="Arial" w:hAnsi="Arial" w:cs="Arial"/>
          <w:sz w:val="24"/>
          <w:szCs w:val="24"/>
        </w:rPr>
        <w:t>- elaborare chestionar analiză detaliată din punct de vedere al caracteristicilor constructive ale barajelor/prizelor de captare existente relevante pentru implementarea debitului ecologic;</w:t>
      </w:r>
    </w:p>
    <w:p w14:paraId="0835FBFA" w14:textId="77777777" w:rsidR="004B3AAB" w:rsidRDefault="004B3AAB" w:rsidP="004B3AAB">
      <w:pPr>
        <w:spacing w:after="0" w:line="240" w:lineRule="auto"/>
        <w:ind w:firstLine="547"/>
        <w:jc w:val="both"/>
        <w:rPr>
          <w:rFonts w:ascii="Arial" w:hAnsi="Arial" w:cs="Arial"/>
          <w:sz w:val="24"/>
          <w:szCs w:val="24"/>
        </w:rPr>
      </w:pPr>
      <w:r>
        <w:rPr>
          <w:rFonts w:ascii="Arial" w:hAnsi="Arial" w:cs="Arial"/>
          <w:sz w:val="24"/>
          <w:szCs w:val="24"/>
        </w:rPr>
        <w:t>- dezvoltare şi completare structură bază de date cu informaţii relevante pentru implementarea debitului ecologic;</w:t>
      </w:r>
    </w:p>
    <w:p w14:paraId="1A1055C7" w14:textId="77777777" w:rsidR="004B3AAB" w:rsidRDefault="004B3AAB" w:rsidP="004B3AAB">
      <w:pPr>
        <w:spacing w:after="0" w:line="240" w:lineRule="auto"/>
        <w:ind w:firstLine="547"/>
        <w:jc w:val="both"/>
        <w:rPr>
          <w:rFonts w:ascii="Arial" w:hAnsi="Arial" w:cs="Arial"/>
          <w:sz w:val="24"/>
          <w:szCs w:val="24"/>
        </w:rPr>
      </w:pPr>
      <w:r>
        <w:rPr>
          <w:rFonts w:ascii="Arial" w:hAnsi="Arial" w:cs="Arial"/>
          <w:sz w:val="24"/>
          <w:szCs w:val="24"/>
        </w:rPr>
        <w:t>- elaborare procedură semi-automată/foi de calcul cu legături multiple în vederea analizei impactului în planul asigurării folosinţelor al implementării debitului ecologic la baraje.</w:t>
      </w:r>
    </w:p>
    <w:p w14:paraId="7FB7705B"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 xml:space="preserve">Astfel, în anul 2021, au fost analizate 61 de baraje, iar în anul 2022 încă 60 baraje. </w:t>
      </w:r>
    </w:p>
    <w:p w14:paraId="3B5E54AF"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Din perspectiva conformării cu prevederile Directivei Cadru Apă și a implementării și respectării legislației naționale specifice în vigoare, pentru protecția și conservarea stării apelor, viitoarele lucrări și activități pe ape sau care au legătură cu apele sunt evaluate di n perspectiva posibilului impact al acestora asupra corpurilor de apă, în procesul de reglementare din punct de vedere al gospodăririi apelor.</w:t>
      </w:r>
    </w:p>
    <w:p w14:paraId="2CE3A0B5" w14:textId="77777777" w:rsidR="004B3AAB" w:rsidRDefault="004B3AAB" w:rsidP="004B3AAB">
      <w:pPr>
        <w:spacing w:after="0" w:line="240" w:lineRule="auto"/>
        <w:ind w:firstLine="630"/>
        <w:jc w:val="both"/>
        <w:rPr>
          <w:rFonts w:ascii="Arial" w:hAnsi="Arial" w:cs="Arial"/>
        </w:rPr>
      </w:pPr>
      <w:r>
        <w:rPr>
          <w:rFonts w:ascii="Arial" w:hAnsi="Arial" w:cs="Arial"/>
          <w:sz w:val="24"/>
          <w:szCs w:val="24"/>
        </w:rPr>
        <w:t>În acest sens prin Ordinul nr. 828/2019 al Ministrului Apelor și Pădurilor, a fost reglementat conținutul cadru al Studiului de evaluare a impactului asupra corpurilor de apă. În conținutul cadru, o etapă importantă în contextul protecției și nedeteriorării stării corpurilor de apă, o reprezintă identificarea şi stabilirea de măsuri suplimentare practice/realizabile de atenuare/reducere a impactului, inclusiv a impactului cumulat, pentru corpurile de apă cu risc de deteriorare a stării. În situația în care respectivul proiect sau cumulat cu proiectele autorizate/în curs de autorizare/avizate/în curs de avizare/planificate conduce la deteriorarea stării corpului de apă, se aplică cerințele de conformare cu prevederile Articolului 4.7 al DCA, transpus în Legea Apelor prin Articolul 2.7.</w:t>
      </w:r>
      <w:r>
        <w:rPr>
          <w:rFonts w:ascii="Arial" w:hAnsi="Arial" w:cs="Arial"/>
        </w:rPr>
        <w:t xml:space="preserve"> </w:t>
      </w:r>
    </w:p>
    <w:p w14:paraId="3398FF25" w14:textId="77777777" w:rsidR="004B3AAB" w:rsidRDefault="004B3AAB" w:rsidP="004B3AAB">
      <w:pPr>
        <w:spacing w:after="0" w:line="240" w:lineRule="auto"/>
        <w:ind w:firstLine="720"/>
        <w:jc w:val="both"/>
        <w:rPr>
          <w:rFonts w:ascii="Arial" w:hAnsi="Arial" w:cs="Arial"/>
          <w:sz w:val="24"/>
          <w:szCs w:val="24"/>
        </w:rPr>
      </w:pPr>
      <w:r>
        <w:rPr>
          <w:rFonts w:ascii="Arial" w:hAnsi="Arial" w:cs="Arial"/>
          <w:sz w:val="24"/>
          <w:szCs w:val="24"/>
        </w:rPr>
        <w:t>Deteriorarea/riscul de deteriorare a stării ecologice a corpurilor de apă în relaţie cu proiectele noi de infrastructură este permisă  numai cu respectarea prevederilor Art. 4.7 al Directivei Cadru Apă. Deteriorarea stării (ecologice) a corpurilor de apă se analizează la nivel de element de calitate al stării, cu aplicarea principiului “celei mai defavorabile situaţii/one out - all out”, având în vedere prevederile din Anexa V a DCA.</w:t>
      </w:r>
    </w:p>
    <w:p w14:paraId="0F80FB8C" w14:textId="77777777" w:rsidR="004B3AAB" w:rsidRDefault="004B3AAB" w:rsidP="004B3AAB">
      <w:pPr>
        <w:spacing w:after="0" w:line="240" w:lineRule="auto"/>
        <w:ind w:firstLine="720"/>
        <w:jc w:val="both"/>
        <w:rPr>
          <w:rFonts w:ascii="Arial" w:eastAsia="Times New Roman" w:hAnsi="Arial" w:cs="Arial"/>
          <w:sz w:val="24"/>
          <w:szCs w:val="24"/>
          <w:lang w:val="it-IT"/>
        </w:rPr>
      </w:pPr>
      <w:r>
        <w:rPr>
          <w:rFonts w:ascii="Arial" w:eastAsia="Times New Roman" w:hAnsi="Arial" w:cs="Arial"/>
          <w:sz w:val="24"/>
          <w:szCs w:val="24"/>
          <w:lang w:val="it-IT"/>
        </w:rPr>
        <w:t>În estimarea deteriorării/riscului de deterioare a stării ecologice, impactul potențial cumulat al viitoarelor proiecte de infrastructură (cât şi a celor existente) este luat în considerare.</w:t>
      </w:r>
    </w:p>
    <w:p w14:paraId="623ED9D0" w14:textId="77777777" w:rsidR="004B3AAB" w:rsidRDefault="004B3AAB" w:rsidP="004B3AAB">
      <w:pPr>
        <w:spacing w:after="0" w:line="240" w:lineRule="auto"/>
        <w:ind w:firstLine="708"/>
        <w:jc w:val="both"/>
        <w:rPr>
          <w:rFonts w:ascii="Arial" w:eastAsia="Times New Roman" w:hAnsi="Arial" w:cs="Arial"/>
          <w:sz w:val="24"/>
          <w:szCs w:val="24"/>
        </w:rPr>
      </w:pPr>
      <w:r>
        <w:rPr>
          <w:rFonts w:ascii="Arial" w:eastAsia="Times New Roman" w:hAnsi="Arial" w:cs="Arial"/>
          <w:sz w:val="24"/>
          <w:szCs w:val="24"/>
        </w:rPr>
        <w:t>De asemenea, pentru cazurile în care va avea loc modificarea obiectivului de mediu prin trecerea corpului de apă din categoria corpurilor de apă naturale în corpuri de apă puternic modificate, aceasta se realizează prin respectarea cerinţelor Art. 4.7 şi ale Art. 4.3 ale DCA.</w:t>
      </w:r>
    </w:p>
    <w:p w14:paraId="6E7D1DCA" w14:textId="77777777" w:rsidR="004B3AAB" w:rsidRDefault="004B3AAB" w:rsidP="004B3AAB">
      <w:pPr>
        <w:jc w:val="both"/>
        <w:rPr>
          <w:rFonts w:asciiTheme="minorBidi" w:hAnsiTheme="minorBidi"/>
          <w:b/>
          <w:bCs/>
          <w:sz w:val="24"/>
          <w:szCs w:val="24"/>
        </w:rPr>
      </w:pPr>
      <w:r>
        <w:rPr>
          <w:rFonts w:asciiTheme="minorBidi" w:hAnsiTheme="minorBidi"/>
          <w:b/>
          <w:bCs/>
          <w:sz w:val="24"/>
          <w:szCs w:val="24"/>
        </w:rPr>
        <w:lastRenderedPageBreak/>
        <w:t>II.1.2. Prognoze</w:t>
      </w:r>
    </w:p>
    <w:p w14:paraId="50ECB0FD" w14:textId="77777777" w:rsidR="004B3AAB" w:rsidRPr="00B40CF3" w:rsidRDefault="004B3AAB" w:rsidP="004B3AAB">
      <w:pPr>
        <w:jc w:val="both"/>
        <w:rPr>
          <w:rFonts w:asciiTheme="minorBidi" w:hAnsiTheme="minorBidi"/>
          <w:b/>
          <w:bCs/>
          <w:sz w:val="24"/>
          <w:szCs w:val="24"/>
        </w:rPr>
      </w:pPr>
      <w:r w:rsidRPr="00B40CF3">
        <w:rPr>
          <w:rFonts w:asciiTheme="minorBidi" w:hAnsiTheme="minorBidi"/>
          <w:b/>
          <w:bCs/>
          <w:sz w:val="24"/>
          <w:szCs w:val="24"/>
        </w:rPr>
        <w:t>II.1.2.1. Disponibilitatea, cererea și deficitul de apă</w:t>
      </w:r>
    </w:p>
    <w:p w14:paraId="234EB540" w14:textId="77777777" w:rsidR="004B3AAB" w:rsidRPr="00B40CF3" w:rsidRDefault="004B3AAB" w:rsidP="004B3AAB">
      <w:pPr>
        <w:spacing w:after="0" w:line="240" w:lineRule="auto"/>
        <w:jc w:val="both"/>
        <w:rPr>
          <w:rFonts w:asciiTheme="minorBidi" w:hAnsiTheme="minorBidi"/>
          <w:b/>
          <w:bCs/>
          <w:sz w:val="24"/>
          <w:szCs w:val="24"/>
        </w:rPr>
      </w:pPr>
      <w:r w:rsidRPr="00B40CF3">
        <w:rPr>
          <w:rFonts w:asciiTheme="minorBidi" w:hAnsiTheme="minorBidi"/>
          <w:b/>
          <w:bCs/>
          <w:sz w:val="24"/>
          <w:szCs w:val="24"/>
        </w:rPr>
        <w:t>Prognoza cerințelor de apă pentru folosinţe (populație, industrie, irigații, zootehnie, acvacultură/ piscicultură) pentru anul 2030</w:t>
      </w:r>
    </w:p>
    <w:p w14:paraId="1D8C1BD6" w14:textId="77777777" w:rsidR="004B3AAB" w:rsidRDefault="004B3AAB" w:rsidP="004B3AAB">
      <w:pPr>
        <w:pStyle w:val="textscris"/>
        <w:spacing w:before="0" w:after="0"/>
        <w:rPr>
          <w:rFonts w:asciiTheme="minorBidi" w:hAnsiTheme="minorBidi" w:cstheme="minorBidi"/>
          <w:lang w:val="ro-RO"/>
        </w:rPr>
      </w:pPr>
    </w:p>
    <w:p w14:paraId="2314B470" w14:textId="77777777" w:rsidR="004B3AAB" w:rsidRPr="00B40CF3" w:rsidRDefault="004B3AAB" w:rsidP="004B3AAB">
      <w:pPr>
        <w:pStyle w:val="textscris"/>
        <w:spacing w:before="0" w:after="0"/>
        <w:rPr>
          <w:rFonts w:asciiTheme="minorBidi" w:hAnsiTheme="minorBidi" w:cstheme="minorBidi"/>
          <w:lang w:val="ro-RO"/>
        </w:rPr>
      </w:pPr>
      <w:r w:rsidRPr="00B40CF3">
        <w:rPr>
          <w:rFonts w:asciiTheme="minorBidi" w:hAnsiTheme="minorBidi" w:cstheme="minorBidi"/>
          <w:lang w:val="ro-RO"/>
        </w:rPr>
        <w:t>Prognoza cerinţelor de apă s-a elaborat în anul 2014 în cadrul temei: Actualizarea studiilor de fundamentare a P.A.B.H. - Evaluarea cerinţelor de apă (an de referinţă 2011) la nivelul celor 11 Administrații Bazinale de Apă, pentru orizontul de timp 2020 - 2030.</w:t>
      </w:r>
    </w:p>
    <w:p w14:paraId="6C5B0267" w14:textId="77777777" w:rsidR="004B3AAB" w:rsidRPr="00B40CF3" w:rsidRDefault="004B3AAB" w:rsidP="004B3AAB">
      <w:pPr>
        <w:pStyle w:val="textscris"/>
        <w:spacing w:before="0" w:after="0"/>
        <w:rPr>
          <w:rFonts w:asciiTheme="minorBidi" w:hAnsiTheme="minorBidi" w:cstheme="minorBidi"/>
          <w:color w:val="000000"/>
          <w:lang w:val="ro-RO"/>
        </w:rPr>
      </w:pPr>
      <w:r w:rsidRPr="00B40CF3">
        <w:rPr>
          <w:rFonts w:asciiTheme="minorBidi" w:hAnsiTheme="minorBidi" w:cstheme="minorBidi"/>
          <w:color w:val="000000"/>
          <w:lang w:val="ro-RO"/>
        </w:rPr>
        <w:t>Pentru realizarea prognozei cerinţelor de apă pentru anul 2030 a fost aplicată „Metodologia de prognoză a cerinţelor de apă ale folosinţelor”, elaborată în cadrul Institutului Naţional de Hidrologie şi Gospodărire a Apelor, metodologie aplicată în elaborarea Planului Naţional de Amenajare a Bazinelor Hidrografice, parte componentă a Schemei Directoare de Amenajare şi Management a Bazinelor Hidrografice.</w:t>
      </w:r>
    </w:p>
    <w:p w14:paraId="7A7821D3" w14:textId="77777777" w:rsidR="004B3AAB" w:rsidRPr="00B40CF3" w:rsidRDefault="004B3AAB" w:rsidP="004B3AAB">
      <w:pPr>
        <w:tabs>
          <w:tab w:val="left" w:pos="-879"/>
        </w:tabs>
        <w:spacing w:after="0" w:line="240" w:lineRule="auto"/>
        <w:jc w:val="both"/>
        <w:rPr>
          <w:rFonts w:asciiTheme="minorBidi" w:hAnsiTheme="minorBidi"/>
          <w:sz w:val="24"/>
          <w:szCs w:val="24"/>
        </w:rPr>
      </w:pPr>
      <w:r w:rsidRPr="00B40CF3">
        <w:rPr>
          <w:rFonts w:asciiTheme="minorBidi" w:hAnsiTheme="minorBidi"/>
          <w:sz w:val="24"/>
          <w:szCs w:val="24"/>
        </w:rPr>
        <w:tab/>
        <w:t>Prognoza cerinţelor de apă s-a estimat prin metode specifice de prognoză pentru fiecare categorie de folosinţă de apă:</w:t>
      </w:r>
    </w:p>
    <w:p w14:paraId="6DB697F5" w14:textId="77777777" w:rsidR="004B3AAB" w:rsidRPr="00B40CF3" w:rsidRDefault="004B3AAB" w:rsidP="004B3AAB">
      <w:pPr>
        <w:pStyle w:val="bulet1"/>
        <w:tabs>
          <w:tab w:val="clear" w:pos="360"/>
          <w:tab w:val="left" w:pos="1440"/>
        </w:tabs>
        <w:spacing w:before="0" w:after="0"/>
        <w:ind w:left="1080" w:hanging="360"/>
        <w:rPr>
          <w:rFonts w:asciiTheme="minorBidi" w:eastAsia="Calibri" w:hAnsiTheme="minorBidi" w:cstheme="minorBidi"/>
        </w:rPr>
      </w:pPr>
      <w:r w:rsidRPr="00B40CF3">
        <w:rPr>
          <w:rFonts w:asciiTheme="minorBidi" w:eastAsia="Calibri" w:hAnsiTheme="minorBidi" w:cstheme="minorBidi"/>
        </w:rPr>
        <w:t>Populație;</w:t>
      </w:r>
    </w:p>
    <w:p w14:paraId="10F07909" w14:textId="77777777" w:rsidR="004B3AAB" w:rsidRPr="00B40CF3" w:rsidRDefault="004B3AAB" w:rsidP="004B3AAB">
      <w:pPr>
        <w:pStyle w:val="bulet1"/>
        <w:tabs>
          <w:tab w:val="clear" w:pos="360"/>
          <w:tab w:val="left" w:pos="1440"/>
        </w:tabs>
        <w:spacing w:before="0" w:after="0"/>
        <w:ind w:left="1080" w:hanging="360"/>
        <w:rPr>
          <w:rFonts w:asciiTheme="minorBidi" w:eastAsia="Calibri" w:hAnsiTheme="minorBidi" w:cstheme="minorBidi"/>
        </w:rPr>
      </w:pPr>
      <w:r w:rsidRPr="00B40CF3">
        <w:rPr>
          <w:rFonts w:asciiTheme="minorBidi" w:eastAsia="Calibri" w:hAnsiTheme="minorBidi" w:cstheme="minorBidi"/>
        </w:rPr>
        <w:t>Industrie;</w:t>
      </w:r>
    </w:p>
    <w:p w14:paraId="745FF874" w14:textId="77777777" w:rsidR="004B3AAB" w:rsidRPr="00B40CF3" w:rsidRDefault="004B3AAB" w:rsidP="004B3AAB">
      <w:pPr>
        <w:pStyle w:val="bulet1"/>
        <w:tabs>
          <w:tab w:val="clear" w:pos="360"/>
          <w:tab w:val="left" w:pos="1440"/>
        </w:tabs>
        <w:spacing w:before="0" w:after="0"/>
        <w:ind w:left="1080" w:hanging="360"/>
        <w:rPr>
          <w:rFonts w:asciiTheme="minorBidi" w:eastAsia="Calibri" w:hAnsiTheme="minorBidi" w:cstheme="minorBidi"/>
        </w:rPr>
      </w:pPr>
      <w:r w:rsidRPr="00B40CF3">
        <w:rPr>
          <w:rFonts w:asciiTheme="minorBidi" w:eastAsia="Calibri" w:hAnsiTheme="minorBidi" w:cstheme="minorBidi"/>
        </w:rPr>
        <w:t>Irigații;</w:t>
      </w:r>
    </w:p>
    <w:p w14:paraId="20CB5E19" w14:textId="77777777" w:rsidR="004B3AAB" w:rsidRPr="00B40CF3" w:rsidRDefault="004B3AAB" w:rsidP="004B3AAB">
      <w:pPr>
        <w:pStyle w:val="bulet1"/>
        <w:tabs>
          <w:tab w:val="clear" w:pos="360"/>
          <w:tab w:val="left" w:pos="1440"/>
        </w:tabs>
        <w:spacing w:before="0" w:after="0"/>
        <w:ind w:left="1080" w:hanging="360"/>
        <w:rPr>
          <w:rFonts w:asciiTheme="minorBidi" w:eastAsia="Calibri" w:hAnsiTheme="minorBidi" w:cstheme="minorBidi"/>
        </w:rPr>
      </w:pPr>
      <w:r w:rsidRPr="00B40CF3">
        <w:rPr>
          <w:rFonts w:asciiTheme="minorBidi" w:eastAsia="Calibri" w:hAnsiTheme="minorBidi" w:cstheme="minorBidi"/>
        </w:rPr>
        <w:t>Zootehnie;</w:t>
      </w:r>
    </w:p>
    <w:p w14:paraId="34E5A48C" w14:textId="77777777" w:rsidR="004B3AAB" w:rsidRPr="00B40CF3" w:rsidRDefault="004B3AAB" w:rsidP="004B3AAB">
      <w:pPr>
        <w:pStyle w:val="bulet1"/>
        <w:tabs>
          <w:tab w:val="clear" w:pos="360"/>
          <w:tab w:val="left" w:pos="1440"/>
        </w:tabs>
        <w:spacing w:before="0" w:after="0"/>
        <w:ind w:left="1080" w:hanging="360"/>
        <w:rPr>
          <w:rFonts w:asciiTheme="minorBidi" w:eastAsia="Calibri" w:hAnsiTheme="minorBidi" w:cstheme="minorBidi"/>
        </w:rPr>
      </w:pPr>
      <w:r w:rsidRPr="00B40CF3">
        <w:rPr>
          <w:rFonts w:asciiTheme="minorBidi" w:eastAsia="Calibri" w:hAnsiTheme="minorBidi" w:cstheme="minorBidi"/>
        </w:rPr>
        <w:t>Acvacultură/piscicultură.</w:t>
      </w:r>
    </w:p>
    <w:p w14:paraId="68E662ED" w14:textId="77777777" w:rsidR="004B3AAB" w:rsidRDefault="004B3AAB" w:rsidP="004B3AAB">
      <w:pPr>
        <w:spacing w:after="0" w:line="240" w:lineRule="auto"/>
        <w:ind w:left="720"/>
        <w:jc w:val="both"/>
        <w:rPr>
          <w:rFonts w:asciiTheme="minorBidi" w:hAnsiTheme="minorBidi"/>
          <w:sz w:val="24"/>
          <w:szCs w:val="24"/>
        </w:rPr>
      </w:pPr>
    </w:p>
    <w:p w14:paraId="696E16A8" w14:textId="77777777" w:rsidR="004B3AAB" w:rsidRPr="00B40CF3" w:rsidRDefault="004B3AAB" w:rsidP="004B3AAB">
      <w:pPr>
        <w:spacing w:after="0" w:line="240" w:lineRule="auto"/>
        <w:ind w:firstLine="708"/>
        <w:jc w:val="both"/>
        <w:rPr>
          <w:rFonts w:asciiTheme="minorBidi" w:hAnsiTheme="minorBidi"/>
          <w:sz w:val="24"/>
          <w:szCs w:val="24"/>
        </w:rPr>
      </w:pPr>
      <w:r w:rsidRPr="00B40CF3">
        <w:rPr>
          <w:rFonts w:asciiTheme="minorBidi" w:hAnsiTheme="minorBidi"/>
          <w:sz w:val="24"/>
          <w:szCs w:val="24"/>
        </w:rPr>
        <w:t xml:space="preserve">În elaborarea </w:t>
      </w:r>
      <w:r w:rsidRPr="00B40CF3">
        <w:rPr>
          <w:rFonts w:asciiTheme="minorBidi" w:hAnsiTheme="minorBidi"/>
          <w:b/>
          <w:i/>
          <w:sz w:val="24"/>
          <w:szCs w:val="24"/>
        </w:rPr>
        <w:t>prognozei cerințelor de apă pentru populație</w:t>
      </w:r>
      <w:r w:rsidRPr="00B40CF3">
        <w:rPr>
          <w:rFonts w:asciiTheme="minorBidi" w:hAnsiTheme="minorBidi"/>
          <w:sz w:val="24"/>
          <w:szCs w:val="24"/>
        </w:rPr>
        <w:t xml:space="preserve"> s-a ţinut cont de:</w:t>
      </w:r>
    </w:p>
    <w:p w14:paraId="3F680ED6" w14:textId="77777777" w:rsidR="004B3AAB" w:rsidRPr="00B40CF3" w:rsidRDefault="004B3AAB" w:rsidP="0054709F">
      <w:pPr>
        <w:pStyle w:val="ListParagraph"/>
        <w:numPr>
          <w:ilvl w:val="0"/>
          <w:numId w:val="10"/>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fr-FR"/>
        </w:rPr>
        <w:t>datele puse la dispoziţie de Institutul Naţional de Statistică prin Recensământul Populaţiei şi Locuinţelor realizat în anul 2011;</w:t>
      </w:r>
    </w:p>
    <w:p w14:paraId="160DFF7C" w14:textId="77777777" w:rsidR="004B3AAB" w:rsidRPr="00B40CF3" w:rsidRDefault="004B3AAB" w:rsidP="0054709F">
      <w:pPr>
        <w:pStyle w:val="ListParagraph"/>
        <w:numPr>
          <w:ilvl w:val="0"/>
          <w:numId w:val="10"/>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fr-FR"/>
        </w:rPr>
        <w:t>datele statistice privind evoluţia populaţiei din România realizată de Organizaţia Naţiunilor Unite (Departamentul pentru Economie şi Afaceri Sociale – Divizia Populaţiei) în lucrarea „World Population Prospects: The 2012 Revision” publicată la 13 iunie 2013;</w:t>
      </w:r>
    </w:p>
    <w:p w14:paraId="320F066C" w14:textId="77777777" w:rsidR="004B3AAB" w:rsidRPr="00B40CF3" w:rsidRDefault="004B3AAB" w:rsidP="0054709F">
      <w:pPr>
        <w:pStyle w:val="ListParagraph"/>
        <w:numPr>
          <w:ilvl w:val="0"/>
          <w:numId w:val="10"/>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fr-FR"/>
        </w:rPr>
        <w:t>repartiţia populaţiei pe medii de locuire;</w:t>
      </w:r>
    </w:p>
    <w:p w14:paraId="057636ED" w14:textId="77777777" w:rsidR="004B3AAB" w:rsidRPr="00B40CF3" w:rsidRDefault="004B3AAB" w:rsidP="0054709F">
      <w:pPr>
        <w:pStyle w:val="ListParagraph"/>
        <w:numPr>
          <w:ilvl w:val="0"/>
          <w:numId w:val="10"/>
        </w:numPr>
        <w:tabs>
          <w:tab w:val="left" w:pos="-879"/>
        </w:tabs>
        <w:spacing w:after="0" w:line="240" w:lineRule="auto"/>
        <w:ind w:left="1080"/>
        <w:jc w:val="both"/>
        <w:rPr>
          <w:rFonts w:asciiTheme="minorBidi" w:hAnsiTheme="minorBidi"/>
          <w:sz w:val="24"/>
          <w:szCs w:val="24"/>
        </w:rPr>
      </w:pPr>
      <w:r w:rsidRPr="00B40CF3">
        <w:rPr>
          <w:rFonts w:asciiTheme="minorBidi" w:hAnsiTheme="minorBidi"/>
          <w:sz w:val="24"/>
          <w:szCs w:val="24"/>
          <w:lang w:val="fr-FR"/>
        </w:rPr>
        <w:t xml:space="preserve">coeficientul de creştere a gradului de urbanizare pentru România (conform statisticii Organizaţiei Naţinunilor Unite (Departamentul pentru Economie şi Afaceri Sociale – Divizia Populaţiei) din lucrarea „World Urbanization Prospects: The 2011 Revision. </w:t>
      </w:r>
      <w:r w:rsidRPr="00B40CF3">
        <w:rPr>
          <w:rFonts w:asciiTheme="minorBidi" w:hAnsiTheme="minorBidi"/>
          <w:sz w:val="24"/>
          <w:szCs w:val="24"/>
        </w:rPr>
        <w:t>Average Annual Rate of Change the Percentage Urban by Major Area, Region and Country” publicată în octombrie 2012;</w:t>
      </w:r>
    </w:p>
    <w:p w14:paraId="2325E5D6" w14:textId="77777777" w:rsidR="004B3AAB" w:rsidRPr="00B40CF3" w:rsidRDefault="004B3AAB" w:rsidP="0054709F">
      <w:pPr>
        <w:pStyle w:val="ListParagraph"/>
        <w:numPr>
          <w:ilvl w:val="0"/>
          <w:numId w:val="10"/>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fr-FR"/>
        </w:rPr>
        <w:t>prognoza evoluţiei populaţiei pentru anul 2030;</w:t>
      </w:r>
    </w:p>
    <w:p w14:paraId="7FEEFE02" w14:textId="77777777" w:rsidR="004B3AAB" w:rsidRPr="00B40CF3" w:rsidRDefault="004B3AAB" w:rsidP="0054709F">
      <w:pPr>
        <w:pStyle w:val="ListParagraph"/>
        <w:numPr>
          <w:ilvl w:val="0"/>
          <w:numId w:val="10"/>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fr-FR"/>
        </w:rPr>
        <w:t>rata de utilizare a apei pentru populaţie în zonele urbane/rurale, la nivelul României;</w:t>
      </w:r>
    </w:p>
    <w:p w14:paraId="0E938692" w14:textId="77777777" w:rsidR="004B3AAB" w:rsidRPr="00B40CF3" w:rsidRDefault="004B3AAB" w:rsidP="0054709F">
      <w:pPr>
        <w:pStyle w:val="ListParagraph"/>
        <w:numPr>
          <w:ilvl w:val="0"/>
          <w:numId w:val="10"/>
        </w:numPr>
        <w:tabs>
          <w:tab w:val="left" w:pos="-879"/>
        </w:tabs>
        <w:spacing w:after="0" w:line="240" w:lineRule="auto"/>
        <w:ind w:left="1080"/>
        <w:jc w:val="both"/>
        <w:rPr>
          <w:rFonts w:asciiTheme="minorBidi" w:hAnsiTheme="minorBidi"/>
          <w:sz w:val="24"/>
          <w:szCs w:val="24"/>
        </w:rPr>
      </w:pPr>
      <w:r w:rsidRPr="00B40CF3">
        <w:rPr>
          <w:rFonts w:asciiTheme="minorBidi" w:hAnsiTheme="minorBidi"/>
          <w:sz w:val="24"/>
          <w:szCs w:val="24"/>
        </w:rPr>
        <w:t xml:space="preserve">prevederile </w:t>
      </w:r>
      <w:r w:rsidRPr="00B40CF3">
        <w:rPr>
          <w:rFonts w:asciiTheme="minorBidi" w:hAnsiTheme="minorBidi"/>
          <w:i/>
          <w:sz w:val="24"/>
          <w:szCs w:val="24"/>
        </w:rPr>
        <w:t>Programului Operaţional Sectorial de Mediu</w:t>
      </w:r>
      <w:r w:rsidRPr="00B40CF3">
        <w:rPr>
          <w:rFonts w:asciiTheme="minorBidi" w:hAnsiTheme="minorBidi"/>
          <w:sz w:val="24"/>
          <w:szCs w:val="24"/>
        </w:rPr>
        <w:t xml:space="preserve"> (POS MEDIU).</w:t>
      </w:r>
    </w:p>
    <w:p w14:paraId="4C9E3B9F" w14:textId="77777777" w:rsidR="004B3AAB" w:rsidRDefault="004B3AAB" w:rsidP="004B3AAB">
      <w:pPr>
        <w:tabs>
          <w:tab w:val="left" w:pos="-879"/>
        </w:tabs>
        <w:spacing w:after="0" w:line="240" w:lineRule="auto"/>
        <w:jc w:val="both"/>
        <w:rPr>
          <w:rFonts w:asciiTheme="minorBidi" w:hAnsiTheme="minorBidi"/>
          <w:sz w:val="24"/>
          <w:szCs w:val="24"/>
        </w:rPr>
      </w:pPr>
      <w:r w:rsidRPr="00B40CF3">
        <w:rPr>
          <w:rFonts w:asciiTheme="minorBidi" w:hAnsiTheme="minorBidi"/>
          <w:sz w:val="24"/>
          <w:szCs w:val="24"/>
        </w:rPr>
        <w:tab/>
      </w:r>
    </w:p>
    <w:p w14:paraId="6D621F85" w14:textId="77777777" w:rsidR="004B3AAB" w:rsidRPr="00B40CF3" w:rsidRDefault="004B3AAB" w:rsidP="004B3AAB">
      <w:pPr>
        <w:tabs>
          <w:tab w:val="left" w:pos="-879"/>
        </w:tabs>
        <w:spacing w:after="0" w:line="240" w:lineRule="auto"/>
        <w:jc w:val="both"/>
        <w:rPr>
          <w:rFonts w:asciiTheme="minorBidi" w:hAnsiTheme="minorBidi"/>
          <w:sz w:val="24"/>
          <w:szCs w:val="24"/>
        </w:rPr>
      </w:pPr>
      <w:r>
        <w:rPr>
          <w:rFonts w:asciiTheme="minorBidi" w:hAnsiTheme="minorBidi"/>
          <w:sz w:val="24"/>
          <w:szCs w:val="24"/>
        </w:rPr>
        <w:tab/>
      </w:r>
      <w:r w:rsidRPr="00B40CF3">
        <w:rPr>
          <w:rFonts w:asciiTheme="minorBidi" w:hAnsiTheme="minorBidi"/>
          <w:sz w:val="24"/>
          <w:szCs w:val="24"/>
        </w:rPr>
        <w:t>Prognoza cerinţelor de apă pentru populaţie s-a realizat pentru trei scenarii în funcţie de rata fertilităţii: scenariul minimal (rata scăzută a fertilităţii), scenariul mediu (rata medie a fertilităţii) şi scenariul maximal (rata ridicată a fertilităţii).</w:t>
      </w:r>
    </w:p>
    <w:p w14:paraId="68602C92" w14:textId="77777777" w:rsidR="004B3AAB" w:rsidRDefault="004B3AAB" w:rsidP="004B3AAB">
      <w:pPr>
        <w:tabs>
          <w:tab w:val="left" w:pos="-879"/>
        </w:tabs>
        <w:spacing w:after="0" w:line="240" w:lineRule="auto"/>
        <w:jc w:val="both"/>
        <w:rPr>
          <w:rFonts w:asciiTheme="minorBidi" w:hAnsiTheme="minorBidi"/>
          <w:b/>
          <w:i/>
          <w:sz w:val="24"/>
          <w:szCs w:val="24"/>
          <w:lang w:val="es-ES_tradnl"/>
        </w:rPr>
      </w:pPr>
      <w:r w:rsidRPr="00B40CF3">
        <w:rPr>
          <w:rFonts w:asciiTheme="minorBidi" w:hAnsiTheme="minorBidi"/>
          <w:b/>
          <w:i/>
          <w:sz w:val="24"/>
          <w:szCs w:val="24"/>
          <w:lang w:val="es-ES_tradnl"/>
        </w:rPr>
        <w:tab/>
      </w:r>
    </w:p>
    <w:p w14:paraId="4C9AD599" w14:textId="77777777" w:rsidR="004B3AAB" w:rsidRPr="00B40CF3" w:rsidRDefault="004B3AAB" w:rsidP="004B3AAB">
      <w:pPr>
        <w:tabs>
          <w:tab w:val="left" w:pos="-879"/>
        </w:tabs>
        <w:spacing w:after="0" w:line="240" w:lineRule="auto"/>
        <w:jc w:val="both"/>
        <w:rPr>
          <w:rFonts w:asciiTheme="minorBidi" w:hAnsiTheme="minorBidi"/>
          <w:sz w:val="24"/>
          <w:szCs w:val="24"/>
        </w:rPr>
      </w:pPr>
      <w:r>
        <w:rPr>
          <w:rFonts w:asciiTheme="minorBidi" w:hAnsiTheme="minorBidi"/>
          <w:b/>
          <w:i/>
          <w:sz w:val="24"/>
          <w:szCs w:val="24"/>
          <w:lang w:val="es-ES_tradnl"/>
        </w:rPr>
        <w:tab/>
      </w:r>
      <w:r w:rsidRPr="00B40CF3">
        <w:rPr>
          <w:rFonts w:asciiTheme="minorBidi" w:hAnsiTheme="minorBidi"/>
          <w:b/>
          <w:i/>
          <w:sz w:val="24"/>
          <w:szCs w:val="24"/>
          <w:lang w:val="es-ES_tradnl"/>
        </w:rPr>
        <w:t>Prognoza cerințelor de apă pentru industrie</w:t>
      </w:r>
      <w:r w:rsidRPr="00B40CF3">
        <w:rPr>
          <w:rFonts w:asciiTheme="minorBidi" w:hAnsiTheme="minorBidi"/>
          <w:i/>
          <w:sz w:val="24"/>
          <w:szCs w:val="24"/>
          <w:lang w:val="es-ES_tradnl"/>
        </w:rPr>
        <w:t xml:space="preserve"> </w:t>
      </w:r>
      <w:r w:rsidRPr="00B40CF3">
        <w:rPr>
          <w:rFonts w:asciiTheme="minorBidi" w:hAnsiTheme="minorBidi"/>
          <w:sz w:val="24"/>
          <w:szCs w:val="24"/>
          <w:lang w:val="es-ES_tradnl"/>
        </w:rPr>
        <w:t xml:space="preserve">s-a estimat prin </w:t>
      </w:r>
      <w:r w:rsidRPr="00B40CF3">
        <w:rPr>
          <w:rFonts w:asciiTheme="minorBidi" w:hAnsiTheme="minorBidi"/>
          <w:sz w:val="24"/>
          <w:szCs w:val="24"/>
        </w:rPr>
        <w:t>metoda prelevărilor pe locuitor, având la bază:</w:t>
      </w:r>
    </w:p>
    <w:p w14:paraId="6B013262" w14:textId="77777777" w:rsidR="004B3AAB" w:rsidRPr="00B40CF3" w:rsidRDefault="004B3AAB" w:rsidP="0054709F">
      <w:pPr>
        <w:pStyle w:val="ListParagraph"/>
        <w:numPr>
          <w:ilvl w:val="0"/>
          <w:numId w:val="11"/>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es-ES_tradnl"/>
        </w:rPr>
        <w:t>volumul de apă industrială prelevat la nivelul anului de referinţă, volum ce a fost preluat din Balanţa Apei elaborată de Administraţia Naţională „Apele Române”</w:t>
      </w:r>
      <w:r w:rsidRPr="00B40CF3">
        <w:rPr>
          <w:rFonts w:asciiTheme="minorBidi" w:hAnsiTheme="minorBidi"/>
          <w:sz w:val="24"/>
          <w:szCs w:val="24"/>
          <w:lang w:val="fr-FR"/>
        </w:rPr>
        <w:t>;</w:t>
      </w:r>
    </w:p>
    <w:p w14:paraId="27F6D7B5" w14:textId="77777777" w:rsidR="004B3AAB" w:rsidRPr="00B40CF3" w:rsidRDefault="004B3AAB" w:rsidP="0054709F">
      <w:pPr>
        <w:pStyle w:val="ListParagraph"/>
        <w:numPr>
          <w:ilvl w:val="0"/>
          <w:numId w:val="11"/>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es-ES_tradnl"/>
        </w:rPr>
        <w:t>populaţia la nivelul anului de referinţă</w:t>
      </w:r>
      <w:r w:rsidRPr="00B40CF3">
        <w:rPr>
          <w:rFonts w:asciiTheme="minorBidi" w:hAnsiTheme="minorBidi"/>
          <w:sz w:val="24"/>
          <w:szCs w:val="24"/>
          <w:lang w:val="fr-FR"/>
        </w:rPr>
        <w:t>;</w:t>
      </w:r>
    </w:p>
    <w:p w14:paraId="43BE0934" w14:textId="77777777" w:rsidR="004B3AAB" w:rsidRPr="00B40CF3" w:rsidRDefault="004B3AAB" w:rsidP="0054709F">
      <w:pPr>
        <w:pStyle w:val="ListParagraph"/>
        <w:numPr>
          <w:ilvl w:val="0"/>
          <w:numId w:val="11"/>
        </w:numPr>
        <w:tabs>
          <w:tab w:val="left" w:pos="-879"/>
        </w:tabs>
        <w:spacing w:after="0" w:line="240" w:lineRule="auto"/>
        <w:ind w:left="1080"/>
        <w:jc w:val="both"/>
        <w:rPr>
          <w:rFonts w:asciiTheme="minorBidi" w:hAnsiTheme="minorBidi"/>
          <w:sz w:val="24"/>
          <w:szCs w:val="24"/>
          <w:lang w:val="fr-FR"/>
        </w:rPr>
      </w:pPr>
      <w:r w:rsidRPr="00B40CF3">
        <w:rPr>
          <w:rFonts w:asciiTheme="minorBidi" w:hAnsiTheme="minorBidi"/>
          <w:sz w:val="24"/>
          <w:szCs w:val="24"/>
          <w:lang w:val="fr-FR"/>
        </w:rPr>
        <w:lastRenderedPageBreak/>
        <w:t>evoluţia principalilor indicatori economico - sociali furnizată de Comisia Naţională de Prognoză, prin publicaţia "</w:t>
      </w:r>
      <w:r w:rsidRPr="00B40CF3">
        <w:rPr>
          <w:rFonts w:asciiTheme="minorBidi" w:hAnsiTheme="minorBidi"/>
          <w:i/>
          <w:sz w:val="24"/>
          <w:szCs w:val="24"/>
          <w:lang w:val="fr-FR"/>
        </w:rPr>
        <w:t>Proiecţia principalilor indicatori economico - sociali în profil teritorial până în 2016</w:t>
      </w:r>
      <w:r w:rsidRPr="00B40CF3">
        <w:rPr>
          <w:rFonts w:asciiTheme="minorBidi" w:hAnsiTheme="minorBidi"/>
          <w:sz w:val="24"/>
          <w:szCs w:val="24"/>
          <w:lang w:val="fr-FR"/>
        </w:rPr>
        <w:t xml:space="preserve">", publicat în iunie 2013. </w:t>
      </w:r>
    </w:p>
    <w:p w14:paraId="6C73F08C" w14:textId="77777777" w:rsidR="004B3AAB" w:rsidRPr="00B40CF3" w:rsidRDefault="004B3AAB" w:rsidP="004B3AAB">
      <w:pPr>
        <w:tabs>
          <w:tab w:val="left" w:pos="-879"/>
        </w:tabs>
        <w:spacing w:after="0" w:line="240" w:lineRule="auto"/>
        <w:jc w:val="both"/>
        <w:rPr>
          <w:rFonts w:asciiTheme="minorBidi" w:hAnsiTheme="minorBidi"/>
          <w:sz w:val="24"/>
          <w:szCs w:val="24"/>
          <w:lang w:val="es-ES_tradnl"/>
        </w:rPr>
      </w:pPr>
      <w:r w:rsidRPr="00B40CF3">
        <w:rPr>
          <w:rFonts w:asciiTheme="minorBidi" w:hAnsiTheme="minorBidi"/>
          <w:sz w:val="24"/>
          <w:szCs w:val="24"/>
          <w:lang w:val="es-ES_tradnl"/>
        </w:rPr>
        <w:tab/>
        <w:t>Ca şi în cazul prognozei cerinţelor de apă pentru populaţie, prognoza cerinţelor de apă pentru industrie s-a realizat pentru trei scenarii de prognoză.</w:t>
      </w:r>
    </w:p>
    <w:p w14:paraId="36E010D6" w14:textId="77777777" w:rsidR="004B3AAB" w:rsidRDefault="004B3AAB" w:rsidP="004B3AAB">
      <w:pPr>
        <w:tabs>
          <w:tab w:val="left" w:pos="-879"/>
        </w:tabs>
        <w:spacing w:after="0" w:line="240" w:lineRule="auto"/>
        <w:jc w:val="both"/>
        <w:rPr>
          <w:rFonts w:asciiTheme="minorBidi" w:hAnsiTheme="minorBidi"/>
          <w:sz w:val="24"/>
          <w:szCs w:val="24"/>
          <w:lang w:val="es-ES_tradnl"/>
        </w:rPr>
      </w:pPr>
      <w:r w:rsidRPr="00B40CF3">
        <w:rPr>
          <w:rFonts w:asciiTheme="minorBidi" w:hAnsiTheme="minorBidi"/>
          <w:sz w:val="24"/>
          <w:szCs w:val="24"/>
          <w:lang w:val="es-ES_tradnl"/>
        </w:rPr>
        <w:tab/>
      </w:r>
    </w:p>
    <w:p w14:paraId="4CF2C3D3" w14:textId="77777777" w:rsidR="004B3AAB" w:rsidRPr="00B40CF3" w:rsidRDefault="004B3AAB" w:rsidP="004B3AAB">
      <w:pPr>
        <w:tabs>
          <w:tab w:val="left" w:pos="-879"/>
        </w:tabs>
        <w:spacing w:after="0" w:line="240" w:lineRule="auto"/>
        <w:jc w:val="both"/>
        <w:rPr>
          <w:rFonts w:asciiTheme="minorBidi" w:hAnsiTheme="minorBidi"/>
          <w:sz w:val="24"/>
          <w:szCs w:val="24"/>
          <w:lang w:val="es-ES_tradnl"/>
        </w:rPr>
      </w:pPr>
      <w:r>
        <w:rPr>
          <w:rFonts w:asciiTheme="minorBidi" w:hAnsiTheme="minorBidi"/>
          <w:sz w:val="24"/>
          <w:szCs w:val="24"/>
          <w:lang w:val="es-ES_tradnl"/>
        </w:rPr>
        <w:tab/>
      </w:r>
      <w:r w:rsidRPr="00B40CF3">
        <w:rPr>
          <w:rFonts w:asciiTheme="minorBidi" w:hAnsiTheme="minorBidi"/>
          <w:sz w:val="24"/>
          <w:szCs w:val="24"/>
          <w:lang w:val="es-ES_tradnl"/>
        </w:rPr>
        <w:t>Pentru calculul</w:t>
      </w:r>
      <w:r w:rsidRPr="00B40CF3">
        <w:rPr>
          <w:rFonts w:asciiTheme="minorBidi" w:hAnsiTheme="minorBidi"/>
          <w:b/>
          <w:i/>
          <w:sz w:val="24"/>
          <w:szCs w:val="24"/>
          <w:lang w:val="es-ES_tradnl"/>
        </w:rPr>
        <w:t xml:space="preserve"> prognozei cerințelor de apă pentru irigații</w:t>
      </w:r>
      <w:r w:rsidRPr="00B40CF3">
        <w:rPr>
          <w:rFonts w:asciiTheme="minorBidi" w:hAnsiTheme="minorBidi"/>
          <w:i/>
          <w:sz w:val="24"/>
          <w:szCs w:val="24"/>
          <w:lang w:val="es-ES_tradnl"/>
        </w:rPr>
        <w:t xml:space="preserve"> </w:t>
      </w:r>
      <w:r w:rsidRPr="00B40CF3">
        <w:rPr>
          <w:rFonts w:asciiTheme="minorBidi" w:hAnsiTheme="minorBidi"/>
          <w:sz w:val="24"/>
          <w:szCs w:val="24"/>
          <w:lang w:val="es-ES_tradnl"/>
        </w:rPr>
        <w:t xml:space="preserve">s-au luat în considerare: </w:t>
      </w:r>
    </w:p>
    <w:p w14:paraId="184F4694" w14:textId="77777777" w:rsidR="004B3AAB" w:rsidRPr="00B40CF3" w:rsidRDefault="004B3AAB" w:rsidP="0054709F">
      <w:pPr>
        <w:pStyle w:val="ListParagraph"/>
        <w:numPr>
          <w:ilvl w:val="0"/>
          <w:numId w:val="8"/>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volumele de apă prelevate pentru irigații în anii anteriori realizării calculului;</w:t>
      </w:r>
    </w:p>
    <w:p w14:paraId="345355D6" w14:textId="77777777" w:rsidR="004B3AAB" w:rsidRPr="00B40CF3" w:rsidRDefault="004B3AAB" w:rsidP="0054709F">
      <w:pPr>
        <w:pStyle w:val="ListParagraph"/>
        <w:numPr>
          <w:ilvl w:val="0"/>
          <w:numId w:val="8"/>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 xml:space="preserve">suprafețele prognozate a fi irigate în conformitate cu Strategia Investiţiilor în Sectorul Irigaţiilor, elaborată de Fidman Merk at S.R.L. (Ianuarie 2011) pentru Ministerul Agriculturii şi Dezvoltării Rurale – Proiectul de Reabilitare şi Reformă a Sectorului de Irigaţii; </w:t>
      </w:r>
    </w:p>
    <w:p w14:paraId="7C10C3D0" w14:textId="77777777" w:rsidR="004B3AAB" w:rsidRPr="00B40CF3" w:rsidRDefault="004B3AAB" w:rsidP="0054709F">
      <w:pPr>
        <w:pStyle w:val="ListParagraph"/>
        <w:numPr>
          <w:ilvl w:val="0"/>
          <w:numId w:val="8"/>
        </w:numPr>
        <w:spacing w:after="0" w:line="240" w:lineRule="auto"/>
        <w:ind w:left="1080"/>
        <w:jc w:val="both"/>
        <w:rPr>
          <w:rFonts w:asciiTheme="minorBidi" w:eastAsia="Times New Roman" w:hAnsiTheme="minorBidi"/>
          <w:sz w:val="24"/>
          <w:szCs w:val="24"/>
        </w:rPr>
      </w:pPr>
      <w:r w:rsidRPr="00B40CF3">
        <w:rPr>
          <w:rFonts w:asciiTheme="minorBidi" w:hAnsiTheme="minorBidi"/>
          <w:sz w:val="24"/>
          <w:szCs w:val="24"/>
          <w:lang w:val="es-ES_tradnl"/>
        </w:rPr>
        <w:t>suprafeţele prognozate a fi amenajate pentru irigaţii cu normele</w:t>
      </w:r>
      <w:r w:rsidRPr="00B40CF3">
        <w:rPr>
          <w:rFonts w:asciiTheme="minorBidi" w:hAnsiTheme="minorBidi"/>
          <w:sz w:val="24"/>
          <w:szCs w:val="24"/>
          <w:lang w:val="fr-FR"/>
        </w:rPr>
        <w:t xml:space="preserve"> de udare aferente la nivel național, conform informaţiilor primite de la Agenția Națională de Îmbunătățiri Funciare (ANIF).</w:t>
      </w:r>
    </w:p>
    <w:p w14:paraId="2A34F0EF" w14:textId="77777777" w:rsidR="004B3AAB" w:rsidRPr="00B40CF3" w:rsidRDefault="004B3AAB" w:rsidP="004B3AAB">
      <w:pPr>
        <w:spacing w:after="0" w:line="240" w:lineRule="auto"/>
        <w:ind w:firstLine="708"/>
        <w:jc w:val="both"/>
        <w:rPr>
          <w:rFonts w:asciiTheme="minorBidi" w:hAnsiTheme="minorBidi"/>
          <w:sz w:val="24"/>
          <w:szCs w:val="24"/>
          <w:lang w:val="es-ES_tradnl"/>
        </w:rPr>
      </w:pPr>
      <w:r w:rsidRPr="00B40CF3">
        <w:rPr>
          <w:rFonts w:asciiTheme="minorBidi" w:hAnsiTheme="minorBidi"/>
          <w:sz w:val="24"/>
          <w:szCs w:val="24"/>
          <w:lang w:val="es-ES_tradnl"/>
        </w:rPr>
        <w:t>Calculele de prognoză s-au realizat pentru trei scenarii de prognoză.</w:t>
      </w:r>
    </w:p>
    <w:p w14:paraId="4C0BC9BB" w14:textId="77777777" w:rsidR="004B3AAB" w:rsidRDefault="004B3AAB" w:rsidP="004B3AAB">
      <w:pPr>
        <w:tabs>
          <w:tab w:val="left" w:pos="-879"/>
        </w:tabs>
        <w:spacing w:after="0" w:line="240" w:lineRule="auto"/>
        <w:jc w:val="both"/>
        <w:rPr>
          <w:rFonts w:asciiTheme="minorBidi" w:hAnsiTheme="minorBidi"/>
          <w:b/>
          <w:i/>
          <w:sz w:val="24"/>
          <w:szCs w:val="24"/>
          <w:lang w:val="es-ES_tradnl"/>
        </w:rPr>
      </w:pPr>
      <w:r w:rsidRPr="00B40CF3">
        <w:rPr>
          <w:rFonts w:asciiTheme="minorBidi" w:hAnsiTheme="minorBidi"/>
          <w:b/>
          <w:i/>
          <w:sz w:val="24"/>
          <w:szCs w:val="24"/>
          <w:lang w:val="es-ES_tradnl"/>
        </w:rPr>
        <w:tab/>
      </w:r>
    </w:p>
    <w:p w14:paraId="7B46DAA7" w14:textId="77777777" w:rsidR="004B3AAB" w:rsidRPr="00B40CF3" w:rsidRDefault="004B3AAB" w:rsidP="004B3AAB">
      <w:pPr>
        <w:tabs>
          <w:tab w:val="left" w:pos="-879"/>
        </w:tabs>
        <w:spacing w:after="0" w:line="240" w:lineRule="auto"/>
        <w:jc w:val="both"/>
        <w:rPr>
          <w:rFonts w:asciiTheme="minorBidi" w:hAnsiTheme="minorBidi"/>
          <w:sz w:val="24"/>
          <w:szCs w:val="24"/>
          <w:lang w:val="es-ES_tradnl"/>
        </w:rPr>
      </w:pPr>
      <w:r>
        <w:rPr>
          <w:rFonts w:asciiTheme="minorBidi" w:hAnsiTheme="minorBidi"/>
          <w:b/>
          <w:i/>
          <w:sz w:val="24"/>
          <w:szCs w:val="24"/>
          <w:lang w:val="es-ES_tradnl"/>
        </w:rPr>
        <w:tab/>
      </w:r>
      <w:r w:rsidRPr="00B40CF3">
        <w:rPr>
          <w:rFonts w:asciiTheme="minorBidi" w:hAnsiTheme="minorBidi"/>
          <w:b/>
          <w:i/>
          <w:sz w:val="24"/>
          <w:szCs w:val="24"/>
          <w:lang w:val="es-ES_tradnl"/>
        </w:rPr>
        <w:t>Prognoza cerințelor de apă pentru zootehnie</w:t>
      </w:r>
      <w:r w:rsidRPr="00B40CF3">
        <w:rPr>
          <w:rFonts w:asciiTheme="minorBidi" w:hAnsiTheme="minorBidi"/>
          <w:i/>
          <w:sz w:val="24"/>
          <w:szCs w:val="24"/>
          <w:lang w:val="es-ES_tradnl"/>
        </w:rPr>
        <w:t xml:space="preserve"> </w:t>
      </w:r>
      <w:r w:rsidRPr="00B40CF3">
        <w:rPr>
          <w:rFonts w:asciiTheme="minorBidi" w:hAnsiTheme="minorBidi"/>
          <w:sz w:val="24"/>
          <w:szCs w:val="24"/>
          <w:lang w:val="es-ES_tradnl"/>
        </w:rPr>
        <w:t xml:space="preserve">se referă în mod exclusiv la cerința de apă necesară creșterii animalelor în regim industrial, pentru animalele crescute în gospodăriile poulației volumele de apă necesare s-au considerat a fi înglobate în cerința de apă pentru poluația din mediul rural. </w:t>
      </w:r>
    </w:p>
    <w:p w14:paraId="683F430F" w14:textId="77777777" w:rsidR="004B3AAB" w:rsidRPr="00B40CF3" w:rsidRDefault="004B3AAB" w:rsidP="004B3AAB">
      <w:pPr>
        <w:tabs>
          <w:tab w:val="left" w:pos="-879"/>
        </w:tabs>
        <w:spacing w:after="0" w:line="240" w:lineRule="auto"/>
        <w:jc w:val="both"/>
        <w:rPr>
          <w:rFonts w:asciiTheme="minorBidi" w:hAnsiTheme="minorBidi"/>
          <w:sz w:val="24"/>
          <w:szCs w:val="24"/>
          <w:lang w:val="es-ES_tradnl"/>
        </w:rPr>
      </w:pPr>
      <w:r w:rsidRPr="00B40CF3">
        <w:rPr>
          <w:rFonts w:asciiTheme="minorBidi" w:hAnsiTheme="minorBidi"/>
          <w:sz w:val="24"/>
          <w:szCs w:val="24"/>
          <w:lang w:val="es-ES_tradnl"/>
        </w:rPr>
        <w:tab/>
        <w:t xml:space="preserve">Pentru calcul prognozei cerințelor de apă pentru zootehnie s-au luat în considerare: </w:t>
      </w:r>
    </w:p>
    <w:p w14:paraId="5DFC832B" w14:textId="77777777" w:rsidR="004B3AAB" w:rsidRPr="00B40CF3" w:rsidRDefault="004B3AAB" w:rsidP="0054709F">
      <w:pPr>
        <w:pStyle w:val="ListParagraph"/>
        <w:numPr>
          <w:ilvl w:val="0"/>
          <w:numId w:val="12"/>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 xml:space="preserve">datele furnizate de Institutul Naţional de Statistică ce cuprind efectivele de animale, pe categorii de animale, forme de proprietate, macroregiuni, regiuni de dezvoltare şi judeţe pentru anul de referinţă (2011); </w:t>
      </w:r>
    </w:p>
    <w:p w14:paraId="3B40F7F7" w14:textId="77777777" w:rsidR="004B3AAB" w:rsidRPr="00B40CF3" w:rsidRDefault="004B3AAB" w:rsidP="0054709F">
      <w:pPr>
        <w:pStyle w:val="ListParagraph"/>
        <w:numPr>
          <w:ilvl w:val="0"/>
          <w:numId w:val="12"/>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numărul populaţiei la nivelul anului de referinţă;</w:t>
      </w:r>
    </w:p>
    <w:p w14:paraId="4675956C" w14:textId="77777777" w:rsidR="004B3AAB" w:rsidRPr="00B40CF3" w:rsidRDefault="004B3AAB" w:rsidP="0054709F">
      <w:pPr>
        <w:pStyle w:val="ListParagraph"/>
        <w:numPr>
          <w:ilvl w:val="0"/>
          <w:numId w:val="12"/>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prognoza evoluției numărului de locuitori pentru anul 2030 determinată anterior;</w:t>
      </w:r>
    </w:p>
    <w:p w14:paraId="27F23025" w14:textId="77777777" w:rsidR="004B3AAB" w:rsidRPr="00B40CF3" w:rsidRDefault="004B3AAB" w:rsidP="0054709F">
      <w:pPr>
        <w:pStyle w:val="ListParagraph"/>
        <w:numPr>
          <w:ilvl w:val="0"/>
          <w:numId w:val="12"/>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cerinţa medie de apă pentru animalele crescute în regim industrial.</w:t>
      </w:r>
    </w:p>
    <w:p w14:paraId="112DC21A" w14:textId="77777777" w:rsidR="004B3AAB" w:rsidRPr="00B40CF3" w:rsidRDefault="004B3AAB" w:rsidP="004B3AAB">
      <w:pPr>
        <w:pStyle w:val="1text2"/>
        <w:spacing w:before="0"/>
        <w:ind w:firstLine="714"/>
        <w:rPr>
          <w:rFonts w:asciiTheme="minorBidi" w:hAnsiTheme="minorBidi" w:cstheme="minorBidi"/>
        </w:rPr>
      </w:pPr>
      <w:r w:rsidRPr="00B40CF3">
        <w:rPr>
          <w:rFonts w:asciiTheme="minorBidi" w:hAnsiTheme="minorBidi" w:cstheme="minorBidi"/>
        </w:rPr>
        <w:t xml:space="preserve">Calculele de prognoză s-au realizat pentru trei scenarii de prognoză în funcție de coeficienții estimați ai creșterii economice. </w:t>
      </w:r>
    </w:p>
    <w:p w14:paraId="237C1DF0" w14:textId="77777777" w:rsidR="004B3AAB" w:rsidRDefault="004B3AAB" w:rsidP="004B3AAB">
      <w:pPr>
        <w:tabs>
          <w:tab w:val="left" w:pos="-879"/>
        </w:tabs>
        <w:spacing w:after="0" w:line="240" w:lineRule="auto"/>
        <w:jc w:val="both"/>
        <w:rPr>
          <w:rFonts w:asciiTheme="minorBidi" w:hAnsiTheme="minorBidi"/>
          <w:b/>
          <w:i/>
          <w:sz w:val="24"/>
          <w:szCs w:val="24"/>
          <w:lang w:val="es-ES_tradnl"/>
        </w:rPr>
      </w:pPr>
      <w:r w:rsidRPr="00B40CF3">
        <w:rPr>
          <w:rFonts w:asciiTheme="minorBidi" w:hAnsiTheme="minorBidi"/>
          <w:b/>
          <w:i/>
          <w:sz w:val="24"/>
          <w:szCs w:val="24"/>
          <w:lang w:val="es-ES_tradnl"/>
        </w:rPr>
        <w:tab/>
      </w:r>
    </w:p>
    <w:p w14:paraId="6B954665" w14:textId="77777777" w:rsidR="004B3AAB" w:rsidRPr="00B40CF3" w:rsidRDefault="004B3AAB" w:rsidP="004B3AAB">
      <w:pPr>
        <w:tabs>
          <w:tab w:val="left" w:pos="-879"/>
        </w:tabs>
        <w:spacing w:after="0" w:line="240" w:lineRule="auto"/>
        <w:jc w:val="both"/>
        <w:rPr>
          <w:rFonts w:asciiTheme="minorBidi" w:hAnsiTheme="minorBidi"/>
          <w:sz w:val="24"/>
          <w:szCs w:val="24"/>
          <w:lang w:val="es-ES_tradnl"/>
        </w:rPr>
      </w:pPr>
      <w:r>
        <w:rPr>
          <w:rFonts w:asciiTheme="minorBidi" w:hAnsiTheme="minorBidi"/>
          <w:b/>
          <w:i/>
          <w:sz w:val="24"/>
          <w:szCs w:val="24"/>
          <w:lang w:val="es-ES_tradnl"/>
        </w:rPr>
        <w:tab/>
      </w:r>
      <w:r w:rsidRPr="00B40CF3">
        <w:rPr>
          <w:rFonts w:asciiTheme="minorBidi" w:hAnsiTheme="minorBidi"/>
          <w:b/>
          <w:i/>
          <w:sz w:val="24"/>
          <w:szCs w:val="24"/>
          <w:lang w:val="es-ES_tradnl"/>
        </w:rPr>
        <w:t>Prognoza cerințelor de apă pentru acvacultură/piscicultură</w:t>
      </w:r>
      <w:r w:rsidRPr="00B40CF3">
        <w:rPr>
          <w:rFonts w:asciiTheme="minorBidi" w:hAnsiTheme="minorBidi"/>
          <w:i/>
          <w:sz w:val="24"/>
          <w:szCs w:val="24"/>
          <w:lang w:val="es-ES_tradnl"/>
        </w:rPr>
        <w:t xml:space="preserve"> </w:t>
      </w:r>
      <w:r w:rsidRPr="00B40CF3">
        <w:rPr>
          <w:rFonts w:asciiTheme="minorBidi" w:hAnsiTheme="minorBidi"/>
          <w:sz w:val="24"/>
          <w:szCs w:val="24"/>
          <w:lang w:val="es-ES_tradnl"/>
        </w:rPr>
        <w:t xml:space="preserve">s-a realizat luând în considerare: </w:t>
      </w:r>
    </w:p>
    <w:p w14:paraId="58BA7219" w14:textId="77777777" w:rsidR="004B3AAB" w:rsidRPr="00B40CF3" w:rsidRDefault="004B3AAB" w:rsidP="0054709F">
      <w:pPr>
        <w:pStyle w:val="ListParagraph"/>
        <w:numPr>
          <w:ilvl w:val="0"/>
          <w:numId w:val="12"/>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volumele de apă prelevate în anii anteriori pentru acvacultură/piscicultură, volume ce au fost preluate din Balanţa Apei elaborată de Administraţia Naţională „Apele Române”</w:t>
      </w:r>
      <w:r w:rsidRPr="00B40CF3">
        <w:rPr>
          <w:rFonts w:asciiTheme="minorBidi" w:hAnsiTheme="minorBidi"/>
          <w:sz w:val="24"/>
          <w:szCs w:val="24"/>
          <w:lang w:val="fr-FR"/>
        </w:rPr>
        <w:t>;</w:t>
      </w:r>
    </w:p>
    <w:p w14:paraId="03B80805" w14:textId="77777777" w:rsidR="004B3AAB" w:rsidRPr="00B40CF3" w:rsidRDefault="004B3AAB" w:rsidP="0054709F">
      <w:pPr>
        <w:pStyle w:val="ListParagraph"/>
        <w:numPr>
          <w:ilvl w:val="0"/>
          <w:numId w:val="12"/>
        </w:numPr>
        <w:tabs>
          <w:tab w:val="left" w:pos="-879"/>
        </w:tabs>
        <w:spacing w:after="0" w:line="240" w:lineRule="auto"/>
        <w:ind w:left="1080"/>
        <w:jc w:val="both"/>
        <w:rPr>
          <w:rFonts w:asciiTheme="minorBidi" w:hAnsiTheme="minorBidi"/>
          <w:sz w:val="24"/>
          <w:szCs w:val="24"/>
          <w:lang w:val="es-ES_tradnl"/>
        </w:rPr>
      </w:pPr>
      <w:r w:rsidRPr="00B40CF3">
        <w:rPr>
          <w:rFonts w:asciiTheme="minorBidi" w:hAnsiTheme="minorBidi"/>
          <w:sz w:val="24"/>
          <w:szCs w:val="24"/>
          <w:lang w:val="es-ES_tradnl"/>
        </w:rPr>
        <w:t>suprafeţele amenajărilor piscicole – pepiniere şi crescătorii potrivit Registrului Unităților de Acvacultură (RUA actualizarea martie 2014) a Agenţiei Naţionale pentru Pescuit şi Acvacultură.</w:t>
      </w:r>
    </w:p>
    <w:p w14:paraId="4618609D" w14:textId="77777777" w:rsidR="004B3AAB" w:rsidRDefault="004B3AAB" w:rsidP="004B3AAB">
      <w:pPr>
        <w:pStyle w:val="1text2"/>
        <w:spacing w:before="0"/>
        <w:ind w:firstLine="720"/>
        <w:rPr>
          <w:rFonts w:asciiTheme="minorBidi" w:hAnsiTheme="minorBidi" w:cstheme="minorBidi"/>
        </w:rPr>
      </w:pPr>
    </w:p>
    <w:p w14:paraId="303F34BD" w14:textId="77777777" w:rsidR="004B3AAB" w:rsidRPr="00B40CF3" w:rsidRDefault="004B3AAB" w:rsidP="004B3AAB">
      <w:pPr>
        <w:pStyle w:val="1text2"/>
        <w:spacing w:before="0"/>
        <w:ind w:firstLine="720"/>
        <w:rPr>
          <w:rFonts w:asciiTheme="minorBidi" w:hAnsiTheme="minorBidi" w:cstheme="minorBidi"/>
        </w:rPr>
      </w:pPr>
      <w:r w:rsidRPr="00B40CF3">
        <w:rPr>
          <w:rFonts w:asciiTheme="minorBidi" w:hAnsiTheme="minorBidi" w:cstheme="minorBidi"/>
        </w:rPr>
        <w:t>Calculele de prognoză s-au realizat pentru trei scenarii de prognoză care prevăd o creștere ponderată a suprafețelor amenajate pentru acvacultură.</w:t>
      </w:r>
    </w:p>
    <w:p w14:paraId="03D6F800" w14:textId="77777777" w:rsidR="004B3AAB" w:rsidRDefault="004B3AAB" w:rsidP="004B3AAB">
      <w:pPr>
        <w:pStyle w:val="textscris"/>
        <w:spacing w:before="0" w:after="0"/>
        <w:rPr>
          <w:rFonts w:asciiTheme="minorBidi" w:hAnsiTheme="minorBidi" w:cstheme="minorBidi"/>
          <w:lang w:val="es-ES_tradnl"/>
        </w:rPr>
      </w:pPr>
    </w:p>
    <w:p w14:paraId="68F4DA76" w14:textId="77777777" w:rsidR="004B3AAB" w:rsidRDefault="004B3AAB" w:rsidP="004B3AAB">
      <w:pPr>
        <w:pStyle w:val="textscris"/>
        <w:spacing w:before="0" w:after="0"/>
        <w:rPr>
          <w:rFonts w:asciiTheme="minorBidi" w:hAnsiTheme="minorBidi" w:cstheme="minorBidi"/>
          <w:lang w:val="es-ES_tradnl"/>
        </w:rPr>
      </w:pPr>
    </w:p>
    <w:p w14:paraId="146DBF21" w14:textId="77777777" w:rsidR="004B3AAB" w:rsidRDefault="004B3AAB" w:rsidP="004B3AAB">
      <w:pPr>
        <w:pStyle w:val="textscris"/>
        <w:spacing w:before="0" w:after="0"/>
        <w:rPr>
          <w:rFonts w:asciiTheme="minorBidi" w:hAnsiTheme="minorBidi" w:cstheme="minorBidi"/>
          <w:lang w:val="es-ES_tradnl"/>
        </w:rPr>
      </w:pPr>
    </w:p>
    <w:p w14:paraId="514A1BCB" w14:textId="77777777" w:rsidR="004B3AAB" w:rsidRDefault="004B3AAB" w:rsidP="004B3AAB">
      <w:pPr>
        <w:pStyle w:val="textscris"/>
        <w:spacing w:before="0" w:after="0"/>
        <w:rPr>
          <w:rFonts w:asciiTheme="minorBidi" w:hAnsiTheme="minorBidi" w:cstheme="minorBidi"/>
          <w:lang w:val="es-ES_tradnl"/>
        </w:rPr>
      </w:pPr>
    </w:p>
    <w:p w14:paraId="23192D8A" w14:textId="77777777" w:rsidR="004B3AAB" w:rsidRDefault="004B3AAB" w:rsidP="004B3AAB">
      <w:pPr>
        <w:pStyle w:val="textscris"/>
        <w:spacing w:before="0" w:after="0"/>
        <w:rPr>
          <w:rFonts w:asciiTheme="minorBidi" w:hAnsiTheme="minorBidi" w:cstheme="minorBidi"/>
          <w:lang w:val="es-ES_tradnl"/>
        </w:rPr>
      </w:pPr>
    </w:p>
    <w:p w14:paraId="17F4C51A" w14:textId="77777777" w:rsidR="004B3AAB" w:rsidRDefault="004B3AAB" w:rsidP="004B3AAB">
      <w:pPr>
        <w:pStyle w:val="textscris"/>
        <w:spacing w:before="0" w:after="0"/>
        <w:rPr>
          <w:rFonts w:asciiTheme="minorBidi" w:hAnsiTheme="minorBidi" w:cstheme="minorBidi"/>
          <w:lang w:val="es-ES_tradnl"/>
        </w:rPr>
      </w:pPr>
    </w:p>
    <w:p w14:paraId="243A323D" w14:textId="77777777" w:rsidR="004B3AAB" w:rsidRDefault="004B3AAB" w:rsidP="004B3AAB">
      <w:pPr>
        <w:pStyle w:val="textscris"/>
        <w:spacing w:before="0" w:after="0"/>
        <w:rPr>
          <w:rFonts w:asciiTheme="minorBidi" w:hAnsiTheme="minorBidi" w:cstheme="minorBidi"/>
          <w:lang w:val="es-ES_tradnl"/>
        </w:rPr>
      </w:pPr>
    </w:p>
    <w:p w14:paraId="67A6260D" w14:textId="77777777" w:rsidR="004B3AAB" w:rsidRPr="00B40CF3" w:rsidRDefault="004B3AAB" w:rsidP="004B3AAB">
      <w:pPr>
        <w:pStyle w:val="textscris"/>
        <w:spacing w:before="0" w:after="0"/>
        <w:rPr>
          <w:rFonts w:asciiTheme="minorBidi" w:hAnsiTheme="minorBidi" w:cstheme="minorBidi"/>
          <w:lang w:val="es-ES_tradnl"/>
        </w:rPr>
      </w:pPr>
      <w:r w:rsidRPr="00B40CF3">
        <w:rPr>
          <w:rFonts w:asciiTheme="minorBidi" w:hAnsiTheme="minorBidi" w:cstheme="minorBidi"/>
          <w:lang w:val="es-ES_tradnl"/>
        </w:rPr>
        <w:t xml:space="preserve">În </w:t>
      </w:r>
      <w:r>
        <w:rPr>
          <w:rFonts w:asciiTheme="minorBidi" w:hAnsiTheme="minorBidi" w:cstheme="minorBidi"/>
          <w:b/>
          <w:bCs/>
          <w:lang w:val="es-ES_tradnl"/>
        </w:rPr>
        <w:t>t</w:t>
      </w:r>
      <w:r w:rsidRPr="00B40CF3">
        <w:rPr>
          <w:rFonts w:asciiTheme="minorBidi" w:hAnsiTheme="minorBidi" w:cstheme="minorBidi"/>
          <w:b/>
          <w:bCs/>
          <w:lang w:val="ro-RO"/>
        </w:rPr>
        <w:t>abelul II.1.2.1</w:t>
      </w:r>
      <w:r w:rsidRPr="00B40CF3">
        <w:rPr>
          <w:rFonts w:asciiTheme="minorBidi" w:hAnsiTheme="minorBidi" w:cstheme="minorBidi"/>
          <w:lang w:val="es-ES_tradnl"/>
        </w:rPr>
        <w:t xml:space="preserve"> este redată cerința de apă prognozată pe folosințe de apă, pentru anul 2030, în cazul scenariului mediu.</w:t>
      </w:r>
    </w:p>
    <w:p w14:paraId="6C0E9D08" w14:textId="77777777" w:rsidR="004B3AAB" w:rsidRPr="00B40CF3" w:rsidRDefault="004B3AAB" w:rsidP="004B3AAB">
      <w:pPr>
        <w:pStyle w:val="textscris"/>
        <w:spacing w:before="0" w:after="0"/>
        <w:rPr>
          <w:rFonts w:asciiTheme="minorBidi" w:hAnsiTheme="minorBidi" w:cstheme="minorBidi"/>
          <w:color w:val="000000"/>
          <w:lang w:val="ro-RO"/>
        </w:rPr>
      </w:pPr>
    </w:p>
    <w:p w14:paraId="07AB33B8" w14:textId="77777777" w:rsidR="004B3AAB" w:rsidRPr="00B40CF3" w:rsidRDefault="004B3AAB" w:rsidP="004B3AAB">
      <w:pPr>
        <w:pStyle w:val="1text2"/>
        <w:spacing w:before="0"/>
        <w:jc w:val="center"/>
        <w:rPr>
          <w:rFonts w:asciiTheme="minorBidi" w:hAnsiTheme="minorBidi" w:cstheme="minorBidi"/>
        </w:rPr>
      </w:pPr>
      <w:r w:rsidRPr="00B40CF3">
        <w:rPr>
          <w:rFonts w:asciiTheme="minorBidi" w:hAnsiTheme="minorBidi" w:cstheme="minorBidi"/>
          <w:b/>
          <w:bCs/>
        </w:rPr>
        <w:t>Tabelul II.1.2.1:</w:t>
      </w:r>
      <w:r w:rsidRPr="00B40CF3">
        <w:rPr>
          <w:rFonts w:asciiTheme="minorBidi" w:hAnsiTheme="minorBidi" w:cstheme="minorBidi"/>
        </w:rPr>
        <w:t xml:space="preserve"> Prognoza cerinței de apă pentru anul 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2039"/>
      </w:tblGrid>
      <w:tr w:rsidR="004B3AAB" w:rsidRPr="00B40CF3" w14:paraId="16BDBC83" w14:textId="77777777" w:rsidTr="00C74E50">
        <w:trPr>
          <w:trHeight w:val="656"/>
          <w:jc w:val="center"/>
        </w:trPr>
        <w:tc>
          <w:tcPr>
            <w:tcW w:w="27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EBDE67" w14:textId="77777777" w:rsidR="004B3AAB" w:rsidRPr="00B40CF3" w:rsidRDefault="004B3AAB" w:rsidP="00C74E50">
            <w:pPr>
              <w:pStyle w:val="1text2"/>
              <w:spacing w:before="0"/>
              <w:jc w:val="center"/>
              <w:rPr>
                <w:rFonts w:asciiTheme="minorBidi" w:hAnsiTheme="minorBidi" w:cstheme="minorBidi"/>
                <w:b/>
                <w:bCs/>
              </w:rPr>
            </w:pPr>
            <w:r w:rsidRPr="00B40CF3">
              <w:rPr>
                <w:rFonts w:asciiTheme="minorBidi" w:hAnsiTheme="minorBidi" w:cstheme="minorBidi"/>
                <w:b/>
                <w:bCs/>
              </w:rPr>
              <w:t>Folosința de apă</w:t>
            </w:r>
          </w:p>
        </w:tc>
        <w:tc>
          <w:tcPr>
            <w:tcW w:w="20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FF6F9" w14:textId="77777777" w:rsidR="004B3AAB" w:rsidRPr="00B40CF3" w:rsidRDefault="004B3AAB" w:rsidP="00C74E50">
            <w:pPr>
              <w:pStyle w:val="1text2"/>
              <w:spacing w:before="0"/>
              <w:jc w:val="center"/>
              <w:rPr>
                <w:rFonts w:asciiTheme="minorBidi" w:hAnsiTheme="minorBidi" w:cstheme="minorBidi"/>
                <w:b/>
                <w:bCs/>
              </w:rPr>
            </w:pPr>
            <w:r w:rsidRPr="00B40CF3">
              <w:rPr>
                <w:rFonts w:asciiTheme="minorBidi" w:hAnsiTheme="minorBidi" w:cstheme="minorBidi"/>
                <w:b/>
                <w:bCs/>
              </w:rPr>
              <w:t>Cerința de apă</w:t>
            </w:r>
          </w:p>
          <w:p w14:paraId="1B729B55" w14:textId="77777777" w:rsidR="004B3AAB" w:rsidRPr="00B40CF3" w:rsidRDefault="004B3AAB" w:rsidP="00C74E50">
            <w:pPr>
              <w:pStyle w:val="1text2"/>
              <w:spacing w:before="0"/>
              <w:jc w:val="center"/>
              <w:rPr>
                <w:rFonts w:asciiTheme="minorBidi" w:hAnsiTheme="minorBidi" w:cstheme="minorBidi"/>
                <w:b/>
                <w:bCs/>
              </w:rPr>
            </w:pPr>
            <w:r w:rsidRPr="00B40CF3">
              <w:rPr>
                <w:rFonts w:asciiTheme="minorBidi" w:hAnsiTheme="minorBidi" w:cstheme="minorBidi"/>
                <w:b/>
                <w:bCs/>
              </w:rPr>
              <w:t>(mil. mc)</w:t>
            </w:r>
          </w:p>
        </w:tc>
      </w:tr>
      <w:tr w:rsidR="004B3AAB" w:rsidRPr="00B40CF3" w14:paraId="040E28AD" w14:textId="77777777" w:rsidTr="00C74E50">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F59CA6" w14:textId="77777777" w:rsidR="004B3AAB" w:rsidRPr="00B40CF3" w:rsidRDefault="004B3AAB" w:rsidP="00C74E50">
            <w:pPr>
              <w:spacing w:after="0" w:line="240" w:lineRule="auto"/>
              <w:rPr>
                <w:rFonts w:asciiTheme="minorBidi" w:hAnsiTheme="minorBidi"/>
                <w:b/>
                <w:bCs/>
                <w:iCs/>
                <w:sz w:val="24"/>
                <w:szCs w:val="24"/>
              </w:rPr>
            </w:pP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7487427A" w14:textId="77777777" w:rsidR="004B3AAB" w:rsidRPr="00B40CF3" w:rsidRDefault="004B3AAB" w:rsidP="00C74E50">
            <w:pPr>
              <w:pStyle w:val="1text2"/>
              <w:spacing w:before="0"/>
              <w:jc w:val="center"/>
              <w:rPr>
                <w:rFonts w:asciiTheme="minorBidi" w:hAnsiTheme="minorBidi" w:cstheme="minorBidi"/>
                <w:b/>
                <w:bCs/>
              </w:rPr>
            </w:pPr>
            <w:r w:rsidRPr="00B40CF3">
              <w:rPr>
                <w:rFonts w:asciiTheme="minorBidi" w:hAnsiTheme="minorBidi" w:cstheme="minorBidi"/>
                <w:b/>
                <w:bCs/>
              </w:rPr>
              <w:t>2030</w:t>
            </w:r>
          </w:p>
        </w:tc>
      </w:tr>
      <w:tr w:rsidR="004B3AAB" w:rsidRPr="00B40CF3" w14:paraId="1593F60C" w14:textId="77777777" w:rsidTr="00C74E50">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14:paraId="2E3B2D1F"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Populație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2F3EC18C"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2.097</w:t>
            </w:r>
          </w:p>
        </w:tc>
      </w:tr>
      <w:tr w:rsidR="004B3AAB" w:rsidRPr="00B40CF3" w14:paraId="30B7F7DC" w14:textId="77777777" w:rsidTr="00C74E50">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14:paraId="6852EA32"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Industrie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4FEF7713"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7.383</w:t>
            </w:r>
          </w:p>
        </w:tc>
      </w:tr>
      <w:tr w:rsidR="004B3AAB" w:rsidRPr="00B40CF3" w14:paraId="14599BB0" w14:textId="77777777" w:rsidTr="00C74E50">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14:paraId="1CAC723D"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Irigații</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1EA7544C"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1.689</w:t>
            </w:r>
          </w:p>
        </w:tc>
      </w:tr>
      <w:tr w:rsidR="004B3AAB" w:rsidRPr="00B40CF3" w14:paraId="329AF4A7" w14:textId="77777777" w:rsidTr="00C74E50">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14:paraId="4CB66BA1"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Zootehnie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0D4BDE47"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164</w:t>
            </w:r>
          </w:p>
        </w:tc>
      </w:tr>
      <w:tr w:rsidR="004B3AAB" w:rsidRPr="00B40CF3" w14:paraId="69A90EC7" w14:textId="77777777" w:rsidTr="00C74E50">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14:paraId="7DA8809B"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Acvacultură/piscicultură</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445AC7A0" w14:textId="77777777" w:rsidR="004B3AAB" w:rsidRPr="00B40CF3" w:rsidRDefault="004B3AAB" w:rsidP="00C74E50">
            <w:pPr>
              <w:pStyle w:val="1text2"/>
              <w:spacing w:before="0"/>
              <w:jc w:val="center"/>
              <w:rPr>
                <w:rFonts w:asciiTheme="minorBidi" w:hAnsiTheme="minorBidi" w:cstheme="minorBidi"/>
              </w:rPr>
            </w:pPr>
            <w:r w:rsidRPr="00B40CF3">
              <w:rPr>
                <w:rFonts w:asciiTheme="minorBidi" w:hAnsiTheme="minorBidi" w:cstheme="minorBidi"/>
              </w:rPr>
              <w:t>949</w:t>
            </w:r>
          </w:p>
        </w:tc>
      </w:tr>
      <w:tr w:rsidR="004B3AAB" w:rsidRPr="00B40CF3" w14:paraId="57DD22A0" w14:textId="77777777" w:rsidTr="00C74E50">
        <w:trPr>
          <w:trHeight w:val="161"/>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14:paraId="15A8D757" w14:textId="77777777" w:rsidR="004B3AAB" w:rsidRPr="00B40CF3" w:rsidRDefault="004B3AAB" w:rsidP="00C74E50">
            <w:pPr>
              <w:pStyle w:val="1text2"/>
              <w:spacing w:before="0"/>
              <w:jc w:val="center"/>
              <w:rPr>
                <w:rFonts w:asciiTheme="minorBidi" w:hAnsiTheme="minorBidi" w:cstheme="minorBidi"/>
                <w:b/>
                <w:bCs/>
              </w:rPr>
            </w:pPr>
            <w:r w:rsidRPr="00B40CF3">
              <w:rPr>
                <w:rFonts w:asciiTheme="minorBidi" w:hAnsiTheme="minorBidi" w:cstheme="minorBidi"/>
                <w:b/>
                <w:bCs/>
              </w:rPr>
              <w:t>Total România</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14:paraId="0959DF6E" w14:textId="77777777" w:rsidR="004B3AAB" w:rsidRPr="00B40CF3" w:rsidRDefault="004B3AAB" w:rsidP="00C74E50">
            <w:pPr>
              <w:pStyle w:val="1text2"/>
              <w:spacing w:before="0"/>
              <w:jc w:val="center"/>
              <w:rPr>
                <w:rFonts w:asciiTheme="minorBidi" w:hAnsiTheme="minorBidi" w:cstheme="minorBidi"/>
                <w:b/>
                <w:bCs/>
              </w:rPr>
            </w:pPr>
            <w:r w:rsidRPr="00B40CF3">
              <w:rPr>
                <w:rFonts w:asciiTheme="minorBidi" w:hAnsiTheme="minorBidi" w:cstheme="minorBidi"/>
                <w:b/>
                <w:bCs/>
              </w:rPr>
              <w:t>12.282</w:t>
            </w:r>
          </w:p>
        </w:tc>
      </w:tr>
    </w:tbl>
    <w:p w14:paraId="59863FA5" w14:textId="77777777" w:rsidR="004B3AAB" w:rsidRPr="00B40CF3" w:rsidRDefault="004B3AAB" w:rsidP="004B3AAB">
      <w:pPr>
        <w:ind w:firstLine="708"/>
        <w:jc w:val="both"/>
        <w:rPr>
          <w:rFonts w:asciiTheme="minorBidi" w:hAnsiTheme="minorBidi"/>
          <w:b/>
          <w:bCs/>
          <w:sz w:val="24"/>
          <w:szCs w:val="24"/>
        </w:rPr>
      </w:pPr>
    </w:p>
    <w:p w14:paraId="2036E3FF" w14:textId="22138020" w:rsidR="004B3AAB" w:rsidRDefault="004B3AAB" w:rsidP="004B3AAB">
      <w:pPr>
        <w:spacing w:before="120" w:after="120" w:line="240" w:lineRule="auto"/>
        <w:ind w:firstLine="630"/>
        <w:jc w:val="both"/>
        <w:rPr>
          <w:rFonts w:ascii="Arial" w:hAnsi="Arial" w:cs="Arial"/>
        </w:rPr>
      </w:pPr>
    </w:p>
    <w:p w14:paraId="61270D7C" w14:textId="77777777" w:rsidR="003F042E" w:rsidRDefault="003F042E" w:rsidP="004B3AAB">
      <w:pPr>
        <w:spacing w:before="120" w:after="120" w:line="240" w:lineRule="auto"/>
        <w:ind w:firstLine="630"/>
        <w:jc w:val="both"/>
        <w:rPr>
          <w:rFonts w:ascii="Arial" w:hAnsi="Arial" w:cs="Arial"/>
        </w:rPr>
      </w:pPr>
    </w:p>
    <w:p w14:paraId="74D56288" w14:textId="77777777" w:rsidR="004B3AAB" w:rsidRPr="00CF5D74" w:rsidRDefault="004B3AAB" w:rsidP="004B3AAB">
      <w:pPr>
        <w:spacing w:after="0" w:line="240" w:lineRule="auto"/>
        <w:jc w:val="both"/>
        <w:rPr>
          <w:rFonts w:ascii="Arial" w:hAnsi="Arial" w:cs="Arial"/>
          <w:i/>
          <w:sz w:val="20"/>
          <w:szCs w:val="20"/>
        </w:rPr>
      </w:pPr>
    </w:p>
    <w:p w14:paraId="26E6AE0A" w14:textId="77777777" w:rsidR="003F042E" w:rsidRPr="00EE5B97" w:rsidRDefault="003F042E" w:rsidP="003F042E">
      <w:pPr>
        <w:spacing w:after="0" w:line="360" w:lineRule="auto"/>
        <w:jc w:val="both"/>
        <w:rPr>
          <w:rFonts w:asciiTheme="minorBidi" w:hAnsiTheme="minorBidi"/>
          <w:b/>
          <w:sz w:val="24"/>
          <w:szCs w:val="24"/>
        </w:rPr>
      </w:pPr>
    </w:p>
    <w:p w14:paraId="7AAF8FC5" w14:textId="77777777" w:rsidR="003F042E" w:rsidRPr="00EE5B97" w:rsidRDefault="003F042E" w:rsidP="003F042E">
      <w:pPr>
        <w:spacing w:after="0" w:line="360" w:lineRule="auto"/>
        <w:jc w:val="both"/>
        <w:rPr>
          <w:rFonts w:asciiTheme="minorBidi" w:hAnsiTheme="minorBidi"/>
          <w:b/>
          <w:color w:val="FF0000"/>
          <w:sz w:val="24"/>
          <w:szCs w:val="24"/>
          <w:u w:val="single"/>
        </w:rPr>
      </w:pPr>
    </w:p>
    <w:p w14:paraId="3C2B661D" w14:textId="77777777" w:rsidR="003F042E" w:rsidRDefault="003F042E" w:rsidP="003F042E">
      <w:pPr>
        <w:spacing w:after="0"/>
        <w:rPr>
          <w:rFonts w:asciiTheme="minorBidi" w:eastAsia="Calibri" w:hAnsiTheme="minorBidi"/>
          <w:b/>
          <w:sz w:val="24"/>
          <w:szCs w:val="24"/>
        </w:rPr>
      </w:pPr>
      <w:r>
        <w:rPr>
          <w:rFonts w:asciiTheme="minorBidi" w:eastAsia="Calibri" w:hAnsiTheme="minorBidi"/>
          <w:b/>
          <w:sz w:val="24"/>
          <w:szCs w:val="24"/>
        </w:rPr>
        <w:t>II.1.2.2. Riscurile și presiunile inundațiilor/ contribuție VIII.1.3.2 Schimbări climatice</w:t>
      </w:r>
    </w:p>
    <w:p w14:paraId="67F92F97" w14:textId="77777777" w:rsidR="003F042E" w:rsidRPr="00EE5B97" w:rsidRDefault="003F042E" w:rsidP="003F042E">
      <w:pPr>
        <w:spacing w:after="0"/>
        <w:rPr>
          <w:rFonts w:asciiTheme="minorBidi" w:eastAsia="Calibri" w:hAnsiTheme="minorBidi"/>
          <w:b/>
          <w:sz w:val="24"/>
          <w:szCs w:val="24"/>
        </w:rPr>
      </w:pPr>
    </w:p>
    <w:p w14:paraId="5DA39184" w14:textId="77777777" w:rsidR="003F042E" w:rsidRPr="00EE5B97" w:rsidRDefault="003F042E" w:rsidP="003F042E">
      <w:pPr>
        <w:spacing w:after="0"/>
        <w:jc w:val="center"/>
        <w:rPr>
          <w:rFonts w:asciiTheme="minorBidi" w:eastAsia="Calibri" w:hAnsiTheme="minorBidi"/>
          <w:b/>
          <w:sz w:val="24"/>
          <w:szCs w:val="24"/>
        </w:rPr>
      </w:pPr>
      <w:r w:rsidRPr="00EE5B97">
        <w:rPr>
          <w:rFonts w:asciiTheme="minorBidi" w:eastAsia="Calibri" w:hAnsiTheme="minorBidi"/>
          <w:b/>
          <w:sz w:val="24"/>
          <w:szCs w:val="24"/>
          <w:highlight w:val="green"/>
        </w:rPr>
        <w:t>Indicator CLIM  17. Inundaţii RO 53</w:t>
      </w:r>
    </w:p>
    <w:p w14:paraId="671250BD" w14:textId="77777777" w:rsidR="003F042E" w:rsidRPr="00EE5B97" w:rsidRDefault="003F042E" w:rsidP="003F042E">
      <w:pPr>
        <w:spacing w:after="0"/>
        <w:jc w:val="center"/>
        <w:rPr>
          <w:rFonts w:asciiTheme="minorBidi" w:eastAsia="Calibri" w:hAnsiTheme="minorBidi"/>
          <w:b/>
          <w:color w:val="FF0000"/>
          <w:sz w:val="24"/>
          <w:szCs w:val="24"/>
        </w:rPr>
      </w:pPr>
    </w:p>
    <w:p w14:paraId="44B0500E" w14:textId="77777777" w:rsidR="003F042E" w:rsidRPr="00EE5B97" w:rsidRDefault="003F042E" w:rsidP="003F042E">
      <w:pPr>
        <w:spacing w:after="0"/>
        <w:jc w:val="center"/>
        <w:rPr>
          <w:rFonts w:asciiTheme="minorBidi" w:eastAsia="Calibri" w:hAnsiTheme="minorBidi"/>
          <w:b/>
          <w:sz w:val="24"/>
          <w:szCs w:val="24"/>
        </w:rPr>
      </w:pPr>
      <w:r w:rsidRPr="00EE5B97">
        <w:rPr>
          <w:rFonts w:asciiTheme="minorBidi" w:eastAsia="Calibri" w:hAnsiTheme="minorBidi"/>
          <w:b/>
          <w:sz w:val="24"/>
          <w:szCs w:val="24"/>
        </w:rPr>
        <w:t xml:space="preserve">Tabel </w:t>
      </w:r>
      <w:r>
        <w:rPr>
          <w:rFonts w:asciiTheme="minorBidi" w:eastAsia="Calibri" w:hAnsiTheme="minorBidi"/>
          <w:b/>
          <w:sz w:val="24"/>
          <w:szCs w:val="24"/>
        </w:rPr>
        <w:t>II.1.2.2.1</w:t>
      </w:r>
      <w:r w:rsidRPr="00EE5B97">
        <w:rPr>
          <w:rFonts w:asciiTheme="minorBidi" w:eastAsia="Calibri" w:hAnsiTheme="minorBidi"/>
          <w:b/>
          <w:sz w:val="24"/>
          <w:szCs w:val="24"/>
        </w:rPr>
        <w:t xml:space="preserve"> Tabel sintetic cu privire la inundațiile din România</w:t>
      </w:r>
    </w:p>
    <w:tbl>
      <w:tblPr>
        <w:tblStyle w:val="TableGrid"/>
        <w:tblW w:w="6946" w:type="dxa"/>
        <w:jc w:val="center"/>
        <w:tblLook w:val="04A0" w:firstRow="1" w:lastRow="0" w:firstColumn="1" w:lastColumn="0" w:noHBand="0" w:noVBand="1"/>
      </w:tblPr>
      <w:tblGrid>
        <w:gridCol w:w="776"/>
        <w:gridCol w:w="1161"/>
        <w:gridCol w:w="1665"/>
        <w:gridCol w:w="1737"/>
        <w:gridCol w:w="1607"/>
      </w:tblGrid>
      <w:tr w:rsidR="003F042E" w:rsidRPr="00EE5B97" w14:paraId="6B1F42F2" w14:textId="77777777" w:rsidTr="00C74E50">
        <w:trPr>
          <w:jc w:val="center"/>
        </w:trPr>
        <w:tc>
          <w:tcPr>
            <w:tcW w:w="776" w:type="dxa"/>
            <w:vAlign w:val="center"/>
          </w:tcPr>
          <w:p w14:paraId="3AFC0A6B" w14:textId="77777777" w:rsidR="003F042E" w:rsidRPr="00EE5B97" w:rsidRDefault="003F042E" w:rsidP="00C74E50">
            <w:pPr>
              <w:jc w:val="center"/>
              <w:rPr>
                <w:rFonts w:asciiTheme="minorBidi" w:hAnsiTheme="minorBidi"/>
                <w:b/>
                <w:sz w:val="24"/>
                <w:szCs w:val="24"/>
                <w:lang w:val="en-US"/>
              </w:rPr>
            </w:pPr>
            <w:r w:rsidRPr="00EE5B97">
              <w:rPr>
                <w:rFonts w:asciiTheme="minorBidi" w:hAnsiTheme="minorBidi"/>
                <w:b/>
                <w:sz w:val="24"/>
                <w:szCs w:val="24"/>
                <w:lang w:val="en-US"/>
              </w:rPr>
              <w:t>Nr. Crt.</w:t>
            </w:r>
          </w:p>
        </w:tc>
        <w:tc>
          <w:tcPr>
            <w:tcW w:w="1161" w:type="dxa"/>
            <w:vAlign w:val="center"/>
          </w:tcPr>
          <w:p w14:paraId="722882D6" w14:textId="77777777" w:rsidR="003F042E" w:rsidRPr="00EE5B97" w:rsidRDefault="003F042E" w:rsidP="00C74E50">
            <w:pPr>
              <w:jc w:val="center"/>
              <w:rPr>
                <w:rFonts w:asciiTheme="minorBidi" w:hAnsiTheme="minorBidi"/>
                <w:b/>
                <w:sz w:val="24"/>
                <w:szCs w:val="24"/>
                <w:lang w:val="en-US"/>
              </w:rPr>
            </w:pPr>
            <w:r w:rsidRPr="00EE5B97">
              <w:rPr>
                <w:rFonts w:asciiTheme="minorBidi" w:hAnsiTheme="minorBidi"/>
                <w:b/>
                <w:sz w:val="24"/>
                <w:szCs w:val="24"/>
                <w:lang w:val="en-US"/>
              </w:rPr>
              <w:t>Anul</w:t>
            </w:r>
          </w:p>
        </w:tc>
        <w:tc>
          <w:tcPr>
            <w:tcW w:w="1665" w:type="dxa"/>
            <w:vAlign w:val="center"/>
          </w:tcPr>
          <w:p w14:paraId="17302F06" w14:textId="77777777" w:rsidR="003F042E" w:rsidRPr="00EE5B97" w:rsidRDefault="003F042E" w:rsidP="00C74E50">
            <w:pPr>
              <w:jc w:val="center"/>
              <w:rPr>
                <w:rFonts w:asciiTheme="minorBidi" w:hAnsiTheme="minorBidi"/>
                <w:b/>
                <w:sz w:val="24"/>
                <w:szCs w:val="24"/>
                <w:lang w:val="en-US"/>
              </w:rPr>
            </w:pPr>
            <w:r w:rsidRPr="00EE5B97">
              <w:rPr>
                <w:rFonts w:asciiTheme="minorBidi" w:hAnsiTheme="minorBidi"/>
                <w:b/>
                <w:sz w:val="24"/>
                <w:szCs w:val="24"/>
                <w:lang w:val="en-US"/>
              </w:rPr>
              <w:t>Nr. evenimente</w:t>
            </w:r>
          </w:p>
        </w:tc>
        <w:tc>
          <w:tcPr>
            <w:tcW w:w="1737" w:type="dxa"/>
            <w:vAlign w:val="center"/>
          </w:tcPr>
          <w:p w14:paraId="2E88C695" w14:textId="77777777" w:rsidR="003F042E" w:rsidRPr="00EE5B97" w:rsidRDefault="003F042E" w:rsidP="00C74E50">
            <w:pPr>
              <w:jc w:val="center"/>
              <w:rPr>
                <w:rFonts w:asciiTheme="minorBidi" w:hAnsiTheme="minorBidi"/>
                <w:b/>
                <w:sz w:val="24"/>
                <w:szCs w:val="24"/>
                <w:lang w:val="en-US"/>
              </w:rPr>
            </w:pPr>
            <w:r w:rsidRPr="00EE5B97">
              <w:rPr>
                <w:rFonts w:asciiTheme="minorBidi" w:hAnsiTheme="minorBidi"/>
                <w:b/>
                <w:sz w:val="24"/>
                <w:szCs w:val="24"/>
                <w:lang w:val="en-US"/>
              </w:rPr>
              <w:t>Nr. evenimente semnificative</w:t>
            </w:r>
          </w:p>
        </w:tc>
        <w:tc>
          <w:tcPr>
            <w:tcW w:w="1607" w:type="dxa"/>
            <w:vAlign w:val="center"/>
          </w:tcPr>
          <w:p w14:paraId="50370DF5" w14:textId="77777777" w:rsidR="003F042E" w:rsidRPr="00EE5B97" w:rsidRDefault="003F042E" w:rsidP="00C74E50">
            <w:pPr>
              <w:jc w:val="center"/>
              <w:rPr>
                <w:rFonts w:asciiTheme="minorBidi" w:hAnsiTheme="minorBidi"/>
                <w:b/>
                <w:sz w:val="24"/>
                <w:szCs w:val="24"/>
              </w:rPr>
            </w:pPr>
            <w:r w:rsidRPr="00EE5B97">
              <w:rPr>
                <w:rFonts w:asciiTheme="minorBidi" w:hAnsiTheme="minorBidi"/>
                <w:b/>
                <w:sz w:val="24"/>
                <w:szCs w:val="24"/>
                <w:lang w:val="en-US"/>
              </w:rPr>
              <w:t>Localități urbane afectate</w:t>
            </w:r>
          </w:p>
        </w:tc>
      </w:tr>
      <w:tr w:rsidR="003F042E" w:rsidRPr="00EE5B97" w14:paraId="5CE55EDE" w14:textId="77777777" w:rsidTr="00C74E50">
        <w:trPr>
          <w:jc w:val="center"/>
        </w:trPr>
        <w:tc>
          <w:tcPr>
            <w:tcW w:w="776" w:type="dxa"/>
            <w:vAlign w:val="center"/>
          </w:tcPr>
          <w:p w14:paraId="2958410A"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w:t>
            </w:r>
          </w:p>
        </w:tc>
        <w:tc>
          <w:tcPr>
            <w:tcW w:w="1161" w:type="dxa"/>
            <w:vAlign w:val="center"/>
          </w:tcPr>
          <w:p w14:paraId="39C3F1AD"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2010</w:t>
            </w:r>
          </w:p>
        </w:tc>
        <w:tc>
          <w:tcPr>
            <w:tcW w:w="1665" w:type="dxa"/>
            <w:vAlign w:val="center"/>
          </w:tcPr>
          <w:p w14:paraId="2D1B59E8"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94</w:t>
            </w:r>
          </w:p>
        </w:tc>
        <w:tc>
          <w:tcPr>
            <w:tcW w:w="1737" w:type="dxa"/>
            <w:vAlign w:val="center"/>
          </w:tcPr>
          <w:p w14:paraId="0D54EDE1"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9</w:t>
            </w:r>
          </w:p>
        </w:tc>
        <w:tc>
          <w:tcPr>
            <w:tcW w:w="1607" w:type="dxa"/>
            <w:vAlign w:val="center"/>
          </w:tcPr>
          <w:p w14:paraId="0E3686FD"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117</w:t>
            </w:r>
          </w:p>
        </w:tc>
      </w:tr>
      <w:tr w:rsidR="003F042E" w:rsidRPr="00EE5B97" w14:paraId="1AF9FD13" w14:textId="77777777" w:rsidTr="00C74E50">
        <w:trPr>
          <w:jc w:val="center"/>
        </w:trPr>
        <w:tc>
          <w:tcPr>
            <w:tcW w:w="776" w:type="dxa"/>
            <w:vAlign w:val="center"/>
          </w:tcPr>
          <w:p w14:paraId="66754503"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w:t>
            </w:r>
          </w:p>
        </w:tc>
        <w:tc>
          <w:tcPr>
            <w:tcW w:w="1161" w:type="dxa"/>
            <w:vAlign w:val="center"/>
          </w:tcPr>
          <w:p w14:paraId="3BE5602D"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2011</w:t>
            </w:r>
          </w:p>
        </w:tc>
        <w:tc>
          <w:tcPr>
            <w:tcW w:w="1665" w:type="dxa"/>
            <w:vAlign w:val="center"/>
          </w:tcPr>
          <w:p w14:paraId="69A78140"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45</w:t>
            </w:r>
          </w:p>
        </w:tc>
        <w:tc>
          <w:tcPr>
            <w:tcW w:w="1737" w:type="dxa"/>
            <w:vAlign w:val="center"/>
          </w:tcPr>
          <w:p w14:paraId="5A166B76"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1</w:t>
            </w:r>
          </w:p>
        </w:tc>
        <w:tc>
          <w:tcPr>
            <w:tcW w:w="1607" w:type="dxa"/>
            <w:vAlign w:val="center"/>
          </w:tcPr>
          <w:p w14:paraId="29256755"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19</w:t>
            </w:r>
          </w:p>
        </w:tc>
      </w:tr>
      <w:tr w:rsidR="003F042E" w:rsidRPr="00EE5B97" w14:paraId="25370996" w14:textId="77777777" w:rsidTr="00C74E50">
        <w:trPr>
          <w:jc w:val="center"/>
        </w:trPr>
        <w:tc>
          <w:tcPr>
            <w:tcW w:w="776" w:type="dxa"/>
            <w:vAlign w:val="center"/>
          </w:tcPr>
          <w:p w14:paraId="036E898A"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3</w:t>
            </w:r>
          </w:p>
        </w:tc>
        <w:tc>
          <w:tcPr>
            <w:tcW w:w="1161" w:type="dxa"/>
            <w:vAlign w:val="center"/>
          </w:tcPr>
          <w:p w14:paraId="429F191F"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2012</w:t>
            </w:r>
          </w:p>
        </w:tc>
        <w:tc>
          <w:tcPr>
            <w:tcW w:w="1665" w:type="dxa"/>
            <w:vAlign w:val="center"/>
          </w:tcPr>
          <w:p w14:paraId="6C93979F"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39</w:t>
            </w:r>
          </w:p>
        </w:tc>
        <w:tc>
          <w:tcPr>
            <w:tcW w:w="1737" w:type="dxa"/>
            <w:vAlign w:val="center"/>
          </w:tcPr>
          <w:p w14:paraId="752C9509"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6</w:t>
            </w:r>
          </w:p>
        </w:tc>
        <w:tc>
          <w:tcPr>
            <w:tcW w:w="1607" w:type="dxa"/>
            <w:vAlign w:val="center"/>
          </w:tcPr>
          <w:p w14:paraId="4A5E7839"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39</w:t>
            </w:r>
          </w:p>
        </w:tc>
      </w:tr>
      <w:tr w:rsidR="003F042E" w:rsidRPr="00EE5B97" w14:paraId="683CECA9" w14:textId="77777777" w:rsidTr="00C74E50">
        <w:trPr>
          <w:jc w:val="center"/>
        </w:trPr>
        <w:tc>
          <w:tcPr>
            <w:tcW w:w="776" w:type="dxa"/>
            <w:vAlign w:val="center"/>
          </w:tcPr>
          <w:p w14:paraId="4B778207"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4</w:t>
            </w:r>
          </w:p>
        </w:tc>
        <w:tc>
          <w:tcPr>
            <w:tcW w:w="1161" w:type="dxa"/>
            <w:vAlign w:val="center"/>
          </w:tcPr>
          <w:p w14:paraId="42C42BC5"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2013</w:t>
            </w:r>
          </w:p>
        </w:tc>
        <w:tc>
          <w:tcPr>
            <w:tcW w:w="1665" w:type="dxa"/>
            <w:vAlign w:val="center"/>
          </w:tcPr>
          <w:p w14:paraId="7AD00D9D"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74</w:t>
            </w:r>
          </w:p>
        </w:tc>
        <w:tc>
          <w:tcPr>
            <w:tcW w:w="1737" w:type="dxa"/>
            <w:vAlign w:val="center"/>
          </w:tcPr>
          <w:p w14:paraId="1AA73334"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4</w:t>
            </w:r>
          </w:p>
        </w:tc>
        <w:tc>
          <w:tcPr>
            <w:tcW w:w="1607" w:type="dxa"/>
            <w:vAlign w:val="center"/>
          </w:tcPr>
          <w:p w14:paraId="1B640C6A"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47</w:t>
            </w:r>
          </w:p>
        </w:tc>
      </w:tr>
      <w:tr w:rsidR="003F042E" w:rsidRPr="00EE5B97" w14:paraId="438E1EE3" w14:textId="77777777" w:rsidTr="00C74E50">
        <w:trPr>
          <w:jc w:val="center"/>
        </w:trPr>
        <w:tc>
          <w:tcPr>
            <w:tcW w:w="776" w:type="dxa"/>
            <w:vAlign w:val="center"/>
          </w:tcPr>
          <w:p w14:paraId="04500B68"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5</w:t>
            </w:r>
          </w:p>
        </w:tc>
        <w:tc>
          <w:tcPr>
            <w:tcW w:w="1161" w:type="dxa"/>
            <w:vAlign w:val="center"/>
          </w:tcPr>
          <w:p w14:paraId="0DD23980"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2014</w:t>
            </w:r>
          </w:p>
        </w:tc>
        <w:tc>
          <w:tcPr>
            <w:tcW w:w="1665" w:type="dxa"/>
            <w:vAlign w:val="center"/>
          </w:tcPr>
          <w:p w14:paraId="54F49720"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151</w:t>
            </w:r>
          </w:p>
        </w:tc>
        <w:tc>
          <w:tcPr>
            <w:tcW w:w="1737" w:type="dxa"/>
            <w:vAlign w:val="center"/>
          </w:tcPr>
          <w:p w14:paraId="4656863C"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14</w:t>
            </w:r>
          </w:p>
        </w:tc>
        <w:tc>
          <w:tcPr>
            <w:tcW w:w="1607" w:type="dxa"/>
            <w:vAlign w:val="center"/>
          </w:tcPr>
          <w:p w14:paraId="00687CF3"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72</w:t>
            </w:r>
          </w:p>
        </w:tc>
      </w:tr>
      <w:tr w:rsidR="003F042E" w:rsidRPr="00EE5B97" w14:paraId="05C79C8C" w14:textId="77777777" w:rsidTr="00C74E50">
        <w:trPr>
          <w:jc w:val="center"/>
        </w:trPr>
        <w:tc>
          <w:tcPr>
            <w:tcW w:w="776" w:type="dxa"/>
            <w:vAlign w:val="center"/>
          </w:tcPr>
          <w:p w14:paraId="3E43D58A"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6</w:t>
            </w:r>
          </w:p>
        </w:tc>
        <w:tc>
          <w:tcPr>
            <w:tcW w:w="1161" w:type="dxa"/>
            <w:vAlign w:val="center"/>
          </w:tcPr>
          <w:p w14:paraId="4B63E6A6"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2015</w:t>
            </w:r>
          </w:p>
        </w:tc>
        <w:tc>
          <w:tcPr>
            <w:tcW w:w="1665" w:type="dxa"/>
            <w:vAlign w:val="center"/>
          </w:tcPr>
          <w:p w14:paraId="52944E23"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49</w:t>
            </w:r>
          </w:p>
        </w:tc>
        <w:tc>
          <w:tcPr>
            <w:tcW w:w="1737" w:type="dxa"/>
            <w:vAlign w:val="center"/>
          </w:tcPr>
          <w:p w14:paraId="1E867AC5"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2</w:t>
            </w:r>
          </w:p>
        </w:tc>
        <w:tc>
          <w:tcPr>
            <w:tcW w:w="1607" w:type="dxa"/>
            <w:vAlign w:val="center"/>
          </w:tcPr>
          <w:p w14:paraId="28209A2E"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w:t>
            </w:r>
          </w:p>
        </w:tc>
      </w:tr>
      <w:tr w:rsidR="003F042E" w:rsidRPr="00EE5B97" w14:paraId="32626CC7" w14:textId="77777777" w:rsidTr="00C74E50">
        <w:trPr>
          <w:jc w:val="center"/>
        </w:trPr>
        <w:tc>
          <w:tcPr>
            <w:tcW w:w="776" w:type="dxa"/>
            <w:vAlign w:val="center"/>
          </w:tcPr>
          <w:p w14:paraId="55CD656C"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7</w:t>
            </w:r>
          </w:p>
        </w:tc>
        <w:tc>
          <w:tcPr>
            <w:tcW w:w="1161" w:type="dxa"/>
            <w:vAlign w:val="center"/>
          </w:tcPr>
          <w:p w14:paraId="43B8D3C6"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2016</w:t>
            </w:r>
          </w:p>
        </w:tc>
        <w:tc>
          <w:tcPr>
            <w:tcW w:w="1665" w:type="dxa"/>
            <w:vAlign w:val="center"/>
          </w:tcPr>
          <w:p w14:paraId="24A13038"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171</w:t>
            </w:r>
          </w:p>
        </w:tc>
        <w:tc>
          <w:tcPr>
            <w:tcW w:w="1737" w:type="dxa"/>
            <w:vAlign w:val="center"/>
          </w:tcPr>
          <w:p w14:paraId="56C38D4A"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18</w:t>
            </w:r>
          </w:p>
        </w:tc>
        <w:tc>
          <w:tcPr>
            <w:tcW w:w="1607" w:type="dxa"/>
            <w:vAlign w:val="center"/>
          </w:tcPr>
          <w:p w14:paraId="27102B86"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93</w:t>
            </w:r>
          </w:p>
        </w:tc>
      </w:tr>
      <w:tr w:rsidR="003F042E" w:rsidRPr="00EE5B97" w14:paraId="121BE6BD" w14:textId="77777777" w:rsidTr="00C74E50">
        <w:trPr>
          <w:jc w:val="center"/>
        </w:trPr>
        <w:tc>
          <w:tcPr>
            <w:tcW w:w="776" w:type="dxa"/>
            <w:vAlign w:val="center"/>
          </w:tcPr>
          <w:p w14:paraId="04F3D182"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8</w:t>
            </w:r>
          </w:p>
        </w:tc>
        <w:tc>
          <w:tcPr>
            <w:tcW w:w="1161" w:type="dxa"/>
            <w:vAlign w:val="center"/>
          </w:tcPr>
          <w:p w14:paraId="18B91915"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2017</w:t>
            </w:r>
          </w:p>
        </w:tc>
        <w:tc>
          <w:tcPr>
            <w:tcW w:w="1665" w:type="dxa"/>
            <w:vAlign w:val="center"/>
          </w:tcPr>
          <w:p w14:paraId="1003FE98"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137</w:t>
            </w:r>
          </w:p>
        </w:tc>
        <w:tc>
          <w:tcPr>
            <w:tcW w:w="1737" w:type="dxa"/>
            <w:vAlign w:val="center"/>
          </w:tcPr>
          <w:p w14:paraId="044AB708"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w:t>
            </w:r>
          </w:p>
        </w:tc>
        <w:tc>
          <w:tcPr>
            <w:tcW w:w="1607" w:type="dxa"/>
            <w:vAlign w:val="center"/>
          </w:tcPr>
          <w:p w14:paraId="415C6F05"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68</w:t>
            </w:r>
          </w:p>
        </w:tc>
      </w:tr>
      <w:tr w:rsidR="003F042E" w:rsidRPr="00EE5B97" w14:paraId="66FFA236" w14:textId="77777777" w:rsidTr="00C74E50">
        <w:trPr>
          <w:jc w:val="center"/>
        </w:trPr>
        <w:tc>
          <w:tcPr>
            <w:tcW w:w="776" w:type="dxa"/>
            <w:vAlign w:val="center"/>
          </w:tcPr>
          <w:p w14:paraId="536FA4EB"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9</w:t>
            </w:r>
          </w:p>
        </w:tc>
        <w:tc>
          <w:tcPr>
            <w:tcW w:w="1161" w:type="dxa"/>
            <w:vAlign w:val="center"/>
          </w:tcPr>
          <w:p w14:paraId="7D16B76A"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2018</w:t>
            </w:r>
          </w:p>
        </w:tc>
        <w:tc>
          <w:tcPr>
            <w:tcW w:w="1665" w:type="dxa"/>
            <w:vAlign w:val="center"/>
          </w:tcPr>
          <w:p w14:paraId="6B875ADC"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164</w:t>
            </w:r>
          </w:p>
        </w:tc>
        <w:tc>
          <w:tcPr>
            <w:tcW w:w="1737" w:type="dxa"/>
            <w:vAlign w:val="center"/>
          </w:tcPr>
          <w:p w14:paraId="42B5A5C7"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w:t>
            </w:r>
          </w:p>
        </w:tc>
        <w:tc>
          <w:tcPr>
            <w:tcW w:w="1607" w:type="dxa"/>
            <w:vAlign w:val="center"/>
          </w:tcPr>
          <w:p w14:paraId="4DA5A6DF"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138</w:t>
            </w:r>
          </w:p>
        </w:tc>
      </w:tr>
      <w:tr w:rsidR="003F042E" w:rsidRPr="00EE5B97" w14:paraId="7B91FF9A" w14:textId="77777777" w:rsidTr="00C74E50">
        <w:trPr>
          <w:jc w:val="center"/>
        </w:trPr>
        <w:tc>
          <w:tcPr>
            <w:tcW w:w="776" w:type="dxa"/>
            <w:vAlign w:val="center"/>
          </w:tcPr>
          <w:p w14:paraId="77FECC5A"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10</w:t>
            </w:r>
          </w:p>
        </w:tc>
        <w:tc>
          <w:tcPr>
            <w:tcW w:w="1161" w:type="dxa"/>
            <w:vAlign w:val="center"/>
          </w:tcPr>
          <w:p w14:paraId="04F297A1"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2019</w:t>
            </w:r>
          </w:p>
        </w:tc>
        <w:tc>
          <w:tcPr>
            <w:tcW w:w="1665" w:type="dxa"/>
            <w:vAlign w:val="center"/>
          </w:tcPr>
          <w:p w14:paraId="69AFA393"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154</w:t>
            </w:r>
          </w:p>
        </w:tc>
        <w:tc>
          <w:tcPr>
            <w:tcW w:w="1737" w:type="dxa"/>
            <w:vAlign w:val="center"/>
          </w:tcPr>
          <w:p w14:paraId="12231F10"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w:t>
            </w:r>
          </w:p>
        </w:tc>
        <w:tc>
          <w:tcPr>
            <w:tcW w:w="1607" w:type="dxa"/>
            <w:vAlign w:val="center"/>
          </w:tcPr>
          <w:p w14:paraId="686B686D"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131</w:t>
            </w:r>
          </w:p>
        </w:tc>
      </w:tr>
      <w:tr w:rsidR="003F042E" w:rsidRPr="00EE5B97" w14:paraId="11C5DA64" w14:textId="77777777" w:rsidTr="00C74E50">
        <w:trPr>
          <w:jc w:val="center"/>
        </w:trPr>
        <w:tc>
          <w:tcPr>
            <w:tcW w:w="776" w:type="dxa"/>
            <w:vAlign w:val="center"/>
          </w:tcPr>
          <w:p w14:paraId="2B07A744"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11</w:t>
            </w:r>
          </w:p>
        </w:tc>
        <w:tc>
          <w:tcPr>
            <w:tcW w:w="1161" w:type="dxa"/>
            <w:vAlign w:val="center"/>
          </w:tcPr>
          <w:p w14:paraId="5FA899F8"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2020</w:t>
            </w:r>
          </w:p>
        </w:tc>
        <w:tc>
          <w:tcPr>
            <w:tcW w:w="1665" w:type="dxa"/>
            <w:vAlign w:val="center"/>
          </w:tcPr>
          <w:p w14:paraId="622796C2"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158</w:t>
            </w:r>
          </w:p>
        </w:tc>
        <w:tc>
          <w:tcPr>
            <w:tcW w:w="1737" w:type="dxa"/>
            <w:vAlign w:val="center"/>
          </w:tcPr>
          <w:p w14:paraId="23CF7E40"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w:t>
            </w:r>
          </w:p>
        </w:tc>
        <w:tc>
          <w:tcPr>
            <w:tcW w:w="1607" w:type="dxa"/>
            <w:vAlign w:val="center"/>
          </w:tcPr>
          <w:p w14:paraId="6A2B14B2"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111</w:t>
            </w:r>
          </w:p>
        </w:tc>
      </w:tr>
      <w:tr w:rsidR="003F042E" w:rsidRPr="00EE5B97" w14:paraId="0E2D0FCB" w14:textId="77777777" w:rsidTr="00C74E50">
        <w:trPr>
          <w:jc w:val="center"/>
        </w:trPr>
        <w:tc>
          <w:tcPr>
            <w:tcW w:w="776" w:type="dxa"/>
            <w:vAlign w:val="center"/>
          </w:tcPr>
          <w:p w14:paraId="6E57ED1E"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12</w:t>
            </w:r>
          </w:p>
        </w:tc>
        <w:tc>
          <w:tcPr>
            <w:tcW w:w="1161" w:type="dxa"/>
            <w:vAlign w:val="center"/>
          </w:tcPr>
          <w:p w14:paraId="3E3079FB"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2021</w:t>
            </w:r>
          </w:p>
        </w:tc>
        <w:tc>
          <w:tcPr>
            <w:tcW w:w="1665" w:type="dxa"/>
            <w:vAlign w:val="center"/>
          </w:tcPr>
          <w:p w14:paraId="64C4632E"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207</w:t>
            </w:r>
          </w:p>
        </w:tc>
        <w:tc>
          <w:tcPr>
            <w:tcW w:w="1737" w:type="dxa"/>
            <w:vAlign w:val="center"/>
          </w:tcPr>
          <w:p w14:paraId="5D1DC31C"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w:t>
            </w:r>
          </w:p>
        </w:tc>
        <w:tc>
          <w:tcPr>
            <w:tcW w:w="1607" w:type="dxa"/>
            <w:vAlign w:val="center"/>
          </w:tcPr>
          <w:p w14:paraId="59D2FC7C" w14:textId="77777777" w:rsidR="003F042E" w:rsidRPr="00CE6BBB" w:rsidRDefault="003F042E" w:rsidP="00C74E50">
            <w:pPr>
              <w:jc w:val="center"/>
              <w:rPr>
                <w:rFonts w:asciiTheme="minorBidi" w:hAnsiTheme="minorBidi"/>
                <w:sz w:val="24"/>
                <w:szCs w:val="24"/>
                <w:lang w:val="en-US"/>
              </w:rPr>
            </w:pPr>
            <w:r w:rsidRPr="00CE6BBB">
              <w:rPr>
                <w:rFonts w:asciiTheme="minorBidi" w:hAnsiTheme="minorBidi"/>
                <w:sz w:val="24"/>
                <w:szCs w:val="24"/>
                <w:lang w:val="en-US"/>
              </w:rPr>
              <w:t>122</w:t>
            </w:r>
          </w:p>
        </w:tc>
      </w:tr>
      <w:tr w:rsidR="003F042E" w:rsidRPr="00EE5B97" w14:paraId="67E2CD65" w14:textId="77777777" w:rsidTr="00C74E50">
        <w:trPr>
          <w:jc w:val="center"/>
        </w:trPr>
        <w:tc>
          <w:tcPr>
            <w:tcW w:w="776" w:type="dxa"/>
          </w:tcPr>
          <w:p w14:paraId="71C3A40D"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13</w:t>
            </w:r>
          </w:p>
        </w:tc>
        <w:tc>
          <w:tcPr>
            <w:tcW w:w="1161" w:type="dxa"/>
          </w:tcPr>
          <w:p w14:paraId="79798799" w14:textId="77777777" w:rsidR="003F042E" w:rsidRPr="00EE5B97" w:rsidRDefault="003F042E" w:rsidP="00C74E50">
            <w:pPr>
              <w:jc w:val="center"/>
              <w:rPr>
                <w:rFonts w:asciiTheme="minorBidi" w:hAnsiTheme="minorBidi"/>
                <w:sz w:val="24"/>
                <w:szCs w:val="24"/>
                <w:lang w:val="en-US"/>
              </w:rPr>
            </w:pPr>
            <w:r w:rsidRPr="00EE5B97">
              <w:rPr>
                <w:rFonts w:asciiTheme="minorBidi" w:hAnsiTheme="minorBidi"/>
                <w:sz w:val="24"/>
                <w:szCs w:val="24"/>
                <w:lang w:val="en-US"/>
              </w:rPr>
              <w:t>2022</w:t>
            </w:r>
          </w:p>
        </w:tc>
        <w:tc>
          <w:tcPr>
            <w:tcW w:w="1665" w:type="dxa"/>
          </w:tcPr>
          <w:p w14:paraId="4653E29B" w14:textId="77777777" w:rsidR="003F042E" w:rsidRPr="00EE5B97" w:rsidRDefault="003F042E" w:rsidP="00C74E50">
            <w:pPr>
              <w:jc w:val="center"/>
              <w:rPr>
                <w:rFonts w:asciiTheme="minorBidi" w:hAnsiTheme="minorBidi"/>
                <w:sz w:val="24"/>
                <w:szCs w:val="24"/>
                <w:lang w:val="en-US"/>
              </w:rPr>
            </w:pPr>
            <w:r w:rsidRPr="00CE6BBB">
              <w:rPr>
                <w:rFonts w:asciiTheme="minorBidi" w:hAnsiTheme="minorBidi"/>
                <w:sz w:val="24"/>
                <w:szCs w:val="24"/>
                <w:lang w:val="en-US"/>
              </w:rPr>
              <w:t>21</w:t>
            </w:r>
            <w:r>
              <w:rPr>
                <w:rFonts w:asciiTheme="minorBidi" w:hAnsiTheme="minorBidi"/>
                <w:sz w:val="24"/>
                <w:szCs w:val="24"/>
                <w:lang w:val="en-US"/>
              </w:rPr>
              <w:t>8</w:t>
            </w:r>
          </w:p>
        </w:tc>
        <w:tc>
          <w:tcPr>
            <w:tcW w:w="1737" w:type="dxa"/>
          </w:tcPr>
          <w:p w14:paraId="1B292F0D" w14:textId="77777777" w:rsidR="003F042E" w:rsidRPr="00EE5B97" w:rsidRDefault="003F042E" w:rsidP="00C74E50">
            <w:pPr>
              <w:jc w:val="center"/>
              <w:rPr>
                <w:rFonts w:asciiTheme="minorBidi" w:hAnsiTheme="minorBidi"/>
                <w:sz w:val="24"/>
                <w:szCs w:val="24"/>
              </w:rPr>
            </w:pPr>
            <w:r w:rsidRPr="00EE5B97">
              <w:rPr>
                <w:rFonts w:asciiTheme="minorBidi" w:hAnsiTheme="minorBidi"/>
                <w:sz w:val="24"/>
                <w:szCs w:val="24"/>
              </w:rPr>
              <w:t>3</w:t>
            </w:r>
          </w:p>
        </w:tc>
        <w:tc>
          <w:tcPr>
            <w:tcW w:w="1607" w:type="dxa"/>
          </w:tcPr>
          <w:p w14:paraId="15FEB7ED" w14:textId="77777777" w:rsidR="003F042E" w:rsidRPr="00CE6BBB" w:rsidRDefault="003F042E" w:rsidP="00C74E50">
            <w:pPr>
              <w:jc w:val="center"/>
              <w:rPr>
                <w:rFonts w:asciiTheme="minorBidi" w:hAnsiTheme="minorBidi"/>
                <w:sz w:val="24"/>
                <w:szCs w:val="24"/>
                <w:lang w:val="en-US"/>
              </w:rPr>
            </w:pPr>
            <w:r w:rsidRPr="00CE6BBB">
              <w:rPr>
                <w:rFonts w:asciiTheme="minorBidi" w:hAnsiTheme="minorBidi"/>
                <w:sz w:val="24"/>
                <w:szCs w:val="24"/>
                <w:lang w:val="en-US"/>
              </w:rPr>
              <w:t>119</w:t>
            </w:r>
          </w:p>
        </w:tc>
      </w:tr>
    </w:tbl>
    <w:p w14:paraId="02EE94C8" w14:textId="77777777" w:rsidR="003F042E" w:rsidRPr="00EE5B97" w:rsidRDefault="003F042E" w:rsidP="003F042E">
      <w:pPr>
        <w:pStyle w:val="Heading1"/>
        <w:shd w:val="clear" w:color="auto" w:fill="FFFFFF"/>
        <w:spacing w:before="0"/>
        <w:jc w:val="both"/>
        <w:textAlignment w:val="baseline"/>
        <w:rPr>
          <w:rFonts w:asciiTheme="minorBidi" w:hAnsiTheme="minorBidi" w:cstheme="minorBidi"/>
          <w:b/>
          <w:i/>
          <w:sz w:val="24"/>
          <w:szCs w:val="24"/>
          <w:u w:val="single"/>
          <w:lang w:val="fr-FR"/>
        </w:rPr>
      </w:pPr>
      <w:r w:rsidRPr="00EE5B97">
        <w:rPr>
          <w:rFonts w:asciiTheme="minorBidi" w:hAnsiTheme="minorBidi" w:cstheme="minorBidi"/>
          <w:i/>
          <w:sz w:val="24"/>
          <w:szCs w:val="24"/>
          <w:u w:val="single"/>
          <w:lang w:val="fr-FR"/>
        </w:rPr>
        <w:t>Notă: ***evenimentele istorice semnificative se stabilesc în cadrul ciclului 3 de implementare al Directivei inundații 2007/60/CE</w:t>
      </w:r>
    </w:p>
    <w:p w14:paraId="15CE5E27" w14:textId="77777777" w:rsidR="003F042E" w:rsidRPr="00EE5B97" w:rsidRDefault="003F042E" w:rsidP="003F042E">
      <w:pPr>
        <w:spacing w:after="0" w:line="240" w:lineRule="auto"/>
        <w:ind w:firstLine="708"/>
        <w:jc w:val="both"/>
        <w:rPr>
          <w:rFonts w:asciiTheme="minorBidi" w:eastAsia="Calibri" w:hAnsiTheme="minorBidi"/>
          <w:sz w:val="24"/>
          <w:szCs w:val="24"/>
          <w:lang w:val="fr-FR"/>
        </w:rPr>
      </w:pPr>
    </w:p>
    <w:p w14:paraId="28FEB911" w14:textId="77777777" w:rsidR="003F042E" w:rsidRPr="00EE5B97" w:rsidRDefault="003F042E" w:rsidP="003F042E">
      <w:pPr>
        <w:spacing w:before="120" w:after="120"/>
        <w:ind w:firstLine="708"/>
        <w:jc w:val="both"/>
        <w:rPr>
          <w:rFonts w:asciiTheme="minorBidi" w:eastAsia="Calibri" w:hAnsiTheme="minorBidi"/>
          <w:sz w:val="24"/>
          <w:szCs w:val="24"/>
        </w:rPr>
      </w:pPr>
      <w:r w:rsidRPr="00EE5B97">
        <w:rPr>
          <w:rFonts w:asciiTheme="minorBidi" w:eastAsia="Calibri" w:hAnsiTheme="minorBidi"/>
          <w:sz w:val="24"/>
          <w:szCs w:val="24"/>
        </w:rPr>
        <w:t>În cursul anului 2022 s-a</w:t>
      </w:r>
      <w:r>
        <w:rPr>
          <w:rFonts w:asciiTheme="minorBidi" w:eastAsia="Calibri" w:hAnsiTheme="minorBidi"/>
          <w:sz w:val="24"/>
          <w:szCs w:val="24"/>
        </w:rPr>
        <w:t>u</w:t>
      </w:r>
      <w:r w:rsidRPr="00EE5B97">
        <w:rPr>
          <w:rFonts w:asciiTheme="minorBidi" w:eastAsia="Calibri" w:hAnsiTheme="minorBidi"/>
          <w:sz w:val="24"/>
          <w:szCs w:val="24"/>
        </w:rPr>
        <w:t xml:space="preserve"> înregistrat un num</w:t>
      </w:r>
      <w:r>
        <w:rPr>
          <w:rFonts w:asciiTheme="minorBidi" w:eastAsia="Calibri" w:hAnsiTheme="minorBidi"/>
          <w:sz w:val="24"/>
          <w:szCs w:val="24"/>
        </w:rPr>
        <w:t>ă</w:t>
      </w:r>
      <w:r w:rsidRPr="00EE5B97">
        <w:rPr>
          <w:rFonts w:asciiTheme="minorBidi" w:eastAsia="Calibri" w:hAnsiTheme="minorBidi"/>
          <w:sz w:val="24"/>
          <w:szCs w:val="24"/>
        </w:rPr>
        <w:t>r de</w:t>
      </w:r>
      <w:r w:rsidRPr="00EE5B97">
        <w:rPr>
          <w:rFonts w:asciiTheme="minorBidi" w:eastAsia="Calibri" w:hAnsiTheme="minorBidi"/>
          <w:color w:val="FF0000"/>
          <w:sz w:val="24"/>
          <w:szCs w:val="24"/>
        </w:rPr>
        <w:t xml:space="preserve"> </w:t>
      </w:r>
      <w:r w:rsidRPr="009E57EF">
        <w:rPr>
          <w:rFonts w:asciiTheme="minorBidi" w:eastAsia="Calibri" w:hAnsiTheme="minorBidi"/>
          <w:sz w:val="24"/>
          <w:szCs w:val="24"/>
        </w:rPr>
        <w:t>218</w:t>
      </w:r>
      <w:r w:rsidRPr="00EE5B97">
        <w:rPr>
          <w:rFonts w:asciiTheme="minorBidi" w:eastAsia="Calibri" w:hAnsiTheme="minorBidi"/>
          <w:color w:val="FF0000"/>
          <w:sz w:val="24"/>
          <w:szCs w:val="24"/>
        </w:rPr>
        <w:t xml:space="preserve"> </w:t>
      </w:r>
      <w:r w:rsidRPr="00EE5B97">
        <w:rPr>
          <w:rFonts w:asciiTheme="minorBidi" w:eastAsia="Calibri" w:hAnsiTheme="minorBidi"/>
          <w:sz w:val="24"/>
          <w:szCs w:val="24"/>
        </w:rPr>
        <w:t>fenomene meteorologice extreme din care:</w:t>
      </w:r>
    </w:p>
    <w:p w14:paraId="4F0E82D0" w14:textId="77777777" w:rsidR="003F042E" w:rsidRPr="008C50A5" w:rsidRDefault="003F042E" w:rsidP="0054709F">
      <w:pPr>
        <w:pStyle w:val="ListParagraph"/>
        <w:numPr>
          <w:ilvl w:val="0"/>
          <w:numId w:val="13"/>
        </w:numPr>
        <w:suppressAutoHyphens/>
        <w:spacing w:before="120" w:after="120" w:line="240" w:lineRule="auto"/>
        <w:contextualSpacing w:val="0"/>
        <w:jc w:val="both"/>
        <w:rPr>
          <w:rFonts w:asciiTheme="minorBidi" w:eastAsia="Calibri" w:hAnsiTheme="minorBidi"/>
          <w:lang w:val="fr-FR"/>
        </w:rPr>
      </w:pPr>
      <w:r w:rsidRPr="00CE6BBB">
        <w:rPr>
          <w:rFonts w:asciiTheme="minorBidi" w:eastAsia="Calibri" w:hAnsiTheme="minorBidi"/>
          <w:lang w:val="fr-FR"/>
        </w:rPr>
        <w:t>215</w:t>
      </w:r>
      <w:r w:rsidRPr="008C50A5">
        <w:rPr>
          <w:rFonts w:asciiTheme="minorBidi" w:eastAsia="Calibri" w:hAnsiTheme="minorBidi"/>
          <w:lang w:val="fr-FR"/>
        </w:rPr>
        <w:t xml:space="preserve"> evenimente extreme produse de inundaţii prin revărsarea râurilor sau din scurgeri de pe versanţi</w:t>
      </w:r>
      <w:r>
        <w:rPr>
          <w:rFonts w:asciiTheme="minorBidi" w:eastAsia="Calibri" w:hAnsiTheme="minorBidi"/>
          <w:lang w:val="fr-FR"/>
        </w:rPr>
        <w:t>;</w:t>
      </w:r>
    </w:p>
    <w:p w14:paraId="7ABD43E5" w14:textId="77777777" w:rsidR="003F042E" w:rsidRPr="008C50A5" w:rsidRDefault="003F042E" w:rsidP="0054709F">
      <w:pPr>
        <w:pStyle w:val="ListParagraph"/>
        <w:numPr>
          <w:ilvl w:val="0"/>
          <w:numId w:val="13"/>
        </w:numPr>
        <w:suppressAutoHyphens/>
        <w:spacing w:before="120" w:after="120" w:line="240" w:lineRule="auto"/>
        <w:contextualSpacing w:val="0"/>
        <w:jc w:val="both"/>
        <w:rPr>
          <w:rFonts w:asciiTheme="minorBidi" w:eastAsia="Calibri" w:hAnsiTheme="minorBidi"/>
          <w:lang w:val="fr-FR"/>
        </w:rPr>
      </w:pPr>
      <w:r w:rsidRPr="008C50A5">
        <w:rPr>
          <w:rFonts w:asciiTheme="minorBidi" w:eastAsia="Calibri" w:hAnsiTheme="minorBidi"/>
          <w:lang w:val="fr-FR"/>
        </w:rPr>
        <w:t>3 evenimente extreme produse de secetă</w:t>
      </w:r>
      <w:r>
        <w:rPr>
          <w:rFonts w:asciiTheme="minorBidi" w:eastAsia="Calibri" w:hAnsiTheme="minorBidi"/>
          <w:lang w:val="fr-FR"/>
        </w:rPr>
        <w:t>.</w:t>
      </w:r>
      <w:r w:rsidRPr="008C50A5">
        <w:rPr>
          <w:rFonts w:asciiTheme="minorBidi" w:eastAsia="Calibri" w:hAnsiTheme="minorBidi"/>
          <w:lang w:val="fr-FR"/>
        </w:rPr>
        <w:t xml:space="preserve"> </w:t>
      </w:r>
    </w:p>
    <w:p w14:paraId="49E29C54" w14:textId="77777777" w:rsidR="003F042E" w:rsidRPr="00EE5B97" w:rsidRDefault="003F042E" w:rsidP="003F042E">
      <w:pPr>
        <w:spacing w:before="120" w:after="120"/>
        <w:ind w:firstLine="708"/>
        <w:jc w:val="both"/>
        <w:rPr>
          <w:rFonts w:asciiTheme="minorBidi" w:eastAsia="Calibri" w:hAnsiTheme="minorBidi"/>
          <w:sz w:val="24"/>
          <w:szCs w:val="24"/>
        </w:rPr>
      </w:pPr>
      <w:r w:rsidRPr="00EE5B97">
        <w:rPr>
          <w:rFonts w:asciiTheme="minorBidi" w:eastAsia="Calibri" w:hAnsiTheme="minorBidi"/>
          <w:sz w:val="24"/>
          <w:szCs w:val="24"/>
        </w:rPr>
        <w:lastRenderedPageBreak/>
        <w:t>Următoarele evenimente au însoţit fenomenele de inundaţii din revărsarea râurilor şi din scurgeri pe versanţi</w:t>
      </w:r>
      <w:r>
        <w:rPr>
          <w:rFonts w:asciiTheme="minorBidi" w:eastAsia="Calibri" w:hAnsiTheme="minorBidi"/>
          <w:sz w:val="24"/>
          <w:szCs w:val="24"/>
        </w:rPr>
        <w:t>:</w:t>
      </w:r>
    </w:p>
    <w:p w14:paraId="15943156" w14:textId="77777777" w:rsidR="003F042E" w:rsidRPr="00CA749C" w:rsidRDefault="003F042E" w:rsidP="0054709F">
      <w:pPr>
        <w:pStyle w:val="ListParagraph"/>
        <w:numPr>
          <w:ilvl w:val="0"/>
          <w:numId w:val="14"/>
        </w:numPr>
        <w:suppressAutoHyphens/>
        <w:spacing w:before="120" w:after="120" w:line="240" w:lineRule="auto"/>
        <w:ind w:left="1440"/>
        <w:contextualSpacing w:val="0"/>
        <w:jc w:val="both"/>
        <w:rPr>
          <w:rFonts w:asciiTheme="minorBidi" w:eastAsia="Calibri" w:hAnsiTheme="minorBidi"/>
          <w:lang w:val="fr-FR"/>
        </w:rPr>
      </w:pPr>
      <w:r w:rsidRPr="00CA749C">
        <w:rPr>
          <w:rFonts w:asciiTheme="minorBidi" w:eastAsia="Calibri" w:hAnsiTheme="minorBidi"/>
          <w:lang w:val="fr-FR"/>
        </w:rPr>
        <w:t>7 evenimente de provocate la topirea zăpezii sau datorită fenomenului îngheţ-dezgheţ</w:t>
      </w:r>
      <w:r>
        <w:rPr>
          <w:rFonts w:asciiTheme="minorBidi" w:eastAsia="Calibri" w:hAnsiTheme="minorBidi"/>
          <w:lang w:val="fr-FR"/>
        </w:rPr>
        <w:t>;</w:t>
      </w:r>
    </w:p>
    <w:p w14:paraId="71357C84" w14:textId="77777777" w:rsidR="003F042E" w:rsidRPr="00CA749C" w:rsidRDefault="003F042E" w:rsidP="0054709F">
      <w:pPr>
        <w:pStyle w:val="ListParagraph"/>
        <w:numPr>
          <w:ilvl w:val="0"/>
          <w:numId w:val="14"/>
        </w:numPr>
        <w:suppressAutoHyphens/>
        <w:spacing w:before="120" w:after="120" w:line="240" w:lineRule="auto"/>
        <w:ind w:left="1440"/>
        <w:contextualSpacing w:val="0"/>
        <w:jc w:val="both"/>
        <w:rPr>
          <w:rFonts w:asciiTheme="minorBidi" w:eastAsia="Calibri" w:hAnsiTheme="minorBidi"/>
          <w:lang w:val="fr-FR"/>
        </w:rPr>
      </w:pPr>
      <w:r w:rsidRPr="00CA749C">
        <w:rPr>
          <w:rFonts w:asciiTheme="minorBidi" w:eastAsia="Calibri" w:hAnsiTheme="minorBidi"/>
          <w:lang w:val="fr-FR"/>
        </w:rPr>
        <w:t>16 evenimente extreme produse de precipitaţii abundente şi băltiri</w:t>
      </w:r>
      <w:r>
        <w:rPr>
          <w:rFonts w:asciiTheme="minorBidi" w:eastAsia="Calibri" w:hAnsiTheme="minorBidi"/>
          <w:lang w:val="fr-FR"/>
        </w:rPr>
        <w:t>;</w:t>
      </w:r>
    </w:p>
    <w:p w14:paraId="2BF6D0B6" w14:textId="77777777" w:rsidR="003F042E" w:rsidRPr="00CA749C" w:rsidRDefault="003F042E" w:rsidP="0054709F">
      <w:pPr>
        <w:pStyle w:val="ListParagraph"/>
        <w:numPr>
          <w:ilvl w:val="0"/>
          <w:numId w:val="14"/>
        </w:numPr>
        <w:suppressAutoHyphens/>
        <w:spacing w:before="120" w:after="120" w:line="240" w:lineRule="auto"/>
        <w:ind w:left="1440"/>
        <w:contextualSpacing w:val="0"/>
        <w:jc w:val="both"/>
        <w:rPr>
          <w:rFonts w:asciiTheme="minorBidi" w:eastAsia="Calibri" w:hAnsiTheme="minorBidi"/>
          <w:lang w:val="fr-FR"/>
        </w:rPr>
      </w:pPr>
      <w:r w:rsidRPr="00CA749C">
        <w:rPr>
          <w:rFonts w:asciiTheme="minorBidi" w:eastAsia="Calibri" w:hAnsiTheme="minorBidi"/>
          <w:lang w:val="fr-FR"/>
        </w:rPr>
        <w:t>3 evenimente extreme produse de precipitaţii abundente şi grindină</w:t>
      </w:r>
      <w:r>
        <w:rPr>
          <w:rFonts w:asciiTheme="minorBidi" w:eastAsia="Calibri" w:hAnsiTheme="minorBidi"/>
          <w:lang w:val="fr-FR"/>
        </w:rPr>
        <w:t>;</w:t>
      </w:r>
    </w:p>
    <w:p w14:paraId="36B19A3A" w14:textId="77777777" w:rsidR="003F042E" w:rsidRPr="00CA749C" w:rsidRDefault="003F042E" w:rsidP="0054709F">
      <w:pPr>
        <w:pStyle w:val="ListParagraph"/>
        <w:numPr>
          <w:ilvl w:val="0"/>
          <w:numId w:val="14"/>
        </w:numPr>
        <w:suppressAutoHyphens/>
        <w:spacing w:before="120" w:after="120" w:line="240" w:lineRule="auto"/>
        <w:ind w:left="1440"/>
        <w:contextualSpacing w:val="0"/>
        <w:jc w:val="both"/>
        <w:rPr>
          <w:rFonts w:asciiTheme="minorBidi" w:eastAsia="Calibri" w:hAnsiTheme="minorBidi"/>
          <w:lang w:val="fr-FR"/>
        </w:rPr>
      </w:pPr>
      <w:r w:rsidRPr="00CA749C">
        <w:rPr>
          <w:rFonts w:asciiTheme="minorBidi" w:eastAsia="Calibri" w:hAnsiTheme="minorBidi"/>
          <w:lang w:val="fr-FR"/>
        </w:rPr>
        <w:t xml:space="preserve">9 evenimente extreme produse de precipitaţii abundente şi vânt; </w:t>
      </w:r>
    </w:p>
    <w:p w14:paraId="5676812E" w14:textId="77777777" w:rsidR="003F042E" w:rsidRPr="00CA749C" w:rsidRDefault="003F042E" w:rsidP="0054709F">
      <w:pPr>
        <w:pStyle w:val="ListParagraph"/>
        <w:numPr>
          <w:ilvl w:val="0"/>
          <w:numId w:val="14"/>
        </w:numPr>
        <w:suppressAutoHyphens/>
        <w:spacing w:before="120" w:after="120" w:line="240" w:lineRule="auto"/>
        <w:ind w:left="1440"/>
        <w:contextualSpacing w:val="0"/>
        <w:jc w:val="both"/>
        <w:rPr>
          <w:rFonts w:asciiTheme="minorBidi" w:hAnsiTheme="minorBidi"/>
          <w:bCs/>
          <w:lang w:val="fr-FR"/>
        </w:rPr>
      </w:pPr>
      <w:r w:rsidRPr="00CA749C">
        <w:rPr>
          <w:rFonts w:asciiTheme="minorBidi" w:hAnsiTheme="minorBidi"/>
          <w:bCs/>
          <w:lang w:val="fr-FR"/>
        </w:rPr>
        <w:t>9 evenimente datorate incapacităţii de preluare a apei pluviale de către reţeaua de canalizare;</w:t>
      </w:r>
    </w:p>
    <w:p w14:paraId="1B46A0F3" w14:textId="77777777" w:rsidR="003F042E" w:rsidRPr="00CA749C" w:rsidRDefault="003F042E" w:rsidP="0054709F">
      <w:pPr>
        <w:pStyle w:val="ListParagraph"/>
        <w:numPr>
          <w:ilvl w:val="0"/>
          <w:numId w:val="14"/>
        </w:numPr>
        <w:suppressAutoHyphens/>
        <w:spacing w:before="120" w:after="120" w:line="240" w:lineRule="auto"/>
        <w:ind w:left="1440"/>
        <w:contextualSpacing w:val="0"/>
        <w:jc w:val="both"/>
        <w:rPr>
          <w:rFonts w:asciiTheme="minorBidi" w:hAnsiTheme="minorBidi"/>
          <w:bCs/>
          <w:lang w:val="fr-FR"/>
        </w:rPr>
      </w:pPr>
      <w:r w:rsidRPr="00CA749C">
        <w:rPr>
          <w:rFonts w:asciiTheme="minorBidi" w:hAnsiTheme="minorBidi"/>
          <w:bCs/>
          <w:lang w:val="fr-FR"/>
        </w:rPr>
        <w:t>16 evenimente au fost însoţite de alunecări de teren</w:t>
      </w:r>
      <w:r>
        <w:rPr>
          <w:rFonts w:asciiTheme="minorBidi" w:hAnsiTheme="minorBidi"/>
          <w:bCs/>
          <w:lang w:val="fr-FR"/>
        </w:rPr>
        <w:t>.</w:t>
      </w:r>
    </w:p>
    <w:p w14:paraId="7F993894" w14:textId="77777777" w:rsidR="003F042E" w:rsidRPr="00EE5B97" w:rsidRDefault="003F042E" w:rsidP="003F042E">
      <w:pPr>
        <w:spacing w:before="120" w:after="120"/>
        <w:jc w:val="both"/>
        <w:rPr>
          <w:rFonts w:asciiTheme="minorBidi" w:hAnsiTheme="minorBidi"/>
          <w:i/>
          <w:sz w:val="24"/>
          <w:szCs w:val="24"/>
        </w:rPr>
      </w:pPr>
      <w:r w:rsidRPr="00EE5B97">
        <w:rPr>
          <w:rFonts w:asciiTheme="minorBidi" w:hAnsiTheme="minorBidi"/>
          <w:bCs/>
          <w:sz w:val="24"/>
          <w:szCs w:val="24"/>
        </w:rPr>
        <w:tab/>
        <w:t>În timpul inundaţiilor din anul 2022 s-a înregistrat o victimă</w:t>
      </w:r>
      <w:r>
        <w:rPr>
          <w:rFonts w:asciiTheme="minorBidi" w:hAnsiTheme="minorBidi"/>
          <w:bCs/>
          <w:sz w:val="24"/>
          <w:szCs w:val="24"/>
        </w:rPr>
        <w:t>,</w:t>
      </w:r>
      <w:r w:rsidRPr="00EE5B97">
        <w:rPr>
          <w:rFonts w:asciiTheme="minorBidi" w:hAnsiTheme="minorBidi"/>
          <w:bCs/>
          <w:sz w:val="24"/>
          <w:szCs w:val="24"/>
        </w:rPr>
        <w:t xml:space="preserve"> </w:t>
      </w:r>
      <w:r>
        <w:rPr>
          <w:rFonts w:asciiTheme="minorBidi" w:hAnsiTheme="minorBidi"/>
          <w:bCs/>
          <w:sz w:val="24"/>
          <w:szCs w:val="24"/>
        </w:rPr>
        <w:t xml:space="preserve">aceasta </w:t>
      </w:r>
      <w:r w:rsidRPr="00EE5B97">
        <w:rPr>
          <w:rFonts w:asciiTheme="minorBidi" w:hAnsiTheme="minorBidi"/>
          <w:bCs/>
          <w:sz w:val="24"/>
          <w:szCs w:val="24"/>
        </w:rPr>
        <w:t xml:space="preserve">a fost surprinsă de viitura de pe pr. Pocreaca, în localitatea Pocreaca, comuna Schitu Duca, judeţul Iaşi. </w:t>
      </w:r>
      <w:r w:rsidRPr="00EE5B97">
        <w:rPr>
          <w:rFonts w:asciiTheme="minorBidi" w:eastAsia="Calibri" w:hAnsiTheme="minorBidi"/>
          <w:sz w:val="24"/>
          <w:szCs w:val="24"/>
        </w:rPr>
        <w:t>Au fost afectate de inundaţii cel puţin o dat</w:t>
      </w:r>
      <w:r>
        <w:rPr>
          <w:rFonts w:asciiTheme="minorBidi" w:eastAsia="Calibri" w:hAnsiTheme="minorBidi"/>
          <w:sz w:val="24"/>
          <w:szCs w:val="24"/>
        </w:rPr>
        <w:t>ă</w:t>
      </w:r>
      <w:r w:rsidRPr="00EE5B97">
        <w:rPr>
          <w:rFonts w:asciiTheme="minorBidi" w:eastAsia="Calibri" w:hAnsiTheme="minorBidi"/>
          <w:sz w:val="24"/>
          <w:szCs w:val="24"/>
        </w:rPr>
        <w:t xml:space="preserve"> un număr de 607 UAT-uri, respectiv un număr de 1546 localităţi, 285 locuinţe din care: locuinţe distruse 2, locuinţe avariate 164, respectiv 119 locuinţe inundate. Populaţia afectată de inundaţii 998 locuitori.</w:t>
      </w:r>
    </w:p>
    <w:p w14:paraId="341C8FB6" w14:textId="77777777" w:rsidR="003F042E" w:rsidRPr="00EE5B97" w:rsidRDefault="003F042E" w:rsidP="003F042E">
      <w:pPr>
        <w:spacing w:after="0"/>
        <w:ind w:firstLine="708"/>
        <w:jc w:val="both"/>
        <w:rPr>
          <w:rFonts w:asciiTheme="minorBidi" w:hAnsiTheme="minorBidi"/>
          <w:b/>
          <w:i/>
          <w:sz w:val="24"/>
          <w:szCs w:val="24"/>
          <w:u w:val="single"/>
        </w:rPr>
      </w:pPr>
    </w:p>
    <w:p w14:paraId="6D76BE5C" w14:textId="77777777" w:rsidR="00487527" w:rsidRPr="00051960" w:rsidRDefault="00487527" w:rsidP="00487527">
      <w:pPr>
        <w:jc w:val="both"/>
        <w:rPr>
          <w:rFonts w:asciiTheme="minorBidi" w:hAnsiTheme="minorBidi"/>
          <w:b/>
          <w:sz w:val="24"/>
          <w:szCs w:val="24"/>
        </w:rPr>
      </w:pPr>
      <w:r w:rsidRPr="00051960">
        <w:rPr>
          <w:rFonts w:asciiTheme="minorBidi" w:hAnsiTheme="minorBidi"/>
          <w:b/>
          <w:sz w:val="24"/>
          <w:szCs w:val="24"/>
        </w:rPr>
        <w:t>II.1.3. UTILIZAREA ȘI GESTIONAREA EFICIENTĂ A RESURSELOR DE APĂ</w:t>
      </w:r>
    </w:p>
    <w:p w14:paraId="7F71C4C2"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eastAsia="Calibri" w:hAnsiTheme="minorBidi" w:cstheme="minorBidi"/>
        </w:rPr>
        <w:t>Regimul hidrologic al râurilor României este direct influențat de precipitații, relief, soluri, vegetație și structura geologică, adică de mediul în care se formează, fapt deosebit de bine conturat în cadrul țării noastre. În afară de zonalitatea verticală a climei, o mare influență asupra regimului hidrologic o are zonalitatea climatică orizontală, în special regimul precipitațiilor și temperaturii aerului.</w:t>
      </w:r>
    </w:p>
    <w:p w14:paraId="4A9631B3"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eastAsia="Calibri" w:hAnsiTheme="minorBidi" w:cstheme="minorBidi"/>
        </w:rPr>
        <w:t>Până în prezent studiile au arătat, de exemplu, că frecvența inundațiilor este mai mare în lunile de primăvară, martie-aprilie, și în cele de vară, iulie-august. Resursa de apă este mai redusă în lunile aprilie și septembrie și în acest caz eforturile de gestionare a acesteia trebuie orientate către asigurarea disponibilului de apă la sursă. O problemă actuală o reprezintă precipitațiile scurte de mare intensitate care conduc la creșterea numărului de hazarde de inundații de tip viituri rapide (flash flood).</w:t>
      </w:r>
    </w:p>
    <w:p w14:paraId="7EFD772A"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eastAsia="Calibri" w:hAnsiTheme="minorBidi" w:cstheme="minorBidi"/>
        </w:rPr>
        <w:t>România este caracterizată printr-o distribuție neuniformă în spațiu a resurselor de apă ale râurilor, cele mai bogate fiind bazinele hidrografice cu suprafeţe relativ mici, dar cu altitudini mari, iar cele mai sărace în resursele de apă sunt bazinele afluenților direcți ai fluviului Dunărea și ai Litoralului. În ceea ce privește distribuția în timp, resursele de apă ale râurilor au mari variații sezoniere.</w:t>
      </w:r>
    </w:p>
    <w:p w14:paraId="5CD18FF9" w14:textId="77777777" w:rsidR="00487527" w:rsidRPr="00051960" w:rsidRDefault="00487527" w:rsidP="00487527">
      <w:pPr>
        <w:pStyle w:val="1text"/>
        <w:spacing w:before="0" w:after="0" w:line="240" w:lineRule="auto"/>
        <w:ind w:firstLine="720"/>
        <w:rPr>
          <w:rFonts w:asciiTheme="minorBidi" w:eastAsia="Calibri" w:hAnsiTheme="minorBidi" w:cstheme="minorBidi"/>
        </w:rPr>
      </w:pPr>
      <w:r w:rsidRPr="00051960">
        <w:rPr>
          <w:rFonts w:asciiTheme="minorBidi" w:eastAsia="Calibri" w:hAnsiTheme="minorBidi" w:cstheme="minorBidi"/>
        </w:rPr>
        <w:t>În ceea ce privește resursa de apă subterană acviferele capabile să asigure debite importante pentru alimentarea cu apă a populației sunt cele acumulate în formațiunile cuaternare din luncile inundabile, terasele și conurile aluviale ale râurilor.</w:t>
      </w:r>
    </w:p>
    <w:p w14:paraId="6E8D3E43"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hAnsiTheme="minorBidi" w:cstheme="minorBidi"/>
        </w:rPr>
        <w:t>Având în vedere caracterul limitat al resursei de apă subterană, direct dependentă de precipitații și de volumele exploatate, în general, apa freatică este utilizată pentru irigații și industrie iar pentru alimentarea populației sunt utilizate izvoare și apa subterană din acviferul de adâncime. Există zone unde acviferul freatic este folosit pentru alimentarea populației dar în procent scăzut. În situația în care resursa disponibilă este depășită de debitul anual captat pe termen lung, nivelul apelor subterane este supus modificărilor antropogenice care ar putea conduce la supraexploatare.</w:t>
      </w:r>
    </w:p>
    <w:p w14:paraId="3B9A8561" w14:textId="77777777" w:rsidR="00487527" w:rsidRPr="00051960" w:rsidRDefault="00487527" w:rsidP="00487527">
      <w:pPr>
        <w:pStyle w:val="1bullet"/>
        <w:numPr>
          <w:ilvl w:val="0"/>
          <w:numId w:val="0"/>
        </w:numPr>
        <w:spacing w:line="240" w:lineRule="auto"/>
        <w:ind w:firstLine="720"/>
        <w:rPr>
          <w:rFonts w:asciiTheme="minorBidi" w:hAnsiTheme="minorBidi" w:cstheme="minorBidi"/>
        </w:rPr>
      </w:pPr>
      <w:r w:rsidRPr="00051960">
        <w:rPr>
          <w:rFonts w:asciiTheme="minorBidi" w:hAnsiTheme="minorBidi" w:cstheme="minorBidi"/>
        </w:rPr>
        <w:t>Caracterul limitat și vulnerabil al resurselor de apă precum și indispensabilitatea resurselor de apă subliniază necesitatea valorificării și protecției acestora împotriva epuizării și degradării.</w:t>
      </w:r>
    </w:p>
    <w:p w14:paraId="31FBA997"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hAnsiTheme="minorBidi" w:cstheme="minorBidi"/>
        </w:rPr>
        <w:t>Schimbările climatice reprezintă unul din principalii factori cu impact major asupra resursei de apă atât din punct de vedere cantitativ cât și calitativ.</w:t>
      </w:r>
    </w:p>
    <w:p w14:paraId="1EA5C70C" w14:textId="77777777" w:rsidR="00487527" w:rsidRDefault="00487527" w:rsidP="00487527">
      <w:pPr>
        <w:pStyle w:val="1text"/>
        <w:spacing w:before="0" w:after="0" w:line="240" w:lineRule="auto"/>
        <w:ind w:firstLine="720"/>
        <w:rPr>
          <w:rFonts w:asciiTheme="minorBidi" w:eastAsia="Calibri" w:hAnsiTheme="minorBidi" w:cstheme="minorBidi"/>
        </w:rPr>
      </w:pPr>
      <w:r w:rsidRPr="00051960">
        <w:rPr>
          <w:rFonts w:asciiTheme="minorBidi" w:eastAsia="Calibri" w:hAnsiTheme="minorBidi" w:cstheme="minorBidi"/>
        </w:rPr>
        <w:lastRenderedPageBreak/>
        <w:t>Pentru a asigura disponibilul de apă la sursă în România ținând cont de distribuția (variabilitatea) în spațiu și timp a resurselor de apă, caracterul limitat al resurselor de apă, variația regimului de curgere, caracterul torențial al bazinelor hidrografice, variația spațio-temporală a calității apelor și schimbările climatice trebuie întreprinse următoarele măsuri:</w:t>
      </w:r>
    </w:p>
    <w:p w14:paraId="58D1CBE2" w14:textId="77777777" w:rsidR="00487527" w:rsidRPr="00051960" w:rsidRDefault="00487527" w:rsidP="00487527">
      <w:pPr>
        <w:pStyle w:val="1text"/>
        <w:spacing w:before="0" w:after="0" w:line="240" w:lineRule="auto"/>
        <w:ind w:firstLine="720"/>
        <w:rPr>
          <w:rFonts w:asciiTheme="minorBidi" w:eastAsia="Calibri" w:hAnsiTheme="minorBidi" w:cstheme="minorBidi"/>
        </w:rPr>
      </w:pPr>
    </w:p>
    <w:p w14:paraId="0387839C" w14:textId="77777777" w:rsidR="00487527" w:rsidRPr="00051960" w:rsidRDefault="00487527" w:rsidP="00487527">
      <w:pPr>
        <w:pStyle w:val="1bullet"/>
        <w:spacing w:line="240" w:lineRule="auto"/>
        <w:ind w:left="450" w:hanging="450"/>
        <w:rPr>
          <w:rFonts w:asciiTheme="minorBidi" w:eastAsia="Calibri" w:hAnsiTheme="minorBidi" w:cstheme="minorBidi"/>
          <w:lang w:val="fr-FR"/>
        </w:rPr>
      </w:pPr>
      <w:r w:rsidRPr="00051960">
        <w:rPr>
          <w:rFonts w:asciiTheme="minorBidi" w:hAnsiTheme="minorBidi" w:cstheme="minorBidi"/>
          <w:b/>
        </w:rPr>
        <w:t>Măsuri de adaptare pentru asigurarea disponibilului de apă la sursă</w:t>
      </w:r>
      <w:r w:rsidRPr="00051960">
        <w:rPr>
          <w:rFonts w:asciiTheme="minorBidi" w:hAnsiTheme="minorBidi" w:cstheme="minorBidi"/>
        </w:rPr>
        <w:t>:</w:t>
      </w:r>
    </w:p>
    <w:p w14:paraId="00D0975F" w14:textId="77777777" w:rsidR="00487527" w:rsidRPr="00051960" w:rsidRDefault="00487527" w:rsidP="0054709F">
      <w:pPr>
        <w:pStyle w:val="1bullet"/>
        <w:numPr>
          <w:ilvl w:val="0"/>
          <w:numId w:val="16"/>
        </w:numPr>
        <w:spacing w:line="240" w:lineRule="auto"/>
        <w:ind w:left="900" w:hanging="450"/>
        <w:rPr>
          <w:rFonts w:asciiTheme="minorBidi" w:eastAsia="Calibri" w:hAnsiTheme="minorBidi" w:cstheme="minorBidi"/>
          <w:lang w:val="fr-FR"/>
        </w:rPr>
      </w:pPr>
      <w:r w:rsidRPr="00051960">
        <w:rPr>
          <w:rFonts w:asciiTheme="minorBidi" w:hAnsiTheme="minorBidi" w:cstheme="minorBidi"/>
        </w:rPr>
        <w:t>realizarea de noi infrastructuri de transformare a resurselor hidrologice în resurse socioeconomice: noi lacuri de acumulare, noi derivații interbazinale și altele asemenea;</w:t>
      </w:r>
    </w:p>
    <w:p w14:paraId="5D4BC49E" w14:textId="77777777" w:rsidR="00487527" w:rsidRPr="00051960" w:rsidRDefault="00487527" w:rsidP="0054709F">
      <w:pPr>
        <w:pStyle w:val="1bullet"/>
        <w:numPr>
          <w:ilvl w:val="0"/>
          <w:numId w:val="16"/>
        </w:numPr>
        <w:spacing w:line="240" w:lineRule="auto"/>
        <w:ind w:left="900" w:hanging="450"/>
        <w:rPr>
          <w:rFonts w:asciiTheme="minorBidi" w:eastAsia="Calibri" w:hAnsiTheme="minorBidi" w:cstheme="minorBidi"/>
          <w:lang w:val="fr-FR"/>
        </w:rPr>
      </w:pPr>
      <w:r w:rsidRPr="00051960">
        <w:rPr>
          <w:rFonts w:asciiTheme="minorBidi" w:hAnsiTheme="minorBidi" w:cstheme="minorBidi"/>
        </w:rPr>
        <w:t>modificarea infrastructurilor existente pentru a putea regulariza debitele a căror distribuție în timp se modifică ca urmare a schimbărilor climatice: reechiparea cu noi uvraje și altele asemenea;</w:t>
      </w:r>
    </w:p>
    <w:p w14:paraId="3EC2C894" w14:textId="77777777" w:rsidR="00487527" w:rsidRPr="00051960" w:rsidRDefault="00487527" w:rsidP="0054709F">
      <w:pPr>
        <w:pStyle w:val="1bullet"/>
        <w:numPr>
          <w:ilvl w:val="0"/>
          <w:numId w:val="16"/>
        </w:numPr>
        <w:spacing w:line="240" w:lineRule="auto"/>
        <w:ind w:left="900" w:hanging="450"/>
        <w:rPr>
          <w:rFonts w:asciiTheme="minorBidi" w:eastAsia="Calibri" w:hAnsiTheme="minorBidi" w:cstheme="minorBidi"/>
          <w:lang w:val="en-US"/>
        </w:rPr>
      </w:pPr>
      <w:r w:rsidRPr="00051960">
        <w:rPr>
          <w:rFonts w:asciiTheme="minorBidi" w:hAnsiTheme="minorBidi" w:cstheme="minorBidi"/>
        </w:rPr>
        <w:t>proiectarea și implementarea unor soluții pentru colectarea și utilizarea apei din precipitații;</w:t>
      </w:r>
    </w:p>
    <w:p w14:paraId="51959946" w14:textId="77777777" w:rsidR="00487527" w:rsidRPr="00051960" w:rsidRDefault="00487527" w:rsidP="0054709F">
      <w:pPr>
        <w:pStyle w:val="1bullet"/>
        <w:numPr>
          <w:ilvl w:val="0"/>
          <w:numId w:val="16"/>
        </w:numPr>
        <w:spacing w:line="240" w:lineRule="auto"/>
        <w:ind w:left="900" w:hanging="450"/>
        <w:rPr>
          <w:rFonts w:asciiTheme="minorBidi" w:eastAsia="Calibri" w:hAnsiTheme="minorBidi" w:cstheme="minorBidi"/>
          <w:lang w:val="en-US"/>
        </w:rPr>
      </w:pPr>
      <w:r w:rsidRPr="00051960">
        <w:rPr>
          <w:rFonts w:asciiTheme="minorBidi" w:hAnsiTheme="minorBidi" w:cstheme="minorBidi"/>
        </w:rPr>
        <w:t xml:space="preserve">realizarea de poldere pentru atenuarea viiturilor: acumulări nepermanente laterale cursurilor de apă. </w:t>
      </w:r>
    </w:p>
    <w:p w14:paraId="73260584" w14:textId="77777777" w:rsidR="00487527" w:rsidRDefault="00487527" w:rsidP="00487527">
      <w:pPr>
        <w:pStyle w:val="1bullet"/>
        <w:numPr>
          <w:ilvl w:val="0"/>
          <w:numId w:val="0"/>
        </w:numPr>
        <w:spacing w:line="240" w:lineRule="auto"/>
        <w:ind w:left="900"/>
        <w:rPr>
          <w:rFonts w:asciiTheme="minorBidi" w:hAnsiTheme="minorBidi" w:cstheme="minorBidi"/>
        </w:rPr>
      </w:pPr>
    </w:p>
    <w:p w14:paraId="14AE9929" w14:textId="77777777" w:rsidR="00487527" w:rsidRDefault="00487527" w:rsidP="00487527">
      <w:pPr>
        <w:pStyle w:val="1bullet"/>
        <w:numPr>
          <w:ilvl w:val="0"/>
          <w:numId w:val="0"/>
        </w:numPr>
        <w:spacing w:line="240" w:lineRule="auto"/>
        <w:ind w:left="900"/>
        <w:rPr>
          <w:rFonts w:asciiTheme="minorBidi" w:hAnsiTheme="minorBidi" w:cstheme="minorBidi"/>
        </w:rPr>
      </w:pPr>
    </w:p>
    <w:p w14:paraId="09366548" w14:textId="77777777" w:rsidR="00487527" w:rsidRPr="00051960" w:rsidRDefault="00487527" w:rsidP="00487527">
      <w:pPr>
        <w:pStyle w:val="1bullet"/>
        <w:numPr>
          <w:ilvl w:val="0"/>
          <w:numId w:val="0"/>
        </w:numPr>
        <w:spacing w:line="240" w:lineRule="auto"/>
        <w:ind w:left="900"/>
        <w:rPr>
          <w:rFonts w:asciiTheme="minorBidi" w:eastAsia="Calibri" w:hAnsiTheme="minorBidi" w:cstheme="minorBidi"/>
          <w:lang w:val="en-US"/>
        </w:rPr>
      </w:pPr>
    </w:p>
    <w:p w14:paraId="06D83528" w14:textId="77777777" w:rsidR="00487527" w:rsidRPr="00051960" w:rsidRDefault="00487527" w:rsidP="00487527">
      <w:pPr>
        <w:pStyle w:val="1bullet"/>
        <w:spacing w:line="240" w:lineRule="auto"/>
        <w:ind w:left="450" w:hanging="450"/>
        <w:rPr>
          <w:rFonts w:asciiTheme="minorBidi" w:hAnsiTheme="minorBidi" w:cstheme="minorBidi"/>
          <w:b/>
        </w:rPr>
      </w:pPr>
      <w:r w:rsidRPr="00051960">
        <w:rPr>
          <w:rFonts w:asciiTheme="minorBidi" w:hAnsiTheme="minorBidi" w:cstheme="minorBidi"/>
          <w:b/>
        </w:rPr>
        <w:t xml:space="preserve">Măsuri de adaptare la folosințele de apă / utilizatori: </w:t>
      </w:r>
    </w:p>
    <w:p w14:paraId="2F7BE346"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utilizarea eficientă și conservarea apei prin reabilitarea instalațiilor de transport și de distribuție a apei și prin modificări tehnologice: promovarea de tehnologii cu consumuri reduse de apă;</w:t>
      </w:r>
    </w:p>
    <w:p w14:paraId="3ECAC08F"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modificări în stilul de viață al oamenilor: reducerea cerințelor de apă, utilizarea pentru anumite activități a apei recirculate și altele asemenea;</w:t>
      </w:r>
    </w:p>
    <w:p w14:paraId="0349F669"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creșterea gradului de recirculare a apei pentru nevoi industriale;</w:t>
      </w:r>
    </w:p>
    <w:p w14:paraId="477EC00F"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 xml:space="preserve">modificarea tipurilor de culturi agricole prin utilizarea acelora adaptate la cerințe mai reduse de apă; </w:t>
      </w:r>
    </w:p>
    <w:p w14:paraId="649AD5D8"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elaborarea și implementarea unor sisteme de prețuri și tarife pentru apă în funcție de folosința de sezon și de resursa disponibilă</w:t>
      </w:r>
      <w:r w:rsidRPr="00051960">
        <w:rPr>
          <w:rFonts w:asciiTheme="minorBidi" w:hAnsiTheme="minorBidi" w:cstheme="minorBidi"/>
          <w:lang w:val="fr-FR"/>
        </w:rPr>
        <w:t>;</w:t>
      </w:r>
    </w:p>
    <w:p w14:paraId="230A9A82"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 xml:space="preserve">utilizarea pentru anumite destinații/folosințe a apelor de calitate inferioară; </w:t>
      </w:r>
    </w:p>
    <w:p w14:paraId="68D63B4D" w14:textId="77777777" w:rsidR="00487527"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îmbunătățirea legislației de mediu.</w:t>
      </w:r>
    </w:p>
    <w:p w14:paraId="7DADDD26" w14:textId="77777777" w:rsidR="00487527" w:rsidRPr="00051960" w:rsidRDefault="00487527" w:rsidP="00487527">
      <w:pPr>
        <w:pStyle w:val="1bullet"/>
        <w:numPr>
          <w:ilvl w:val="0"/>
          <w:numId w:val="0"/>
        </w:numPr>
        <w:spacing w:line="240" w:lineRule="auto"/>
        <w:ind w:left="900"/>
        <w:rPr>
          <w:rFonts w:asciiTheme="minorBidi" w:hAnsiTheme="minorBidi" w:cstheme="minorBidi"/>
        </w:rPr>
      </w:pPr>
      <w:r w:rsidRPr="00051960">
        <w:rPr>
          <w:rFonts w:asciiTheme="minorBidi" w:hAnsiTheme="minorBidi" w:cstheme="minorBidi"/>
        </w:rPr>
        <w:t xml:space="preserve"> </w:t>
      </w:r>
    </w:p>
    <w:p w14:paraId="1209F564" w14:textId="77777777" w:rsidR="00487527" w:rsidRPr="00051960" w:rsidRDefault="00487527" w:rsidP="00487527">
      <w:pPr>
        <w:pStyle w:val="1bullet"/>
        <w:spacing w:line="240" w:lineRule="auto"/>
        <w:ind w:left="450" w:hanging="450"/>
        <w:rPr>
          <w:rFonts w:asciiTheme="minorBidi" w:hAnsiTheme="minorBidi" w:cstheme="minorBidi"/>
          <w:b/>
        </w:rPr>
      </w:pPr>
      <w:r w:rsidRPr="00051960">
        <w:rPr>
          <w:rFonts w:asciiTheme="minorBidi" w:hAnsiTheme="minorBidi" w:cstheme="minorBidi"/>
          <w:b/>
        </w:rPr>
        <w:t>Măsuri care trebuie întreprinse la nivelul bazinului hidrografic:</w:t>
      </w:r>
    </w:p>
    <w:p w14:paraId="2317B71A"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actualizarea schemelor directoare de amenajare și de management, astfel încât să se ia în considerare efectele schimbărilor climatice: scăderea disponibilului la sursă, creșterea cerinței de apă;</w:t>
      </w:r>
    </w:p>
    <w:p w14:paraId="5FD815A5"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aplicarea principiilor de management integrat al apei pentru cantitate, calitate și ecosisteme sănătoase;</w:t>
      </w:r>
    </w:p>
    <w:p w14:paraId="7FC3336E"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introducerea chiar de la proiectare în lacurile de acumulare care se vor construi, a unor volume de rezervă care să se utilizeze doar în situații excepționale sau realizarea unor lacuri de acumulare cu regim special de exploatare pentru a suplimenta resursele de apă disponibile în situații critice;</w:t>
      </w:r>
    </w:p>
    <w:p w14:paraId="7E98F0A7"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transferuri inter-bazinale de apă pentru a compensa deficitele de apă în anumite bazine;</w:t>
      </w:r>
    </w:p>
    <w:p w14:paraId="4C5533DF"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stabilirea unor obiective privind calitatea apei și aplicarea unor criterii de calitate a acesteia în scopul prevenirii, controlării și reducerii impactului transfrontalier, coordonarea reglementărilor și emiterii avizelor;</w:t>
      </w:r>
    </w:p>
    <w:p w14:paraId="7BB3DFEE"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îmbunătățirea tratării apei reziduale și menajere;</w:t>
      </w:r>
    </w:p>
    <w:p w14:paraId="3EA29935"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armonizarea reglementărilor privind limitarea emisiilor de substanțe periculoase în apă;</w:t>
      </w:r>
    </w:p>
    <w:p w14:paraId="7EDC67E2"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identificarea zonelor cu risc potențial la inundații, deficit de apă/secetă.</w:t>
      </w:r>
    </w:p>
    <w:p w14:paraId="688A3CF0" w14:textId="77777777" w:rsidR="00487527" w:rsidRPr="00051960" w:rsidRDefault="00487527" w:rsidP="00487527">
      <w:pPr>
        <w:pStyle w:val="1bullet"/>
        <w:numPr>
          <w:ilvl w:val="0"/>
          <w:numId w:val="0"/>
        </w:numPr>
        <w:spacing w:line="240" w:lineRule="auto"/>
        <w:ind w:left="900"/>
        <w:rPr>
          <w:rFonts w:asciiTheme="minorBidi" w:hAnsiTheme="minorBidi" w:cstheme="minorBidi"/>
        </w:rPr>
      </w:pPr>
    </w:p>
    <w:p w14:paraId="1A50BC80" w14:textId="77777777" w:rsidR="00487527" w:rsidRPr="00051960" w:rsidRDefault="00487527" w:rsidP="00487527">
      <w:pPr>
        <w:pStyle w:val="1bullet"/>
        <w:spacing w:line="240" w:lineRule="auto"/>
        <w:ind w:left="450" w:hanging="450"/>
        <w:rPr>
          <w:rFonts w:asciiTheme="minorBidi" w:eastAsia="Calibri" w:hAnsiTheme="minorBidi" w:cstheme="minorBidi"/>
          <w:b/>
          <w:lang w:val="fr-FR"/>
        </w:rPr>
      </w:pPr>
      <w:r w:rsidRPr="00051960">
        <w:rPr>
          <w:rFonts w:asciiTheme="minorBidi" w:hAnsiTheme="minorBidi" w:cstheme="minorBidi"/>
          <w:b/>
        </w:rPr>
        <w:lastRenderedPageBreak/>
        <w:t xml:space="preserve">Măsuri care trebuie întreprinse pentru managementul riscului la inundații: </w:t>
      </w:r>
    </w:p>
    <w:p w14:paraId="265C30E6"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alegerea unor lucrări de protecție împotriva inundațiilor la nivel local destinate unor localități și structuri socio-economice în locul lucrărilor de protecție împotriva inundațiilor ample, de mari dimensiuni;</w:t>
      </w:r>
    </w:p>
    <w:p w14:paraId="39CCBC73"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alegerea unor soluții tehnice care să conducă la încetinirea și diminuarea inundațiilor pe măsură ce se produc, în locul supraînălțării digurilor existente sau construirii de noi diguri;</w:t>
      </w:r>
    </w:p>
    <w:p w14:paraId="7E6659E5"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folosirea celor mai noi metode și tehnologii pentru reabilitarea/construirea digurilor și efectuarea lucrărilor de protecție în corelare cu planurile teritoriale de amenajare urbanistică;</w:t>
      </w:r>
    </w:p>
    <w:p w14:paraId="3793A964"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color w:val="000000"/>
        </w:rPr>
        <w:t xml:space="preserve">planurile de management al riscului la inundații trebuie revizuite periodic și, dacă este cazul, trebuie actualizate, </w:t>
      </w:r>
      <w:r w:rsidRPr="00051960">
        <w:rPr>
          <w:rFonts w:asciiTheme="minorBidi" w:hAnsiTheme="minorBidi" w:cstheme="minorBidi"/>
        </w:rPr>
        <w:t>luând în considerare efectele posibile ale schimbărilor climatice asupra apariției inundațiilor;</w:t>
      </w:r>
    </w:p>
    <w:p w14:paraId="36D63D44"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creșterea gradului de conștientizare privind riscul de inundații în rândul populației expuse, măsuri adecvate înainte și după producerea acestora, încheierea de contracte de asigurare și altele asemenea;</w:t>
      </w:r>
    </w:p>
    <w:p w14:paraId="53F92EAC"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 xml:space="preserve">îmbunătățirea capacității de răspuns a autorităților administrației publice locale cu atribuții în managementul situațiilor de urgență generate de inundații, accidente la construcții hidrotehnice și poluări accidentale. </w:t>
      </w:r>
    </w:p>
    <w:p w14:paraId="19805594" w14:textId="77777777" w:rsidR="00487527" w:rsidRPr="00051960" w:rsidRDefault="00487527" w:rsidP="00487527">
      <w:pPr>
        <w:pStyle w:val="1bullet"/>
        <w:spacing w:line="240" w:lineRule="auto"/>
        <w:ind w:left="450" w:hanging="450"/>
        <w:rPr>
          <w:rFonts w:asciiTheme="minorBidi" w:hAnsiTheme="minorBidi" w:cstheme="minorBidi"/>
          <w:b/>
        </w:rPr>
      </w:pPr>
      <w:r w:rsidRPr="00051960">
        <w:rPr>
          <w:rFonts w:asciiTheme="minorBidi" w:hAnsiTheme="minorBidi" w:cstheme="minorBidi"/>
          <w:b/>
        </w:rPr>
        <w:t>Măsurile care trebuie întreprinse pentru a combate seceta / deficitul de apă se vor lua în funcție de fazele de apariție a acesteia / acestuia:</w:t>
      </w:r>
    </w:p>
    <w:p w14:paraId="6B5FC11D"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servicii de monitorizare și avertizare privind scăderea debitelor/secetă la nivel național;</w:t>
      </w:r>
    </w:p>
    <w:p w14:paraId="53807822"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diminuarea scurgerilor în rețelele de distribuție a apei;</w:t>
      </w:r>
    </w:p>
    <w:p w14:paraId="028DA146"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 xml:space="preserve">măsuri de economisire și folosire eficientă a apei: irigații, industrie; </w:t>
      </w:r>
    </w:p>
    <w:p w14:paraId="0E70A3A5"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cooperarea cu alte țări vizând schimbul de experiență în combaterea secetei;</w:t>
      </w:r>
    </w:p>
    <w:p w14:paraId="1242A0AD"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planuri de aprovizionare prioritară cu apă a populației și animalelor/ierarhizarea restricțiilor de folosire a apei în perioade deficitare;</w:t>
      </w:r>
    </w:p>
    <w:p w14:paraId="211ACC04"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stabilirea de metodologii pentru pragurile de secetă și cartografierea secetei;</w:t>
      </w:r>
    </w:p>
    <w:p w14:paraId="1C116DA7"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mărirea capacității de depozitare a apei;</w:t>
      </w:r>
    </w:p>
    <w:p w14:paraId="63A85BFC" w14:textId="77777777" w:rsidR="00487527" w:rsidRPr="00051960" w:rsidRDefault="00487527" w:rsidP="0054709F">
      <w:pPr>
        <w:pStyle w:val="1bullet"/>
        <w:numPr>
          <w:ilvl w:val="0"/>
          <w:numId w:val="16"/>
        </w:numPr>
        <w:spacing w:line="240" w:lineRule="auto"/>
        <w:ind w:left="900" w:hanging="450"/>
        <w:rPr>
          <w:rFonts w:asciiTheme="minorBidi" w:hAnsiTheme="minorBidi" w:cstheme="minorBidi"/>
        </w:rPr>
      </w:pPr>
      <w:r w:rsidRPr="00051960">
        <w:rPr>
          <w:rFonts w:asciiTheme="minorBidi" w:hAnsiTheme="minorBidi" w:cstheme="minorBidi"/>
        </w:rPr>
        <w:t>asigurarea calității apei pe timp de secetă.</w:t>
      </w:r>
    </w:p>
    <w:p w14:paraId="4CDDB4DA"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eastAsia="Calibri" w:hAnsiTheme="minorBidi" w:cstheme="minorBidi"/>
        </w:rPr>
        <w:t>În ultima perioadă de timp se observă o variație descrescătoare a volumelor de apă prelevate. Această variație nu exprimă doar cerința efectivă de apă, ci poate exprima existența anumitor restricții în aprovizionarea cu apă, precum și efectele introducerii contorizării consumului de apă, reducerii pierderilor de apă pe rețelele de distribuție, etc.</w:t>
      </w:r>
    </w:p>
    <w:p w14:paraId="706FF505" w14:textId="77777777" w:rsidR="00487527" w:rsidRPr="00051960" w:rsidRDefault="00487527" w:rsidP="00487527">
      <w:pPr>
        <w:pStyle w:val="1bullet"/>
        <w:numPr>
          <w:ilvl w:val="0"/>
          <w:numId w:val="0"/>
        </w:numPr>
        <w:spacing w:line="240" w:lineRule="auto"/>
        <w:ind w:firstLine="720"/>
        <w:rPr>
          <w:rFonts w:asciiTheme="minorBidi" w:eastAsia="Calibri" w:hAnsiTheme="minorBidi" w:cstheme="minorBidi"/>
        </w:rPr>
      </w:pPr>
      <w:r w:rsidRPr="00051960">
        <w:rPr>
          <w:rFonts w:asciiTheme="minorBidi" w:eastAsia="Calibri" w:hAnsiTheme="minorBidi" w:cstheme="minorBidi"/>
        </w:rPr>
        <w:t>Utilizarea și gestionarea eficientă a resurselor de apă implică implementarea unor schimbări de comportament atât al producătorilor de bunuri și servicii de gospodărire a apelor, cât și al utilizatorilor, al populației față de resursele de apă și față de mediu.</w:t>
      </w:r>
    </w:p>
    <w:p w14:paraId="1217BB41" w14:textId="77777777" w:rsidR="00487527" w:rsidRPr="00051960" w:rsidRDefault="00487527" w:rsidP="00487527">
      <w:pPr>
        <w:spacing w:after="0"/>
        <w:jc w:val="both"/>
        <w:rPr>
          <w:rFonts w:asciiTheme="minorBidi" w:hAnsiTheme="minorBidi"/>
          <w:sz w:val="24"/>
          <w:szCs w:val="24"/>
        </w:rPr>
      </w:pPr>
    </w:p>
    <w:p w14:paraId="33775899" w14:textId="77777777" w:rsidR="00487527" w:rsidRPr="00051960" w:rsidRDefault="00487527" w:rsidP="00487527">
      <w:pPr>
        <w:spacing w:after="0"/>
        <w:jc w:val="both"/>
        <w:rPr>
          <w:rFonts w:asciiTheme="minorBidi" w:hAnsiTheme="minorBidi"/>
          <w:sz w:val="24"/>
          <w:szCs w:val="24"/>
        </w:rPr>
      </w:pPr>
    </w:p>
    <w:p w14:paraId="048EB0F7" w14:textId="77777777" w:rsidR="00487527" w:rsidRPr="00051960" w:rsidRDefault="00487527" w:rsidP="00487527">
      <w:pPr>
        <w:jc w:val="both"/>
        <w:rPr>
          <w:rFonts w:asciiTheme="minorBidi" w:hAnsiTheme="minorBidi"/>
          <w:b/>
          <w:sz w:val="24"/>
          <w:szCs w:val="24"/>
        </w:rPr>
      </w:pPr>
    </w:p>
    <w:p w14:paraId="6A5122F4" w14:textId="77777777" w:rsidR="00DD1B1B" w:rsidRPr="00FD4668" w:rsidRDefault="00DD1B1B" w:rsidP="00DD1B1B">
      <w:pPr>
        <w:rPr>
          <w:rFonts w:ascii="Arial" w:hAnsi="Arial" w:cs="Arial"/>
          <w:b/>
          <w:i/>
          <w:color w:val="000000" w:themeColor="text1"/>
          <w:sz w:val="24"/>
          <w:szCs w:val="24"/>
          <w:u w:val="single"/>
        </w:rPr>
      </w:pPr>
      <w:r w:rsidRPr="00FD4668">
        <w:rPr>
          <w:rFonts w:ascii="Arial" w:hAnsi="Arial" w:cs="Arial"/>
          <w:b/>
          <w:color w:val="000000" w:themeColor="text1"/>
          <w:sz w:val="24"/>
          <w:szCs w:val="24"/>
          <w:u w:val="single"/>
        </w:rPr>
        <w:t xml:space="preserve">II.2.1. </w:t>
      </w:r>
      <w:r w:rsidRPr="00FD4668">
        <w:rPr>
          <w:rFonts w:ascii="Arial" w:hAnsi="Arial" w:cs="Arial"/>
          <w:b/>
          <w:i/>
          <w:color w:val="000000" w:themeColor="text1"/>
          <w:sz w:val="24"/>
          <w:szCs w:val="24"/>
          <w:u w:val="single"/>
        </w:rPr>
        <w:t>Calitatea Apei</w:t>
      </w:r>
    </w:p>
    <w:p w14:paraId="45B6ECB7" w14:textId="77777777" w:rsidR="00DD1B1B" w:rsidRPr="00FD4668" w:rsidRDefault="00DD1B1B" w:rsidP="00DD1B1B">
      <w:pPr>
        <w:rPr>
          <w:rFonts w:ascii="Arial" w:hAnsi="Arial" w:cs="Arial"/>
          <w:b/>
          <w:i/>
          <w:color w:val="000000" w:themeColor="text1"/>
          <w:sz w:val="24"/>
          <w:szCs w:val="24"/>
          <w:u w:val="single"/>
        </w:rPr>
      </w:pPr>
      <w:r w:rsidRPr="00FD4668">
        <w:rPr>
          <w:rFonts w:ascii="Arial" w:hAnsi="Arial" w:cs="Arial"/>
          <w:b/>
          <w:i/>
          <w:color w:val="000000" w:themeColor="text1"/>
          <w:sz w:val="24"/>
          <w:szCs w:val="24"/>
          <w:u w:val="single"/>
        </w:rPr>
        <w:t>II.2.1.1. Calitatea apei cursurilor de apă</w:t>
      </w:r>
    </w:p>
    <w:p w14:paraId="15A40EE9" w14:textId="77777777" w:rsidR="00DD1B1B" w:rsidRPr="006A1E0D" w:rsidRDefault="00DD1B1B" w:rsidP="00DD1B1B">
      <w:pPr>
        <w:ind w:right="-285"/>
        <w:jc w:val="center"/>
        <w:rPr>
          <w:rFonts w:ascii="Arial" w:hAnsi="Arial" w:cs="Arial"/>
          <w:b/>
          <w:color w:val="000000" w:themeColor="text1"/>
        </w:rPr>
      </w:pPr>
      <w:r w:rsidRPr="006A1E0D">
        <w:rPr>
          <w:rFonts w:ascii="Arial" w:hAnsi="Arial" w:cs="Arial"/>
          <w:b/>
          <w:color w:val="000000" w:themeColor="text1"/>
          <w:highlight w:val="green"/>
        </w:rPr>
        <w:t>Indicator WEC 04. Scheme de clasificare a cursurilor de apă RO 67</w:t>
      </w:r>
    </w:p>
    <w:p w14:paraId="51DCBFBC" w14:textId="77777777" w:rsidR="00DD1B1B" w:rsidRPr="00942A04" w:rsidRDefault="00DD1B1B" w:rsidP="00DD1B1B">
      <w:pPr>
        <w:ind w:right="-285"/>
        <w:jc w:val="both"/>
        <w:rPr>
          <w:rFonts w:ascii="Arial" w:hAnsi="Arial" w:cs="Arial"/>
          <w:b/>
          <w:color w:val="000000" w:themeColor="text1"/>
          <w:sz w:val="24"/>
          <w:szCs w:val="24"/>
        </w:rPr>
      </w:pPr>
      <w:r w:rsidRPr="00942A04">
        <w:rPr>
          <w:rFonts w:ascii="Arial" w:hAnsi="Arial" w:cs="Arial"/>
          <w:b/>
          <w:color w:val="000000" w:themeColor="text1"/>
          <w:sz w:val="24"/>
          <w:szCs w:val="24"/>
        </w:rPr>
        <w:t xml:space="preserve">STAREA ECOLOGICĂ / POTENȚIALUL ECOLOGIC AL CURSURILOR DE APĂ MONITORIZATE (corpuri de apă naturale, puternic modificate, artificiale - râuri) PE SPAȚII / BAZINE HIDROGRAFICE ȘI LA NIVEL NAȚIONAL </w:t>
      </w:r>
    </w:p>
    <w:p w14:paraId="1CB466E4" w14:textId="77777777" w:rsidR="00DD1B1B" w:rsidRPr="00942A04" w:rsidRDefault="00DD1B1B" w:rsidP="00DD1B1B">
      <w:pPr>
        <w:spacing w:after="0" w:line="240" w:lineRule="auto"/>
        <w:jc w:val="both"/>
        <w:rPr>
          <w:rFonts w:ascii="Arial" w:hAnsi="Arial" w:cs="Arial"/>
          <w:b/>
          <w:i/>
          <w:color w:val="000000" w:themeColor="text1"/>
          <w:sz w:val="24"/>
          <w:szCs w:val="24"/>
        </w:rPr>
      </w:pPr>
      <w:r w:rsidRPr="00942A04">
        <w:rPr>
          <w:rFonts w:ascii="Arial" w:hAnsi="Arial" w:cs="Arial"/>
          <w:b/>
          <w:i/>
          <w:color w:val="000000" w:themeColor="text1"/>
          <w:sz w:val="24"/>
          <w:szCs w:val="24"/>
        </w:rPr>
        <w:t>Evaluarea stării ecologice / potențialului ecologic al cursurilor de apă monitorizate (corpuri de apă naturale, puternic modificate, artificiale - râuri) pe spații / bazine hidrografice în anul 2022 (km)</w:t>
      </w:r>
    </w:p>
    <w:p w14:paraId="4FDBF944" w14:textId="77777777" w:rsidR="00DD1B1B" w:rsidRDefault="00DD1B1B" w:rsidP="00DD1B1B">
      <w:pPr>
        <w:spacing w:after="0" w:line="240" w:lineRule="auto"/>
        <w:jc w:val="both"/>
        <w:rPr>
          <w:rFonts w:ascii="Arial" w:hAnsi="Arial" w:cs="Arial"/>
          <w:b/>
          <w:i/>
          <w:color w:val="FF0000"/>
        </w:rPr>
      </w:pPr>
    </w:p>
    <w:p w14:paraId="44F687A2" w14:textId="77777777" w:rsidR="00DD1B1B" w:rsidRPr="008C01E9" w:rsidRDefault="00DD1B1B" w:rsidP="00DD1B1B">
      <w:pPr>
        <w:spacing w:after="0" w:line="240" w:lineRule="auto"/>
        <w:jc w:val="both"/>
        <w:rPr>
          <w:rFonts w:ascii="Arial" w:hAnsi="Arial" w:cs="Arial"/>
          <w:b/>
          <w:i/>
          <w:color w:val="000000" w:themeColor="text1"/>
          <w:sz w:val="20"/>
          <w:szCs w:val="16"/>
        </w:rPr>
      </w:pPr>
      <w:r w:rsidRPr="008C01E9">
        <w:rPr>
          <w:rFonts w:ascii="Arial" w:hAnsi="Arial" w:cs="Arial"/>
          <w:b/>
          <w:i/>
          <w:color w:val="000000" w:themeColor="text1"/>
          <w:sz w:val="20"/>
          <w:szCs w:val="16"/>
        </w:rPr>
        <w:lastRenderedPageBreak/>
        <w:t>Figura II.2.1.1.1 Starea ecologică / potențialul ecologic al cursurilor de apă monitorizate (corpuri de apă naturale, puternic modificate, artificiale - râuri) pe spații / bazine hidrografice în anul 2022 (km)</w:t>
      </w:r>
    </w:p>
    <w:p w14:paraId="40BE3B33" w14:textId="77777777" w:rsidR="00DD1B1B" w:rsidRPr="00B41FE6" w:rsidRDefault="00DD1B1B" w:rsidP="00DD1B1B">
      <w:pPr>
        <w:spacing w:after="0" w:line="240" w:lineRule="auto"/>
        <w:ind w:left="-360" w:hanging="90"/>
        <w:rPr>
          <w:rFonts w:ascii="Arial" w:hAnsi="Arial" w:cs="Arial"/>
          <w:b/>
          <w:i/>
          <w:color w:val="FF0000"/>
          <w:sz w:val="36"/>
          <w:szCs w:val="24"/>
        </w:rPr>
      </w:pPr>
      <w:r>
        <w:rPr>
          <w:noProof/>
          <w:lang w:val="en-GB" w:eastAsia="en-GB"/>
        </w:rPr>
        <w:drawing>
          <wp:inline distT="0" distB="0" distL="0" distR="0" wp14:anchorId="218FEDB5" wp14:editId="299EFC44">
            <wp:extent cx="6729412" cy="4191000"/>
            <wp:effectExtent l="0" t="0" r="14605" b="0"/>
            <wp:docPr id="1461736693"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CF1FC33" w14:textId="77777777" w:rsidR="00DD1B1B" w:rsidRPr="006A1E0D" w:rsidRDefault="00DD1B1B" w:rsidP="00DD1B1B">
      <w:pPr>
        <w:spacing w:after="0" w:line="240" w:lineRule="auto"/>
        <w:jc w:val="both"/>
        <w:rPr>
          <w:rFonts w:ascii="Arial" w:hAnsi="Arial" w:cs="Arial"/>
          <w:b/>
          <w:color w:val="000000" w:themeColor="text1"/>
          <w:sz w:val="20"/>
          <w:szCs w:val="20"/>
        </w:rPr>
      </w:pPr>
      <w:r w:rsidRPr="006A1E0D">
        <w:rPr>
          <w:rFonts w:ascii="Arial" w:hAnsi="Arial" w:cs="Arial"/>
          <w:b/>
          <w:color w:val="000000" w:themeColor="text1"/>
          <w:sz w:val="20"/>
          <w:szCs w:val="20"/>
        </w:rPr>
        <w:t>*SE - stare ecologică / potenţial ecologic</w:t>
      </w:r>
    </w:p>
    <w:p w14:paraId="4A652737" w14:textId="77777777" w:rsidR="00DD1B1B" w:rsidRPr="00385E6B" w:rsidRDefault="00DD1B1B" w:rsidP="00DD1B1B">
      <w:pPr>
        <w:spacing w:after="0"/>
        <w:ind w:left="900" w:hanging="900"/>
        <w:jc w:val="both"/>
        <w:rPr>
          <w:rFonts w:ascii="Arial" w:hAnsi="Arial" w:cs="Arial"/>
          <w:i/>
          <w:iCs/>
          <w:sz w:val="20"/>
          <w:szCs w:val="20"/>
          <w:lang w:eastAsia="ro-RO"/>
        </w:rPr>
      </w:pPr>
      <w:r w:rsidRPr="00385E6B">
        <w:rPr>
          <w:rFonts w:ascii="Arial" w:hAnsi="Arial" w:cs="Arial"/>
          <w:i/>
          <w:iCs/>
          <w:sz w:val="20"/>
          <w:szCs w:val="20"/>
          <w:lang w:eastAsia="ro-RO"/>
        </w:rPr>
        <w:t>(Sursa: Administraţia Naţională “Apele Române”, Sinteza calităţii apelor din România în anul 2022)</w:t>
      </w:r>
    </w:p>
    <w:p w14:paraId="259E3808" w14:textId="77777777" w:rsidR="00DD1B1B" w:rsidRPr="00B41FE6" w:rsidRDefault="00DD1B1B" w:rsidP="00DD1B1B">
      <w:pPr>
        <w:spacing w:line="240" w:lineRule="auto"/>
        <w:jc w:val="both"/>
        <w:rPr>
          <w:rFonts w:ascii="Arial" w:hAnsi="Arial" w:cs="Arial"/>
          <w:b/>
          <w:color w:val="FF0000"/>
          <w:sz w:val="20"/>
          <w:szCs w:val="20"/>
        </w:rPr>
      </w:pPr>
    </w:p>
    <w:p w14:paraId="41D85696" w14:textId="77777777" w:rsidR="00DD1B1B" w:rsidRPr="00B41FE6" w:rsidRDefault="00DD1B1B" w:rsidP="00DD1B1B">
      <w:pPr>
        <w:spacing w:line="240" w:lineRule="auto"/>
        <w:jc w:val="both"/>
        <w:rPr>
          <w:rFonts w:ascii="Arial" w:hAnsi="Arial" w:cs="Arial"/>
          <w:b/>
          <w:color w:val="FF0000"/>
          <w:sz w:val="20"/>
          <w:szCs w:val="20"/>
        </w:rPr>
      </w:pPr>
    </w:p>
    <w:p w14:paraId="237E7D81" w14:textId="77777777" w:rsidR="00DD1B1B" w:rsidRPr="00B41FE6" w:rsidRDefault="00DD1B1B" w:rsidP="00DD1B1B">
      <w:pPr>
        <w:spacing w:line="240" w:lineRule="auto"/>
        <w:jc w:val="both"/>
        <w:rPr>
          <w:rFonts w:ascii="Arial" w:hAnsi="Arial" w:cs="Arial"/>
          <w:b/>
          <w:color w:val="FF0000"/>
          <w:sz w:val="20"/>
          <w:szCs w:val="20"/>
        </w:rPr>
      </w:pPr>
    </w:p>
    <w:p w14:paraId="46A17C81" w14:textId="77777777" w:rsidR="00DD1B1B" w:rsidRPr="00B41FE6" w:rsidRDefault="00DD1B1B" w:rsidP="00DD1B1B">
      <w:pPr>
        <w:spacing w:line="240" w:lineRule="auto"/>
        <w:jc w:val="both"/>
        <w:rPr>
          <w:rFonts w:ascii="Arial" w:hAnsi="Arial" w:cs="Arial"/>
          <w:b/>
          <w:color w:val="FF0000"/>
          <w:sz w:val="20"/>
          <w:szCs w:val="20"/>
        </w:rPr>
      </w:pPr>
    </w:p>
    <w:p w14:paraId="3C323502" w14:textId="77777777" w:rsidR="00DD1B1B" w:rsidRPr="00B41FE6" w:rsidRDefault="00DD1B1B" w:rsidP="00DD1B1B">
      <w:pPr>
        <w:spacing w:line="240" w:lineRule="auto"/>
        <w:jc w:val="both"/>
        <w:rPr>
          <w:rFonts w:ascii="Arial" w:hAnsi="Arial" w:cs="Arial"/>
          <w:b/>
          <w:color w:val="FF0000"/>
          <w:sz w:val="20"/>
          <w:szCs w:val="20"/>
        </w:rPr>
      </w:pPr>
    </w:p>
    <w:p w14:paraId="6D2866E4" w14:textId="77777777" w:rsidR="00DD1B1B" w:rsidRDefault="00DD1B1B" w:rsidP="00DD1B1B">
      <w:pPr>
        <w:spacing w:line="240" w:lineRule="auto"/>
        <w:jc w:val="both"/>
        <w:rPr>
          <w:rFonts w:ascii="Arial" w:hAnsi="Arial" w:cs="Arial"/>
          <w:b/>
          <w:color w:val="FF0000"/>
          <w:sz w:val="20"/>
          <w:szCs w:val="20"/>
        </w:rPr>
      </w:pPr>
    </w:p>
    <w:p w14:paraId="42001883" w14:textId="77777777" w:rsidR="00DD1B1B" w:rsidRDefault="00DD1B1B" w:rsidP="00DD1B1B">
      <w:pPr>
        <w:spacing w:line="240" w:lineRule="auto"/>
        <w:jc w:val="both"/>
        <w:rPr>
          <w:rFonts w:ascii="Arial" w:hAnsi="Arial" w:cs="Arial"/>
          <w:b/>
          <w:color w:val="FF0000"/>
          <w:sz w:val="20"/>
          <w:szCs w:val="20"/>
        </w:rPr>
      </w:pPr>
    </w:p>
    <w:p w14:paraId="18B931C8" w14:textId="77777777" w:rsidR="00DD1B1B" w:rsidRDefault="00DD1B1B" w:rsidP="00DD1B1B">
      <w:pPr>
        <w:spacing w:line="240" w:lineRule="auto"/>
        <w:jc w:val="both"/>
        <w:rPr>
          <w:rFonts w:ascii="Arial" w:hAnsi="Arial" w:cs="Arial"/>
          <w:b/>
          <w:color w:val="FF0000"/>
          <w:sz w:val="20"/>
          <w:szCs w:val="20"/>
        </w:rPr>
      </w:pPr>
    </w:p>
    <w:p w14:paraId="13B7977B" w14:textId="77777777" w:rsidR="00DD1B1B" w:rsidRDefault="00DD1B1B" w:rsidP="00DD1B1B">
      <w:pPr>
        <w:spacing w:line="240" w:lineRule="auto"/>
        <w:jc w:val="both"/>
        <w:rPr>
          <w:rFonts w:ascii="Arial" w:hAnsi="Arial" w:cs="Arial"/>
          <w:b/>
          <w:color w:val="FF0000"/>
          <w:sz w:val="20"/>
          <w:szCs w:val="20"/>
        </w:rPr>
      </w:pPr>
    </w:p>
    <w:p w14:paraId="053B0AA6" w14:textId="77777777" w:rsidR="00DD1B1B" w:rsidRPr="00B41FE6" w:rsidRDefault="00DD1B1B" w:rsidP="00DD1B1B">
      <w:pPr>
        <w:spacing w:line="240" w:lineRule="auto"/>
        <w:jc w:val="both"/>
        <w:rPr>
          <w:rFonts w:ascii="Arial" w:hAnsi="Arial" w:cs="Arial"/>
          <w:b/>
          <w:color w:val="FF0000"/>
          <w:sz w:val="20"/>
          <w:szCs w:val="20"/>
        </w:rPr>
      </w:pPr>
    </w:p>
    <w:p w14:paraId="4514484A" w14:textId="77777777" w:rsidR="00DD1B1B" w:rsidRPr="006A1E0D" w:rsidRDefault="00DD1B1B" w:rsidP="00DD1B1B">
      <w:pPr>
        <w:spacing w:after="0" w:line="240" w:lineRule="auto"/>
        <w:jc w:val="both"/>
        <w:rPr>
          <w:rFonts w:ascii="Arial" w:hAnsi="Arial" w:cs="Arial"/>
          <w:b/>
          <w:i/>
          <w:color w:val="000000" w:themeColor="text1"/>
        </w:rPr>
      </w:pPr>
      <w:r w:rsidRPr="006A1E0D">
        <w:rPr>
          <w:rFonts w:ascii="Arial" w:hAnsi="Arial" w:cs="Arial"/>
          <w:b/>
          <w:i/>
          <w:color w:val="000000" w:themeColor="text1"/>
        </w:rPr>
        <w:t>Evaluarea stării ecologice / potențialului ecologic al cursurilor de apă monitorizate (corpuri de apă naturale, puternic modificate, artificiale - râuri) pe spații / bazine hidrografice în anul 202</w:t>
      </w:r>
      <w:r>
        <w:rPr>
          <w:rFonts w:ascii="Arial" w:hAnsi="Arial" w:cs="Arial"/>
          <w:b/>
          <w:i/>
          <w:color w:val="000000" w:themeColor="text1"/>
        </w:rPr>
        <w:t>2</w:t>
      </w:r>
      <w:r w:rsidRPr="006A1E0D">
        <w:rPr>
          <w:rFonts w:ascii="Arial" w:hAnsi="Arial" w:cs="Arial"/>
          <w:b/>
          <w:i/>
          <w:color w:val="000000" w:themeColor="text1"/>
        </w:rPr>
        <w:t xml:space="preserve"> (%)</w:t>
      </w:r>
    </w:p>
    <w:p w14:paraId="36260B63" w14:textId="77777777" w:rsidR="00DD1B1B" w:rsidRDefault="00DD1B1B" w:rsidP="00DD1B1B">
      <w:pPr>
        <w:spacing w:after="0" w:line="240" w:lineRule="auto"/>
        <w:jc w:val="both"/>
        <w:rPr>
          <w:rFonts w:ascii="Arial" w:hAnsi="Arial" w:cs="Arial"/>
          <w:b/>
          <w:i/>
          <w:color w:val="FF0000"/>
        </w:rPr>
      </w:pPr>
    </w:p>
    <w:p w14:paraId="6C8F99E5" w14:textId="77777777" w:rsidR="00DD1B1B" w:rsidRPr="008C01E9" w:rsidRDefault="00DD1B1B" w:rsidP="00DD1B1B">
      <w:pPr>
        <w:spacing w:after="0" w:line="240" w:lineRule="auto"/>
        <w:jc w:val="both"/>
        <w:rPr>
          <w:rFonts w:ascii="Arial" w:hAnsi="Arial" w:cs="Arial"/>
          <w:b/>
          <w:i/>
          <w:color w:val="000000" w:themeColor="text1"/>
          <w:sz w:val="20"/>
          <w:szCs w:val="20"/>
        </w:rPr>
      </w:pPr>
      <w:r w:rsidRPr="008C01E9">
        <w:rPr>
          <w:rFonts w:ascii="Arial" w:hAnsi="Arial" w:cs="Arial"/>
          <w:b/>
          <w:i/>
          <w:color w:val="000000" w:themeColor="text1"/>
          <w:sz w:val="20"/>
          <w:szCs w:val="20"/>
        </w:rPr>
        <w:t>Figura II.2.1.1.2 Starea ecologică / potențialul ecologic al cursurilor de apă monitorizate (corpuri de apă naturale, puternic modificate, artificiale - râuri) pe spații / bazine hidrografice în anul 2022 (%)</w:t>
      </w:r>
    </w:p>
    <w:p w14:paraId="5C0FEA97" w14:textId="77777777" w:rsidR="00DD1B1B" w:rsidRPr="00B41FE6" w:rsidRDefault="00DD1B1B" w:rsidP="00DD1B1B">
      <w:pPr>
        <w:spacing w:after="0" w:line="240" w:lineRule="auto"/>
        <w:ind w:left="-270"/>
        <w:jc w:val="both"/>
        <w:rPr>
          <w:rFonts w:ascii="Arial" w:hAnsi="Arial" w:cs="Arial"/>
          <w:b/>
          <w:i/>
          <w:color w:val="FF0000"/>
          <w:sz w:val="24"/>
          <w:szCs w:val="24"/>
        </w:rPr>
      </w:pPr>
      <w:r>
        <w:rPr>
          <w:noProof/>
          <w:lang w:val="en-GB" w:eastAsia="en-GB"/>
        </w:rPr>
        <w:lastRenderedPageBreak/>
        <w:drawing>
          <wp:inline distT="0" distB="0" distL="0" distR="0" wp14:anchorId="5340896E" wp14:editId="6DE51ACC">
            <wp:extent cx="6469380" cy="3703320"/>
            <wp:effectExtent l="0" t="0" r="7620" b="11430"/>
            <wp:docPr id="904009789" name="Chart 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9A77B32" w14:textId="77777777" w:rsidR="00DD1B1B" w:rsidRPr="00385E6B" w:rsidRDefault="00DD1B1B" w:rsidP="00DD1B1B">
      <w:pPr>
        <w:spacing w:after="0"/>
        <w:ind w:left="900" w:hanging="900"/>
        <w:jc w:val="both"/>
        <w:rPr>
          <w:rFonts w:ascii="Arial" w:hAnsi="Arial" w:cs="Arial"/>
          <w:i/>
          <w:iCs/>
          <w:sz w:val="20"/>
          <w:szCs w:val="20"/>
          <w:lang w:eastAsia="ro-RO"/>
        </w:rPr>
      </w:pPr>
      <w:r w:rsidRPr="00385E6B">
        <w:rPr>
          <w:rFonts w:ascii="Arial" w:hAnsi="Arial" w:cs="Arial"/>
          <w:i/>
          <w:iCs/>
          <w:sz w:val="20"/>
          <w:szCs w:val="20"/>
          <w:lang w:eastAsia="ro-RO"/>
        </w:rPr>
        <w:t>(Sursa: Administraţia Naţională “Apele Române”, Sinteza calităţii apelor din România în anul 2022)</w:t>
      </w:r>
    </w:p>
    <w:p w14:paraId="592E0CEC" w14:textId="77777777" w:rsidR="00DD1B1B" w:rsidRPr="00B41FE6" w:rsidRDefault="00DD1B1B" w:rsidP="00DD1B1B">
      <w:pPr>
        <w:spacing w:after="0" w:line="240" w:lineRule="auto"/>
        <w:jc w:val="both"/>
        <w:rPr>
          <w:rFonts w:ascii="Arial" w:hAnsi="Arial" w:cs="Arial"/>
          <w:b/>
          <w:i/>
          <w:color w:val="FF0000"/>
          <w:sz w:val="20"/>
          <w:szCs w:val="16"/>
        </w:rPr>
      </w:pPr>
    </w:p>
    <w:p w14:paraId="56B298D1" w14:textId="77777777" w:rsidR="00DD1B1B" w:rsidRPr="00B41FE6" w:rsidRDefault="00DD1B1B" w:rsidP="00DD1B1B">
      <w:pPr>
        <w:spacing w:after="0" w:line="240" w:lineRule="auto"/>
        <w:rPr>
          <w:rFonts w:ascii="Arial" w:hAnsi="Arial" w:cs="Arial"/>
          <w:b/>
          <w:i/>
          <w:color w:val="FF0000"/>
          <w:sz w:val="20"/>
          <w:szCs w:val="16"/>
        </w:rPr>
      </w:pPr>
    </w:p>
    <w:p w14:paraId="1C9D7706" w14:textId="77777777" w:rsidR="00DD1B1B" w:rsidRPr="006A1E0D" w:rsidRDefault="00DD1B1B" w:rsidP="00DD1B1B">
      <w:pPr>
        <w:spacing w:after="0" w:line="240" w:lineRule="auto"/>
        <w:jc w:val="both"/>
        <w:rPr>
          <w:rFonts w:ascii="Arial" w:hAnsi="Arial" w:cs="Arial"/>
          <w:b/>
          <w:i/>
          <w:color w:val="000000" w:themeColor="text1"/>
          <w:sz w:val="24"/>
          <w:szCs w:val="24"/>
        </w:rPr>
      </w:pPr>
      <w:r w:rsidRPr="006A1E0D">
        <w:rPr>
          <w:rFonts w:ascii="Arial" w:hAnsi="Arial" w:cs="Arial"/>
          <w:b/>
          <w:i/>
          <w:color w:val="000000" w:themeColor="text1"/>
          <w:sz w:val="24"/>
          <w:szCs w:val="24"/>
        </w:rPr>
        <w:t>Evaluarea stării ecologice / potențialului ecologic al cursurilor de apă monitorizate (corpuri de apă naturale, puternic modificate, artificiale - râuri) la nivel național în anul 202</w:t>
      </w:r>
      <w:r>
        <w:rPr>
          <w:rFonts w:ascii="Arial" w:hAnsi="Arial" w:cs="Arial"/>
          <w:b/>
          <w:i/>
          <w:color w:val="000000" w:themeColor="text1"/>
          <w:sz w:val="24"/>
          <w:szCs w:val="24"/>
        </w:rPr>
        <w:t>2</w:t>
      </w:r>
    </w:p>
    <w:p w14:paraId="5FEBE6A3" w14:textId="77777777" w:rsidR="00DD1B1B" w:rsidRPr="006A1E0D" w:rsidRDefault="00DD1B1B" w:rsidP="00DD1B1B">
      <w:pPr>
        <w:spacing w:after="0" w:line="240" w:lineRule="auto"/>
        <w:jc w:val="both"/>
        <w:rPr>
          <w:rFonts w:ascii="Arial" w:hAnsi="Arial" w:cs="Arial"/>
          <w:b/>
          <w:i/>
          <w:color w:val="000000" w:themeColor="text1"/>
          <w:sz w:val="24"/>
          <w:szCs w:val="24"/>
        </w:rPr>
      </w:pPr>
    </w:p>
    <w:p w14:paraId="77FBE3A9" w14:textId="77777777" w:rsidR="00DD1B1B" w:rsidRPr="008C01E9" w:rsidRDefault="00DD1B1B" w:rsidP="00DD1B1B">
      <w:pPr>
        <w:spacing w:after="0" w:line="240" w:lineRule="auto"/>
        <w:jc w:val="both"/>
        <w:rPr>
          <w:rFonts w:ascii="Arial" w:hAnsi="Arial" w:cs="Arial"/>
          <w:b/>
          <w:i/>
          <w:color w:val="000000" w:themeColor="text1"/>
          <w:sz w:val="20"/>
          <w:szCs w:val="16"/>
        </w:rPr>
      </w:pPr>
      <w:r w:rsidRPr="008C01E9">
        <w:rPr>
          <w:rFonts w:ascii="Arial" w:hAnsi="Arial" w:cs="Arial"/>
          <w:b/>
          <w:i/>
          <w:color w:val="000000" w:themeColor="text1"/>
          <w:sz w:val="20"/>
          <w:szCs w:val="16"/>
        </w:rPr>
        <w:t>Tabel II.2.1.1.1 Evaluarea stării ecologice / potențialului ecologic al cursurilor de apă monitorizate (corpuri de apă naturale, puternic modificate, artificiale - râuri) la nivel național în anul 2022</w:t>
      </w:r>
    </w:p>
    <w:tbl>
      <w:tblPr>
        <w:tblW w:w="5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70"/>
        <w:gridCol w:w="1440"/>
      </w:tblGrid>
      <w:tr w:rsidR="00DD1B1B" w:rsidRPr="0002286C" w14:paraId="32394C49" w14:textId="77777777" w:rsidTr="00C74E50">
        <w:trPr>
          <w:trHeight w:val="471"/>
          <w:jc w:val="center"/>
        </w:trPr>
        <w:tc>
          <w:tcPr>
            <w:tcW w:w="3770" w:type="dxa"/>
            <w:shd w:val="clear" w:color="auto" w:fill="00B0F0"/>
            <w:vAlign w:val="center"/>
            <w:hideMark/>
          </w:tcPr>
          <w:p w14:paraId="1559D28B"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4714BC">
              <w:rPr>
                <w:rFonts w:ascii="Arial" w:eastAsia="Times New Roman" w:hAnsi="Arial" w:cs="Arial"/>
                <w:b/>
                <w:bCs/>
                <w:sz w:val="18"/>
                <w:szCs w:val="18"/>
                <w:shd w:val="clear" w:color="auto" w:fill="00B0F0"/>
                <w:lang w:eastAsia="ro-RO"/>
              </w:rPr>
              <w:t>Stare ecolo</w:t>
            </w:r>
            <w:r w:rsidRPr="005A0564">
              <w:rPr>
                <w:rFonts w:ascii="Arial" w:eastAsia="Times New Roman" w:hAnsi="Arial" w:cs="Arial"/>
                <w:b/>
                <w:bCs/>
                <w:sz w:val="18"/>
                <w:szCs w:val="18"/>
                <w:lang w:eastAsia="ro-RO"/>
              </w:rPr>
              <w:t xml:space="preserve">gică / Potenţial ecologic </w:t>
            </w:r>
          </w:p>
        </w:tc>
        <w:tc>
          <w:tcPr>
            <w:tcW w:w="1440" w:type="dxa"/>
            <w:shd w:val="clear" w:color="auto" w:fill="00B0F0"/>
            <w:vAlign w:val="center"/>
          </w:tcPr>
          <w:p w14:paraId="31EED39F"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5A0564">
              <w:rPr>
                <w:rFonts w:ascii="Arial" w:eastAsia="Times New Roman" w:hAnsi="Arial" w:cs="Arial"/>
                <w:b/>
                <w:bCs/>
                <w:sz w:val="18"/>
                <w:szCs w:val="18"/>
                <w:lang w:eastAsia="ro-RO"/>
              </w:rPr>
              <w:t>2022</w:t>
            </w:r>
          </w:p>
        </w:tc>
      </w:tr>
      <w:tr w:rsidR="00DD1B1B" w:rsidRPr="0002286C" w14:paraId="203B6C1A" w14:textId="77777777" w:rsidTr="00C74E50">
        <w:trPr>
          <w:trHeight w:val="471"/>
          <w:jc w:val="center"/>
        </w:trPr>
        <w:tc>
          <w:tcPr>
            <w:tcW w:w="3770" w:type="dxa"/>
            <w:shd w:val="clear" w:color="auto" w:fill="auto"/>
            <w:vAlign w:val="center"/>
            <w:hideMark/>
          </w:tcPr>
          <w:p w14:paraId="5B3057F9"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5A0564">
              <w:rPr>
                <w:rFonts w:ascii="Arial" w:eastAsia="Times New Roman" w:hAnsi="Arial" w:cs="Arial"/>
                <w:b/>
                <w:bCs/>
                <w:sz w:val="18"/>
                <w:szCs w:val="18"/>
                <w:lang w:eastAsia="ro-RO"/>
              </w:rPr>
              <w:t xml:space="preserve">Foarte Bună și Bună (%) / </w:t>
            </w:r>
            <w:r w:rsidRPr="005A0564">
              <w:rPr>
                <w:rFonts w:ascii="Arial" w:eastAsia="Times New Roman" w:hAnsi="Arial" w:cs="Arial"/>
                <w:b/>
                <w:bCs/>
                <w:sz w:val="18"/>
                <w:szCs w:val="18"/>
                <w:lang w:eastAsia="ro-RO"/>
              </w:rPr>
              <w:br/>
              <w:t>Maxim şi Bun (%)</w:t>
            </w:r>
          </w:p>
        </w:tc>
        <w:tc>
          <w:tcPr>
            <w:tcW w:w="1440" w:type="dxa"/>
            <w:vAlign w:val="center"/>
          </w:tcPr>
          <w:p w14:paraId="68ABC1EC" w14:textId="77777777" w:rsidR="00DD1B1B" w:rsidRPr="005A0564" w:rsidRDefault="00DD1B1B" w:rsidP="00C74E50">
            <w:pPr>
              <w:spacing w:after="0" w:line="240" w:lineRule="auto"/>
              <w:jc w:val="center"/>
              <w:rPr>
                <w:rFonts w:ascii="Arial" w:eastAsia="Times New Roman" w:hAnsi="Arial" w:cs="Arial"/>
                <w:b/>
                <w:sz w:val="18"/>
                <w:szCs w:val="18"/>
                <w:lang w:eastAsia="ro-RO"/>
              </w:rPr>
            </w:pPr>
            <w:r w:rsidRPr="005A0564">
              <w:rPr>
                <w:rFonts w:ascii="Arial" w:eastAsia="Times New Roman" w:hAnsi="Arial" w:cs="Arial"/>
                <w:b/>
                <w:sz w:val="18"/>
                <w:szCs w:val="18"/>
                <w:lang w:eastAsia="ro-RO"/>
              </w:rPr>
              <w:t>33,33</w:t>
            </w:r>
          </w:p>
        </w:tc>
      </w:tr>
      <w:tr w:rsidR="00DD1B1B" w:rsidRPr="0002286C" w14:paraId="762C1A23" w14:textId="77777777" w:rsidTr="00C74E50">
        <w:trPr>
          <w:trHeight w:val="277"/>
          <w:jc w:val="center"/>
        </w:trPr>
        <w:tc>
          <w:tcPr>
            <w:tcW w:w="3770" w:type="dxa"/>
            <w:shd w:val="clear" w:color="auto" w:fill="auto"/>
            <w:noWrap/>
            <w:vAlign w:val="center"/>
            <w:hideMark/>
          </w:tcPr>
          <w:p w14:paraId="22AEF478"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5A0564">
              <w:rPr>
                <w:rFonts w:ascii="Arial" w:eastAsia="Times New Roman" w:hAnsi="Arial" w:cs="Arial"/>
                <w:b/>
                <w:bCs/>
                <w:sz w:val="18"/>
                <w:szCs w:val="18"/>
                <w:lang w:eastAsia="ro-RO"/>
              </w:rPr>
              <w:t>Moderată (%) / Moderat (%)</w:t>
            </w:r>
          </w:p>
        </w:tc>
        <w:tc>
          <w:tcPr>
            <w:tcW w:w="1440" w:type="dxa"/>
            <w:vAlign w:val="center"/>
          </w:tcPr>
          <w:p w14:paraId="2CE55CF6" w14:textId="77777777" w:rsidR="00DD1B1B" w:rsidRPr="005A0564" w:rsidRDefault="00DD1B1B" w:rsidP="00C74E50">
            <w:pPr>
              <w:spacing w:after="0" w:line="240" w:lineRule="auto"/>
              <w:jc w:val="center"/>
              <w:rPr>
                <w:rFonts w:ascii="Arial" w:eastAsia="Times New Roman" w:hAnsi="Arial" w:cs="Arial"/>
                <w:b/>
                <w:sz w:val="18"/>
                <w:szCs w:val="18"/>
                <w:lang w:eastAsia="ro-RO"/>
              </w:rPr>
            </w:pPr>
            <w:r w:rsidRPr="005A0564">
              <w:rPr>
                <w:rFonts w:ascii="Arial" w:eastAsia="Times New Roman" w:hAnsi="Arial" w:cs="Arial"/>
                <w:b/>
                <w:sz w:val="18"/>
                <w:szCs w:val="18"/>
                <w:lang w:eastAsia="ro-RO"/>
              </w:rPr>
              <w:t>57,57</w:t>
            </w:r>
          </w:p>
        </w:tc>
      </w:tr>
      <w:tr w:rsidR="00DD1B1B" w:rsidRPr="0002286C" w14:paraId="122B4AF9" w14:textId="77777777" w:rsidTr="00C74E50">
        <w:trPr>
          <w:trHeight w:val="277"/>
          <w:jc w:val="center"/>
        </w:trPr>
        <w:tc>
          <w:tcPr>
            <w:tcW w:w="3770" w:type="dxa"/>
            <w:shd w:val="clear" w:color="auto" w:fill="auto"/>
            <w:noWrap/>
            <w:vAlign w:val="center"/>
            <w:hideMark/>
          </w:tcPr>
          <w:p w14:paraId="14F3A994"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5A0564">
              <w:rPr>
                <w:rFonts w:ascii="Arial" w:eastAsia="Times New Roman" w:hAnsi="Arial" w:cs="Arial"/>
                <w:b/>
                <w:bCs/>
                <w:sz w:val="18"/>
                <w:szCs w:val="18"/>
                <w:lang w:eastAsia="ro-RO"/>
              </w:rPr>
              <w:t>Slabă (%)</w:t>
            </w:r>
          </w:p>
        </w:tc>
        <w:tc>
          <w:tcPr>
            <w:tcW w:w="1440" w:type="dxa"/>
            <w:vAlign w:val="center"/>
          </w:tcPr>
          <w:p w14:paraId="62BD45CA" w14:textId="77777777" w:rsidR="00DD1B1B" w:rsidRPr="005A0564" w:rsidRDefault="00DD1B1B" w:rsidP="00C74E50">
            <w:pPr>
              <w:spacing w:after="0" w:line="240" w:lineRule="auto"/>
              <w:jc w:val="center"/>
              <w:rPr>
                <w:rFonts w:ascii="Arial" w:eastAsia="Times New Roman" w:hAnsi="Arial" w:cs="Arial"/>
                <w:b/>
                <w:sz w:val="18"/>
                <w:szCs w:val="18"/>
                <w:lang w:eastAsia="ro-RO"/>
              </w:rPr>
            </w:pPr>
            <w:r w:rsidRPr="005A0564">
              <w:rPr>
                <w:rFonts w:ascii="Arial" w:eastAsia="Times New Roman" w:hAnsi="Arial" w:cs="Arial"/>
                <w:b/>
                <w:sz w:val="18"/>
                <w:szCs w:val="18"/>
                <w:lang w:eastAsia="ro-RO"/>
              </w:rPr>
              <w:t>7,62</w:t>
            </w:r>
          </w:p>
        </w:tc>
      </w:tr>
      <w:tr w:rsidR="00DD1B1B" w:rsidRPr="0002286C" w14:paraId="73188D19" w14:textId="77777777" w:rsidTr="00C74E50">
        <w:trPr>
          <w:trHeight w:val="277"/>
          <w:jc w:val="center"/>
        </w:trPr>
        <w:tc>
          <w:tcPr>
            <w:tcW w:w="3770" w:type="dxa"/>
            <w:shd w:val="clear" w:color="auto" w:fill="auto"/>
            <w:noWrap/>
            <w:vAlign w:val="center"/>
            <w:hideMark/>
          </w:tcPr>
          <w:p w14:paraId="21E7FE36"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5A0564">
              <w:rPr>
                <w:rFonts w:ascii="Arial" w:eastAsia="Times New Roman" w:hAnsi="Arial" w:cs="Arial"/>
                <w:b/>
                <w:bCs/>
                <w:sz w:val="18"/>
                <w:szCs w:val="18"/>
                <w:lang w:eastAsia="ro-RO"/>
              </w:rPr>
              <w:t>Proastă (%)</w:t>
            </w:r>
          </w:p>
        </w:tc>
        <w:tc>
          <w:tcPr>
            <w:tcW w:w="1440" w:type="dxa"/>
            <w:vAlign w:val="center"/>
          </w:tcPr>
          <w:p w14:paraId="5C102998" w14:textId="77777777" w:rsidR="00DD1B1B" w:rsidRPr="005A0564" w:rsidRDefault="00DD1B1B" w:rsidP="00C74E50">
            <w:pPr>
              <w:spacing w:after="0" w:line="240" w:lineRule="auto"/>
              <w:jc w:val="center"/>
              <w:rPr>
                <w:rFonts w:ascii="Arial" w:eastAsia="Times New Roman" w:hAnsi="Arial" w:cs="Arial"/>
                <w:b/>
                <w:sz w:val="18"/>
                <w:szCs w:val="18"/>
                <w:lang w:eastAsia="ro-RO"/>
              </w:rPr>
            </w:pPr>
            <w:r w:rsidRPr="005A0564">
              <w:rPr>
                <w:rFonts w:ascii="Arial" w:eastAsia="Times New Roman" w:hAnsi="Arial" w:cs="Arial"/>
                <w:b/>
                <w:sz w:val="18"/>
                <w:szCs w:val="18"/>
                <w:lang w:eastAsia="ro-RO"/>
              </w:rPr>
              <w:t>1,48</w:t>
            </w:r>
          </w:p>
        </w:tc>
      </w:tr>
      <w:tr w:rsidR="00DD1B1B" w:rsidRPr="0002286C" w14:paraId="26C604F4" w14:textId="77777777" w:rsidTr="00C74E50">
        <w:trPr>
          <w:trHeight w:val="277"/>
          <w:jc w:val="center"/>
        </w:trPr>
        <w:tc>
          <w:tcPr>
            <w:tcW w:w="3770" w:type="dxa"/>
            <w:shd w:val="clear" w:color="auto" w:fill="auto"/>
            <w:vAlign w:val="center"/>
            <w:hideMark/>
          </w:tcPr>
          <w:p w14:paraId="0FE9F2F8" w14:textId="77777777" w:rsidR="00DD1B1B" w:rsidRPr="005A0564" w:rsidRDefault="00DD1B1B" w:rsidP="00C74E50">
            <w:pPr>
              <w:spacing w:after="0" w:line="240" w:lineRule="auto"/>
              <w:jc w:val="center"/>
              <w:rPr>
                <w:rFonts w:ascii="Arial" w:eastAsia="Times New Roman" w:hAnsi="Arial" w:cs="Arial"/>
                <w:b/>
                <w:bCs/>
                <w:sz w:val="18"/>
                <w:szCs w:val="18"/>
                <w:lang w:eastAsia="ro-RO"/>
              </w:rPr>
            </w:pPr>
            <w:r w:rsidRPr="005A0564">
              <w:rPr>
                <w:rFonts w:ascii="Arial" w:eastAsia="Times New Roman" w:hAnsi="Arial" w:cs="Arial"/>
                <w:b/>
                <w:bCs/>
                <w:sz w:val="18"/>
                <w:szCs w:val="18"/>
                <w:lang w:eastAsia="ro-RO"/>
              </w:rPr>
              <w:t>SE inferioară stării bune (%)</w:t>
            </w:r>
          </w:p>
        </w:tc>
        <w:tc>
          <w:tcPr>
            <w:tcW w:w="1440" w:type="dxa"/>
            <w:vAlign w:val="center"/>
          </w:tcPr>
          <w:p w14:paraId="1D1AC360" w14:textId="77777777" w:rsidR="00DD1B1B" w:rsidRPr="005A0564" w:rsidRDefault="00DD1B1B" w:rsidP="00C74E50">
            <w:pPr>
              <w:spacing w:after="0" w:line="240" w:lineRule="auto"/>
              <w:jc w:val="center"/>
              <w:rPr>
                <w:rFonts w:ascii="Arial" w:eastAsia="Times New Roman" w:hAnsi="Arial" w:cs="Arial"/>
                <w:b/>
                <w:sz w:val="18"/>
                <w:szCs w:val="18"/>
                <w:lang w:eastAsia="ro-RO"/>
              </w:rPr>
            </w:pPr>
            <w:r w:rsidRPr="005A0564">
              <w:rPr>
                <w:rFonts w:ascii="Arial" w:eastAsia="Times New Roman" w:hAnsi="Arial" w:cs="Arial"/>
                <w:b/>
                <w:sz w:val="18"/>
                <w:szCs w:val="18"/>
                <w:lang w:eastAsia="ro-RO"/>
              </w:rPr>
              <w:t>66,67</w:t>
            </w:r>
          </w:p>
        </w:tc>
      </w:tr>
      <w:tr w:rsidR="00DD1B1B" w:rsidRPr="0002286C" w14:paraId="218DDE3B" w14:textId="77777777" w:rsidTr="00C74E50">
        <w:trPr>
          <w:trHeight w:val="471"/>
          <w:jc w:val="center"/>
        </w:trPr>
        <w:tc>
          <w:tcPr>
            <w:tcW w:w="3770" w:type="dxa"/>
            <w:shd w:val="clear" w:color="auto" w:fill="auto"/>
            <w:vAlign w:val="center"/>
            <w:hideMark/>
          </w:tcPr>
          <w:p w14:paraId="15B8DEA2" w14:textId="77777777" w:rsidR="00DD1B1B" w:rsidRPr="00447759" w:rsidRDefault="00DD1B1B" w:rsidP="00C74E50">
            <w:pPr>
              <w:spacing w:after="0" w:line="240" w:lineRule="auto"/>
              <w:jc w:val="center"/>
              <w:rPr>
                <w:rFonts w:ascii="Arial" w:eastAsia="Times New Roman" w:hAnsi="Arial" w:cs="Arial"/>
                <w:b/>
                <w:bCs/>
                <w:sz w:val="18"/>
                <w:szCs w:val="18"/>
                <w:lang w:eastAsia="ro-RO"/>
              </w:rPr>
            </w:pPr>
            <w:r w:rsidRPr="00447759">
              <w:rPr>
                <w:rFonts w:ascii="Arial" w:eastAsia="Times New Roman" w:hAnsi="Arial" w:cs="Arial"/>
                <w:b/>
                <w:bCs/>
                <w:sz w:val="18"/>
                <w:szCs w:val="18"/>
                <w:lang w:eastAsia="ro-RO"/>
              </w:rPr>
              <w:t>Lungime rețea de râu monitorizată (km)</w:t>
            </w:r>
          </w:p>
        </w:tc>
        <w:tc>
          <w:tcPr>
            <w:tcW w:w="1440" w:type="dxa"/>
            <w:vAlign w:val="center"/>
          </w:tcPr>
          <w:p w14:paraId="7041A618" w14:textId="77777777" w:rsidR="00DD1B1B" w:rsidRPr="00447759" w:rsidRDefault="00DD1B1B" w:rsidP="00C74E50">
            <w:pPr>
              <w:spacing w:after="0" w:line="240" w:lineRule="auto"/>
              <w:jc w:val="center"/>
              <w:rPr>
                <w:rFonts w:ascii="Arial" w:eastAsia="Times New Roman" w:hAnsi="Arial" w:cs="Arial"/>
                <w:b/>
                <w:sz w:val="18"/>
                <w:szCs w:val="18"/>
                <w:lang w:eastAsia="ro-RO"/>
              </w:rPr>
            </w:pPr>
            <w:r w:rsidRPr="00447759">
              <w:rPr>
                <w:rFonts w:ascii="Arial" w:eastAsia="Times New Roman" w:hAnsi="Arial" w:cs="Arial"/>
                <w:b/>
                <w:sz w:val="18"/>
                <w:szCs w:val="18"/>
                <w:lang w:eastAsia="ro-RO"/>
              </w:rPr>
              <w:t>42376,959</w:t>
            </w:r>
          </w:p>
        </w:tc>
      </w:tr>
      <w:tr w:rsidR="00DD1B1B" w:rsidRPr="0002286C" w14:paraId="2E913095" w14:textId="77777777" w:rsidTr="00C74E50">
        <w:trPr>
          <w:trHeight w:val="485"/>
          <w:jc w:val="center"/>
        </w:trPr>
        <w:tc>
          <w:tcPr>
            <w:tcW w:w="3770" w:type="dxa"/>
            <w:shd w:val="clear" w:color="auto" w:fill="auto"/>
            <w:vAlign w:val="center"/>
            <w:hideMark/>
          </w:tcPr>
          <w:p w14:paraId="5A934C7B" w14:textId="77777777" w:rsidR="00DD1B1B" w:rsidRPr="00447759" w:rsidRDefault="00DD1B1B" w:rsidP="00C74E50">
            <w:pPr>
              <w:spacing w:after="0" w:line="240" w:lineRule="auto"/>
              <w:jc w:val="center"/>
              <w:rPr>
                <w:rFonts w:ascii="Arial" w:eastAsia="Times New Roman" w:hAnsi="Arial" w:cs="Arial"/>
                <w:b/>
                <w:bCs/>
                <w:sz w:val="18"/>
                <w:szCs w:val="18"/>
                <w:lang w:eastAsia="ro-RO"/>
              </w:rPr>
            </w:pPr>
            <w:r w:rsidRPr="00447759">
              <w:rPr>
                <w:rFonts w:ascii="Arial" w:eastAsia="Times New Roman" w:hAnsi="Arial" w:cs="Arial"/>
                <w:b/>
                <w:bCs/>
                <w:sz w:val="18"/>
                <w:szCs w:val="18"/>
                <w:lang w:eastAsia="ro-RO"/>
              </w:rPr>
              <w:t>Numărul secțiunilor de monitorizare</w:t>
            </w:r>
          </w:p>
        </w:tc>
        <w:tc>
          <w:tcPr>
            <w:tcW w:w="1440" w:type="dxa"/>
            <w:vAlign w:val="center"/>
          </w:tcPr>
          <w:p w14:paraId="5FE9FCB9" w14:textId="77777777" w:rsidR="00DD1B1B" w:rsidRPr="00447759" w:rsidRDefault="00DD1B1B" w:rsidP="00C74E50">
            <w:pPr>
              <w:spacing w:after="0" w:line="240" w:lineRule="auto"/>
              <w:jc w:val="center"/>
              <w:rPr>
                <w:rFonts w:ascii="Arial" w:eastAsia="Times New Roman" w:hAnsi="Arial" w:cs="Arial"/>
                <w:b/>
                <w:sz w:val="18"/>
                <w:szCs w:val="18"/>
                <w:lang w:eastAsia="ro-RO"/>
              </w:rPr>
            </w:pPr>
            <w:r w:rsidRPr="00447759">
              <w:rPr>
                <w:rFonts w:ascii="Arial" w:eastAsia="Times New Roman" w:hAnsi="Arial" w:cs="Arial"/>
                <w:b/>
                <w:sz w:val="18"/>
                <w:szCs w:val="18"/>
                <w:lang w:eastAsia="ro-RO"/>
              </w:rPr>
              <w:t>1550</w:t>
            </w:r>
          </w:p>
        </w:tc>
      </w:tr>
    </w:tbl>
    <w:p w14:paraId="130182C6" w14:textId="77777777" w:rsidR="00DD1B1B" w:rsidRPr="00385E6B" w:rsidRDefault="00DD1B1B" w:rsidP="00DD1B1B">
      <w:pPr>
        <w:spacing w:after="0"/>
        <w:ind w:left="900" w:hanging="900"/>
        <w:jc w:val="both"/>
        <w:rPr>
          <w:rFonts w:ascii="Arial" w:hAnsi="Arial" w:cs="Arial"/>
          <w:i/>
          <w:iCs/>
          <w:sz w:val="20"/>
          <w:szCs w:val="20"/>
          <w:lang w:eastAsia="ro-RO"/>
        </w:rPr>
      </w:pPr>
      <w:r w:rsidRPr="00385E6B">
        <w:rPr>
          <w:rFonts w:ascii="Arial" w:hAnsi="Arial" w:cs="Arial"/>
          <w:i/>
          <w:iCs/>
          <w:sz w:val="20"/>
          <w:szCs w:val="20"/>
          <w:lang w:eastAsia="ro-RO"/>
        </w:rPr>
        <w:t>(Sursa: Administraţia Naţională “Apele Române”, Sinteza calităţii apelor din România în anul 2022)</w:t>
      </w:r>
    </w:p>
    <w:p w14:paraId="3C0293B6" w14:textId="77777777" w:rsidR="00DD1B1B" w:rsidRDefault="00DD1B1B" w:rsidP="00DD1B1B">
      <w:pPr>
        <w:rPr>
          <w:rFonts w:ascii="Arial" w:hAnsi="Arial" w:cs="Arial"/>
          <w:b/>
          <w:color w:val="FF0000"/>
          <w:sz w:val="24"/>
          <w:szCs w:val="24"/>
        </w:rPr>
      </w:pPr>
    </w:p>
    <w:p w14:paraId="49E98648" w14:textId="77777777" w:rsidR="00DD1B1B" w:rsidRDefault="00DD1B1B" w:rsidP="00DD1B1B">
      <w:pPr>
        <w:rPr>
          <w:rFonts w:ascii="Arial" w:hAnsi="Arial" w:cs="Arial"/>
          <w:b/>
          <w:color w:val="FF0000"/>
          <w:sz w:val="24"/>
          <w:szCs w:val="24"/>
        </w:rPr>
      </w:pPr>
    </w:p>
    <w:p w14:paraId="1ED157D8" w14:textId="77777777" w:rsidR="00DD1B1B" w:rsidRPr="00E234E2" w:rsidRDefault="00DD1B1B" w:rsidP="00DD1B1B">
      <w:pPr>
        <w:spacing w:after="0" w:line="240" w:lineRule="auto"/>
        <w:jc w:val="both"/>
        <w:rPr>
          <w:rFonts w:ascii="Arial" w:hAnsi="Arial" w:cs="Arial"/>
          <w:b/>
          <w:i/>
          <w:color w:val="FF0000"/>
        </w:rPr>
      </w:pPr>
      <w:r w:rsidRPr="008C01E9">
        <w:rPr>
          <w:rFonts w:ascii="Arial" w:hAnsi="Arial" w:cs="Arial"/>
          <w:b/>
          <w:i/>
          <w:color w:val="000000" w:themeColor="text1"/>
          <w:sz w:val="20"/>
          <w:szCs w:val="20"/>
        </w:rPr>
        <w:t>Figura II.2.1.1.</w:t>
      </w:r>
      <w:r>
        <w:rPr>
          <w:rFonts w:ascii="Arial" w:hAnsi="Arial" w:cs="Arial"/>
          <w:b/>
          <w:i/>
          <w:color w:val="000000" w:themeColor="text1"/>
          <w:sz w:val="20"/>
          <w:szCs w:val="20"/>
        </w:rPr>
        <w:t>3</w:t>
      </w:r>
      <w:r w:rsidRPr="008C01E9">
        <w:rPr>
          <w:rFonts w:ascii="Arial" w:hAnsi="Arial" w:cs="Arial"/>
          <w:b/>
          <w:i/>
          <w:color w:val="000000" w:themeColor="text1"/>
          <w:sz w:val="20"/>
          <w:szCs w:val="20"/>
        </w:rPr>
        <w:t xml:space="preserve"> </w:t>
      </w:r>
      <w:r w:rsidRPr="00606F83">
        <w:rPr>
          <w:rFonts w:ascii="Arial" w:hAnsi="Arial" w:cs="Arial"/>
          <w:b/>
          <w:i/>
          <w:sz w:val="20"/>
          <w:szCs w:val="20"/>
        </w:rPr>
        <w:t>Evoluția stării ecologice / potențialului ecologic al cursurilor de apă monitorizate (corpuri de apă naturale, puternic modificate, artificiale - râuri) pe spații / bazine hidrografice în anii 2021- 2022 (Km)</w:t>
      </w:r>
    </w:p>
    <w:p w14:paraId="6023AB38" w14:textId="77777777" w:rsidR="00DD1B1B" w:rsidRDefault="00DD1B1B" w:rsidP="00DD1B1B">
      <w:pPr>
        <w:rPr>
          <w:rFonts w:ascii="Arial" w:hAnsi="Arial" w:cs="Arial"/>
          <w:b/>
          <w:color w:val="FF0000"/>
          <w:sz w:val="24"/>
          <w:szCs w:val="24"/>
        </w:rPr>
      </w:pPr>
      <w:r w:rsidRPr="0009171E">
        <w:rPr>
          <w:rFonts w:ascii="Arial" w:hAnsi="Arial" w:cs="Arial"/>
          <w:noProof/>
          <w:lang w:val="en-GB" w:eastAsia="en-GB"/>
        </w:rPr>
        <w:lastRenderedPageBreak/>
        <w:drawing>
          <wp:inline distT="0" distB="0" distL="0" distR="0" wp14:anchorId="0941FC26" wp14:editId="4372F0FB">
            <wp:extent cx="5939790" cy="3560445"/>
            <wp:effectExtent l="0" t="0" r="3810" b="1905"/>
            <wp:docPr id="1390367984" name="Chart 1">
              <a:extLst xmlns:a="http://schemas.openxmlformats.org/drawingml/2006/main">
                <a:ext uri="{FF2B5EF4-FFF2-40B4-BE49-F238E27FC236}">
                  <a16:creationId xmlns:a16="http://schemas.microsoft.com/office/drawing/2014/main" id="{197476EB-61E5-47BA-3099-F85577788A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36C748F" w14:textId="77777777" w:rsidR="00DD1B1B" w:rsidRPr="00606F83" w:rsidRDefault="00DD1B1B" w:rsidP="00DD1B1B">
      <w:pPr>
        <w:rPr>
          <w:rFonts w:ascii="Arial" w:hAnsi="Arial" w:cs="Arial"/>
          <w:b/>
          <w:sz w:val="24"/>
          <w:szCs w:val="24"/>
        </w:rPr>
      </w:pPr>
    </w:p>
    <w:p w14:paraId="02C07D67" w14:textId="77777777" w:rsidR="00DD1B1B" w:rsidRPr="00606F83" w:rsidRDefault="00DD1B1B" w:rsidP="00DD1B1B">
      <w:pPr>
        <w:spacing w:after="0" w:line="240" w:lineRule="auto"/>
        <w:jc w:val="both"/>
        <w:rPr>
          <w:rFonts w:ascii="Arial" w:hAnsi="Arial" w:cs="Arial"/>
          <w:b/>
          <w:i/>
        </w:rPr>
      </w:pPr>
      <w:r w:rsidRPr="00606F83">
        <w:rPr>
          <w:rFonts w:ascii="Arial" w:hAnsi="Arial" w:cs="Arial"/>
          <w:b/>
          <w:i/>
          <w:sz w:val="20"/>
          <w:szCs w:val="20"/>
        </w:rPr>
        <w:t>Figura II.2.1.1.4 Evoluția stării ecologice / potențialului ecologic al cursurilor de apă monitorizate (corpuri de apă naturale, puternic modificate, artificiale - râuri) pe spații / bazine hidrografice în anii 2021- 2022 (%)</w:t>
      </w:r>
    </w:p>
    <w:p w14:paraId="2D9777AA" w14:textId="77777777" w:rsidR="00DD1B1B" w:rsidRDefault="00DD1B1B" w:rsidP="00DD1B1B">
      <w:pPr>
        <w:rPr>
          <w:rFonts w:ascii="Arial" w:hAnsi="Arial" w:cs="Arial"/>
          <w:b/>
          <w:color w:val="FF0000"/>
          <w:sz w:val="24"/>
          <w:szCs w:val="24"/>
        </w:rPr>
      </w:pPr>
      <w:r w:rsidRPr="00981FA9">
        <w:rPr>
          <w:rFonts w:asciiTheme="minorBidi" w:hAnsiTheme="minorBidi"/>
          <w:noProof/>
          <w:color w:val="FF0000"/>
          <w:lang w:val="en-GB" w:eastAsia="en-GB"/>
        </w:rPr>
        <w:drawing>
          <wp:inline distT="0" distB="0" distL="0" distR="0" wp14:anchorId="2B93A959" wp14:editId="5AD47ED7">
            <wp:extent cx="5884071" cy="3664746"/>
            <wp:effectExtent l="0" t="0" r="2540" b="12065"/>
            <wp:docPr id="1924830378" name="Chart 1">
              <a:extLst xmlns:a="http://schemas.openxmlformats.org/drawingml/2006/main">
                <a:ext uri="{FF2B5EF4-FFF2-40B4-BE49-F238E27FC236}">
                  <a16:creationId xmlns:a16="http://schemas.microsoft.com/office/drawing/2014/main" id="{3931893C-DCF9-5419-62EB-2EDBEDA081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D684C9" w14:textId="77777777" w:rsidR="00DD1B1B" w:rsidRDefault="00DD1B1B" w:rsidP="00DD1B1B">
      <w:pPr>
        <w:rPr>
          <w:rFonts w:ascii="Arial" w:hAnsi="Arial" w:cs="Arial"/>
          <w:b/>
          <w:color w:val="FF0000"/>
          <w:sz w:val="24"/>
          <w:szCs w:val="24"/>
        </w:rPr>
      </w:pPr>
    </w:p>
    <w:p w14:paraId="0EB0DD34" w14:textId="77777777" w:rsidR="00DD1B1B" w:rsidRDefault="00DD1B1B" w:rsidP="00DD1B1B">
      <w:pPr>
        <w:rPr>
          <w:rFonts w:ascii="Arial" w:hAnsi="Arial" w:cs="Arial"/>
          <w:b/>
          <w:color w:val="FF0000"/>
          <w:sz w:val="24"/>
          <w:szCs w:val="24"/>
        </w:rPr>
      </w:pPr>
    </w:p>
    <w:p w14:paraId="3222C0A0" w14:textId="77777777" w:rsidR="00DD1B1B" w:rsidRPr="002E1439" w:rsidRDefault="00DD1B1B" w:rsidP="00DD1B1B">
      <w:pPr>
        <w:ind w:right="-285"/>
        <w:jc w:val="center"/>
        <w:rPr>
          <w:rFonts w:ascii="Arial" w:hAnsi="Arial" w:cs="Arial"/>
          <w:b/>
          <w:sz w:val="24"/>
          <w:szCs w:val="24"/>
        </w:rPr>
      </w:pPr>
      <w:r w:rsidRPr="002E1439">
        <w:rPr>
          <w:rFonts w:ascii="Arial" w:hAnsi="Arial" w:cs="Arial"/>
          <w:b/>
          <w:sz w:val="24"/>
          <w:szCs w:val="24"/>
          <w:highlight w:val="green"/>
        </w:rPr>
        <w:t xml:space="preserve">Indicator VHS 02. </w:t>
      </w:r>
      <w:r w:rsidRPr="002E1439">
        <w:rPr>
          <w:rFonts w:ascii="Arial" w:hAnsi="Arial" w:cs="Arial"/>
          <w:b/>
          <w:sz w:val="24"/>
          <w:szCs w:val="24"/>
          <w:highlight w:val="green"/>
          <w:shd w:val="clear" w:color="auto" w:fill="A9EB3D"/>
        </w:rPr>
        <w:t>Substanțele periculoase din cursurile de apă RO 65</w:t>
      </w:r>
      <w:r w:rsidRPr="002E1439">
        <w:rPr>
          <w:rFonts w:ascii="Arial" w:hAnsi="Arial" w:cs="Arial"/>
          <w:b/>
          <w:sz w:val="24"/>
          <w:szCs w:val="24"/>
          <w:shd w:val="clear" w:color="auto" w:fill="A9EB3D"/>
        </w:rPr>
        <w:t xml:space="preserve"> </w:t>
      </w:r>
    </w:p>
    <w:p w14:paraId="7A447E75" w14:textId="77777777" w:rsidR="00DD1B1B" w:rsidRPr="002E1439" w:rsidRDefault="00DD1B1B" w:rsidP="00DD1B1B">
      <w:pPr>
        <w:spacing w:after="0" w:line="240" w:lineRule="auto"/>
        <w:rPr>
          <w:rFonts w:ascii="Arial" w:hAnsi="Arial" w:cs="Arial"/>
          <w:b/>
          <w:sz w:val="24"/>
          <w:szCs w:val="24"/>
        </w:rPr>
      </w:pPr>
    </w:p>
    <w:p w14:paraId="30B44185" w14:textId="77777777" w:rsidR="00DD1B1B" w:rsidRPr="002E1439" w:rsidRDefault="00DD1B1B" w:rsidP="00DD1B1B">
      <w:pPr>
        <w:spacing w:after="0" w:line="240" w:lineRule="auto"/>
        <w:ind w:firstLine="708"/>
        <w:jc w:val="both"/>
        <w:rPr>
          <w:rFonts w:ascii="Arial" w:hAnsi="Arial" w:cs="Arial"/>
          <w:b/>
          <w:i/>
          <w:sz w:val="24"/>
          <w:szCs w:val="24"/>
        </w:rPr>
      </w:pPr>
      <w:r w:rsidRPr="002E1439">
        <w:rPr>
          <w:rFonts w:ascii="Arial" w:hAnsi="Arial" w:cs="Arial"/>
          <w:b/>
          <w:i/>
          <w:sz w:val="24"/>
          <w:szCs w:val="24"/>
        </w:rPr>
        <w:lastRenderedPageBreak/>
        <w:t xml:space="preserve">Pentru acest indicator s-a avut în vedere raportarea </w:t>
      </w:r>
      <w:r w:rsidRPr="002E1439">
        <w:rPr>
          <w:rFonts w:ascii="Arial" w:hAnsi="Arial" w:cs="Arial"/>
          <w:b/>
          <w:i/>
          <w:sz w:val="24"/>
          <w:szCs w:val="24"/>
          <w:u w:val="single"/>
        </w:rPr>
        <w:t>substanțelor prioritare</w:t>
      </w:r>
      <w:r w:rsidRPr="002E1439">
        <w:rPr>
          <w:rFonts w:ascii="Arial" w:hAnsi="Arial" w:cs="Arial"/>
          <w:b/>
          <w:i/>
          <w:sz w:val="24"/>
          <w:szCs w:val="24"/>
        </w:rPr>
        <w:t xml:space="preserve"> din HG 570/2016 care stau la baza evaluării stării chimice a apelor de suprafață (mediul de investigare APĂ şi mediul de investigare BIOTA). </w:t>
      </w:r>
    </w:p>
    <w:p w14:paraId="0E425E44" w14:textId="77777777" w:rsidR="00DD1B1B" w:rsidRPr="002E1439" w:rsidRDefault="00DD1B1B" w:rsidP="00DD1B1B">
      <w:pPr>
        <w:spacing w:after="0" w:line="240" w:lineRule="auto"/>
        <w:ind w:firstLine="708"/>
        <w:jc w:val="both"/>
        <w:rPr>
          <w:rFonts w:ascii="Arial" w:hAnsi="Arial" w:cs="Arial"/>
          <w:b/>
          <w:i/>
          <w:sz w:val="24"/>
          <w:szCs w:val="24"/>
        </w:rPr>
      </w:pPr>
      <w:r w:rsidRPr="002E1439">
        <w:rPr>
          <w:rFonts w:ascii="Arial" w:hAnsi="Arial" w:cs="Arial"/>
          <w:sz w:val="24"/>
          <w:szCs w:val="24"/>
        </w:rPr>
        <w:t>Evaluarea stării chimice are în vedere conformarea față de standardele de calitate a mediului stabilite pentru valoarea mediei aritmetice (</w:t>
      </w:r>
      <w:r w:rsidRPr="002E1439">
        <w:rPr>
          <w:rFonts w:ascii="Arial" w:hAnsi="Arial" w:cs="Arial"/>
          <w:b/>
          <w:sz w:val="24"/>
          <w:szCs w:val="24"/>
        </w:rPr>
        <w:t>SCM-MA</w:t>
      </w:r>
      <w:r w:rsidRPr="002E1439">
        <w:rPr>
          <w:rFonts w:ascii="Arial" w:hAnsi="Arial" w:cs="Arial"/>
          <w:sz w:val="24"/>
          <w:szCs w:val="24"/>
        </w:rPr>
        <w:t>), cât şi pentru valoarea concentrației maxime admisibile (</w:t>
      </w:r>
      <w:r w:rsidRPr="002E1439">
        <w:rPr>
          <w:rFonts w:ascii="Arial" w:hAnsi="Arial" w:cs="Arial"/>
          <w:b/>
          <w:sz w:val="24"/>
          <w:szCs w:val="24"/>
        </w:rPr>
        <w:t>SCM-CMA</w:t>
      </w:r>
      <w:r w:rsidRPr="002E1439">
        <w:rPr>
          <w:rFonts w:ascii="Arial" w:hAnsi="Arial" w:cs="Arial"/>
          <w:sz w:val="24"/>
          <w:szCs w:val="24"/>
        </w:rPr>
        <w:t xml:space="preserve">) pentru </w:t>
      </w:r>
      <w:r w:rsidRPr="002E1439">
        <w:rPr>
          <w:rFonts w:ascii="Arial" w:hAnsi="Arial" w:cs="Arial"/>
          <w:b/>
          <w:noProof/>
          <w:sz w:val="24"/>
          <w:szCs w:val="24"/>
        </w:rPr>
        <w:t xml:space="preserve">mediul de investigare APĂ, </w:t>
      </w:r>
      <w:r w:rsidRPr="002E1439">
        <w:rPr>
          <w:rFonts w:ascii="Arial" w:hAnsi="Arial" w:cs="Arial"/>
          <w:noProof/>
          <w:sz w:val="24"/>
          <w:szCs w:val="24"/>
        </w:rPr>
        <w:t>precum şi</w:t>
      </w:r>
      <w:r w:rsidRPr="002E1439">
        <w:rPr>
          <w:rFonts w:ascii="Arial" w:hAnsi="Arial" w:cs="Arial"/>
          <w:b/>
          <w:noProof/>
          <w:sz w:val="24"/>
          <w:szCs w:val="24"/>
        </w:rPr>
        <w:t xml:space="preserve"> </w:t>
      </w:r>
      <w:r w:rsidRPr="002E1439">
        <w:rPr>
          <w:rFonts w:ascii="Arial" w:hAnsi="Arial" w:cs="Arial"/>
          <w:sz w:val="24"/>
          <w:szCs w:val="24"/>
        </w:rPr>
        <w:t xml:space="preserve">conformarea față de standardele de calitate stabilite pentru </w:t>
      </w:r>
      <w:r w:rsidRPr="002E1439">
        <w:rPr>
          <w:rFonts w:ascii="Arial" w:hAnsi="Arial" w:cs="Arial"/>
          <w:b/>
          <w:sz w:val="24"/>
          <w:szCs w:val="24"/>
        </w:rPr>
        <w:t>mediul de investigare BIOTA</w:t>
      </w:r>
      <w:r w:rsidRPr="002E1439">
        <w:rPr>
          <w:rFonts w:ascii="Arial" w:hAnsi="Arial" w:cs="Arial"/>
          <w:sz w:val="24"/>
          <w:szCs w:val="24"/>
        </w:rPr>
        <w:t xml:space="preserve"> (</w:t>
      </w:r>
      <w:r w:rsidRPr="002E1439">
        <w:rPr>
          <w:rFonts w:ascii="Arial" w:hAnsi="Arial" w:cs="Arial"/>
          <w:b/>
          <w:sz w:val="24"/>
          <w:szCs w:val="24"/>
        </w:rPr>
        <w:t>SCM Biota</w:t>
      </w:r>
      <w:r w:rsidRPr="002E1439">
        <w:rPr>
          <w:rFonts w:ascii="Arial" w:hAnsi="Arial" w:cs="Arial"/>
          <w:sz w:val="24"/>
          <w:szCs w:val="24"/>
        </w:rPr>
        <w:t>)</w:t>
      </w:r>
      <w:r w:rsidRPr="002E1439">
        <w:rPr>
          <w:rFonts w:ascii="Arial" w:hAnsi="Arial" w:cs="Arial"/>
          <w:b/>
          <w:i/>
          <w:sz w:val="24"/>
          <w:szCs w:val="24"/>
        </w:rPr>
        <w:t xml:space="preserve"> </w:t>
      </w:r>
      <w:r w:rsidRPr="002E1439">
        <w:rPr>
          <w:rFonts w:ascii="Arial" w:hAnsi="Arial" w:cs="Arial"/>
          <w:b/>
          <w:i/>
          <w:sz w:val="24"/>
          <w:szCs w:val="24"/>
          <w:u w:val="single"/>
        </w:rPr>
        <w:t>(conform H.G. 570/2016)</w:t>
      </w:r>
      <w:r w:rsidRPr="002E1439">
        <w:rPr>
          <w:rFonts w:ascii="Arial" w:hAnsi="Arial" w:cs="Arial"/>
          <w:b/>
          <w:i/>
          <w:sz w:val="24"/>
          <w:szCs w:val="24"/>
        </w:rPr>
        <w:t>.</w:t>
      </w:r>
    </w:p>
    <w:p w14:paraId="23270D1A" w14:textId="77777777" w:rsidR="00DD1B1B" w:rsidRPr="00116CA7" w:rsidRDefault="00DD1B1B" w:rsidP="00DD1B1B">
      <w:pPr>
        <w:spacing w:after="0" w:line="240" w:lineRule="auto"/>
        <w:jc w:val="both"/>
        <w:rPr>
          <w:rFonts w:ascii="Arial" w:hAnsi="Arial" w:cs="Arial"/>
          <w:b/>
          <w:i/>
          <w:color w:val="FF0000"/>
          <w:sz w:val="24"/>
          <w:szCs w:val="24"/>
          <w:u w:val="single"/>
        </w:rPr>
      </w:pPr>
    </w:p>
    <w:p w14:paraId="2C2E7357" w14:textId="77777777" w:rsidR="00DD1B1B" w:rsidRPr="00784650" w:rsidRDefault="00DD1B1B" w:rsidP="00DD1B1B">
      <w:pPr>
        <w:spacing w:after="0" w:line="240" w:lineRule="auto"/>
        <w:jc w:val="both"/>
        <w:rPr>
          <w:rFonts w:ascii="Arial" w:hAnsi="Arial" w:cs="Arial"/>
          <w:b/>
          <w:i/>
          <w:sz w:val="24"/>
          <w:szCs w:val="24"/>
        </w:rPr>
      </w:pPr>
      <w:r w:rsidRPr="00784650">
        <w:rPr>
          <w:rFonts w:ascii="Arial" w:hAnsi="Arial" w:cs="Arial"/>
          <w:b/>
          <w:i/>
          <w:sz w:val="24"/>
          <w:szCs w:val="24"/>
        </w:rPr>
        <w:t>Distribuția numărului de substanțe prioritare monitorizate în cursurile de apă pe spații/bazine hidrografice în anul 2022</w:t>
      </w:r>
    </w:p>
    <w:p w14:paraId="0D0BA2BB" w14:textId="77777777" w:rsidR="00DD1B1B" w:rsidRDefault="00DD1B1B" w:rsidP="00DD1B1B">
      <w:pPr>
        <w:spacing w:after="0" w:line="240" w:lineRule="auto"/>
        <w:jc w:val="both"/>
        <w:rPr>
          <w:rFonts w:ascii="Arial" w:hAnsi="Arial" w:cs="Arial"/>
          <w:b/>
          <w:i/>
          <w:sz w:val="20"/>
          <w:szCs w:val="16"/>
        </w:rPr>
      </w:pPr>
    </w:p>
    <w:p w14:paraId="126E9669" w14:textId="77777777" w:rsidR="00DD1B1B" w:rsidRPr="00B32F3C" w:rsidRDefault="00DD1B1B" w:rsidP="00DD1B1B">
      <w:pPr>
        <w:spacing w:after="0" w:line="240" w:lineRule="auto"/>
        <w:jc w:val="both"/>
        <w:rPr>
          <w:rFonts w:ascii="Arial" w:hAnsi="Arial" w:cs="Arial"/>
          <w:b/>
          <w:i/>
          <w:sz w:val="20"/>
          <w:szCs w:val="20"/>
          <w:u w:val="single"/>
        </w:rPr>
      </w:pPr>
      <w:r w:rsidRPr="00784650">
        <w:rPr>
          <w:rFonts w:ascii="Arial" w:hAnsi="Arial" w:cs="Arial"/>
          <w:b/>
          <w:i/>
          <w:sz w:val="20"/>
          <w:szCs w:val="16"/>
        </w:rPr>
        <w:t>Tabelul II.2.1.1.</w:t>
      </w:r>
      <w:r>
        <w:rPr>
          <w:rFonts w:ascii="Arial" w:hAnsi="Arial" w:cs="Arial"/>
          <w:b/>
          <w:i/>
          <w:sz w:val="20"/>
          <w:szCs w:val="16"/>
        </w:rPr>
        <w:t>2</w:t>
      </w:r>
      <w:r w:rsidRPr="00784650">
        <w:rPr>
          <w:rFonts w:ascii="Arial" w:hAnsi="Arial" w:cs="Arial"/>
          <w:b/>
          <w:i/>
          <w:sz w:val="20"/>
          <w:szCs w:val="16"/>
        </w:rPr>
        <w:t xml:space="preserve"> Substanțe prioritare monitorizate în cursurile de apă pe spații / bazine hidrografice în anul 2021 (nr.) – </w:t>
      </w:r>
      <w:r w:rsidRPr="00784650">
        <w:rPr>
          <w:rFonts w:ascii="Arial" w:hAnsi="Arial" w:cs="Arial"/>
          <w:b/>
          <w:i/>
          <w:sz w:val="20"/>
          <w:szCs w:val="20"/>
          <w:u w:val="single"/>
        </w:rPr>
        <w:t>mediul de investigare APĂ şi mediul de investigare BIOTA</w:t>
      </w:r>
    </w:p>
    <w:tbl>
      <w:tblPr>
        <w:tblW w:w="10216"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398"/>
        <w:gridCol w:w="1398"/>
        <w:gridCol w:w="1435"/>
        <w:gridCol w:w="1407"/>
        <w:gridCol w:w="1473"/>
        <w:gridCol w:w="1396"/>
      </w:tblGrid>
      <w:tr w:rsidR="00DD1B1B" w:rsidRPr="00884656" w14:paraId="4D2FC3AD" w14:textId="77777777" w:rsidTr="00C74E50">
        <w:trPr>
          <w:trHeight w:val="297"/>
        </w:trPr>
        <w:tc>
          <w:tcPr>
            <w:tcW w:w="1709" w:type="dxa"/>
            <w:vMerge w:val="restart"/>
            <w:shd w:val="clear" w:color="auto" w:fill="auto"/>
            <w:vAlign w:val="center"/>
            <w:hideMark/>
          </w:tcPr>
          <w:p w14:paraId="378CEFA5"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Spaţiu / Bazin hidrografic</w:t>
            </w:r>
          </w:p>
        </w:tc>
        <w:tc>
          <w:tcPr>
            <w:tcW w:w="1398" w:type="dxa"/>
            <w:vMerge w:val="restart"/>
            <w:shd w:val="clear" w:color="auto" w:fill="auto"/>
            <w:vAlign w:val="center"/>
            <w:hideMark/>
          </w:tcPr>
          <w:p w14:paraId="34D25AF1"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Lungime monitorizată (Km)</w:t>
            </w:r>
          </w:p>
        </w:tc>
        <w:tc>
          <w:tcPr>
            <w:tcW w:w="1398" w:type="dxa"/>
            <w:vMerge w:val="restart"/>
            <w:shd w:val="clear" w:color="auto" w:fill="auto"/>
            <w:vAlign w:val="center"/>
            <w:hideMark/>
          </w:tcPr>
          <w:p w14:paraId="04F7ACC4"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Secțiuni monitorizate (nr.)</w:t>
            </w:r>
          </w:p>
        </w:tc>
        <w:tc>
          <w:tcPr>
            <w:tcW w:w="2842" w:type="dxa"/>
            <w:gridSpan w:val="2"/>
            <w:shd w:val="clear" w:color="auto" w:fill="auto"/>
            <w:noWrap/>
            <w:vAlign w:val="center"/>
            <w:hideMark/>
          </w:tcPr>
          <w:p w14:paraId="2CAB8D2F"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Substanțe prioritare APA</w:t>
            </w:r>
          </w:p>
        </w:tc>
        <w:tc>
          <w:tcPr>
            <w:tcW w:w="2869" w:type="dxa"/>
            <w:gridSpan w:val="2"/>
            <w:shd w:val="clear" w:color="auto" w:fill="auto"/>
            <w:noWrap/>
            <w:vAlign w:val="center"/>
            <w:hideMark/>
          </w:tcPr>
          <w:p w14:paraId="4C53FD78"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Substanțe prioritare BIOTA</w:t>
            </w:r>
          </w:p>
        </w:tc>
      </w:tr>
      <w:tr w:rsidR="00DD1B1B" w:rsidRPr="00884656" w14:paraId="10BD0616" w14:textId="77777777" w:rsidTr="00C74E50">
        <w:trPr>
          <w:trHeight w:val="558"/>
        </w:trPr>
        <w:tc>
          <w:tcPr>
            <w:tcW w:w="1709" w:type="dxa"/>
            <w:vMerge/>
            <w:vAlign w:val="center"/>
            <w:hideMark/>
          </w:tcPr>
          <w:p w14:paraId="3C72B0F2" w14:textId="77777777" w:rsidR="00DD1B1B" w:rsidRPr="00784650" w:rsidRDefault="00DD1B1B" w:rsidP="00C74E50">
            <w:pPr>
              <w:spacing w:after="0" w:line="240" w:lineRule="auto"/>
              <w:rPr>
                <w:rFonts w:asciiTheme="minorBidi" w:eastAsia="Times New Roman" w:hAnsiTheme="minorBidi"/>
                <w:b/>
                <w:bCs/>
                <w:sz w:val="18"/>
                <w:szCs w:val="18"/>
                <w:lang w:eastAsia="ro-RO"/>
              </w:rPr>
            </w:pPr>
          </w:p>
        </w:tc>
        <w:tc>
          <w:tcPr>
            <w:tcW w:w="1398" w:type="dxa"/>
            <w:vMerge/>
            <w:vAlign w:val="center"/>
            <w:hideMark/>
          </w:tcPr>
          <w:p w14:paraId="16FAF960" w14:textId="77777777" w:rsidR="00DD1B1B" w:rsidRPr="00784650" w:rsidRDefault="00DD1B1B" w:rsidP="00C74E50">
            <w:pPr>
              <w:spacing w:after="0" w:line="240" w:lineRule="auto"/>
              <w:rPr>
                <w:rFonts w:asciiTheme="minorBidi" w:eastAsia="Times New Roman" w:hAnsiTheme="minorBidi"/>
                <w:b/>
                <w:bCs/>
                <w:sz w:val="18"/>
                <w:szCs w:val="18"/>
                <w:lang w:eastAsia="ro-RO"/>
              </w:rPr>
            </w:pPr>
          </w:p>
        </w:tc>
        <w:tc>
          <w:tcPr>
            <w:tcW w:w="1398" w:type="dxa"/>
            <w:vMerge/>
            <w:vAlign w:val="center"/>
            <w:hideMark/>
          </w:tcPr>
          <w:p w14:paraId="353D99F6" w14:textId="77777777" w:rsidR="00DD1B1B" w:rsidRPr="00784650" w:rsidRDefault="00DD1B1B" w:rsidP="00C74E50">
            <w:pPr>
              <w:spacing w:after="0" w:line="240" w:lineRule="auto"/>
              <w:rPr>
                <w:rFonts w:asciiTheme="minorBidi" w:eastAsia="Times New Roman" w:hAnsiTheme="minorBidi"/>
                <w:b/>
                <w:bCs/>
                <w:sz w:val="18"/>
                <w:szCs w:val="18"/>
                <w:lang w:eastAsia="ro-RO"/>
              </w:rPr>
            </w:pPr>
          </w:p>
        </w:tc>
        <w:tc>
          <w:tcPr>
            <w:tcW w:w="1435" w:type="dxa"/>
            <w:shd w:val="clear" w:color="auto" w:fill="auto"/>
            <w:vAlign w:val="center"/>
            <w:hideMark/>
          </w:tcPr>
          <w:p w14:paraId="17485427"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Metale prioritare (nr.)</w:t>
            </w:r>
          </w:p>
        </w:tc>
        <w:tc>
          <w:tcPr>
            <w:tcW w:w="1407" w:type="dxa"/>
            <w:shd w:val="clear" w:color="auto" w:fill="auto"/>
            <w:vAlign w:val="center"/>
            <w:hideMark/>
          </w:tcPr>
          <w:p w14:paraId="4CD11137"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Micropoluanţi organici (nr.)</w:t>
            </w:r>
          </w:p>
        </w:tc>
        <w:tc>
          <w:tcPr>
            <w:tcW w:w="1473" w:type="dxa"/>
            <w:shd w:val="clear" w:color="auto" w:fill="auto"/>
            <w:vAlign w:val="center"/>
            <w:hideMark/>
          </w:tcPr>
          <w:p w14:paraId="0B8E5BE7"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Metale prioritare (nr.)</w:t>
            </w:r>
          </w:p>
        </w:tc>
        <w:tc>
          <w:tcPr>
            <w:tcW w:w="1396" w:type="dxa"/>
            <w:shd w:val="clear" w:color="auto" w:fill="auto"/>
            <w:vAlign w:val="center"/>
            <w:hideMark/>
          </w:tcPr>
          <w:p w14:paraId="6F685620"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Micropoluanţi organici (nr.)</w:t>
            </w:r>
          </w:p>
        </w:tc>
      </w:tr>
      <w:tr w:rsidR="00DD1B1B" w:rsidRPr="00884656" w14:paraId="1B787528" w14:textId="77777777" w:rsidTr="00C74E50">
        <w:trPr>
          <w:trHeight w:val="297"/>
        </w:trPr>
        <w:tc>
          <w:tcPr>
            <w:tcW w:w="1709" w:type="dxa"/>
            <w:shd w:val="clear" w:color="auto" w:fill="auto"/>
            <w:vAlign w:val="center"/>
            <w:hideMark/>
          </w:tcPr>
          <w:p w14:paraId="3E9F223B"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Someș-Tisa</w:t>
            </w:r>
          </w:p>
        </w:tc>
        <w:tc>
          <w:tcPr>
            <w:tcW w:w="1398" w:type="dxa"/>
            <w:shd w:val="clear" w:color="000000" w:fill="FFFFFF"/>
            <w:noWrap/>
            <w:vAlign w:val="center"/>
            <w:hideMark/>
          </w:tcPr>
          <w:p w14:paraId="79F0F9A9"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4525</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5</w:t>
            </w:r>
            <w:r>
              <w:rPr>
                <w:rFonts w:asciiTheme="minorBidi" w:eastAsia="Times New Roman" w:hAnsiTheme="minorBidi"/>
                <w:sz w:val="18"/>
                <w:szCs w:val="18"/>
                <w:lang w:eastAsia="ro-RO"/>
              </w:rPr>
              <w:t>4</w:t>
            </w:r>
          </w:p>
        </w:tc>
        <w:tc>
          <w:tcPr>
            <w:tcW w:w="1398" w:type="dxa"/>
            <w:shd w:val="clear" w:color="000000" w:fill="FFFFFF"/>
            <w:noWrap/>
            <w:vAlign w:val="center"/>
            <w:hideMark/>
          </w:tcPr>
          <w:p w14:paraId="2CA6CC7F"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128</w:t>
            </w:r>
          </w:p>
        </w:tc>
        <w:tc>
          <w:tcPr>
            <w:tcW w:w="1435" w:type="dxa"/>
            <w:shd w:val="clear" w:color="000000" w:fill="FFFFFF"/>
            <w:noWrap/>
            <w:vAlign w:val="center"/>
            <w:hideMark/>
          </w:tcPr>
          <w:p w14:paraId="15FFE09B"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14586431"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34</w:t>
            </w:r>
          </w:p>
        </w:tc>
        <w:tc>
          <w:tcPr>
            <w:tcW w:w="1473" w:type="dxa"/>
            <w:shd w:val="clear" w:color="000000" w:fill="FFFFFF"/>
            <w:noWrap/>
            <w:vAlign w:val="center"/>
            <w:hideMark/>
          </w:tcPr>
          <w:p w14:paraId="1E086306"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000000" w:fill="FFFFFF"/>
            <w:noWrap/>
            <w:vAlign w:val="center"/>
            <w:hideMark/>
          </w:tcPr>
          <w:p w14:paraId="42CBB200"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4</w:t>
            </w:r>
          </w:p>
        </w:tc>
      </w:tr>
      <w:tr w:rsidR="00DD1B1B" w:rsidRPr="00884656" w14:paraId="589F774A" w14:textId="77777777" w:rsidTr="00C74E50">
        <w:trPr>
          <w:trHeight w:val="297"/>
        </w:trPr>
        <w:tc>
          <w:tcPr>
            <w:tcW w:w="1709" w:type="dxa"/>
            <w:shd w:val="clear" w:color="auto" w:fill="auto"/>
            <w:noWrap/>
            <w:vAlign w:val="center"/>
            <w:hideMark/>
          </w:tcPr>
          <w:p w14:paraId="77333A1F"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Crișuri</w:t>
            </w:r>
          </w:p>
        </w:tc>
        <w:tc>
          <w:tcPr>
            <w:tcW w:w="1398" w:type="dxa"/>
            <w:shd w:val="clear" w:color="000000" w:fill="FFFFFF"/>
            <w:noWrap/>
            <w:vAlign w:val="center"/>
            <w:hideMark/>
          </w:tcPr>
          <w:p w14:paraId="0349B91E"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1573</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47</w:t>
            </w:r>
          </w:p>
        </w:tc>
        <w:tc>
          <w:tcPr>
            <w:tcW w:w="1398" w:type="dxa"/>
            <w:shd w:val="clear" w:color="000000" w:fill="FFFFFF"/>
            <w:noWrap/>
            <w:vAlign w:val="center"/>
            <w:hideMark/>
          </w:tcPr>
          <w:p w14:paraId="3E4F5F22"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64</w:t>
            </w:r>
          </w:p>
        </w:tc>
        <w:tc>
          <w:tcPr>
            <w:tcW w:w="1435" w:type="dxa"/>
            <w:shd w:val="clear" w:color="000000" w:fill="FFFFFF"/>
            <w:noWrap/>
            <w:vAlign w:val="center"/>
            <w:hideMark/>
          </w:tcPr>
          <w:p w14:paraId="06016DC7"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7FDD2E46"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34</w:t>
            </w:r>
          </w:p>
        </w:tc>
        <w:tc>
          <w:tcPr>
            <w:tcW w:w="1473" w:type="dxa"/>
            <w:shd w:val="clear" w:color="auto" w:fill="auto"/>
            <w:noWrap/>
            <w:vAlign w:val="center"/>
            <w:hideMark/>
          </w:tcPr>
          <w:p w14:paraId="63454277"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7313C5F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8</w:t>
            </w:r>
          </w:p>
        </w:tc>
      </w:tr>
      <w:tr w:rsidR="00DD1B1B" w:rsidRPr="00884656" w14:paraId="2EDDE8C2" w14:textId="77777777" w:rsidTr="00C74E50">
        <w:trPr>
          <w:trHeight w:val="297"/>
        </w:trPr>
        <w:tc>
          <w:tcPr>
            <w:tcW w:w="1709" w:type="dxa"/>
            <w:shd w:val="clear" w:color="auto" w:fill="auto"/>
            <w:noWrap/>
            <w:vAlign w:val="center"/>
            <w:hideMark/>
          </w:tcPr>
          <w:p w14:paraId="78B03FC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Mureș</w:t>
            </w:r>
          </w:p>
        </w:tc>
        <w:tc>
          <w:tcPr>
            <w:tcW w:w="1398" w:type="dxa"/>
            <w:shd w:val="clear" w:color="000000" w:fill="FFFFFF"/>
            <w:noWrap/>
            <w:vAlign w:val="center"/>
            <w:hideMark/>
          </w:tcPr>
          <w:p w14:paraId="1C8C8739"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3001</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7</w:t>
            </w:r>
            <w:r>
              <w:rPr>
                <w:rFonts w:asciiTheme="minorBidi" w:eastAsia="Times New Roman" w:hAnsiTheme="minorBidi"/>
                <w:sz w:val="18"/>
                <w:szCs w:val="18"/>
                <w:lang w:eastAsia="ro-RO"/>
              </w:rPr>
              <w:t>9</w:t>
            </w:r>
          </w:p>
        </w:tc>
        <w:tc>
          <w:tcPr>
            <w:tcW w:w="1398" w:type="dxa"/>
            <w:shd w:val="clear" w:color="000000" w:fill="FFFFFF"/>
            <w:noWrap/>
            <w:vAlign w:val="center"/>
            <w:hideMark/>
          </w:tcPr>
          <w:p w14:paraId="562C50F9"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79</w:t>
            </w:r>
          </w:p>
        </w:tc>
        <w:tc>
          <w:tcPr>
            <w:tcW w:w="1435" w:type="dxa"/>
            <w:shd w:val="clear" w:color="000000" w:fill="FFFFFF"/>
            <w:noWrap/>
            <w:vAlign w:val="center"/>
            <w:hideMark/>
          </w:tcPr>
          <w:p w14:paraId="7D2B544B"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024DBA69"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35</w:t>
            </w:r>
          </w:p>
        </w:tc>
        <w:tc>
          <w:tcPr>
            <w:tcW w:w="1473" w:type="dxa"/>
            <w:shd w:val="clear" w:color="auto" w:fill="auto"/>
            <w:noWrap/>
            <w:vAlign w:val="center"/>
            <w:hideMark/>
          </w:tcPr>
          <w:p w14:paraId="7AF4F6A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22A85552"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7</w:t>
            </w:r>
          </w:p>
        </w:tc>
      </w:tr>
      <w:tr w:rsidR="00DD1B1B" w:rsidRPr="00884656" w14:paraId="6F8E98E2" w14:textId="77777777" w:rsidTr="00C74E50">
        <w:trPr>
          <w:trHeight w:val="297"/>
        </w:trPr>
        <w:tc>
          <w:tcPr>
            <w:tcW w:w="1709" w:type="dxa"/>
            <w:shd w:val="clear" w:color="auto" w:fill="auto"/>
            <w:noWrap/>
            <w:vAlign w:val="center"/>
            <w:hideMark/>
          </w:tcPr>
          <w:p w14:paraId="12371646"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Banat</w:t>
            </w:r>
          </w:p>
        </w:tc>
        <w:tc>
          <w:tcPr>
            <w:tcW w:w="1398" w:type="dxa"/>
            <w:shd w:val="clear" w:color="000000" w:fill="FFFFFF"/>
            <w:noWrap/>
            <w:vAlign w:val="center"/>
            <w:hideMark/>
          </w:tcPr>
          <w:p w14:paraId="665E2CF5"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2413</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5</w:t>
            </w:r>
            <w:r>
              <w:rPr>
                <w:rFonts w:asciiTheme="minorBidi" w:eastAsia="Times New Roman" w:hAnsiTheme="minorBidi"/>
                <w:sz w:val="18"/>
                <w:szCs w:val="18"/>
                <w:lang w:eastAsia="ro-RO"/>
              </w:rPr>
              <w:t>3</w:t>
            </w:r>
          </w:p>
        </w:tc>
        <w:tc>
          <w:tcPr>
            <w:tcW w:w="1398" w:type="dxa"/>
            <w:shd w:val="clear" w:color="000000" w:fill="FFFFFF"/>
            <w:noWrap/>
            <w:vAlign w:val="center"/>
            <w:hideMark/>
          </w:tcPr>
          <w:p w14:paraId="45EF8F51"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58</w:t>
            </w:r>
          </w:p>
        </w:tc>
        <w:tc>
          <w:tcPr>
            <w:tcW w:w="1435" w:type="dxa"/>
            <w:shd w:val="clear" w:color="000000" w:fill="FFFFFF"/>
            <w:noWrap/>
            <w:vAlign w:val="center"/>
            <w:hideMark/>
          </w:tcPr>
          <w:p w14:paraId="1259E7E0"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1E2140D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23</w:t>
            </w:r>
          </w:p>
        </w:tc>
        <w:tc>
          <w:tcPr>
            <w:tcW w:w="1473" w:type="dxa"/>
            <w:shd w:val="clear" w:color="auto" w:fill="auto"/>
            <w:noWrap/>
            <w:vAlign w:val="center"/>
            <w:hideMark/>
          </w:tcPr>
          <w:p w14:paraId="7CC21282"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3C4CF638"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6</w:t>
            </w:r>
          </w:p>
        </w:tc>
      </w:tr>
      <w:tr w:rsidR="00DD1B1B" w:rsidRPr="00884656" w14:paraId="2E0BA757" w14:textId="77777777" w:rsidTr="00C74E50">
        <w:trPr>
          <w:trHeight w:val="297"/>
        </w:trPr>
        <w:tc>
          <w:tcPr>
            <w:tcW w:w="1709" w:type="dxa"/>
            <w:shd w:val="clear" w:color="auto" w:fill="auto"/>
            <w:noWrap/>
            <w:vAlign w:val="center"/>
            <w:hideMark/>
          </w:tcPr>
          <w:p w14:paraId="4C8C0E70"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Jiu</w:t>
            </w:r>
          </w:p>
        </w:tc>
        <w:tc>
          <w:tcPr>
            <w:tcW w:w="1398" w:type="dxa"/>
            <w:shd w:val="clear" w:color="000000" w:fill="FFFFFF"/>
            <w:noWrap/>
            <w:vAlign w:val="center"/>
            <w:hideMark/>
          </w:tcPr>
          <w:p w14:paraId="3412ADB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2365</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49</w:t>
            </w:r>
          </w:p>
        </w:tc>
        <w:tc>
          <w:tcPr>
            <w:tcW w:w="1398" w:type="dxa"/>
            <w:shd w:val="clear" w:color="000000" w:fill="FFFFFF"/>
            <w:noWrap/>
            <w:vAlign w:val="center"/>
            <w:hideMark/>
          </w:tcPr>
          <w:p w14:paraId="4B9FF756"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53</w:t>
            </w:r>
          </w:p>
        </w:tc>
        <w:tc>
          <w:tcPr>
            <w:tcW w:w="1435" w:type="dxa"/>
            <w:shd w:val="clear" w:color="000000" w:fill="FFFFFF"/>
            <w:noWrap/>
            <w:vAlign w:val="center"/>
            <w:hideMark/>
          </w:tcPr>
          <w:p w14:paraId="52E0899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0B0C310B"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r>
              <w:rPr>
                <w:rFonts w:asciiTheme="minorBidi" w:eastAsia="Times New Roman" w:hAnsiTheme="minorBidi"/>
                <w:sz w:val="18"/>
                <w:szCs w:val="18"/>
                <w:lang w:eastAsia="ro-RO"/>
              </w:rPr>
              <w:t>9</w:t>
            </w:r>
          </w:p>
        </w:tc>
        <w:tc>
          <w:tcPr>
            <w:tcW w:w="1473" w:type="dxa"/>
            <w:shd w:val="clear" w:color="auto" w:fill="auto"/>
            <w:noWrap/>
            <w:vAlign w:val="center"/>
            <w:hideMark/>
          </w:tcPr>
          <w:p w14:paraId="6DC220C6"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4B704B75"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7</w:t>
            </w:r>
          </w:p>
        </w:tc>
      </w:tr>
      <w:tr w:rsidR="00DD1B1B" w:rsidRPr="00884656" w14:paraId="13699CCD" w14:textId="77777777" w:rsidTr="00C74E50">
        <w:trPr>
          <w:trHeight w:val="297"/>
        </w:trPr>
        <w:tc>
          <w:tcPr>
            <w:tcW w:w="1709" w:type="dxa"/>
            <w:shd w:val="clear" w:color="auto" w:fill="auto"/>
            <w:noWrap/>
            <w:vAlign w:val="center"/>
            <w:hideMark/>
          </w:tcPr>
          <w:p w14:paraId="101F744C"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Olt</w:t>
            </w:r>
          </w:p>
        </w:tc>
        <w:tc>
          <w:tcPr>
            <w:tcW w:w="1398" w:type="dxa"/>
            <w:shd w:val="clear" w:color="000000" w:fill="FFFFFF"/>
            <w:noWrap/>
            <w:vAlign w:val="center"/>
            <w:hideMark/>
          </w:tcPr>
          <w:p w14:paraId="21BD4A39"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2437</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8</w:t>
            </w:r>
            <w:r>
              <w:rPr>
                <w:rFonts w:asciiTheme="minorBidi" w:eastAsia="Times New Roman" w:hAnsiTheme="minorBidi"/>
                <w:sz w:val="18"/>
                <w:szCs w:val="18"/>
                <w:lang w:eastAsia="ro-RO"/>
              </w:rPr>
              <w:t>9</w:t>
            </w:r>
          </w:p>
        </w:tc>
        <w:tc>
          <w:tcPr>
            <w:tcW w:w="1398" w:type="dxa"/>
            <w:shd w:val="clear" w:color="000000" w:fill="FFFFFF"/>
            <w:noWrap/>
            <w:vAlign w:val="center"/>
            <w:hideMark/>
          </w:tcPr>
          <w:p w14:paraId="75D5328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68</w:t>
            </w:r>
          </w:p>
        </w:tc>
        <w:tc>
          <w:tcPr>
            <w:tcW w:w="1435" w:type="dxa"/>
            <w:shd w:val="clear" w:color="000000" w:fill="FFFFFF"/>
            <w:noWrap/>
            <w:vAlign w:val="center"/>
            <w:hideMark/>
          </w:tcPr>
          <w:p w14:paraId="0F00BD11"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2A61DC11"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28</w:t>
            </w:r>
          </w:p>
        </w:tc>
        <w:tc>
          <w:tcPr>
            <w:tcW w:w="1473" w:type="dxa"/>
            <w:shd w:val="clear" w:color="auto" w:fill="auto"/>
            <w:noWrap/>
            <w:vAlign w:val="center"/>
            <w:hideMark/>
          </w:tcPr>
          <w:p w14:paraId="07443612"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0</w:t>
            </w:r>
          </w:p>
        </w:tc>
        <w:tc>
          <w:tcPr>
            <w:tcW w:w="1396" w:type="dxa"/>
            <w:shd w:val="clear" w:color="auto" w:fill="auto"/>
            <w:noWrap/>
            <w:vAlign w:val="center"/>
            <w:hideMark/>
          </w:tcPr>
          <w:p w14:paraId="5EDB055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0</w:t>
            </w:r>
          </w:p>
        </w:tc>
      </w:tr>
      <w:tr w:rsidR="00DD1B1B" w:rsidRPr="00884656" w14:paraId="22120B30" w14:textId="77777777" w:rsidTr="00C74E50">
        <w:trPr>
          <w:trHeight w:val="297"/>
        </w:trPr>
        <w:tc>
          <w:tcPr>
            <w:tcW w:w="1709" w:type="dxa"/>
            <w:shd w:val="clear" w:color="auto" w:fill="auto"/>
            <w:noWrap/>
            <w:vAlign w:val="center"/>
            <w:hideMark/>
          </w:tcPr>
          <w:p w14:paraId="55B11A0C"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Argeș-Vedea</w:t>
            </w:r>
          </w:p>
        </w:tc>
        <w:tc>
          <w:tcPr>
            <w:tcW w:w="1398" w:type="dxa"/>
            <w:shd w:val="clear" w:color="000000" w:fill="FFFFFF"/>
            <w:noWrap/>
            <w:vAlign w:val="center"/>
            <w:hideMark/>
          </w:tcPr>
          <w:p w14:paraId="06411355"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580</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7</w:t>
            </w:r>
            <w:r>
              <w:rPr>
                <w:rFonts w:asciiTheme="minorBidi" w:eastAsia="Times New Roman" w:hAnsiTheme="minorBidi"/>
                <w:sz w:val="18"/>
                <w:szCs w:val="18"/>
                <w:lang w:eastAsia="ro-RO"/>
              </w:rPr>
              <w:t>7</w:t>
            </w:r>
          </w:p>
        </w:tc>
        <w:tc>
          <w:tcPr>
            <w:tcW w:w="1398" w:type="dxa"/>
            <w:shd w:val="clear" w:color="000000" w:fill="FFFFFF"/>
            <w:noWrap/>
            <w:vAlign w:val="center"/>
            <w:hideMark/>
          </w:tcPr>
          <w:p w14:paraId="098F569C"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20</w:t>
            </w:r>
          </w:p>
        </w:tc>
        <w:tc>
          <w:tcPr>
            <w:tcW w:w="1435" w:type="dxa"/>
            <w:shd w:val="clear" w:color="000000" w:fill="FFFFFF"/>
            <w:noWrap/>
            <w:vAlign w:val="center"/>
            <w:hideMark/>
          </w:tcPr>
          <w:p w14:paraId="5AFA5106"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50032F6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36</w:t>
            </w:r>
          </w:p>
        </w:tc>
        <w:tc>
          <w:tcPr>
            <w:tcW w:w="1473" w:type="dxa"/>
            <w:shd w:val="clear" w:color="auto" w:fill="auto"/>
            <w:noWrap/>
            <w:vAlign w:val="center"/>
            <w:hideMark/>
          </w:tcPr>
          <w:p w14:paraId="253EE65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7917D34C"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7</w:t>
            </w:r>
          </w:p>
        </w:tc>
      </w:tr>
      <w:tr w:rsidR="00DD1B1B" w:rsidRPr="00884656" w14:paraId="00A38E4E" w14:textId="77777777" w:rsidTr="00C74E50">
        <w:trPr>
          <w:trHeight w:val="297"/>
        </w:trPr>
        <w:tc>
          <w:tcPr>
            <w:tcW w:w="1709" w:type="dxa"/>
            <w:shd w:val="clear" w:color="auto" w:fill="auto"/>
            <w:noWrap/>
            <w:vAlign w:val="center"/>
            <w:hideMark/>
          </w:tcPr>
          <w:p w14:paraId="2943FE97"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Buzău-Ialomița</w:t>
            </w:r>
          </w:p>
        </w:tc>
        <w:tc>
          <w:tcPr>
            <w:tcW w:w="1398" w:type="dxa"/>
            <w:shd w:val="clear" w:color="auto" w:fill="auto"/>
            <w:noWrap/>
            <w:vAlign w:val="center"/>
            <w:hideMark/>
          </w:tcPr>
          <w:p w14:paraId="308AABA4"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1267</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3</w:t>
            </w:r>
            <w:r>
              <w:rPr>
                <w:rFonts w:asciiTheme="minorBidi" w:eastAsia="Times New Roman" w:hAnsiTheme="minorBidi"/>
                <w:sz w:val="18"/>
                <w:szCs w:val="18"/>
                <w:lang w:eastAsia="ro-RO"/>
              </w:rPr>
              <w:t>0</w:t>
            </w:r>
          </w:p>
        </w:tc>
        <w:tc>
          <w:tcPr>
            <w:tcW w:w="1398" w:type="dxa"/>
            <w:shd w:val="clear" w:color="000000" w:fill="FFFFFF"/>
            <w:noWrap/>
            <w:vAlign w:val="center"/>
            <w:hideMark/>
          </w:tcPr>
          <w:p w14:paraId="52E782A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58</w:t>
            </w:r>
          </w:p>
        </w:tc>
        <w:tc>
          <w:tcPr>
            <w:tcW w:w="1435" w:type="dxa"/>
            <w:shd w:val="clear" w:color="000000" w:fill="FFFFFF"/>
            <w:noWrap/>
            <w:vAlign w:val="center"/>
            <w:hideMark/>
          </w:tcPr>
          <w:p w14:paraId="168D075C"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3B60061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39</w:t>
            </w:r>
          </w:p>
        </w:tc>
        <w:tc>
          <w:tcPr>
            <w:tcW w:w="1473" w:type="dxa"/>
            <w:shd w:val="clear" w:color="auto" w:fill="auto"/>
            <w:noWrap/>
            <w:vAlign w:val="center"/>
            <w:hideMark/>
          </w:tcPr>
          <w:p w14:paraId="6DD6D754"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660FA115"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5</w:t>
            </w:r>
          </w:p>
        </w:tc>
      </w:tr>
      <w:tr w:rsidR="00DD1B1B" w:rsidRPr="00884656" w14:paraId="1FF7A23C" w14:textId="77777777" w:rsidTr="00C74E50">
        <w:trPr>
          <w:trHeight w:val="297"/>
        </w:trPr>
        <w:tc>
          <w:tcPr>
            <w:tcW w:w="1709" w:type="dxa"/>
            <w:shd w:val="clear" w:color="auto" w:fill="auto"/>
            <w:noWrap/>
            <w:vAlign w:val="center"/>
            <w:hideMark/>
          </w:tcPr>
          <w:p w14:paraId="1D96FA7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Siret</w:t>
            </w:r>
          </w:p>
        </w:tc>
        <w:tc>
          <w:tcPr>
            <w:tcW w:w="1398" w:type="dxa"/>
            <w:shd w:val="clear" w:color="000000" w:fill="FFFFFF"/>
            <w:noWrap/>
            <w:vAlign w:val="center"/>
            <w:hideMark/>
          </w:tcPr>
          <w:p w14:paraId="44145112"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2335</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31</w:t>
            </w:r>
          </w:p>
        </w:tc>
        <w:tc>
          <w:tcPr>
            <w:tcW w:w="1398" w:type="dxa"/>
            <w:shd w:val="clear" w:color="000000" w:fill="FFFFFF"/>
            <w:noWrap/>
            <w:vAlign w:val="center"/>
            <w:hideMark/>
          </w:tcPr>
          <w:p w14:paraId="5A7705B4"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35</w:t>
            </w:r>
          </w:p>
        </w:tc>
        <w:tc>
          <w:tcPr>
            <w:tcW w:w="1435" w:type="dxa"/>
            <w:shd w:val="clear" w:color="000000" w:fill="FFFFFF"/>
            <w:noWrap/>
            <w:vAlign w:val="center"/>
            <w:hideMark/>
          </w:tcPr>
          <w:p w14:paraId="2322AA9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03F7921E"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28</w:t>
            </w:r>
          </w:p>
        </w:tc>
        <w:tc>
          <w:tcPr>
            <w:tcW w:w="1473" w:type="dxa"/>
            <w:shd w:val="clear" w:color="auto" w:fill="auto"/>
            <w:noWrap/>
            <w:vAlign w:val="center"/>
            <w:hideMark/>
          </w:tcPr>
          <w:p w14:paraId="4BAD36E7"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4F2029F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7</w:t>
            </w:r>
          </w:p>
        </w:tc>
      </w:tr>
      <w:tr w:rsidR="00DD1B1B" w:rsidRPr="00884656" w14:paraId="39C929F2" w14:textId="77777777" w:rsidTr="00C74E50">
        <w:trPr>
          <w:trHeight w:val="297"/>
        </w:trPr>
        <w:tc>
          <w:tcPr>
            <w:tcW w:w="1709" w:type="dxa"/>
            <w:shd w:val="clear" w:color="auto" w:fill="auto"/>
            <w:noWrap/>
            <w:vAlign w:val="center"/>
            <w:hideMark/>
          </w:tcPr>
          <w:p w14:paraId="7A178AAC"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Prut- Bârlad</w:t>
            </w:r>
          </w:p>
        </w:tc>
        <w:tc>
          <w:tcPr>
            <w:tcW w:w="1398" w:type="dxa"/>
            <w:shd w:val="clear" w:color="auto" w:fill="auto"/>
            <w:noWrap/>
            <w:vAlign w:val="center"/>
            <w:hideMark/>
          </w:tcPr>
          <w:p w14:paraId="742FCF22"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2406</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11</w:t>
            </w:r>
          </w:p>
        </w:tc>
        <w:tc>
          <w:tcPr>
            <w:tcW w:w="1398" w:type="dxa"/>
            <w:shd w:val="clear" w:color="auto" w:fill="auto"/>
            <w:noWrap/>
            <w:vAlign w:val="center"/>
            <w:hideMark/>
          </w:tcPr>
          <w:p w14:paraId="692A45DB"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53</w:t>
            </w:r>
          </w:p>
        </w:tc>
        <w:tc>
          <w:tcPr>
            <w:tcW w:w="1435" w:type="dxa"/>
            <w:shd w:val="clear" w:color="auto" w:fill="auto"/>
            <w:noWrap/>
            <w:vAlign w:val="center"/>
            <w:hideMark/>
          </w:tcPr>
          <w:p w14:paraId="15C6E22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auto" w:fill="auto"/>
            <w:noWrap/>
            <w:vAlign w:val="center"/>
            <w:hideMark/>
          </w:tcPr>
          <w:p w14:paraId="09DF258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28</w:t>
            </w:r>
          </w:p>
        </w:tc>
        <w:tc>
          <w:tcPr>
            <w:tcW w:w="1473" w:type="dxa"/>
            <w:shd w:val="clear" w:color="auto" w:fill="auto"/>
            <w:noWrap/>
            <w:vAlign w:val="center"/>
            <w:hideMark/>
          </w:tcPr>
          <w:p w14:paraId="50B03FD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w:t>
            </w:r>
          </w:p>
        </w:tc>
        <w:tc>
          <w:tcPr>
            <w:tcW w:w="1396" w:type="dxa"/>
            <w:shd w:val="clear" w:color="auto" w:fill="auto"/>
            <w:noWrap/>
            <w:vAlign w:val="center"/>
            <w:hideMark/>
          </w:tcPr>
          <w:p w14:paraId="148E7FC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6</w:t>
            </w:r>
          </w:p>
        </w:tc>
      </w:tr>
      <w:tr w:rsidR="00DD1B1B" w:rsidRPr="00884656" w14:paraId="7527AE6C" w14:textId="77777777" w:rsidTr="00C74E50">
        <w:trPr>
          <w:trHeight w:val="297"/>
        </w:trPr>
        <w:tc>
          <w:tcPr>
            <w:tcW w:w="1709" w:type="dxa"/>
            <w:shd w:val="clear" w:color="auto" w:fill="auto"/>
            <w:noWrap/>
            <w:vAlign w:val="center"/>
            <w:hideMark/>
          </w:tcPr>
          <w:p w14:paraId="755B0047"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Dobrogea - Litoral</w:t>
            </w:r>
          </w:p>
        </w:tc>
        <w:tc>
          <w:tcPr>
            <w:tcW w:w="1398" w:type="dxa"/>
            <w:shd w:val="clear" w:color="000000" w:fill="FFFFFF"/>
            <w:noWrap/>
            <w:vAlign w:val="center"/>
            <w:hideMark/>
          </w:tcPr>
          <w:p w14:paraId="3F269C0E"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1549</w:t>
            </w:r>
            <w:r>
              <w:rPr>
                <w:rFonts w:asciiTheme="minorBidi" w:eastAsia="Times New Roman" w:hAnsiTheme="minorBidi"/>
                <w:sz w:val="18"/>
                <w:szCs w:val="18"/>
                <w:lang w:eastAsia="ro-RO"/>
              </w:rPr>
              <w:t>,</w:t>
            </w:r>
            <w:r w:rsidRPr="00784650">
              <w:rPr>
                <w:rFonts w:asciiTheme="minorBidi" w:eastAsia="Times New Roman" w:hAnsiTheme="minorBidi"/>
                <w:sz w:val="18"/>
                <w:szCs w:val="18"/>
                <w:lang w:eastAsia="ro-RO"/>
              </w:rPr>
              <w:t>62</w:t>
            </w:r>
          </w:p>
        </w:tc>
        <w:tc>
          <w:tcPr>
            <w:tcW w:w="1398" w:type="dxa"/>
            <w:shd w:val="clear" w:color="000000" w:fill="FFFFFF"/>
            <w:noWrap/>
            <w:vAlign w:val="center"/>
            <w:hideMark/>
          </w:tcPr>
          <w:p w14:paraId="473D8D18"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67</w:t>
            </w:r>
          </w:p>
        </w:tc>
        <w:tc>
          <w:tcPr>
            <w:tcW w:w="1435" w:type="dxa"/>
            <w:shd w:val="clear" w:color="000000" w:fill="FFFFFF"/>
            <w:noWrap/>
            <w:vAlign w:val="center"/>
            <w:hideMark/>
          </w:tcPr>
          <w:p w14:paraId="1F5A9A8D"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w:t>
            </w:r>
          </w:p>
        </w:tc>
        <w:tc>
          <w:tcPr>
            <w:tcW w:w="1407" w:type="dxa"/>
            <w:shd w:val="clear" w:color="000000" w:fill="FFFFFF"/>
            <w:noWrap/>
            <w:vAlign w:val="center"/>
            <w:hideMark/>
          </w:tcPr>
          <w:p w14:paraId="71E7DBFA"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33</w:t>
            </w:r>
          </w:p>
        </w:tc>
        <w:tc>
          <w:tcPr>
            <w:tcW w:w="1473" w:type="dxa"/>
            <w:shd w:val="clear" w:color="auto" w:fill="auto"/>
            <w:noWrap/>
            <w:vAlign w:val="center"/>
            <w:hideMark/>
          </w:tcPr>
          <w:p w14:paraId="66EEEDF8"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0</w:t>
            </w:r>
          </w:p>
        </w:tc>
        <w:tc>
          <w:tcPr>
            <w:tcW w:w="1396" w:type="dxa"/>
            <w:shd w:val="clear" w:color="auto" w:fill="auto"/>
            <w:noWrap/>
            <w:vAlign w:val="center"/>
            <w:hideMark/>
          </w:tcPr>
          <w:p w14:paraId="772C2F83" w14:textId="77777777" w:rsidR="00DD1B1B" w:rsidRPr="00784650" w:rsidRDefault="00DD1B1B" w:rsidP="00C74E50">
            <w:pPr>
              <w:spacing w:after="0" w:line="240" w:lineRule="auto"/>
              <w:jc w:val="center"/>
              <w:rPr>
                <w:rFonts w:asciiTheme="minorBidi" w:eastAsia="Times New Roman" w:hAnsiTheme="minorBidi"/>
                <w:sz w:val="18"/>
                <w:szCs w:val="18"/>
                <w:lang w:eastAsia="ro-RO"/>
              </w:rPr>
            </w:pPr>
            <w:r w:rsidRPr="00784650">
              <w:rPr>
                <w:rFonts w:asciiTheme="minorBidi" w:eastAsia="Times New Roman" w:hAnsiTheme="minorBidi"/>
                <w:sz w:val="18"/>
                <w:szCs w:val="18"/>
                <w:lang w:eastAsia="ro-RO"/>
              </w:rPr>
              <w:t>0</w:t>
            </w:r>
          </w:p>
        </w:tc>
      </w:tr>
      <w:tr w:rsidR="00DD1B1B" w:rsidRPr="00884656" w14:paraId="09C9DD7C" w14:textId="77777777" w:rsidTr="00C74E50">
        <w:trPr>
          <w:trHeight w:val="297"/>
        </w:trPr>
        <w:tc>
          <w:tcPr>
            <w:tcW w:w="1709" w:type="dxa"/>
            <w:shd w:val="clear" w:color="auto" w:fill="00B0F0"/>
            <w:noWrap/>
            <w:vAlign w:val="center"/>
            <w:hideMark/>
          </w:tcPr>
          <w:p w14:paraId="0E5B4C90"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T</w:t>
            </w:r>
            <w:r>
              <w:rPr>
                <w:rFonts w:asciiTheme="minorBidi" w:eastAsia="Times New Roman" w:hAnsiTheme="minorBidi"/>
                <w:b/>
                <w:bCs/>
                <w:sz w:val="18"/>
                <w:szCs w:val="18"/>
                <w:lang w:eastAsia="ro-RO"/>
              </w:rPr>
              <w:t>OTAL</w:t>
            </w:r>
          </w:p>
        </w:tc>
        <w:tc>
          <w:tcPr>
            <w:tcW w:w="1398" w:type="dxa"/>
            <w:shd w:val="clear" w:color="auto" w:fill="00B0F0"/>
            <w:noWrap/>
            <w:vAlign w:val="center"/>
            <w:hideMark/>
          </w:tcPr>
          <w:p w14:paraId="5F94F65E"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24456</w:t>
            </w:r>
            <w:r>
              <w:rPr>
                <w:rFonts w:asciiTheme="minorBidi" w:eastAsia="Times New Roman" w:hAnsiTheme="minorBidi"/>
                <w:b/>
                <w:bCs/>
                <w:sz w:val="18"/>
                <w:szCs w:val="18"/>
                <w:lang w:eastAsia="ro-RO"/>
              </w:rPr>
              <w:t>,</w:t>
            </w:r>
            <w:r w:rsidRPr="00784650">
              <w:rPr>
                <w:rFonts w:asciiTheme="minorBidi" w:eastAsia="Times New Roman" w:hAnsiTheme="minorBidi"/>
                <w:b/>
                <w:bCs/>
                <w:sz w:val="18"/>
                <w:szCs w:val="18"/>
                <w:lang w:eastAsia="ro-RO"/>
              </w:rPr>
              <w:t>8</w:t>
            </w:r>
            <w:r>
              <w:rPr>
                <w:rFonts w:asciiTheme="minorBidi" w:eastAsia="Times New Roman" w:hAnsiTheme="minorBidi"/>
                <w:b/>
                <w:bCs/>
                <w:sz w:val="18"/>
                <w:szCs w:val="18"/>
                <w:lang w:eastAsia="ro-RO"/>
              </w:rPr>
              <w:t>2</w:t>
            </w:r>
          </w:p>
        </w:tc>
        <w:tc>
          <w:tcPr>
            <w:tcW w:w="1398" w:type="dxa"/>
            <w:shd w:val="clear" w:color="auto" w:fill="00B0F0"/>
            <w:noWrap/>
            <w:vAlign w:val="center"/>
            <w:hideMark/>
          </w:tcPr>
          <w:p w14:paraId="70BC6DFB"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683</w:t>
            </w:r>
          </w:p>
        </w:tc>
        <w:tc>
          <w:tcPr>
            <w:tcW w:w="1435" w:type="dxa"/>
            <w:shd w:val="clear" w:color="auto" w:fill="00B0F0"/>
            <w:noWrap/>
            <w:vAlign w:val="center"/>
            <w:hideMark/>
          </w:tcPr>
          <w:p w14:paraId="07D41D5D"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3</w:t>
            </w:r>
          </w:p>
        </w:tc>
        <w:tc>
          <w:tcPr>
            <w:tcW w:w="1407" w:type="dxa"/>
            <w:shd w:val="clear" w:color="auto" w:fill="00B0F0"/>
            <w:noWrap/>
            <w:vAlign w:val="center"/>
            <w:hideMark/>
          </w:tcPr>
          <w:p w14:paraId="6F7730E7"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39</w:t>
            </w:r>
          </w:p>
        </w:tc>
        <w:tc>
          <w:tcPr>
            <w:tcW w:w="1473" w:type="dxa"/>
            <w:shd w:val="clear" w:color="auto" w:fill="00B0F0"/>
            <w:noWrap/>
            <w:vAlign w:val="center"/>
            <w:hideMark/>
          </w:tcPr>
          <w:p w14:paraId="4A9C0FFE"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1</w:t>
            </w:r>
          </w:p>
        </w:tc>
        <w:tc>
          <w:tcPr>
            <w:tcW w:w="1396" w:type="dxa"/>
            <w:shd w:val="clear" w:color="auto" w:fill="00B0F0"/>
            <w:noWrap/>
            <w:vAlign w:val="center"/>
            <w:hideMark/>
          </w:tcPr>
          <w:p w14:paraId="601E69B3" w14:textId="77777777" w:rsidR="00DD1B1B" w:rsidRPr="00784650" w:rsidRDefault="00DD1B1B" w:rsidP="00C74E50">
            <w:pPr>
              <w:spacing w:after="0" w:line="240" w:lineRule="auto"/>
              <w:jc w:val="center"/>
              <w:rPr>
                <w:rFonts w:asciiTheme="minorBidi" w:eastAsia="Times New Roman" w:hAnsiTheme="minorBidi"/>
                <w:b/>
                <w:bCs/>
                <w:sz w:val="18"/>
                <w:szCs w:val="18"/>
                <w:lang w:eastAsia="ro-RO"/>
              </w:rPr>
            </w:pPr>
            <w:r w:rsidRPr="00784650">
              <w:rPr>
                <w:rFonts w:asciiTheme="minorBidi" w:eastAsia="Times New Roman" w:hAnsiTheme="minorBidi"/>
                <w:b/>
                <w:bCs/>
                <w:sz w:val="18"/>
                <w:szCs w:val="18"/>
                <w:lang w:eastAsia="ro-RO"/>
              </w:rPr>
              <w:t>8</w:t>
            </w:r>
          </w:p>
        </w:tc>
      </w:tr>
    </w:tbl>
    <w:p w14:paraId="20428F47" w14:textId="77777777" w:rsidR="00DD1B1B" w:rsidRPr="00784650" w:rsidRDefault="00DD1B1B" w:rsidP="00DD1B1B">
      <w:pPr>
        <w:spacing w:after="0"/>
        <w:ind w:left="900" w:hanging="900"/>
        <w:jc w:val="both"/>
        <w:rPr>
          <w:rFonts w:ascii="Arial" w:hAnsi="Arial" w:cs="Arial"/>
          <w:i/>
          <w:iCs/>
          <w:sz w:val="20"/>
          <w:szCs w:val="20"/>
          <w:lang w:eastAsia="ro-RO"/>
        </w:rPr>
      </w:pPr>
      <w:r w:rsidRPr="00784650">
        <w:rPr>
          <w:rFonts w:ascii="Arial" w:hAnsi="Arial" w:cs="Arial"/>
          <w:i/>
          <w:iCs/>
          <w:sz w:val="20"/>
          <w:szCs w:val="20"/>
          <w:lang w:eastAsia="ro-RO"/>
        </w:rPr>
        <w:t>(Sursa: Administraţia Naţională “Apele Române”, Sinteza calităţii apelor din România în anul 2022)</w:t>
      </w:r>
    </w:p>
    <w:p w14:paraId="347F573B" w14:textId="77777777" w:rsidR="00DD1B1B" w:rsidRPr="00116CA7" w:rsidRDefault="00DD1B1B" w:rsidP="00DD1B1B">
      <w:pPr>
        <w:spacing w:after="0" w:line="240" w:lineRule="auto"/>
        <w:jc w:val="both"/>
        <w:rPr>
          <w:rFonts w:ascii="Arial" w:hAnsi="Arial" w:cs="Arial"/>
          <w:b/>
          <w:i/>
          <w:color w:val="FF0000"/>
          <w:sz w:val="20"/>
          <w:szCs w:val="20"/>
          <w:u w:val="single"/>
        </w:rPr>
      </w:pPr>
    </w:p>
    <w:p w14:paraId="1442545E" w14:textId="77777777" w:rsidR="00DD1B1B" w:rsidRDefault="00DD1B1B" w:rsidP="00DD1B1B">
      <w:pPr>
        <w:spacing w:after="0" w:line="240" w:lineRule="auto"/>
        <w:jc w:val="both"/>
        <w:rPr>
          <w:rFonts w:ascii="Arial" w:hAnsi="Arial" w:cs="Arial"/>
          <w:b/>
          <w:i/>
          <w:color w:val="FF0000"/>
          <w:sz w:val="20"/>
          <w:szCs w:val="20"/>
          <w:u w:val="single"/>
        </w:rPr>
      </w:pPr>
    </w:p>
    <w:p w14:paraId="4FAB5D22" w14:textId="77777777" w:rsidR="00DD1B1B" w:rsidRDefault="00DD1B1B" w:rsidP="00DD1B1B">
      <w:pPr>
        <w:spacing w:after="0" w:line="240" w:lineRule="auto"/>
        <w:jc w:val="both"/>
        <w:rPr>
          <w:rFonts w:ascii="Arial" w:hAnsi="Arial" w:cs="Arial"/>
          <w:b/>
          <w:i/>
          <w:color w:val="FF0000"/>
          <w:sz w:val="20"/>
          <w:szCs w:val="20"/>
          <w:u w:val="single"/>
        </w:rPr>
      </w:pPr>
    </w:p>
    <w:p w14:paraId="7C20CA06" w14:textId="77777777" w:rsidR="00DD1B1B" w:rsidRDefault="00DD1B1B" w:rsidP="00DD1B1B">
      <w:pPr>
        <w:spacing w:after="0" w:line="240" w:lineRule="auto"/>
        <w:jc w:val="both"/>
        <w:rPr>
          <w:rFonts w:ascii="Arial" w:hAnsi="Arial" w:cs="Arial"/>
          <w:b/>
          <w:i/>
          <w:color w:val="FF0000"/>
          <w:sz w:val="20"/>
          <w:szCs w:val="20"/>
          <w:u w:val="single"/>
        </w:rPr>
      </w:pPr>
    </w:p>
    <w:p w14:paraId="10F33EDF" w14:textId="77777777" w:rsidR="00DD1B1B" w:rsidRDefault="00DD1B1B" w:rsidP="00DD1B1B">
      <w:pPr>
        <w:spacing w:after="0" w:line="240" w:lineRule="auto"/>
        <w:jc w:val="both"/>
        <w:rPr>
          <w:rFonts w:ascii="Arial" w:hAnsi="Arial" w:cs="Arial"/>
          <w:b/>
          <w:i/>
          <w:color w:val="FF0000"/>
          <w:sz w:val="20"/>
          <w:szCs w:val="20"/>
          <w:u w:val="single"/>
        </w:rPr>
      </w:pPr>
    </w:p>
    <w:p w14:paraId="5EBF99B2" w14:textId="77777777" w:rsidR="00DD1B1B" w:rsidRDefault="00DD1B1B" w:rsidP="00DD1B1B">
      <w:pPr>
        <w:spacing w:after="0" w:line="240" w:lineRule="auto"/>
        <w:jc w:val="both"/>
        <w:rPr>
          <w:rFonts w:ascii="Arial" w:hAnsi="Arial" w:cs="Arial"/>
          <w:b/>
          <w:i/>
          <w:color w:val="FF0000"/>
          <w:sz w:val="20"/>
          <w:szCs w:val="20"/>
          <w:u w:val="single"/>
        </w:rPr>
      </w:pPr>
    </w:p>
    <w:p w14:paraId="777833B4" w14:textId="77777777" w:rsidR="00DD1B1B" w:rsidRDefault="00DD1B1B" w:rsidP="00DD1B1B">
      <w:pPr>
        <w:spacing w:after="0" w:line="240" w:lineRule="auto"/>
        <w:jc w:val="both"/>
        <w:rPr>
          <w:rFonts w:ascii="Arial" w:hAnsi="Arial" w:cs="Arial"/>
          <w:b/>
          <w:i/>
          <w:color w:val="FF0000"/>
          <w:sz w:val="20"/>
          <w:szCs w:val="20"/>
          <w:u w:val="single"/>
        </w:rPr>
      </w:pPr>
    </w:p>
    <w:p w14:paraId="59646BC3" w14:textId="77777777" w:rsidR="00DD1B1B" w:rsidRDefault="00DD1B1B" w:rsidP="00DD1B1B">
      <w:pPr>
        <w:spacing w:after="0" w:line="240" w:lineRule="auto"/>
        <w:jc w:val="both"/>
        <w:rPr>
          <w:rFonts w:ascii="Arial" w:hAnsi="Arial" w:cs="Arial"/>
          <w:b/>
          <w:i/>
          <w:color w:val="FF0000"/>
          <w:sz w:val="20"/>
          <w:szCs w:val="20"/>
          <w:u w:val="single"/>
        </w:rPr>
      </w:pPr>
    </w:p>
    <w:p w14:paraId="7C86FCEA" w14:textId="77777777" w:rsidR="00DD1B1B" w:rsidRDefault="00DD1B1B" w:rsidP="00DD1B1B">
      <w:pPr>
        <w:spacing w:after="0" w:line="240" w:lineRule="auto"/>
        <w:jc w:val="both"/>
        <w:rPr>
          <w:rFonts w:ascii="Arial" w:hAnsi="Arial" w:cs="Arial"/>
          <w:b/>
          <w:i/>
          <w:color w:val="FF0000"/>
          <w:sz w:val="20"/>
          <w:szCs w:val="20"/>
          <w:u w:val="single"/>
        </w:rPr>
      </w:pPr>
    </w:p>
    <w:p w14:paraId="61A19E7B" w14:textId="77777777" w:rsidR="00DD1B1B" w:rsidRDefault="00DD1B1B" w:rsidP="00DD1B1B">
      <w:pPr>
        <w:spacing w:after="0" w:line="240" w:lineRule="auto"/>
        <w:jc w:val="both"/>
        <w:rPr>
          <w:rFonts w:ascii="Arial" w:hAnsi="Arial" w:cs="Arial"/>
          <w:b/>
          <w:i/>
          <w:color w:val="FF0000"/>
          <w:sz w:val="20"/>
          <w:szCs w:val="20"/>
          <w:u w:val="single"/>
        </w:rPr>
      </w:pPr>
    </w:p>
    <w:p w14:paraId="1049D018" w14:textId="77777777" w:rsidR="00DD1B1B" w:rsidRDefault="00DD1B1B" w:rsidP="00DD1B1B">
      <w:pPr>
        <w:spacing w:after="0" w:line="240" w:lineRule="auto"/>
        <w:jc w:val="both"/>
        <w:rPr>
          <w:rFonts w:ascii="Arial" w:hAnsi="Arial" w:cs="Arial"/>
          <w:b/>
          <w:i/>
          <w:color w:val="FF0000"/>
          <w:sz w:val="20"/>
          <w:szCs w:val="20"/>
          <w:u w:val="single"/>
        </w:rPr>
      </w:pPr>
    </w:p>
    <w:p w14:paraId="7AC0E269" w14:textId="77777777" w:rsidR="00DD1B1B" w:rsidRDefault="00DD1B1B" w:rsidP="00DD1B1B">
      <w:pPr>
        <w:spacing w:after="0" w:line="240" w:lineRule="auto"/>
        <w:jc w:val="both"/>
        <w:rPr>
          <w:rFonts w:ascii="Arial" w:hAnsi="Arial" w:cs="Arial"/>
          <w:b/>
          <w:i/>
          <w:color w:val="FF0000"/>
          <w:sz w:val="20"/>
          <w:szCs w:val="20"/>
          <w:u w:val="single"/>
        </w:rPr>
      </w:pPr>
    </w:p>
    <w:p w14:paraId="54BAD11A" w14:textId="77777777" w:rsidR="00DD1B1B" w:rsidRDefault="00DD1B1B" w:rsidP="00DD1B1B">
      <w:pPr>
        <w:spacing w:after="0" w:line="240" w:lineRule="auto"/>
        <w:jc w:val="both"/>
        <w:rPr>
          <w:rFonts w:ascii="Arial" w:hAnsi="Arial" w:cs="Arial"/>
          <w:b/>
          <w:i/>
          <w:color w:val="FF0000"/>
          <w:sz w:val="20"/>
          <w:szCs w:val="20"/>
          <w:u w:val="single"/>
        </w:rPr>
      </w:pPr>
    </w:p>
    <w:p w14:paraId="1DF4AF22" w14:textId="77777777" w:rsidR="00DD1B1B" w:rsidRDefault="00DD1B1B" w:rsidP="00DD1B1B">
      <w:pPr>
        <w:spacing w:after="0" w:line="240" w:lineRule="auto"/>
        <w:jc w:val="both"/>
        <w:rPr>
          <w:rFonts w:ascii="Arial" w:hAnsi="Arial" w:cs="Arial"/>
          <w:b/>
          <w:i/>
          <w:color w:val="FF0000"/>
          <w:sz w:val="20"/>
          <w:szCs w:val="20"/>
          <w:u w:val="single"/>
        </w:rPr>
      </w:pPr>
    </w:p>
    <w:p w14:paraId="4EEF7947" w14:textId="77777777" w:rsidR="00DD1B1B" w:rsidRDefault="00DD1B1B" w:rsidP="00DD1B1B">
      <w:pPr>
        <w:spacing w:after="0" w:line="240" w:lineRule="auto"/>
        <w:jc w:val="both"/>
        <w:rPr>
          <w:rFonts w:ascii="Arial" w:hAnsi="Arial" w:cs="Arial"/>
          <w:b/>
          <w:i/>
          <w:color w:val="FF0000"/>
          <w:sz w:val="20"/>
          <w:szCs w:val="20"/>
          <w:u w:val="single"/>
        </w:rPr>
      </w:pPr>
    </w:p>
    <w:p w14:paraId="540C6F09" w14:textId="77777777" w:rsidR="00DD1B1B" w:rsidRDefault="00DD1B1B" w:rsidP="00DD1B1B">
      <w:pPr>
        <w:spacing w:after="0" w:line="240" w:lineRule="auto"/>
        <w:jc w:val="both"/>
        <w:rPr>
          <w:rFonts w:ascii="Arial" w:hAnsi="Arial" w:cs="Arial"/>
          <w:b/>
          <w:i/>
          <w:color w:val="FF0000"/>
          <w:sz w:val="20"/>
          <w:szCs w:val="20"/>
          <w:u w:val="single"/>
        </w:rPr>
      </w:pPr>
    </w:p>
    <w:p w14:paraId="7C0C88BA" w14:textId="77777777" w:rsidR="00DD1B1B" w:rsidRDefault="00DD1B1B" w:rsidP="00DD1B1B">
      <w:pPr>
        <w:spacing w:after="0" w:line="240" w:lineRule="auto"/>
        <w:jc w:val="both"/>
        <w:rPr>
          <w:rFonts w:ascii="Arial" w:hAnsi="Arial" w:cs="Arial"/>
          <w:b/>
          <w:i/>
          <w:color w:val="FF0000"/>
          <w:sz w:val="20"/>
          <w:szCs w:val="20"/>
          <w:u w:val="single"/>
        </w:rPr>
      </w:pPr>
    </w:p>
    <w:p w14:paraId="07E64D52" w14:textId="77777777" w:rsidR="00DD1B1B" w:rsidRDefault="00DD1B1B" w:rsidP="00DD1B1B">
      <w:pPr>
        <w:spacing w:after="0" w:line="240" w:lineRule="auto"/>
        <w:jc w:val="both"/>
        <w:rPr>
          <w:rFonts w:ascii="Arial" w:hAnsi="Arial" w:cs="Arial"/>
          <w:b/>
          <w:i/>
          <w:color w:val="FF0000"/>
          <w:sz w:val="20"/>
          <w:szCs w:val="20"/>
          <w:u w:val="single"/>
        </w:rPr>
      </w:pPr>
    </w:p>
    <w:p w14:paraId="2930FF1C" w14:textId="77777777" w:rsidR="00DD1B1B" w:rsidRDefault="00DD1B1B" w:rsidP="00DD1B1B">
      <w:pPr>
        <w:spacing w:after="0" w:line="240" w:lineRule="auto"/>
        <w:jc w:val="both"/>
        <w:rPr>
          <w:rFonts w:ascii="Arial" w:hAnsi="Arial" w:cs="Arial"/>
          <w:b/>
          <w:i/>
          <w:color w:val="FF0000"/>
          <w:sz w:val="20"/>
          <w:szCs w:val="20"/>
          <w:u w:val="single"/>
        </w:rPr>
      </w:pPr>
    </w:p>
    <w:p w14:paraId="57B7911D" w14:textId="77777777" w:rsidR="00DD1B1B" w:rsidRDefault="00DD1B1B" w:rsidP="00DD1B1B">
      <w:pPr>
        <w:spacing w:after="0" w:line="240" w:lineRule="auto"/>
        <w:jc w:val="both"/>
        <w:rPr>
          <w:rFonts w:ascii="Arial" w:hAnsi="Arial" w:cs="Arial"/>
          <w:b/>
          <w:i/>
          <w:color w:val="FF0000"/>
          <w:sz w:val="20"/>
          <w:szCs w:val="20"/>
          <w:u w:val="single"/>
        </w:rPr>
      </w:pPr>
    </w:p>
    <w:p w14:paraId="3846EB5D" w14:textId="77777777" w:rsidR="00DD1B1B" w:rsidRDefault="00DD1B1B" w:rsidP="00DD1B1B">
      <w:pPr>
        <w:spacing w:after="0" w:line="240" w:lineRule="auto"/>
        <w:jc w:val="both"/>
        <w:rPr>
          <w:rFonts w:ascii="Arial" w:hAnsi="Arial" w:cs="Arial"/>
          <w:b/>
          <w:i/>
          <w:color w:val="FF0000"/>
          <w:sz w:val="20"/>
          <w:szCs w:val="20"/>
          <w:u w:val="single"/>
        </w:rPr>
      </w:pPr>
    </w:p>
    <w:p w14:paraId="13C022DC" w14:textId="77777777" w:rsidR="00DD1B1B" w:rsidRDefault="00DD1B1B" w:rsidP="00DD1B1B">
      <w:pPr>
        <w:spacing w:after="0" w:line="240" w:lineRule="auto"/>
        <w:jc w:val="both"/>
        <w:rPr>
          <w:rFonts w:ascii="Arial" w:hAnsi="Arial" w:cs="Arial"/>
          <w:b/>
          <w:i/>
          <w:color w:val="FF0000"/>
          <w:sz w:val="20"/>
          <w:szCs w:val="20"/>
          <w:u w:val="single"/>
        </w:rPr>
      </w:pPr>
    </w:p>
    <w:p w14:paraId="4D05FDC1" w14:textId="77777777" w:rsidR="00DD1B1B" w:rsidRDefault="00DD1B1B" w:rsidP="00DD1B1B">
      <w:pPr>
        <w:spacing w:after="0" w:line="240" w:lineRule="auto"/>
        <w:jc w:val="both"/>
        <w:rPr>
          <w:rFonts w:ascii="Arial" w:hAnsi="Arial" w:cs="Arial"/>
          <w:b/>
          <w:i/>
          <w:color w:val="FF0000"/>
          <w:sz w:val="20"/>
          <w:szCs w:val="20"/>
          <w:u w:val="single"/>
        </w:rPr>
      </w:pPr>
    </w:p>
    <w:p w14:paraId="79E4B8EA" w14:textId="77777777" w:rsidR="00DD1B1B" w:rsidRPr="008C01E9" w:rsidRDefault="00DD1B1B" w:rsidP="00DD1B1B">
      <w:pPr>
        <w:spacing w:after="0" w:line="240" w:lineRule="auto"/>
        <w:jc w:val="both"/>
        <w:rPr>
          <w:rFonts w:ascii="Arial" w:hAnsi="Arial" w:cs="Arial"/>
          <w:b/>
          <w:i/>
          <w:sz w:val="20"/>
          <w:szCs w:val="16"/>
          <w:u w:val="single"/>
        </w:rPr>
      </w:pPr>
      <w:r w:rsidRPr="008C01E9">
        <w:rPr>
          <w:rFonts w:ascii="Arial" w:hAnsi="Arial" w:cs="Arial"/>
          <w:b/>
          <w:i/>
          <w:sz w:val="20"/>
          <w:szCs w:val="16"/>
        </w:rPr>
        <w:t>Figura II.2.1.1.</w:t>
      </w:r>
      <w:r>
        <w:rPr>
          <w:rFonts w:ascii="Arial" w:hAnsi="Arial" w:cs="Arial"/>
          <w:b/>
          <w:i/>
          <w:sz w:val="20"/>
          <w:szCs w:val="16"/>
        </w:rPr>
        <w:t>5</w:t>
      </w:r>
      <w:r w:rsidRPr="008C01E9">
        <w:rPr>
          <w:rFonts w:ascii="Arial" w:hAnsi="Arial" w:cs="Arial"/>
          <w:b/>
          <w:i/>
          <w:sz w:val="20"/>
          <w:szCs w:val="16"/>
        </w:rPr>
        <w:t xml:space="preserve"> Substanțe prioritare monitorizate în cursurile de apă pe spații /bazine hidrografice în anul 2022 (nr.) – </w:t>
      </w:r>
      <w:r w:rsidRPr="008C01E9">
        <w:rPr>
          <w:rFonts w:ascii="Arial" w:hAnsi="Arial" w:cs="Arial"/>
          <w:b/>
          <w:i/>
          <w:sz w:val="20"/>
          <w:szCs w:val="16"/>
          <w:u w:val="single"/>
        </w:rPr>
        <w:t>mediul de investigare APĂ</w:t>
      </w:r>
    </w:p>
    <w:p w14:paraId="5696E71C" w14:textId="77777777" w:rsidR="00DD1B1B" w:rsidRPr="00116CA7" w:rsidRDefault="00DD1B1B" w:rsidP="00DD1B1B">
      <w:pPr>
        <w:spacing w:after="0" w:line="240" w:lineRule="auto"/>
        <w:jc w:val="both"/>
        <w:rPr>
          <w:rFonts w:ascii="Arial" w:hAnsi="Arial" w:cs="Arial"/>
          <w:b/>
          <w:i/>
          <w:color w:val="FF0000"/>
          <w:sz w:val="20"/>
          <w:szCs w:val="20"/>
          <w:u w:val="single"/>
        </w:rPr>
      </w:pPr>
      <w:r>
        <w:rPr>
          <w:noProof/>
          <w:lang w:val="en-GB" w:eastAsia="en-GB"/>
        </w:rPr>
        <w:lastRenderedPageBreak/>
        <w:drawing>
          <wp:inline distT="0" distB="0" distL="0" distR="0" wp14:anchorId="2512F133" wp14:editId="62BBE500">
            <wp:extent cx="6431280" cy="3497580"/>
            <wp:effectExtent l="0" t="0" r="7620" b="7620"/>
            <wp:docPr id="2084169558" name="Chart 1">
              <a:extLst xmlns:a="http://schemas.openxmlformats.org/drawingml/2006/main">
                <a:ext uri="{FF2B5EF4-FFF2-40B4-BE49-F238E27FC236}">
                  <a16:creationId xmlns:a16="http://schemas.microsoft.com/office/drawing/2014/main" id="{6176F1AC-217D-405B-AAF8-3F7778625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62D11FB" w14:textId="77777777" w:rsidR="00DD1B1B" w:rsidRPr="00385E6B" w:rsidRDefault="00DD1B1B" w:rsidP="00DD1B1B">
      <w:pPr>
        <w:spacing w:after="0"/>
        <w:ind w:left="900" w:hanging="900"/>
        <w:jc w:val="both"/>
        <w:rPr>
          <w:rFonts w:ascii="Arial" w:hAnsi="Arial" w:cs="Arial"/>
          <w:i/>
          <w:iCs/>
          <w:sz w:val="20"/>
          <w:szCs w:val="20"/>
          <w:lang w:eastAsia="ro-RO"/>
        </w:rPr>
      </w:pPr>
      <w:r w:rsidRPr="00385E6B">
        <w:rPr>
          <w:rFonts w:ascii="Arial" w:hAnsi="Arial" w:cs="Arial"/>
          <w:i/>
          <w:iCs/>
          <w:sz w:val="20"/>
          <w:szCs w:val="20"/>
          <w:lang w:eastAsia="ro-RO"/>
        </w:rPr>
        <w:t>(Sursa: Administraţia Naţională “Apele Române”, Sinteza calităţii apelor din România în anul 2022)</w:t>
      </w:r>
    </w:p>
    <w:p w14:paraId="3A17D134" w14:textId="77777777" w:rsidR="00DD1B1B" w:rsidRPr="00116CA7" w:rsidRDefault="00DD1B1B" w:rsidP="00DD1B1B">
      <w:pPr>
        <w:spacing w:after="0" w:line="240" w:lineRule="auto"/>
        <w:rPr>
          <w:rFonts w:ascii="Arial" w:hAnsi="Arial" w:cs="Arial"/>
          <w:b/>
          <w:i/>
          <w:color w:val="FF0000"/>
          <w:sz w:val="20"/>
          <w:szCs w:val="16"/>
        </w:rPr>
      </w:pPr>
    </w:p>
    <w:p w14:paraId="3EC19E05" w14:textId="77777777" w:rsidR="00DD1B1B" w:rsidRPr="008C01E9" w:rsidRDefault="00DD1B1B" w:rsidP="00DD1B1B">
      <w:pPr>
        <w:spacing w:after="0" w:line="240" w:lineRule="auto"/>
        <w:jc w:val="both"/>
        <w:rPr>
          <w:rFonts w:ascii="Arial" w:hAnsi="Arial" w:cs="Arial"/>
          <w:b/>
          <w:i/>
          <w:sz w:val="20"/>
          <w:szCs w:val="16"/>
          <w:u w:val="single"/>
        </w:rPr>
      </w:pPr>
      <w:r w:rsidRPr="008C01E9">
        <w:rPr>
          <w:rFonts w:ascii="Arial" w:hAnsi="Arial" w:cs="Arial"/>
          <w:b/>
          <w:i/>
          <w:sz w:val="20"/>
          <w:szCs w:val="16"/>
        </w:rPr>
        <w:t>Figura II.2.1.1.</w:t>
      </w:r>
      <w:r>
        <w:rPr>
          <w:rFonts w:ascii="Arial" w:hAnsi="Arial" w:cs="Arial"/>
          <w:b/>
          <w:i/>
          <w:sz w:val="20"/>
          <w:szCs w:val="16"/>
        </w:rPr>
        <w:t>6</w:t>
      </w:r>
      <w:r w:rsidRPr="008C01E9">
        <w:rPr>
          <w:rFonts w:ascii="Arial" w:hAnsi="Arial" w:cs="Arial"/>
          <w:b/>
          <w:i/>
          <w:sz w:val="20"/>
          <w:szCs w:val="16"/>
        </w:rPr>
        <w:t xml:space="preserve">. Substanțe prioritare monitorizate în cursurile de apă pe spații / bazine hidrografice în anul 2021 (nr.) – </w:t>
      </w:r>
      <w:r w:rsidRPr="008C01E9">
        <w:rPr>
          <w:rFonts w:ascii="Arial" w:hAnsi="Arial" w:cs="Arial"/>
          <w:b/>
          <w:i/>
          <w:sz w:val="20"/>
          <w:szCs w:val="16"/>
          <w:u w:val="single"/>
        </w:rPr>
        <w:t>mediul de investigare BIOTA</w:t>
      </w:r>
    </w:p>
    <w:p w14:paraId="24D7EF66" w14:textId="77777777" w:rsidR="00DD1B1B" w:rsidRPr="00116CA7" w:rsidRDefault="00DD1B1B" w:rsidP="00DD1B1B">
      <w:pPr>
        <w:spacing w:after="0" w:line="240" w:lineRule="auto"/>
        <w:rPr>
          <w:rFonts w:ascii="Arial" w:hAnsi="Arial" w:cs="Arial"/>
          <w:b/>
          <w:i/>
          <w:color w:val="FF0000"/>
          <w:sz w:val="20"/>
          <w:szCs w:val="16"/>
        </w:rPr>
      </w:pPr>
      <w:r>
        <w:rPr>
          <w:noProof/>
          <w:lang w:val="en-GB" w:eastAsia="en-GB"/>
        </w:rPr>
        <w:drawing>
          <wp:inline distT="0" distB="0" distL="0" distR="0" wp14:anchorId="5D4D2909" wp14:editId="742C17A8">
            <wp:extent cx="6423660" cy="3497580"/>
            <wp:effectExtent l="0" t="0" r="15240" b="7620"/>
            <wp:docPr id="1573948024" name="Chart 1">
              <a:extLst xmlns:a="http://schemas.openxmlformats.org/drawingml/2006/main">
                <a:ext uri="{FF2B5EF4-FFF2-40B4-BE49-F238E27FC236}">
                  <a16:creationId xmlns:a16="http://schemas.microsoft.com/office/drawing/2014/main" id="{3FD4E4C0-F8C2-470D-9260-AABC28C04F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B07DDC5" w14:textId="77777777" w:rsidR="00DD1B1B" w:rsidRPr="00784650" w:rsidRDefault="00DD1B1B" w:rsidP="00DD1B1B">
      <w:pPr>
        <w:spacing w:after="0"/>
        <w:ind w:left="900" w:hanging="900"/>
        <w:jc w:val="both"/>
        <w:rPr>
          <w:rFonts w:ascii="Arial" w:hAnsi="Arial" w:cs="Arial"/>
          <w:i/>
          <w:iCs/>
          <w:sz w:val="20"/>
          <w:szCs w:val="20"/>
          <w:lang w:eastAsia="ro-RO"/>
        </w:rPr>
      </w:pPr>
      <w:r w:rsidRPr="00784650">
        <w:rPr>
          <w:rFonts w:ascii="Arial" w:hAnsi="Arial" w:cs="Arial"/>
          <w:i/>
          <w:iCs/>
          <w:sz w:val="20"/>
          <w:szCs w:val="20"/>
          <w:lang w:eastAsia="ro-RO"/>
        </w:rPr>
        <w:t>(Sursa: Administraţia Naţională “Apele Române”, Sinteza calităţii apelor din România în anul 2022)</w:t>
      </w:r>
    </w:p>
    <w:p w14:paraId="47D38D82" w14:textId="77777777" w:rsidR="00DD1B1B" w:rsidRPr="00116CA7" w:rsidRDefault="00DD1B1B" w:rsidP="00DD1B1B">
      <w:pPr>
        <w:spacing w:line="240" w:lineRule="auto"/>
        <w:jc w:val="both"/>
        <w:rPr>
          <w:rFonts w:ascii="Arial" w:hAnsi="Arial" w:cs="Arial"/>
          <w:b/>
          <w:color w:val="FF0000"/>
          <w:sz w:val="20"/>
          <w:szCs w:val="20"/>
        </w:rPr>
      </w:pPr>
    </w:p>
    <w:p w14:paraId="19E87DE2" w14:textId="77777777" w:rsidR="00DD1B1B" w:rsidRPr="00116CA7" w:rsidRDefault="00DD1B1B" w:rsidP="00DD1B1B">
      <w:pPr>
        <w:spacing w:line="240" w:lineRule="auto"/>
        <w:jc w:val="both"/>
        <w:rPr>
          <w:rFonts w:ascii="Arial" w:hAnsi="Arial" w:cs="Arial"/>
          <w:b/>
          <w:color w:val="FF0000"/>
          <w:sz w:val="20"/>
          <w:szCs w:val="20"/>
        </w:rPr>
      </w:pPr>
    </w:p>
    <w:p w14:paraId="07320FC9" w14:textId="77777777" w:rsidR="00DD1B1B" w:rsidRPr="00116CA7" w:rsidRDefault="00DD1B1B" w:rsidP="00DD1B1B">
      <w:pPr>
        <w:spacing w:line="240" w:lineRule="auto"/>
        <w:jc w:val="both"/>
        <w:rPr>
          <w:rFonts w:ascii="Arial" w:hAnsi="Arial" w:cs="Arial"/>
          <w:b/>
          <w:color w:val="FF0000"/>
          <w:sz w:val="20"/>
          <w:szCs w:val="20"/>
        </w:rPr>
      </w:pPr>
    </w:p>
    <w:p w14:paraId="26944CD7" w14:textId="77777777" w:rsidR="00DD1B1B" w:rsidRPr="00116CA7" w:rsidRDefault="00DD1B1B" w:rsidP="00DD1B1B">
      <w:pPr>
        <w:spacing w:line="240" w:lineRule="auto"/>
        <w:jc w:val="both"/>
        <w:rPr>
          <w:rFonts w:ascii="Arial" w:hAnsi="Arial" w:cs="Arial"/>
          <w:b/>
          <w:color w:val="FF0000"/>
          <w:sz w:val="20"/>
          <w:szCs w:val="20"/>
        </w:rPr>
      </w:pPr>
    </w:p>
    <w:p w14:paraId="22549E23" w14:textId="77777777" w:rsidR="00DD1B1B" w:rsidRPr="00116CA7" w:rsidRDefault="00DD1B1B" w:rsidP="00DD1B1B">
      <w:pPr>
        <w:spacing w:line="240" w:lineRule="auto"/>
        <w:jc w:val="both"/>
        <w:rPr>
          <w:rFonts w:ascii="Arial" w:hAnsi="Arial" w:cs="Arial"/>
          <w:b/>
          <w:color w:val="FF0000"/>
          <w:sz w:val="20"/>
          <w:szCs w:val="20"/>
        </w:rPr>
      </w:pPr>
    </w:p>
    <w:p w14:paraId="234369E0" w14:textId="77777777" w:rsidR="00DD1B1B" w:rsidRPr="008C01E9" w:rsidRDefault="00DD1B1B" w:rsidP="00DD1B1B">
      <w:pPr>
        <w:spacing w:after="0"/>
        <w:rPr>
          <w:rFonts w:ascii="Arial" w:hAnsi="Arial" w:cs="Arial"/>
          <w:b/>
          <w:sz w:val="24"/>
          <w:szCs w:val="24"/>
        </w:rPr>
      </w:pPr>
      <w:r w:rsidRPr="008C01E9">
        <w:rPr>
          <w:rFonts w:ascii="Arial" w:hAnsi="Arial" w:cs="Arial"/>
          <w:b/>
          <w:i/>
          <w:sz w:val="20"/>
          <w:szCs w:val="16"/>
        </w:rPr>
        <w:t>Tabelul II.2.1.1.</w:t>
      </w:r>
      <w:r>
        <w:rPr>
          <w:rFonts w:ascii="Arial" w:hAnsi="Arial" w:cs="Arial"/>
          <w:b/>
          <w:i/>
          <w:sz w:val="20"/>
          <w:szCs w:val="16"/>
        </w:rPr>
        <w:t>3</w:t>
      </w:r>
      <w:r w:rsidRPr="008C01E9">
        <w:rPr>
          <w:rFonts w:ascii="Arial" w:hAnsi="Arial" w:cs="Arial"/>
          <w:b/>
          <w:i/>
          <w:sz w:val="20"/>
          <w:szCs w:val="16"/>
        </w:rPr>
        <w:t>. Ponderea secțiunilor de monitorizare cu concentrație mai mare decât SCM (%) în perioada 2015 - 2022</w:t>
      </w:r>
    </w:p>
    <w:tbl>
      <w:tblPr>
        <w:tblW w:w="11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1050"/>
        <w:gridCol w:w="1080"/>
        <w:gridCol w:w="1170"/>
        <w:gridCol w:w="1170"/>
        <w:gridCol w:w="1170"/>
        <w:gridCol w:w="1260"/>
        <w:gridCol w:w="1080"/>
        <w:gridCol w:w="1080"/>
      </w:tblGrid>
      <w:tr w:rsidR="00DD1B1B" w:rsidRPr="00116CA7" w14:paraId="1276B44F" w14:textId="77777777" w:rsidTr="00C74E50">
        <w:trPr>
          <w:trHeight w:val="176"/>
          <w:jc w:val="center"/>
        </w:trPr>
        <w:tc>
          <w:tcPr>
            <w:tcW w:w="2100" w:type="dxa"/>
            <w:shd w:val="clear" w:color="auto" w:fill="00B0F0"/>
            <w:noWrap/>
            <w:vAlign w:val="center"/>
            <w:hideMark/>
          </w:tcPr>
          <w:p w14:paraId="6C4182F3"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Anul</w:t>
            </w:r>
          </w:p>
        </w:tc>
        <w:tc>
          <w:tcPr>
            <w:tcW w:w="1050" w:type="dxa"/>
            <w:shd w:val="clear" w:color="auto" w:fill="00B0F0"/>
            <w:vAlign w:val="center"/>
            <w:hideMark/>
          </w:tcPr>
          <w:p w14:paraId="2849968B"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2015</w:t>
            </w:r>
          </w:p>
        </w:tc>
        <w:tc>
          <w:tcPr>
            <w:tcW w:w="1080" w:type="dxa"/>
            <w:shd w:val="clear" w:color="auto" w:fill="00B0F0"/>
            <w:vAlign w:val="center"/>
            <w:hideMark/>
          </w:tcPr>
          <w:p w14:paraId="2A212C7D"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2016</w:t>
            </w:r>
          </w:p>
        </w:tc>
        <w:tc>
          <w:tcPr>
            <w:tcW w:w="1170" w:type="dxa"/>
            <w:shd w:val="clear" w:color="auto" w:fill="00B0F0"/>
            <w:noWrap/>
            <w:vAlign w:val="center"/>
            <w:hideMark/>
          </w:tcPr>
          <w:p w14:paraId="55B470A8"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2017</w:t>
            </w:r>
          </w:p>
        </w:tc>
        <w:tc>
          <w:tcPr>
            <w:tcW w:w="1170" w:type="dxa"/>
            <w:shd w:val="clear" w:color="auto" w:fill="00B0F0"/>
            <w:noWrap/>
            <w:vAlign w:val="center"/>
            <w:hideMark/>
          </w:tcPr>
          <w:p w14:paraId="0652AE2F"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2018</w:t>
            </w:r>
          </w:p>
        </w:tc>
        <w:tc>
          <w:tcPr>
            <w:tcW w:w="1170" w:type="dxa"/>
            <w:shd w:val="clear" w:color="auto" w:fill="00B0F0"/>
            <w:noWrap/>
            <w:vAlign w:val="center"/>
            <w:hideMark/>
          </w:tcPr>
          <w:p w14:paraId="2CF0E9B0"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2019</w:t>
            </w:r>
          </w:p>
        </w:tc>
        <w:tc>
          <w:tcPr>
            <w:tcW w:w="1260" w:type="dxa"/>
            <w:shd w:val="clear" w:color="auto" w:fill="00B0F0"/>
            <w:noWrap/>
            <w:vAlign w:val="center"/>
            <w:hideMark/>
          </w:tcPr>
          <w:p w14:paraId="3141C9A6"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2020</w:t>
            </w:r>
          </w:p>
        </w:tc>
        <w:tc>
          <w:tcPr>
            <w:tcW w:w="1080" w:type="dxa"/>
            <w:shd w:val="clear" w:color="auto" w:fill="00B0F0"/>
          </w:tcPr>
          <w:p w14:paraId="43E1AE6F"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2021</w:t>
            </w:r>
          </w:p>
        </w:tc>
        <w:tc>
          <w:tcPr>
            <w:tcW w:w="1080" w:type="dxa"/>
            <w:shd w:val="clear" w:color="auto" w:fill="00B0F0"/>
          </w:tcPr>
          <w:p w14:paraId="43EDBCF4" w14:textId="77777777" w:rsidR="00DD1B1B" w:rsidRPr="00FC53E3" w:rsidRDefault="00DD1B1B" w:rsidP="00C74E50">
            <w:pPr>
              <w:spacing w:after="0" w:line="240" w:lineRule="auto"/>
              <w:jc w:val="center"/>
              <w:rPr>
                <w:rFonts w:ascii="Arial" w:eastAsia="Times New Roman" w:hAnsi="Arial" w:cs="Arial"/>
                <w:b/>
                <w:bCs/>
                <w:sz w:val="20"/>
                <w:szCs w:val="20"/>
                <w:lang w:eastAsia="ro-RO"/>
              </w:rPr>
            </w:pPr>
            <w:r w:rsidRPr="00FC53E3">
              <w:rPr>
                <w:rFonts w:ascii="Arial" w:eastAsia="Times New Roman" w:hAnsi="Arial" w:cs="Arial"/>
                <w:b/>
                <w:bCs/>
                <w:sz w:val="20"/>
                <w:szCs w:val="20"/>
                <w:lang w:eastAsia="ro-RO"/>
              </w:rPr>
              <w:t>2022</w:t>
            </w:r>
          </w:p>
        </w:tc>
      </w:tr>
      <w:tr w:rsidR="00DD1B1B" w:rsidRPr="00116CA7" w14:paraId="73C78ED9" w14:textId="77777777" w:rsidTr="00C74E50">
        <w:trPr>
          <w:trHeight w:val="317"/>
          <w:jc w:val="center"/>
        </w:trPr>
        <w:tc>
          <w:tcPr>
            <w:tcW w:w="2100" w:type="dxa"/>
            <w:shd w:val="clear" w:color="000000" w:fill="FFFFFF"/>
            <w:vAlign w:val="center"/>
            <w:hideMark/>
          </w:tcPr>
          <w:p w14:paraId="6EF0021A"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lastRenderedPageBreak/>
              <w:t>Substanțe prioritare monitorizate (nr.)</w:t>
            </w:r>
          </w:p>
        </w:tc>
        <w:tc>
          <w:tcPr>
            <w:tcW w:w="1050" w:type="dxa"/>
            <w:shd w:val="clear" w:color="000000" w:fill="FFFFFF"/>
            <w:vAlign w:val="center"/>
            <w:hideMark/>
          </w:tcPr>
          <w:p w14:paraId="088DA39F"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36</w:t>
            </w:r>
          </w:p>
        </w:tc>
        <w:tc>
          <w:tcPr>
            <w:tcW w:w="1080" w:type="dxa"/>
            <w:shd w:val="clear" w:color="000000" w:fill="FFFFFF"/>
            <w:vAlign w:val="center"/>
            <w:hideMark/>
          </w:tcPr>
          <w:p w14:paraId="3CCACE1F"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42</w:t>
            </w:r>
          </w:p>
        </w:tc>
        <w:tc>
          <w:tcPr>
            <w:tcW w:w="1170" w:type="dxa"/>
            <w:shd w:val="clear" w:color="000000" w:fill="FFFFFF"/>
            <w:noWrap/>
            <w:vAlign w:val="center"/>
            <w:hideMark/>
          </w:tcPr>
          <w:p w14:paraId="4B52606A"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33</w:t>
            </w:r>
          </w:p>
        </w:tc>
        <w:tc>
          <w:tcPr>
            <w:tcW w:w="1170" w:type="dxa"/>
            <w:shd w:val="clear" w:color="000000" w:fill="FFFFFF"/>
            <w:noWrap/>
            <w:vAlign w:val="center"/>
            <w:hideMark/>
          </w:tcPr>
          <w:p w14:paraId="3249A497"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35</w:t>
            </w:r>
          </w:p>
        </w:tc>
        <w:tc>
          <w:tcPr>
            <w:tcW w:w="1170" w:type="dxa"/>
            <w:shd w:val="clear" w:color="000000" w:fill="FFFFFF"/>
            <w:noWrap/>
            <w:vAlign w:val="center"/>
            <w:hideMark/>
          </w:tcPr>
          <w:p w14:paraId="4E3C05C7"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42</w:t>
            </w:r>
          </w:p>
        </w:tc>
        <w:tc>
          <w:tcPr>
            <w:tcW w:w="1260" w:type="dxa"/>
            <w:shd w:val="clear" w:color="000000" w:fill="FFFFFF"/>
            <w:noWrap/>
            <w:vAlign w:val="center"/>
            <w:hideMark/>
          </w:tcPr>
          <w:p w14:paraId="6FB683B9"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42</w:t>
            </w:r>
          </w:p>
        </w:tc>
        <w:tc>
          <w:tcPr>
            <w:tcW w:w="1080" w:type="dxa"/>
            <w:shd w:val="clear" w:color="000000" w:fill="FFFFFF"/>
            <w:vAlign w:val="center"/>
          </w:tcPr>
          <w:p w14:paraId="47E847A5"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41</w:t>
            </w:r>
          </w:p>
        </w:tc>
        <w:tc>
          <w:tcPr>
            <w:tcW w:w="1080" w:type="dxa"/>
            <w:shd w:val="clear" w:color="000000" w:fill="FFFFFF"/>
            <w:vAlign w:val="center"/>
          </w:tcPr>
          <w:p w14:paraId="35114D19" w14:textId="77777777" w:rsidR="00DD1B1B" w:rsidRPr="00FC53E3" w:rsidRDefault="00DD1B1B" w:rsidP="00C74E50">
            <w:pPr>
              <w:spacing w:after="0" w:line="240" w:lineRule="auto"/>
              <w:jc w:val="center"/>
              <w:rPr>
                <w:rFonts w:ascii="Arial" w:eastAsia="Times New Roman" w:hAnsi="Arial" w:cs="Arial"/>
                <w:sz w:val="20"/>
                <w:szCs w:val="20"/>
                <w:lang w:eastAsia="ro-RO"/>
              </w:rPr>
            </w:pPr>
            <w:r w:rsidRPr="00FC53E3">
              <w:rPr>
                <w:rFonts w:ascii="Arial" w:eastAsia="Times New Roman" w:hAnsi="Arial" w:cs="Arial"/>
                <w:sz w:val="20"/>
                <w:szCs w:val="20"/>
                <w:lang w:eastAsia="ro-RO"/>
              </w:rPr>
              <w:t>42</w:t>
            </w:r>
          </w:p>
        </w:tc>
      </w:tr>
      <w:tr w:rsidR="00DD1B1B" w:rsidRPr="00116CA7" w14:paraId="7247AD0C" w14:textId="77777777" w:rsidTr="00C74E50">
        <w:trPr>
          <w:trHeight w:val="317"/>
          <w:jc w:val="center"/>
        </w:trPr>
        <w:tc>
          <w:tcPr>
            <w:tcW w:w="2100" w:type="dxa"/>
            <w:shd w:val="clear" w:color="000000" w:fill="FFFFFF"/>
            <w:vAlign w:val="center"/>
            <w:hideMark/>
          </w:tcPr>
          <w:p w14:paraId="49C001B5"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Secțiuni de monitorizare (nr.)</w:t>
            </w:r>
          </w:p>
        </w:tc>
        <w:tc>
          <w:tcPr>
            <w:tcW w:w="1050" w:type="dxa"/>
            <w:shd w:val="clear" w:color="000000" w:fill="FFFFFF"/>
            <w:vAlign w:val="center"/>
            <w:hideMark/>
          </w:tcPr>
          <w:p w14:paraId="660E65BA"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435</w:t>
            </w:r>
          </w:p>
        </w:tc>
        <w:tc>
          <w:tcPr>
            <w:tcW w:w="1080" w:type="dxa"/>
            <w:shd w:val="clear" w:color="000000" w:fill="FFFFFF"/>
            <w:vAlign w:val="center"/>
            <w:hideMark/>
          </w:tcPr>
          <w:p w14:paraId="51617CC4"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392</w:t>
            </w:r>
          </w:p>
        </w:tc>
        <w:tc>
          <w:tcPr>
            <w:tcW w:w="1170" w:type="dxa"/>
            <w:shd w:val="clear" w:color="000000" w:fill="FFFFFF"/>
            <w:noWrap/>
            <w:vAlign w:val="center"/>
            <w:hideMark/>
          </w:tcPr>
          <w:p w14:paraId="23FC5022"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385</w:t>
            </w:r>
          </w:p>
        </w:tc>
        <w:tc>
          <w:tcPr>
            <w:tcW w:w="1170" w:type="dxa"/>
            <w:shd w:val="clear" w:color="000000" w:fill="FFFFFF"/>
            <w:noWrap/>
            <w:vAlign w:val="center"/>
            <w:hideMark/>
          </w:tcPr>
          <w:p w14:paraId="219AF588"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615</w:t>
            </w:r>
          </w:p>
        </w:tc>
        <w:tc>
          <w:tcPr>
            <w:tcW w:w="1170" w:type="dxa"/>
            <w:shd w:val="clear" w:color="000000" w:fill="FFFFFF"/>
            <w:noWrap/>
            <w:vAlign w:val="center"/>
            <w:hideMark/>
          </w:tcPr>
          <w:p w14:paraId="50CA1954"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611</w:t>
            </w:r>
          </w:p>
        </w:tc>
        <w:tc>
          <w:tcPr>
            <w:tcW w:w="1260" w:type="dxa"/>
            <w:shd w:val="clear" w:color="000000" w:fill="FFFFFF"/>
            <w:noWrap/>
            <w:vAlign w:val="center"/>
            <w:hideMark/>
          </w:tcPr>
          <w:p w14:paraId="743A8AD2"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628</w:t>
            </w:r>
          </w:p>
        </w:tc>
        <w:tc>
          <w:tcPr>
            <w:tcW w:w="1080" w:type="dxa"/>
            <w:shd w:val="clear" w:color="000000" w:fill="FFFFFF"/>
            <w:vAlign w:val="center"/>
          </w:tcPr>
          <w:p w14:paraId="04EC9C4B"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623</w:t>
            </w:r>
          </w:p>
        </w:tc>
        <w:tc>
          <w:tcPr>
            <w:tcW w:w="1080" w:type="dxa"/>
            <w:shd w:val="clear" w:color="000000" w:fill="FFFFFF"/>
            <w:vAlign w:val="center"/>
          </w:tcPr>
          <w:p w14:paraId="0434A26C" w14:textId="77777777" w:rsidR="00DD1B1B" w:rsidRPr="00FC53E3" w:rsidRDefault="00DD1B1B" w:rsidP="00C74E50">
            <w:pPr>
              <w:spacing w:after="0" w:line="240" w:lineRule="auto"/>
              <w:jc w:val="center"/>
              <w:rPr>
                <w:rFonts w:ascii="Arial" w:eastAsia="Times New Roman" w:hAnsi="Arial" w:cs="Arial"/>
                <w:sz w:val="20"/>
                <w:szCs w:val="20"/>
                <w:lang w:eastAsia="ro-RO"/>
              </w:rPr>
            </w:pPr>
            <w:r w:rsidRPr="00FC53E3">
              <w:rPr>
                <w:rFonts w:ascii="Arial" w:eastAsia="Times New Roman" w:hAnsi="Arial" w:cs="Arial"/>
                <w:sz w:val="20"/>
                <w:szCs w:val="20"/>
                <w:lang w:eastAsia="ro-RO"/>
              </w:rPr>
              <w:t>683</w:t>
            </w:r>
          </w:p>
        </w:tc>
      </w:tr>
      <w:tr w:rsidR="00DD1B1B" w:rsidRPr="00116CA7" w14:paraId="5A17F1E8" w14:textId="77777777" w:rsidTr="00C74E50">
        <w:trPr>
          <w:trHeight w:val="491"/>
          <w:jc w:val="center"/>
        </w:trPr>
        <w:tc>
          <w:tcPr>
            <w:tcW w:w="2100" w:type="dxa"/>
            <w:shd w:val="clear" w:color="000000" w:fill="FFFFFF"/>
            <w:vAlign w:val="center"/>
            <w:hideMark/>
          </w:tcPr>
          <w:p w14:paraId="42C69ED1" w14:textId="77777777" w:rsidR="00DD1B1B" w:rsidRPr="00385E6B" w:rsidRDefault="00DD1B1B" w:rsidP="00C74E50">
            <w:pPr>
              <w:spacing w:after="0" w:line="240" w:lineRule="auto"/>
              <w:jc w:val="center"/>
              <w:rPr>
                <w:rFonts w:ascii="Arial" w:eastAsia="Times New Roman" w:hAnsi="Arial" w:cs="Arial"/>
                <w:b/>
                <w:bCs/>
                <w:sz w:val="20"/>
                <w:szCs w:val="20"/>
                <w:lang w:eastAsia="ro-RO"/>
              </w:rPr>
            </w:pPr>
            <w:r w:rsidRPr="00385E6B">
              <w:rPr>
                <w:rFonts w:ascii="Arial" w:eastAsia="Times New Roman" w:hAnsi="Arial" w:cs="Arial"/>
                <w:b/>
                <w:bCs/>
                <w:sz w:val="20"/>
                <w:szCs w:val="20"/>
                <w:lang w:eastAsia="ro-RO"/>
              </w:rPr>
              <w:t>Ponderea secțiunilor cu  concentrație mai mare decat SCM (%)</w:t>
            </w:r>
          </w:p>
        </w:tc>
        <w:tc>
          <w:tcPr>
            <w:tcW w:w="1050" w:type="dxa"/>
            <w:shd w:val="clear" w:color="000000" w:fill="FFFFFF"/>
            <w:vAlign w:val="center"/>
            <w:hideMark/>
          </w:tcPr>
          <w:p w14:paraId="58C7A2B3"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3,44</w:t>
            </w:r>
          </w:p>
        </w:tc>
        <w:tc>
          <w:tcPr>
            <w:tcW w:w="1080" w:type="dxa"/>
            <w:shd w:val="clear" w:color="000000" w:fill="FFFFFF"/>
            <w:vAlign w:val="center"/>
            <w:hideMark/>
          </w:tcPr>
          <w:p w14:paraId="7DB980A5"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3,82</w:t>
            </w:r>
          </w:p>
        </w:tc>
        <w:tc>
          <w:tcPr>
            <w:tcW w:w="1170" w:type="dxa"/>
            <w:shd w:val="clear" w:color="000000" w:fill="FFFFFF"/>
            <w:noWrap/>
            <w:vAlign w:val="center"/>
            <w:hideMark/>
          </w:tcPr>
          <w:p w14:paraId="50892F0E"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5,71</w:t>
            </w:r>
          </w:p>
        </w:tc>
        <w:tc>
          <w:tcPr>
            <w:tcW w:w="1170" w:type="dxa"/>
            <w:shd w:val="clear" w:color="000000" w:fill="FFFFFF"/>
            <w:noWrap/>
            <w:vAlign w:val="center"/>
            <w:hideMark/>
          </w:tcPr>
          <w:p w14:paraId="39DF0254"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6,67</w:t>
            </w:r>
          </w:p>
        </w:tc>
        <w:tc>
          <w:tcPr>
            <w:tcW w:w="1170" w:type="dxa"/>
            <w:shd w:val="clear" w:color="000000" w:fill="FFFFFF"/>
            <w:noWrap/>
            <w:vAlign w:val="center"/>
            <w:hideMark/>
          </w:tcPr>
          <w:p w14:paraId="3B692CFA"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4,75</w:t>
            </w:r>
          </w:p>
        </w:tc>
        <w:tc>
          <w:tcPr>
            <w:tcW w:w="1260" w:type="dxa"/>
            <w:shd w:val="clear" w:color="000000" w:fill="FFFFFF"/>
            <w:noWrap/>
            <w:vAlign w:val="center"/>
            <w:hideMark/>
          </w:tcPr>
          <w:p w14:paraId="4CEF5234"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7,64</w:t>
            </w:r>
          </w:p>
        </w:tc>
        <w:tc>
          <w:tcPr>
            <w:tcW w:w="1080" w:type="dxa"/>
            <w:shd w:val="clear" w:color="000000" w:fill="FFFFFF"/>
            <w:vAlign w:val="center"/>
          </w:tcPr>
          <w:p w14:paraId="14317780" w14:textId="77777777" w:rsidR="00DD1B1B" w:rsidRPr="00385E6B" w:rsidRDefault="00DD1B1B" w:rsidP="00C74E50">
            <w:pPr>
              <w:spacing w:after="0" w:line="240" w:lineRule="auto"/>
              <w:jc w:val="center"/>
              <w:rPr>
                <w:rFonts w:ascii="Arial" w:eastAsia="Times New Roman" w:hAnsi="Arial" w:cs="Arial"/>
                <w:sz w:val="20"/>
                <w:szCs w:val="20"/>
                <w:lang w:eastAsia="ro-RO"/>
              </w:rPr>
            </w:pPr>
            <w:r w:rsidRPr="00385E6B">
              <w:rPr>
                <w:rFonts w:ascii="Arial" w:eastAsia="Times New Roman" w:hAnsi="Arial" w:cs="Arial"/>
                <w:sz w:val="20"/>
                <w:szCs w:val="20"/>
                <w:lang w:eastAsia="ro-RO"/>
              </w:rPr>
              <w:t>7,70</w:t>
            </w:r>
          </w:p>
        </w:tc>
        <w:tc>
          <w:tcPr>
            <w:tcW w:w="1080" w:type="dxa"/>
            <w:shd w:val="clear" w:color="000000" w:fill="FFFFFF"/>
            <w:vAlign w:val="center"/>
          </w:tcPr>
          <w:p w14:paraId="48C21E79" w14:textId="77777777" w:rsidR="00DD1B1B" w:rsidRPr="00116CA7" w:rsidRDefault="00DD1B1B" w:rsidP="00C74E50">
            <w:pPr>
              <w:spacing w:after="0" w:line="240" w:lineRule="auto"/>
              <w:jc w:val="center"/>
              <w:rPr>
                <w:rFonts w:ascii="Arial" w:eastAsia="Times New Roman" w:hAnsi="Arial" w:cs="Arial"/>
                <w:color w:val="FF0000"/>
                <w:sz w:val="20"/>
                <w:szCs w:val="20"/>
                <w:lang w:eastAsia="ro-RO"/>
              </w:rPr>
            </w:pPr>
            <w:r w:rsidRPr="00AE3026">
              <w:rPr>
                <w:rFonts w:ascii="Arial" w:eastAsia="Times New Roman" w:hAnsi="Arial" w:cs="Arial"/>
                <w:sz w:val="20"/>
                <w:szCs w:val="20"/>
                <w:lang w:eastAsia="ro-RO"/>
              </w:rPr>
              <w:t>5,71</w:t>
            </w:r>
          </w:p>
        </w:tc>
      </w:tr>
    </w:tbl>
    <w:p w14:paraId="63A824F9" w14:textId="77777777" w:rsidR="00DD1B1B" w:rsidRPr="00385E6B" w:rsidRDefault="00DD1B1B" w:rsidP="00DD1B1B">
      <w:pPr>
        <w:spacing w:after="0"/>
        <w:ind w:left="900" w:hanging="900"/>
        <w:jc w:val="both"/>
        <w:rPr>
          <w:rFonts w:ascii="Arial" w:hAnsi="Arial" w:cs="Arial"/>
          <w:i/>
          <w:iCs/>
          <w:sz w:val="20"/>
          <w:szCs w:val="20"/>
          <w:lang w:eastAsia="ro-RO"/>
        </w:rPr>
      </w:pPr>
      <w:r w:rsidRPr="00385E6B">
        <w:rPr>
          <w:rFonts w:ascii="Arial" w:hAnsi="Arial" w:cs="Arial"/>
          <w:i/>
          <w:iCs/>
          <w:sz w:val="20"/>
          <w:szCs w:val="20"/>
          <w:lang w:eastAsia="ro-RO"/>
        </w:rPr>
        <w:t>(Sursa: Administraţia Naţională “Apele Române”, Sinteza calităţii apelor din România în anul 2022)</w:t>
      </w:r>
    </w:p>
    <w:p w14:paraId="449F608A" w14:textId="77777777" w:rsidR="00DD1B1B" w:rsidRPr="00116CA7" w:rsidRDefault="00DD1B1B" w:rsidP="00DD1B1B">
      <w:pPr>
        <w:rPr>
          <w:color w:val="FF0000"/>
        </w:rPr>
      </w:pPr>
    </w:p>
    <w:p w14:paraId="3147602E" w14:textId="77777777" w:rsidR="00DD1B1B" w:rsidRPr="004714BC" w:rsidRDefault="00DD1B1B" w:rsidP="00DD1B1B">
      <w:pPr>
        <w:spacing w:after="0"/>
        <w:jc w:val="center"/>
        <w:rPr>
          <w:rFonts w:asciiTheme="minorBidi" w:hAnsiTheme="minorBidi"/>
          <w:b/>
          <w:sz w:val="24"/>
          <w:szCs w:val="24"/>
        </w:rPr>
      </w:pPr>
      <w:r w:rsidRPr="004714BC">
        <w:rPr>
          <w:rFonts w:asciiTheme="minorBidi" w:hAnsiTheme="minorBidi"/>
          <w:b/>
          <w:sz w:val="24"/>
          <w:szCs w:val="24"/>
          <w:highlight w:val="green"/>
        </w:rPr>
        <w:t>INDICATOR CSI 19. SUBSTANȚELE CONSUMATOARE DE OXIGEN DIN RÂURI (RO 19)</w:t>
      </w:r>
    </w:p>
    <w:p w14:paraId="1A419A95" w14:textId="77777777" w:rsidR="00DD1B1B" w:rsidRDefault="00DD1B1B" w:rsidP="00DD1B1B">
      <w:pPr>
        <w:autoSpaceDE w:val="0"/>
        <w:autoSpaceDN w:val="0"/>
        <w:adjustRightInd w:val="0"/>
        <w:spacing w:after="0"/>
        <w:ind w:firstLine="708"/>
        <w:jc w:val="both"/>
        <w:outlineLvl w:val="0"/>
        <w:rPr>
          <w:rFonts w:asciiTheme="minorBidi" w:hAnsiTheme="minorBidi"/>
          <w:bCs/>
          <w:sz w:val="24"/>
          <w:szCs w:val="24"/>
        </w:rPr>
      </w:pPr>
    </w:p>
    <w:p w14:paraId="61D3FFBF" w14:textId="77777777" w:rsidR="00DD1B1B" w:rsidRPr="00C36FEB" w:rsidRDefault="00DD1B1B" w:rsidP="00DD1B1B">
      <w:pPr>
        <w:autoSpaceDE w:val="0"/>
        <w:autoSpaceDN w:val="0"/>
        <w:adjustRightInd w:val="0"/>
        <w:ind w:firstLine="708"/>
        <w:jc w:val="both"/>
        <w:outlineLvl w:val="0"/>
        <w:rPr>
          <w:rFonts w:asciiTheme="minorBidi" w:hAnsiTheme="minorBidi"/>
          <w:bCs/>
          <w:sz w:val="24"/>
          <w:szCs w:val="24"/>
        </w:rPr>
      </w:pPr>
      <w:r w:rsidRPr="00C36FEB">
        <w:rPr>
          <w:rFonts w:asciiTheme="minorBidi" w:hAnsiTheme="minorBidi"/>
          <w:bCs/>
          <w:sz w:val="24"/>
          <w:szCs w:val="24"/>
        </w:rPr>
        <w:t xml:space="preserve">Evacuări de substanţe organice şi nutrienţi în resursele de apă de la aglomerările umane </w:t>
      </w:r>
      <w:r>
        <w:rPr>
          <w:rFonts w:asciiTheme="minorBidi" w:hAnsiTheme="minorBidi"/>
          <w:bCs/>
          <w:sz w:val="24"/>
          <w:szCs w:val="24"/>
        </w:rPr>
        <w:t xml:space="preserve">la </w:t>
      </w:r>
      <w:r w:rsidRPr="00C36FEB">
        <w:rPr>
          <w:rFonts w:asciiTheme="minorBidi" w:hAnsiTheme="minorBidi"/>
          <w:bCs/>
          <w:sz w:val="24"/>
          <w:szCs w:val="24"/>
        </w:rPr>
        <w:t>nivel național</w:t>
      </w:r>
      <w:r>
        <w:rPr>
          <w:rFonts w:asciiTheme="minorBidi" w:hAnsiTheme="minorBidi"/>
          <w:bCs/>
          <w:sz w:val="24"/>
          <w:szCs w:val="24"/>
        </w:rPr>
        <w:t>.</w:t>
      </w:r>
    </w:p>
    <w:p w14:paraId="1D073661" w14:textId="77777777" w:rsidR="00DD1B1B" w:rsidRPr="008C01E9" w:rsidRDefault="00DD1B1B" w:rsidP="00DD1B1B">
      <w:pPr>
        <w:autoSpaceDE w:val="0"/>
        <w:autoSpaceDN w:val="0"/>
        <w:adjustRightInd w:val="0"/>
        <w:spacing w:after="0"/>
        <w:ind w:left="284"/>
        <w:jc w:val="both"/>
        <w:outlineLvl w:val="0"/>
        <w:rPr>
          <w:rFonts w:asciiTheme="minorBidi" w:hAnsiTheme="minorBidi"/>
          <w:b/>
          <w:sz w:val="20"/>
          <w:szCs w:val="20"/>
        </w:rPr>
      </w:pPr>
      <w:r w:rsidRPr="008C01E9">
        <w:rPr>
          <w:rFonts w:ascii="Arial" w:hAnsi="Arial" w:cs="Arial"/>
          <w:b/>
          <w:i/>
          <w:sz w:val="20"/>
          <w:szCs w:val="16"/>
        </w:rPr>
        <w:t>Tabelul II.2.1.1.</w:t>
      </w:r>
      <w:r>
        <w:rPr>
          <w:rFonts w:ascii="Arial" w:hAnsi="Arial" w:cs="Arial"/>
          <w:b/>
          <w:i/>
          <w:sz w:val="20"/>
          <w:szCs w:val="16"/>
        </w:rPr>
        <w:t>4</w:t>
      </w:r>
      <w:r w:rsidRPr="008C01E9">
        <w:rPr>
          <w:rFonts w:ascii="Arial" w:hAnsi="Arial" w:cs="Arial"/>
          <w:b/>
          <w:i/>
          <w:sz w:val="20"/>
          <w:szCs w:val="16"/>
        </w:rPr>
        <w:t xml:space="preserve">. </w:t>
      </w:r>
      <w:r w:rsidRPr="008C01E9">
        <w:rPr>
          <w:rFonts w:asciiTheme="minorBidi" w:hAnsiTheme="minorBidi"/>
          <w:b/>
          <w:bCs/>
          <w:sz w:val="20"/>
          <w:szCs w:val="20"/>
        </w:rPr>
        <w:t>Cantități de poluanți evacuați în apele uzate (tone/an) în anul 2022</w:t>
      </w:r>
    </w:p>
    <w:tbl>
      <w:tblPr>
        <w:tblStyle w:val="TableGrid"/>
        <w:tblpPr w:leftFromText="180" w:rightFromText="180" w:vertAnchor="text" w:horzAnchor="page" w:tblpXSpec="center" w:tblpY="147"/>
        <w:tblW w:w="7645" w:type="dxa"/>
        <w:tblLook w:val="04A0" w:firstRow="1" w:lastRow="0" w:firstColumn="1" w:lastColumn="0" w:noHBand="0" w:noVBand="1"/>
      </w:tblPr>
      <w:tblGrid>
        <w:gridCol w:w="2425"/>
        <w:gridCol w:w="1260"/>
        <w:gridCol w:w="1350"/>
        <w:gridCol w:w="1350"/>
        <w:gridCol w:w="1260"/>
      </w:tblGrid>
      <w:tr w:rsidR="00DD1B1B" w:rsidRPr="0011216F" w14:paraId="4D034BD4" w14:textId="77777777" w:rsidTr="00C74E50">
        <w:trPr>
          <w:trHeight w:val="435"/>
        </w:trPr>
        <w:tc>
          <w:tcPr>
            <w:tcW w:w="2425" w:type="dxa"/>
            <w:vMerge w:val="restart"/>
            <w:shd w:val="clear" w:color="auto" w:fill="00B0F0"/>
            <w:vAlign w:val="center"/>
            <w:hideMark/>
          </w:tcPr>
          <w:p w14:paraId="38BDE19C"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Categorie aglomer</w:t>
            </w:r>
            <w:r>
              <w:rPr>
                <w:rFonts w:asciiTheme="minorBidi" w:hAnsiTheme="minorBidi"/>
                <w:b/>
                <w:bCs/>
              </w:rPr>
              <w:t>ă</w:t>
            </w:r>
            <w:r w:rsidRPr="0011216F">
              <w:rPr>
                <w:rFonts w:asciiTheme="minorBidi" w:hAnsiTheme="minorBidi"/>
                <w:b/>
                <w:bCs/>
              </w:rPr>
              <w:t>ri</w:t>
            </w:r>
          </w:p>
          <w:p w14:paraId="6784E441"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umane</w:t>
            </w:r>
          </w:p>
        </w:tc>
        <w:tc>
          <w:tcPr>
            <w:tcW w:w="5220" w:type="dxa"/>
            <w:gridSpan w:val="4"/>
            <w:shd w:val="clear" w:color="auto" w:fill="00B0F0"/>
            <w:noWrap/>
            <w:vAlign w:val="center"/>
            <w:hideMark/>
          </w:tcPr>
          <w:p w14:paraId="70356F7F"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Cantități de poluanți evacuați în apele uzate (tone/an)</w:t>
            </w:r>
            <w:r>
              <w:rPr>
                <w:rFonts w:asciiTheme="minorBidi" w:hAnsiTheme="minorBidi"/>
                <w:b/>
                <w:bCs/>
              </w:rPr>
              <w:t xml:space="preserve"> în anul 2022</w:t>
            </w:r>
          </w:p>
        </w:tc>
      </w:tr>
      <w:tr w:rsidR="00DD1B1B" w:rsidRPr="0011216F" w14:paraId="1C0FADAA" w14:textId="77777777" w:rsidTr="00C74E50">
        <w:trPr>
          <w:trHeight w:val="363"/>
        </w:trPr>
        <w:tc>
          <w:tcPr>
            <w:tcW w:w="2425" w:type="dxa"/>
            <w:vMerge/>
            <w:shd w:val="clear" w:color="auto" w:fill="00B0F0"/>
            <w:vAlign w:val="center"/>
            <w:hideMark/>
          </w:tcPr>
          <w:p w14:paraId="1280E50D" w14:textId="77777777" w:rsidR="00DD1B1B" w:rsidRPr="0011216F" w:rsidRDefault="00DD1B1B" w:rsidP="00C74E50">
            <w:pPr>
              <w:ind w:right="-113"/>
              <w:jc w:val="center"/>
              <w:rPr>
                <w:rFonts w:asciiTheme="minorBidi" w:hAnsiTheme="minorBidi"/>
                <w:b/>
                <w:bCs/>
              </w:rPr>
            </w:pPr>
          </w:p>
        </w:tc>
        <w:tc>
          <w:tcPr>
            <w:tcW w:w="1260" w:type="dxa"/>
            <w:shd w:val="clear" w:color="auto" w:fill="00B0F0"/>
            <w:vAlign w:val="center"/>
            <w:hideMark/>
          </w:tcPr>
          <w:p w14:paraId="75DFDFD0"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CBO5</w:t>
            </w:r>
          </w:p>
        </w:tc>
        <w:tc>
          <w:tcPr>
            <w:tcW w:w="1350" w:type="dxa"/>
            <w:shd w:val="clear" w:color="auto" w:fill="00B0F0"/>
            <w:vAlign w:val="center"/>
            <w:hideMark/>
          </w:tcPr>
          <w:p w14:paraId="289A2254"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CCO-Cr</w:t>
            </w:r>
          </w:p>
        </w:tc>
        <w:tc>
          <w:tcPr>
            <w:tcW w:w="1350" w:type="dxa"/>
            <w:shd w:val="clear" w:color="auto" w:fill="00B0F0"/>
            <w:vAlign w:val="center"/>
            <w:hideMark/>
          </w:tcPr>
          <w:p w14:paraId="3C23BC6B"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N total</w:t>
            </w:r>
          </w:p>
        </w:tc>
        <w:tc>
          <w:tcPr>
            <w:tcW w:w="1260" w:type="dxa"/>
            <w:shd w:val="clear" w:color="auto" w:fill="00B0F0"/>
            <w:vAlign w:val="center"/>
            <w:hideMark/>
          </w:tcPr>
          <w:p w14:paraId="42002EC9" w14:textId="77777777" w:rsidR="00DD1B1B" w:rsidRPr="0011216F" w:rsidRDefault="00DD1B1B" w:rsidP="00C74E50">
            <w:pPr>
              <w:ind w:right="-113"/>
              <w:jc w:val="center"/>
              <w:rPr>
                <w:rFonts w:asciiTheme="minorBidi" w:hAnsiTheme="minorBidi"/>
                <w:b/>
                <w:bCs/>
              </w:rPr>
            </w:pPr>
            <w:r w:rsidRPr="0011216F">
              <w:rPr>
                <w:rFonts w:asciiTheme="minorBidi" w:hAnsiTheme="minorBidi"/>
                <w:b/>
                <w:bCs/>
              </w:rPr>
              <w:t>P total</w:t>
            </w:r>
          </w:p>
        </w:tc>
      </w:tr>
      <w:tr w:rsidR="00DD1B1B" w:rsidRPr="0011216F" w14:paraId="1E6DD943" w14:textId="77777777" w:rsidTr="00C74E50">
        <w:trPr>
          <w:trHeight w:val="365"/>
        </w:trPr>
        <w:tc>
          <w:tcPr>
            <w:tcW w:w="2425" w:type="dxa"/>
            <w:noWrap/>
            <w:vAlign w:val="center"/>
            <w:hideMark/>
          </w:tcPr>
          <w:p w14:paraId="208601AA" w14:textId="77777777" w:rsidR="00DD1B1B" w:rsidRPr="0011216F" w:rsidRDefault="00DD1B1B" w:rsidP="00C74E50">
            <w:pPr>
              <w:jc w:val="center"/>
              <w:rPr>
                <w:rFonts w:asciiTheme="minorBidi" w:hAnsiTheme="minorBidi"/>
              </w:rPr>
            </w:pPr>
            <w:r w:rsidRPr="0011216F">
              <w:rPr>
                <w:rFonts w:asciiTheme="minorBidi" w:hAnsiTheme="minorBidi"/>
              </w:rPr>
              <w:t>&gt; 100 000 l.e.</w:t>
            </w:r>
          </w:p>
        </w:tc>
        <w:tc>
          <w:tcPr>
            <w:tcW w:w="1260" w:type="dxa"/>
            <w:noWrap/>
            <w:vAlign w:val="center"/>
          </w:tcPr>
          <w:p w14:paraId="4FFAA55B" w14:textId="77777777" w:rsidR="00DD1B1B" w:rsidRPr="0011216F" w:rsidRDefault="00DD1B1B" w:rsidP="00C74E50">
            <w:pPr>
              <w:jc w:val="center"/>
              <w:rPr>
                <w:rFonts w:asciiTheme="minorBidi" w:hAnsiTheme="minorBidi"/>
              </w:rPr>
            </w:pPr>
            <w:r w:rsidRPr="0011216F">
              <w:rPr>
                <w:rFonts w:asciiTheme="minorBidi" w:hAnsiTheme="minorBidi"/>
              </w:rPr>
              <w:t>16271</w:t>
            </w:r>
            <w:r>
              <w:rPr>
                <w:rFonts w:asciiTheme="minorBidi" w:hAnsiTheme="minorBidi"/>
              </w:rPr>
              <w:t>,</w:t>
            </w:r>
            <w:r w:rsidRPr="0011216F">
              <w:rPr>
                <w:rFonts w:asciiTheme="minorBidi" w:hAnsiTheme="minorBidi"/>
              </w:rPr>
              <w:t>15</w:t>
            </w:r>
          </w:p>
        </w:tc>
        <w:tc>
          <w:tcPr>
            <w:tcW w:w="1350" w:type="dxa"/>
            <w:noWrap/>
            <w:vAlign w:val="center"/>
          </w:tcPr>
          <w:p w14:paraId="5DA682A7" w14:textId="77777777" w:rsidR="00DD1B1B" w:rsidRPr="0011216F" w:rsidRDefault="00DD1B1B" w:rsidP="00C74E50">
            <w:pPr>
              <w:jc w:val="center"/>
              <w:rPr>
                <w:rFonts w:asciiTheme="minorBidi" w:hAnsiTheme="minorBidi"/>
              </w:rPr>
            </w:pPr>
            <w:r w:rsidRPr="0011216F">
              <w:rPr>
                <w:rFonts w:asciiTheme="minorBidi" w:hAnsiTheme="minorBidi"/>
              </w:rPr>
              <w:t>50827</w:t>
            </w:r>
            <w:r>
              <w:rPr>
                <w:rFonts w:asciiTheme="minorBidi" w:hAnsiTheme="minorBidi"/>
              </w:rPr>
              <w:t>,</w:t>
            </w:r>
            <w:r w:rsidRPr="0011216F">
              <w:rPr>
                <w:rFonts w:asciiTheme="minorBidi" w:hAnsiTheme="minorBidi"/>
              </w:rPr>
              <w:t>29</w:t>
            </w:r>
          </w:p>
        </w:tc>
        <w:tc>
          <w:tcPr>
            <w:tcW w:w="1350" w:type="dxa"/>
            <w:noWrap/>
            <w:vAlign w:val="center"/>
          </w:tcPr>
          <w:p w14:paraId="57EF1E67" w14:textId="77777777" w:rsidR="00DD1B1B" w:rsidRPr="0011216F" w:rsidRDefault="00DD1B1B" w:rsidP="00C74E50">
            <w:pPr>
              <w:jc w:val="center"/>
              <w:rPr>
                <w:rFonts w:asciiTheme="minorBidi" w:hAnsiTheme="minorBidi"/>
              </w:rPr>
            </w:pPr>
            <w:r w:rsidRPr="0011216F">
              <w:rPr>
                <w:rFonts w:asciiTheme="minorBidi" w:hAnsiTheme="minorBidi"/>
              </w:rPr>
              <w:t>8834</w:t>
            </w:r>
            <w:r>
              <w:rPr>
                <w:rFonts w:asciiTheme="minorBidi" w:hAnsiTheme="minorBidi"/>
              </w:rPr>
              <w:t>,</w:t>
            </w:r>
            <w:r w:rsidRPr="0011216F">
              <w:rPr>
                <w:rFonts w:asciiTheme="minorBidi" w:hAnsiTheme="minorBidi"/>
              </w:rPr>
              <w:t>83</w:t>
            </w:r>
          </w:p>
        </w:tc>
        <w:tc>
          <w:tcPr>
            <w:tcW w:w="1260" w:type="dxa"/>
            <w:noWrap/>
            <w:vAlign w:val="center"/>
          </w:tcPr>
          <w:p w14:paraId="0B6E382D" w14:textId="77777777" w:rsidR="00DD1B1B" w:rsidRPr="0011216F" w:rsidRDefault="00DD1B1B" w:rsidP="00C74E50">
            <w:pPr>
              <w:jc w:val="center"/>
              <w:rPr>
                <w:rFonts w:asciiTheme="minorBidi" w:hAnsiTheme="minorBidi"/>
              </w:rPr>
            </w:pPr>
            <w:r w:rsidRPr="0011216F">
              <w:rPr>
                <w:rFonts w:asciiTheme="minorBidi" w:hAnsiTheme="minorBidi"/>
              </w:rPr>
              <w:t>852</w:t>
            </w:r>
            <w:r>
              <w:rPr>
                <w:rFonts w:asciiTheme="minorBidi" w:hAnsiTheme="minorBidi"/>
              </w:rPr>
              <w:t>,</w:t>
            </w:r>
            <w:r w:rsidRPr="0011216F">
              <w:rPr>
                <w:rFonts w:asciiTheme="minorBidi" w:hAnsiTheme="minorBidi"/>
              </w:rPr>
              <w:t>95</w:t>
            </w:r>
          </w:p>
        </w:tc>
      </w:tr>
      <w:tr w:rsidR="00DD1B1B" w:rsidRPr="0011216F" w14:paraId="65251DDF" w14:textId="77777777" w:rsidTr="00C74E50">
        <w:trPr>
          <w:trHeight w:val="464"/>
        </w:trPr>
        <w:tc>
          <w:tcPr>
            <w:tcW w:w="2425" w:type="dxa"/>
            <w:noWrap/>
            <w:vAlign w:val="center"/>
            <w:hideMark/>
          </w:tcPr>
          <w:p w14:paraId="77349AAE" w14:textId="77777777" w:rsidR="00DD1B1B" w:rsidRPr="0011216F" w:rsidRDefault="00DD1B1B" w:rsidP="00C74E50">
            <w:pPr>
              <w:jc w:val="center"/>
              <w:rPr>
                <w:rFonts w:asciiTheme="minorBidi" w:hAnsiTheme="minorBidi"/>
              </w:rPr>
            </w:pPr>
            <w:r w:rsidRPr="0011216F">
              <w:rPr>
                <w:rFonts w:asciiTheme="minorBidi" w:hAnsiTheme="minorBidi"/>
              </w:rPr>
              <w:t>10 000 - 100 000 l.e.</w:t>
            </w:r>
          </w:p>
        </w:tc>
        <w:tc>
          <w:tcPr>
            <w:tcW w:w="1260" w:type="dxa"/>
            <w:noWrap/>
            <w:vAlign w:val="center"/>
          </w:tcPr>
          <w:p w14:paraId="381F0005" w14:textId="77777777" w:rsidR="00DD1B1B" w:rsidRPr="0011216F" w:rsidRDefault="00DD1B1B" w:rsidP="00C74E50">
            <w:pPr>
              <w:jc w:val="center"/>
              <w:rPr>
                <w:rFonts w:asciiTheme="minorBidi" w:hAnsiTheme="minorBidi"/>
              </w:rPr>
            </w:pPr>
            <w:r w:rsidRPr="0011216F">
              <w:rPr>
                <w:rFonts w:asciiTheme="minorBidi" w:hAnsiTheme="minorBidi"/>
              </w:rPr>
              <w:t>3550</w:t>
            </w:r>
            <w:r>
              <w:rPr>
                <w:rFonts w:asciiTheme="minorBidi" w:hAnsiTheme="minorBidi"/>
              </w:rPr>
              <w:t>,</w:t>
            </w:r>
            <w:r w:rsidRPr="0011216F">
              <w:rPr>
                <w:rFonts w:asciiTheme="minorBidi" w:hAnsiTheme="minorBidi"/>
              </w:rPr>
              <w:t>19</w:t>
            </w:r>
          </w:p>
        </w:tc>
        <w:tc>
          <w:tcPr>
            <w:tcW w:w="1350" w:type="dxa"/>
            <w:noWrap/>
            <w:vAlign w:val="center"/>
          </w:tcPr>
          <w:p w14:paraId="18508E92" w14:textId="77777777" w:rsidR="00DD1B1B" w:rsidRPr="0011216F" w:rsidRDefault="00DD1B1B" w:rsidP="00C74E50">
            <w:pPr>
              <w:jc w:val="center"/>
              <w:rPr>
                <w:rFonts w:asciiTheme="minorBidi" w:hAnsiTheme="minorBidi"/>
              </w:rPr>
            </w:pPr>
            <w:r w:rsidRPr="0011216F">
              <w:rPr>
                <w:rFonts w:asciiTheme="minorBidi" w:hAnsiTheme="minorBidi"/>
              </w:rPr>
              <w:t>3550</w:t>
            </w:r>
            <w:r>
              <w:rPr>
                <w:rFonts w:asciiTheme="minorBidi" w:hAnsiTheme="minorBidi"/>
              </w:rPr>
              <w:t>,</w:t>
            </w:r>
            <w:r w:rsidRPr="0011216F">
              <w:rPr>
                <w:rFonts w:asciiTheme="minorBidi" w:hAnsiTheme="minorBidi"/>
              </w:rPr>
              <w:t>19</w:t>
            </w:r>
          </w:p>
        </w:tc>
        <w:tc>
          <w:tcPr>
            <w:tcW w:w="1350" w:type="dxa"/>
            <w:noWrap/>
            <w:vAlign w:val="center"/>
          </w:tcPr>
          <w:p w14:paraId="657A26D7" w14:textId="77777777" w:rsidR="00DD1B1B" w:rsidRPr="0011216F" w:rsidRDefault="00DD1B1B" w:rsidP="00C74E50">
            <w:pPr>
              <w:jc w:val="center"/>
              <w:rPr>
                <w:rFonts w:asciiTheme="minorBidi" w:hAnsiTheme="minorBidi"/>
              </w:rPr>
            </w:pPr>
            <w:r w:rsidRPr="0011216F">
              <w:rPr>
                <w:rFonts w:asciiTheme="minorBidi" w:hAnsiTheme="minorBidi"/>
              </w:rPr>
              <w:t>2197</w:t>
            </w:r>
            <w:r>
              <w:rPr>
                <w:rFonts w:asciiTheme="minorBidi" w:hAnsiTheme="minorBidi"/>
              </w:rPr>
              <w:t>,</w:t>
            </w:r>
            <w:r w:rsidRPr="0011216F">
              <w:rPr>
                <w:rFonts w:asciiTheme="minorBidi" w:hAnsiTheme="minorBidi"/>
              </w:rPr>
              <w:t>70</w:t>
            </w:r>
          </w:p>
        </w:tc>
        <w:tc>
          <w:tcPr>
            <w:tcW w:w="1260" w:type="dxa"/>
            <w:noWrap/>
            <w:vAlign w:val="center"/>
          </w:tcPr>
          <w:p w14:paraId="1A3101F7" w14:textId="77777777" w:rsidR="00DD1B1B" w:rsidRPr="0011216F" w:rsidRDefault="00DD1B1B" w:rsidP="00C74E50">
            <w:pPr>
              <w:jc w:val="center"/>
              <w:rPr>
                <w:rFonts w:asciiTheme="minorBidi" w:hAnsiTheme="minorBidi"/>
              </w:rPr>
            </w:pPr>
            <w:r w:rsidRPr="0011216F">
              <w:rPr>
                <w:rFonts w:asciiTheme="minorBidi" w:hAnsiTheme="minorBidi"/>
              </w:rPr>
              <w:t>249</w:t>
            </w:r>
            <w:r>
              <w:rPr>
                <w:rFonts w:asciiTheme="minorBidi" w:hAnsiTheme="minorBidi"/>
              </w:rPr>
              <w:t>,</w:t>
            </w:r>
            <w:r w:rsidRPr="0011216F">
              <w:rPr>
                <w:rFonts w:asciiTheme="minorBidi" w:hAnsiTheme="minorBidi"/>
              </w:rPr>
              <w:t>40</w:t>
            </w:r>
          </w:p>
        </w:tc>
      </w:tr>
      <w:tr w:rsidR="00DD1B1B" w:rsidRPr="0011216F" w14:paraId="6DDAE558" w14:textId="77777777" w:rsidTr="00C74E50">
        <w:trPr>
          <w:trHeight w:val="464"/>
        </w:trPr>
        <w:tc>
          <w:tcPr>
            <w:tcW w:w="2425" w:type="dxa"/>
            <w:noWrap/>
            <w:vAlign w:val="center"/>
            <w:hideMark/>
          </w:tcPr>
          <w:p w14:paraId="5BF7D63E" w14:textId="77777777" w:rsidR="00DD1B1B" w:rsidRPr="0011216F" w:rsidRDefault="00DD1B1B" w:rsidP="00C74E50">
            <w:pPr>
              <w:jc w:val="center"/>
              <w:rPr>
                <w:rFonts w:asciiTheme="minorBidi" w:hAnsiTheme="minorBidi"/>
              </w:rPr>
            </w:pPr>
            <w:r w:rsidRPr="0011216F">
              <w:rPr>
                <w:rFonts w:asciiTheme="minorBidi" w:hAnsiTheme="minorBidi"/>
              </w:rPr>
              <w:t>2 000 - 10 000 l.e.</w:t>
            </w:r>
          </w:p>
        </w:tc>
        <w:tc>
          <w:tcPr>
            <w:tcW w:w="1260" w:type="dxa"/>
            <w:noWrap/>
            <w:vAlign w:val="center"/>
          </w:tcPr>
          <w:p w14:paraId="4DE2E762" w14:textId="77777777" w:rsidR="00DD1B1B" w:rsidRPr="0011216F" w:rsidRDefault="00DD1B1B" w:rsidP="00C74E50">
            <w:pPr>
              <w:jc w:val="center"/>
              <w:rPr>
                <w:rFonts w:asciiTheme="minorBidi" w:hAnsiTheme="minorBidi"/>
              </w:rPr>
            </w:pPr>
            <w:r w:rsidRPr="0011216F">
              <w:rPr>
                <w:rFonts w:asciiTheme="minorBidi" w:hAnsiTheme="minorBidi"/>
              </w:rPr>
              <w:t>2488</w:t>
            </w:r>
            <w:r>
              <w:rPr>
                <w:rFonts w:asciiTheme="minorBidi" w:hAnsiTheme="minorBidi"/>
              </w:rPr>
              <w:t>,</w:t>
            </w:r>
            <w:r w:rsidRPr="0011216F">
              <w:rPr>
                <w:rFonts w:asciiTheme="minorBidi" w:hAnsiTheme="minorBidi"/>
              </w:rPr>
              <w:t>20</w:t>
            </w:r>
          </w:p>
        </w:tc>
        <w:tc>
          <w:tcPr>
            <w:tcW w:w="1350" w:type="dxa"/>
            <w:noWrap/>
            <w:vAlign w:val="center"/>
          </w:tcPr>
          <w:p w14:paraId="14D372CC" w14:textId="77777777" w:rsidR="00DD1B1B" w:rsidRPr="0011216F" w:rsidRDefault="00DD1B1B" w:rsidP="00C74E50">
            <w:pPr>
              <w:jc w:val="center"/>
              <w:rPr>
                <w:rFonts w:asciiTheme="minorBidi" w:hAnsiTheme="minorBidi"/>
              </w:rPr>
            </w:pPr>
            <w:r w:rsidRPr="0011216F">
              <w:rPr>
                <w:rFonts w:asciiTheme="minorBidi" w:hAnsiTheme="minorBidi"/>
              </w:rPr>
              <w:t>2488</w:t>
            </w:r>
            <w:r>
              <w:rPr>
                <w:rFonts w:asciiTheme="minorBidi" w:hAnsiTheme="minorBidi"/>
              </w:rPr>
              <w:t>,</w:t>
            </w:r>
            <w:r w:rsidRPr="0011216F">
              <w:rPr>
                <w:rFonts w:asciiTheme="minorBidi" w:hAnsiTheme="minorBidi"/>
              </w:rPr>
              <w:t>20</w:t>
            </w:r>
          </w:p>
        </w:tc>
        <w:tc>
          <w:tcPr>
            <w:tcW w:w="1350" w:type="dxa"/>
            <w:noWrap/>
            <w:vAlign w:val="center"/>
          </w:tcPr>
          <w:p w14:paraId="0EE7A792" w14:textId="77777777" w:rsidR="00DD1B1B" w:rsidRPr="0011216F" w:rsidRDefault="00DD1B1B" w:rsidP="00C74E50">
            <w:pPr>
              <w:jc w:val="center"/>
              <w:rPr>
                <w:rFonts w:asciiTheme="minorBidi" w:hAnsiTheme="minorBidi"/>
              </w:rPr>
            </w:pPr>
            <w:r w:rsidRPr="0011216F">
              <w:rPr>
                <w:rFonts w:asciiTheme="minorBidi" w:hAnsiTheme="minorBidi"/>
              </w:rPr>
              <w:t>512</w:t>
            </w:r>
            <w:r>
              <w:rPr>
                <w:rFonts w:asciiTheme="minorBidi" w:hAnsiTheme="minorBidi"/>
              </w:rPr>
              <w:t>,</w:t>
            </w:r>
            <w:r w:rsidRPr="0011216F">
              <w:rPr>
                <w:rFonts w:asciiTheme="minorBidi" w:hAnsiTheme="minorBidi"/>
              </w:rPr>
              <w:t>70</w:t>
            </w:r>
          </w:p>
        </w:tc>
        <w:tc>
          <w:tcPr>
            <w:tcW w:w="1260" w:type="dxa"/>
            <w:noWrap/>
            <w:vAlign w:val="center"/>
          </w:tcPr>
          <w:p w14:paraId="68144D00" w14:textId="77777777" w:rsidR="00DD1B1B" w:rsidRPr="0011216F" w:rsidRDefault="00DD1B1B" w:rsidP="00C74E50">
            <w:pPr>
              <w:jc w:val="center"/>
              <w:rPr>
                <w:rFonts w:asciiTheme="minorBidi" w:hAnsiTheme="minorBidi"/>
              </w:rPr>
            </w:pPr>
            <w:r w:rsidRPr="0011216F">
              <w:rPr>
                <w:rFonts w:asciiTheme="minorBidi" w:hAnsiTheme="minorBidi"/>
              </w:rPr>
              <w:t>130</w:t>
            </w:r>
            <w:r>
              <w:rPr>
                <w:rFonts w:asciiTheme="minorBidi" w:hAnsiTheme="minorBidi"/>
              </w:rPr>
              <w:t>,</w:t>
            </w:r>
            <w:r w:rsidRPr="0011216F">
              <w:rPr>
                <w:rFonts w:asciiTheme="minorBidi" w:hAnsiTheme="minorBidi"/>
              </w:rPr>
              <w:t>22</w:t>
            </w:r>
          </w:p>
        </w:tc>
      </w:tr>
      <w:tr w:rsidR="00DD1B1B" w:rsidRPr="0011216F" w14:paraId="76165AC8" w14:textId="77777777" w:rsidTr="00C74E50">
        <w:trPr>
          <w:trHeight w:val="464"/>
        </w:trPr>
        <w:tc>
          <w:tcPr>
            <w:tcW w:w="2425" w:type="dxa"/>
            <w:noWrap/>
            <w:vAlign w:val="center"/>
            <w:hideMark/>
          </w:tcPr>
          <w:p w14:paraId="019D53D7" w14:textId="77777777" w:rsidR="00DD1B1B" w:rsidRPr="0011216F" w:rsidRDefault="00DD1B1B" w:rsidP="00C74E50">
            <w:pPr>
              <w:jc w:val="center"/>
              <w:rPr>
                <w:rFonts w:asciiTheme="minorBidi" w:hAnsiTheme="minorBidi"/>
              </w:rPr>
            </w:pPr>
            <w:r w:rsidRPr="0011216F">
              <w:rPr>
                <w:rFonts w:asciiTheme="minorBidi" w:hAnsiTheme="minorBidi"/>
              </w:rPr>
              <w:t>&lt; 2 000 l.e.</w:t>
            </w:r>
          </w:p>
        </w:tc>
        <w:tc>
          <w:tcPr>
            <w:tcW w:w="1260" w:type="dxa"/>
            <w:noWrap/>
            <w:vAlign w:val="center"/>
          </w:tcPr>
          <w:p w14:paraId="0BA5FDC1" w14:textId="77777777" w:rsidR="00DD1B1B" w:rsidRPr="0011216F" w:rsidRDefault="00DD1B1B" w:rsidP="00C74E50">
            <w:pPr>
              <w:jc w:val="center"/>
              <w:rPr>
                <w:rFonts w:asciiTheme="minorBidi" w:hAnsiTheme="minorBidi"/>
              </w:rPr>
            </w:pPr>
            <w:r w:rsidRPr="0011216F">
              <w:rPr>
                <w:rFonts w:asciiTheme="minorBidi" w:hAnsiTheme="minorBidi"/>
              </w:rPr>
              <w:t>646</w:t>
            </w:r>
            <w:r>
              <w:rPr>
                <w:rFonts w:asciiTheme="minorBidi" w:hAnsiTheme="minorBidi"/>
              </w:rPr>
              <w:t>,</w:t>
            </w:r>
            <w:r w:rsidRPr="0011216F">
              <w:rPr>
                <w:rFonts w:asciiTheme="minorBidi" w:hAnsiTheme="minorBidi"/>
              </w:rPr>
              <w:t>18</w:t>
            </w:r>
          </w:p>
        </w:tc>
        <w:tc>
          <w:tcPr>
            <w:tcW w:w="1350" w:type="dxa"/>
            <w:noWrap/>
            <w:vAlign w:val="center"/>
          </w:tcPr>
          <w:p w14:paraId="7A0493C0" w14:textId="77777777" w:rsidR="00DD1B1B" w:rsidRPr="0011216F" w:rsidRDefault="00DD1B1B" w:rsidP="00C74E50">
            <w:pPr>
              <w:jc w:val="center"/>
              <w:rPr>
                <w:rFonts w:asciiTheme="minorBidi" w:hAnsiTheme="minorBidi"/>
              </w:rPr>
            </w:pPr>
            <w:r w:rsidRPr="0011216F">
              <w:rPr>
                <w:rFonts w:asciiTheme="minorBidi" w:hAnsiTheme="minorBidi"/>
              </w:rPr>
              <w:t>1707</w:t>
            </w:r>
            <w:r>
              <w:rPr>
                <w:rFonts w:asciiTheme="minorBidi" w:hAnsiTheme="minorBidi"/>
              </w:rPr>
              <w:t>,</w:t>
            </w:r>
            <w:r w:rsidRPr="0011216F">
              <w:rPr>
                <w:rFonts w:asciiTheme="minorBidi" w:hAnsiTheme="minorBidi"/>
              </w:rPr>
              <w:t>05</w:t>
            </w:r>
          </w:p>
        </w:tc>
        <w:tc>
          <w:tcPr>
            <w:tcW w:w="1350" w:type="dxa"/>
            <w:noWrap/>
            <w:vAlign w:val="center"/>
          </w:tcPr>
          <w:p w14:paraId="1CA532C3" w14:textId="77777777" w:rsidR="00DD1B1B" w:rsidRPr="0011216F" w:rsidRDefault="00DD1B1B" w:rsidP="00C74E50">
            <w:pPr>
              <w:jc w:val="center"/>
              <w:rPr>
                <w:rFonts w:asciiTheme="minorBidi" w:hAnsiTheme="minorBidi"/>
              </w:rPr>
            </w:pPr>
            <w:r w:rsidRPr="0011216F">
              <w:rPr>
                <w:rFonts w:asciiTheme="minorBidi" w:hAnsiTheme="minorBidi"/>
              </w:rPr>
              <w:t>512</w:t>
            </w:r>
            <w:r>
              <w:rPr>
                <w:rFonts w:asciiTheme="minorBidi" w:hAnsiTheme="minorBidi"/>
              </w:rPr>
              <w:t>,</w:t>
            </w:r>
            <w:r w:rsidRPr="0011216F">
              <w:rPr>
                <w:rFonts w:asciiTheme="minorBidi" w:hAnsiTheme="minorBidi"/>
              </w:rPr>
              <w:t>78</w:t>
            </w:r>
          </w:p>
        </w:tc>
        <w:tc>
          <w:tcPr>
            <w:tcW w:w="1260" w:type="dxa"/>
            <w:noWrap/>
            <w:vAlign w:val="center"/>
          </w:tcPr>
          <w:p w14:paraId="08992468" w14:textId="77777777" w:rsidR="00DD1B1B" w:rsidRPr="0011216F" w:rsidRDefault="00DD1B1B" w:rsidP="00C74E50">
            <w:pPr>
              <w:jc w:val="center"/>
              <w:rPr>
                <w:rFonts w:asciiTheme="minorBidi" w:hAnsiTheme="minorBidi"/>
              </w:rPr>
            </w:pPr>
            <w:r w:rsidRPr="0011216F">
              <w:rPr>
                <w:rFonts w:asciiTheme="minorBidi" w:hAnsiTheme="minorBidi"/>
              </w:rPr>
              <w:t>23</w:t>
            </w:r>
            <w:r>
              <w:rPr>
                <w:rFonts w:asciiTheme="minorBidi" w:hAnsiTheme="minorBidi"/>
              </w:rPr>
              <w:t>,</w:t>
            </w:r>
            <w:r w:rsidRPr="0011216F">
              <w:rPr>
                <w:rFonts w:asciiTheme="minorBidi" w:hAnsiTheme="minorBidi"/>
              </w:rPr>
              <w:t>81</w:t>
            </w:r>
          </w:p>
        </w:tc>
      </w:tr>
    </w:tbl>
    <w:p w14:paraId="52A5A2EA" w14:textId="77777777" w:rsidR="00DD1B1B" w:rsidRPr="0011216F" w:rsidRDefault="00DD1B1B" w:rsidP="00DD1B1B">
      <w:pPr>
        <w:rPr>
          <w:rFonts w:asciiTheme="minorBidi" w:hAnsiTheme="minorBidi"/>
        </w:rPr>
      </w:pPr>
    </w:p>
    <w:p w14:paraId="3767D961" w14:textId="77777777" w:rsidR="00DD1B1B" w:rsidRPr="0011216F" w:rsidRDefault="00DD1B1B" w:rsidP="00DD1B1B">
      <w:pPr>
        <w:rPr>
          <w:rFonts w:asciiTheme="minorBidi" w:hAnsiTheme="minorBidi"/>
        </w:rPr>
      </w:pPr>
    </w:p>
    <w:p w14:paraId="260B2712" w14:textId="77777777" w:rsidR="00DD1B1B" w:rsidRPr="0011216F" w:rsidRDefault="00DD1B1B" w:rsidP="00DD1B1B">
      <w:pPr>
        <w:rPr>
          <w:rFonts w:asciiTheme="minorBidi" w:hAnsiTheme="minorBidi"/>
        </w:rPr>
      </w:pPr>
    </w:p>
    <w:p w14:paraId="14E6A64C" w14:textId="77777777" w:rsidR="00DD1B1B" w:rsidRPr="0011216F" w:rsidRDefault="00DD1B1B" w:rsidP="00DD1B1B">
      <w:pPr>
        <w:rPr>
          <w:rFonts w:asciiTheme="minorBidi" w:hAnsiTheme="minorBidi"/>
        </w:rPr>
      </w:pPr>
    </w:p>
    <w:p w14:paraId="6F867365" w14:textId="77777777" w:rsidR="00DD1B1B" w:rsidRPr="0011216F" w:rsidRDefault="00DD1B1B" w:rsidP="00DD1B1B">
      <w:pPr>
        <w:rPr>
          <w:rFonts w:asciiTheme="minorBidi" w:hAnsiTheme="minorBidi"/>
        </w:rPr>
      </w:pPr>
    </w:p>
    <w:p w14:paraId="1405D5F7" w14:textId="77777777" w:rsidR="00DD1B1B" w:rsidRPr="0011216F" w:rsidRDefault="00DD1B1B" w:rsidP="00DD1B1B">
      <w:pPr>
        <w:rPr>
          <w:rFonts w:asciiTheme="minorBidi" w:hAnsiTheme="minorBidi"/>
        </w:rPr>
      </w:pPr>
    </w:p>
    <w:p w14:paraId="3EEE2A57" w14:textId="77777777" w:rsidR="00DD1B1B" w:rsidRPr="0011216F" w:rsidRDefault="00DD1B1B" w:rsidP="00DD1B1B">
      <w:pPr>
        <w:spacing w:after="0"/>
        <w:rPr>
          <w:rFonts w:asciiTheme="minorBidi" w:hAnsiTheme="minorBidi"/>
        </w:rPr>
      </w:pPr>
    </w:p>
    <w:p w14:paraId="51DB1BA1" w14:textId="77777777" w:rsidR="00DD1B1B" w:rsidRPr="00C36FEB" w:rsidRDefault="00DD1B1B" w:rsidP="00DD1B1B">
      <w:pPr>
        <w:spacing w:after="0"/>
        <w:jc w:val="both"/>
        <w:rPr>
          <w:rFonts w:asciiTheme="minorBidi" w:hAnsiTheme="minorBidi"/>
          <w:sz w:val="20"/>
          <w:szCs w:val="20"/>
        </w:rPr>
      </w:pPr>
      <w:r w:rsidRPr="00C36FEB">
        <w:rPr>
          <w:rFonts w:asciiTheme="minorBidi" w:hAnsiTheme="minorBidi"/>
          <w:sz w:val="20"/>
          <w:szCs w:val="20"/>
        </w:rPr>
        <w:t xml:space="preserve">(Sursa: Administraţia Naţională “Apele Române”, </w:t>
      </w:r>
      <w:r w:rsidRPr="00C36FEB">
        <w:rPr>
          <w:rFonts w:asciiTheme="minorBidi" w:hAnsiTheme="minorBidi"/>
          <w:i/>
          <w:sz w:val="20"/>
          <w:szCs w:val="20"/>
        </w:rPr>
        <w:t>Sinteza calităţii apelor din România în perioada 2022</w:t>
      </w:r>
      <w:r w:rsidRPr="00C36FEB">
        <w:rPr>
          <w:rFonts w:asciiTheme="minorBidi" w:hAnsiTheme="minorBidi"/>
          <w:sz w:val="20"/>
          <w:szCs w:val="20"/>
        </w:rPr>
        <w:t>)</w:t>
      </w:r>
    </w:p>
    <w:p w14:paraId="5DBFC907" w14:textId="77777777" w:rsidR="00DD1B1B" w:rsidRPr="00B41FE6" w:rsidRDefault="00DD1B1B" w:rsidP="00DD1B1B">
      <w:pPr>
        <w:rPr>
          <w:rFonts w:ascii="Arial" w:hAnsi="Arial" w:cs="Arial"/>
          <w:b/>
          <w:color w:val="FF0000"/>
          <w:sz w:val="24"/>
          <w:szCs w:val="24"/>
        </w:rPr>
      </w:pPr>
    </w:p>
    <w:p w14:paraId="04FB105E" w14:textId="77777777" w:rsidR="002C537F" w:rsidRPr="00F90CFB" w:rsidRDefault="002C537F" w:rsidP="002C537F">
      <w:pPr>
        <w:spacing w:line="240" w:lineRule="auto"/>
        <w:rPr>
          <w:rFonts w:ascii="Arial" w:hAnsi="Arial" w:cs="Arial"/>
          <w:b/>
          <w:iCs/>
          <w:sz w:val="24"/>
          <w:szCs w:val="24"/>
        </w:rPr>
      </w:pPr>
      <w:r w:rsidRPr="00F90CFB">
        <w:rPr>
          <w:rFonts w:ascii="Arial" w:hAnsi="Arial" w:cs="Arial"/>
          <w:b/>
          <w:iCs/>
          <w:sz w:val="24"/>
          <w:szCs w:val="24"/>
        </w:rPr>
        <w:t>II.2.1.2. Calitatea apei lacurilor</w:t>
      </w:r>
    </w:p>
    <w:p w14:paraId="2EAFA71D" w14:textId="77777777" w:rsidR="002C537F" w:rsidRPr="00505570" w:rsidRDefault="002C537F" w:rsidP="002C537F">
      <w:pPr>
        <w:spacing w:after="0"/>
        <w:jc w:val="center"/>
        <w:rPr>
          <w:rFonts w:ascii="Arial" w:hAnsi="Arial" w:cs="Arial"/>
          <w:b/>
          <w:color w:val="FF0000"/>
          <w:sz w:val="24"/>
          <w:szCs w:val="24"/>
          <w:highlight w:val="green"/>
        </w:rPr>
      </w:pPr>
    </w:p>
    <w:p w14:paraId="23AAC985" w14:textId="77777777" w:rsidR="002C537F" w:rsidRPr="008C2570" w:rsidRDefault="002C537F" w:rsidP="002C537F">
      <w:pPr>
        <w:spacing w:after="0"/>
        <w:jc w:val="center"/>
        <w:rPr>
          <w:rFonts w:ascii="Arial" w:hAnsi="Arial" w:cs="Arial"/>
          <w:b/>
          <w:sz w:val="24"/>
          <w:szCs w:val="24"/>
        </w:rPr>
      </w:pPr>
      <w:r w:rsidRPr="008C2570">
        <w:rPr>
          <w:rFonts w:ascii="Arial" w:hAnsi="Arial" w:cs="Arial"/>
          <w:b/>
          <w:sz w:val="24"/>
          <w:szCs w:val="24"/>
          <w:highlight w:val="green"/>
        </w:rPr>
        <w:t>Indicator VHS 03.  Substanțele periculoase din lacuri RO 66</w:t>
      </w:r>
    </w:p>
    <w:p w14:paraId="6A01BFD1" w14:textId="77777777" w:rsidR="002C537F" w:rsidRPr="00505570" w:rsidRDefault="002C537F" w:rsidP="002C537F">
      <w:pPr>
        <w:spacing w:after="0" w:line="240" w:lineRule="auto"/>
        <w:jc w:val="both"/>
        <w:rPr>
          <w:rFonts w:ascii="Arial" w:hAnsi="Arial" w:cs="Arial"/>
          <w:b/>
          <w:i/>
          <w:color w:val="FF0000"/>
          <w:sz w:val="24"/>
          <w:szCs w:val="24"/>
        </w:rPr>
      </w:pPr>
    </w:p>
    <w:p w14:paraId="6028A039" w14:textId="77777777" w:rsidR="002C537F" w:rsidRPr="00F90CFB" w:rsidRDefault="002C537F" w:rsidP="002C537F">
      <w:pPr>
        <w:spacing w:after="0" w:line="240" w:lineRule="auto"/>
        <w:jc w:val="both"/>
        <w:rPr>
          <w:rFonts w:ascii="Arial" w:hAnsi="Arial" w:cs="Arial"/>
          <w:b/>
          <w:i/>
          <w:sz w:val="24"/>
          <w:szCs w:val="24"/>
          <w:u w:val="single"/>
        </w:rPr>
      </w:pPr>
      <w:r w:rsidRPr="00F90CFB">
        <w:rPr>
          <w:rFonts w:ascii="Arial" w:hAnsi="Arial" w:cs="Arial"/>
          <w:b/>
          <w:i/>
          <w:sz w:val="24"/>
          <w:szCs w:val="24"/>
        </w:rPr>
        <w:t xml:space="preserve">Pentru acest indicator s-a avut în vedere raportarea </w:t>
      </w:r>
      <w:r w:rsidRPr="00F90CFB">
        <w:rPr>
          <w:rFonts w:ascii="Arial" w:hAnsi="Arial" w:cs="Arial"/>
          <w:b/>
          <w:i/>
          <w:sz w:val="24"/>
          <w:szCs w:val="24"/>
          <w:u w:val="single"/>
        </w:rPr>
        <w:t>substanțelor prioritare</w:t>
      </w:r>
      <w:r w:rsidRPr="00F90CFB">
        <w:rPr>
          <w:rFonts w:ascii="Arial" w:hAnsi="Arial" w:cs="Arial"/>
          <w:b/>
          <w:i/>
          <w:sz w:val="24"/>
          <w:szCs w:val="24"/>
        </w:rPr>
        <w:t xml:space="preserve"> din HG 570/2016 care stau la baza evaluării stării chimice a apelor de suprafață (mediul de investigare APĂ). De asemenea, </w:t>
      </w:r>
      <w:r w:rsidRPr="00F90CFB">
        <w:rPr>
          <w:rFonts w:ascii="Arial" w:hAnsi="Arial" w:cs="Arial"/>
          <w:b/>
          <w:i/>
          <w:sz w:val="24"/>
          <w:szCs w:val="24"/>
          <w:u w:val="single"/>
        </w:rPr>
        <w:t xml:space="preserve">prin depășiri față de SCM se înțelege atât depășirile față de SCM-MA, </w:t>
      </w:r>
      <w:r w:rsidRPr="00F90CFB">
        <w:rPr>
          <w:rFonts w:ascii="Arial" w:hAnsi="Arial" w:cs="Arial"/>
          <w:b/>
          <w:sz w:val="24"/>
          <w:szCs w:val="24"/>
          <w:u w:val="single"/>
        </w:rPr>
        <w:t xml:space="preserve">valoarea mediei aritmetice, </w:t>
      </w:r>
      <w:r w:rsidRPr="00F90CFB">
        <w:rPr>
          <w:rFonts w:ascii="Arial" w:hAnsi="Arial" w:cs="Arial"/>
          <w:b/>
          <w:i/>
          <w:sz w:val="24"/>
          <w:szCs w:val="24"/>
          <w:u w:val="single"/>
        </w:rPr>
        <w:t xml:space="preserve">cât și față de SCM-CMA, </w:t>
      </w:r>
      <w:r w:rsidRPr="00F90CFB">
        <w:rPr>
          <w:rFonts w:ascii="Arial" w:hAnsi="Arial" w:cs="Arial"/>
          <w:b/>
          <w:sz w:val="24"/>
          <w:szCs w:val="24"/>
          <w:u w:val="single"/>
        </w:rPr>
        <w:t>valoarea concentrației maxime admisibile</w:t>
      </w:r>
      <w:r w:rsidRPr="00F90CFB">
        <w:rPr>
          <w:rFonts w:ascii="Arial" w:hAnsi="Arial" w:cs="Arial"/>
          <w:b/>
          <w:i/>
          <w:sz w:val="24"/>
          <w:szCs w:val="24"/>
          <w:u w:val="single"/>
        </w:rPr>
        <w:t xml:space="preserve"> (conform H.G. 570/2016).</w:t>
      </w:r>
    </w:p>
    <w:p w14:paraId="119788BF" w14:textId="77777777" w:rsidR="002C537F" w:rsidRPr="00505570" w:rsidRDefault="002C537F" w:rsidP="002C537F">
      <w:pPr>
        <w:spacing w:line="240" w:lineRule="auto"/>
        <w:rPr>
          <w:rFonts w:ascii="Arial" w:hAnsi="Arial" w:cs="Arial"/>
          <w:color w:val="FF0000"/>
        </w:rPr>
      </w:pPr>
    </w:p>
    <w:p w14:paraId="7D65B949" w14:textId="77777777" w:rsidR="002C537F" w:rsidRDefault="002C537F" w:rsidP="002C537F">
      <w:pPr>
        <w:spacing w:after="0" w:line="240" w:lineRule="auto"/>
        <w:jc w:val="both"/>
        <w:rPr>
          <w:rFonts w:ascii="Arial" w:hAnsi="Arial" w:cs="Arial"/>
          <w:b/>
          <w:i/>
          <w:sz w:val="24"/>
          <w:szCs w:val="24"/>
        </w:rPr>
      </w:pPr>
      <w:r w:rsidRPr="00E36C00">
        <w:rPr>
          <w:rFonts w:ascii="Arial" w:hAnsi="Arial" w:cs="Arial"/>
          <w:b/>
          <w:i/>
          <w:sz w:val="24"/>
          <w:szCs w:val="24"/>
        </w:rPr>
        <w:t>Distribuția numărului de substanțe prioritare monitorizate în lacuri (lacuri naturale, puternic modificate și artificiale) pe spații/bazine hidrografice în anul 2022</w:t>
      </w:r>
    </w:p>
    <w:p w14:paraId="428224AC" w14:textId="77777777" w:rsidR="002C537F" w:rsidRDefault="002C537F" w:rsidP="002C537F">
      <w:pPr>
        <w:spacing w:after="0" w:line="240" w:lineRule="auto"/>
        <w:jc w:val="both"/>
        <w:rPr>
          <w:rFonts w:ascii="Arial" w:hAnsi="Arial" w:cs="Arial"/>
          <w:b/>
          <w:i/>
          <w:sz w:val="24"/>
          <w:szCs w:val="24"/>
        </w:rPr>
      </w:pPr>
    </w:p>
    <w:p w14:paraId="15C5BDC4" w14:textId="77777777" w:rsidR="002C537F" w:rsidRPr="00BD44E6" w:rsidRDefault="002C537F" w:rsidP="002C537F">
      <w:pPr>
        <w:spacing w:after="0" w:line="240" w:lineRule="auto"/>
        <w:jc w:val="both"/>
        <w:rPr>
          <w:rFonts w:ascii="Arial" w:hAnsi="Arial" w:cs="Arial"/>
          <w:b/>
          <w:i/>
          <w:sz w:val="20"/>
          <w:szCs w:val="16"/>
          <w:u w:val="single"/>
        </w:rPr>
      </w:pPr>
      <w:r w:rsidRPr="00E36C00">
        <w:rPr>
          <w:rFonts w:ascii="Arial" w:hAnsi="Arial" w:cs="Arial"/>
          <w:b/>
          <w:i/>
          <w:sz w:val="20"/>
          <w:szCs w:val="16"/>
        </w:rPr>
        <w:t xml:space="preserve">Tabelul II.2.1.2.1 Distribuția substanțelor prioritare monitorizate în lacuri (lacuri naturale, puternic  modificate și artificiale) pe spații/bazine hidrografice în anul 2022 – </w:t>
      </w:r>
      <w:r w:rsidRPr="00E36C00">
        <w:rPr>
          <w:rFonts w:ascii="Arial" w:hAnsi="Arial" w:cs="Arial"/>
          <w:b/>
          <w:i/>
          <w:sz w:val="20"/>
          <w:szCs w:val="16"/>
          <w:u w:val="single"/>
        </w:rPr>
        <w:t>mediul de investigare APĂ</w:t>
      </w:r>
    </w:p>
    <w:tbl>
      <w:tblPr>
        <w:tblW w:w="7220" w:type="dxa"/>
        <w:jc w:val="center"/>
        <w:tblLook w:val="04A0" w:firstRow="1" w:lastRow="0" w:firstColumn="1" w:lastColumn="0" w:noHBand="0" w:noVBand="1"/>
      </w:tblPr>
      <w:tblGrid>
        <w:gridCol w:w="1940"/>
        <w:gridCol w:w="1600"/>
        <w:gridCol w:w="1820"/>
        <w:gridCol w:w="1860"/>
      </w:tblGrid>
      <w:tr w:rsidR="002C537F" w:rsidRPr="00052A88" w14:paraId="3153EBF4" w14:textId="77777777" w:rsidTr="00C74E50">
        <w:trPr>
          <w:trHeight w:val="300"/>
          <w:jc w:val="center"/>
        </w:trPr>
        <w:tc>
          <w:tcPr>
            <w:tcW w:w="19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0DD587"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Spaţiu / Bazin hidrografic</w:t>
            </w:r>
          </w:p>
        </w:tc>
        <w:tc>
          <w:tcPr>
            <w:tcW w:w="1600" w:type="dxa"/>
            <w:vMerge w:val="restart"/>
            <w:tcBorders>
              <w:top w:val="single" w:sz="8" w:space="0" w:color="auto"/>
              <w:left w:val="single" w:sz="8" w:space="0" w:color="auto"/>
              <w:bottom w:val="nil"/>
              <w:right w:val="single" w:sz="8" w:space="0" w:color="auto"/>
            </w:tcBorders>
            <w:shd w:val="clear" w:color="auto" w:fill="auto"/>
            <w:vAlign w:val="center"/>
            <w:hideMark/>
          </w:tcPr>
          <w:p w14:paraId="53C58744"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Secțiuni monitorizate (nr.)</w:t>
            </w:r>
          </w:p>
        </w:tc>
        <w:tc>
          <w:tcPr>
            <w:tcW w:w="368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BE312C5"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Substanțe prioritare APA</w:t>
            </w:r>
          </w:p>
        </w:tc>
      </w:tr>
      <w:tr w:rsidR="002C537F" w:rsidRPr="00052A88" w14:paraId="3FFEB6FF" w14:textId="77777777" w:rsidTr="00C74E50">
        <w:trPr>
          <w:trHeight w:val="596"/>
          <w:jc w:val="center"/>
        </w:trPr>
        <w:tc>
          <w:tcPr>
            <w:tcW w:w="1940" w:type="dxa"/>
            <w:vMerge/>
            <w:tcBorders>
              <w:top w:val="single" w:sz="8" w:space="0" w:color="auto"/>
              <w:left w:val="single" w:sz="8" w:space="0" w:color="auto"/>
              <w:bottom w:val="single" w:sz="8" w:space="0" w:color="000000"/>
              <w:right w:val="single" w:sz="8" w:space="0" w:color="auto"/>
            </w:tcBorders>
            <w:vAlign w:val="center"/>
            <w:hideMark/>
          </w:tcPr>
          <w:p w14:paraId="7B8FC80D" w14:textId="77777777" w:rsidR="002C537F" w:rsidRPr="00052A88" w:rsidRDefault="002C537F" w:rsidP="00C74E50">
            <w:pPr>
              <w:spacing w:after="0" w:line="240" w:lineRule="auto"/>
              <w:rPr>
                <w:rFonts w:asciiTheme="minorBidi" w:eastAsia="Times New Roman" w:hAnsiTheme="minorBidi"/>
                <w:b/>
                <w:bCs/>
                <w:lang w:eastAsia="ro-RO"/>
              </w:rPr>
            </w:pPr>
          </w:p>
        </w:tc>
        <w:tc>
          <w:tcPr>
            <w:tcW w:w="1600" w:type="dxa"/>
            <w:vMerge/>
            <w:tcBorders>
              <w:top w:val="single" w:sz="8" w:space="0" w:color="auto"/>
              <w:left w:val="single" w:sz="8" w:space="0" w:color="auto"/>
              <w:bottom w:val="nil"/>
              <w:right w:val="single" w:sz="8" w:space="0" w:color="auto"/>
            </w:tcBorders>
            <w:vAlign w:val="center"/>
            <w:hideMark/>
          </w:tcPr>
          <w:p w14:paraId="55FAA7D0" w14:textId="77777777" w:rsidR="002C537F" w:rsidRPr="00052A88" w:rsidRDefault="002C537F" w:rsidP="00C74E50">
            <w:pPr>
              <w:spacing w:after="0" w:line="240" w:lineRule="auto"/>
              <w:rPr>
                <w:rFonts w:asciiTheme="minorBidi" w:eastAsia="Times New Roman" w:hAnsiTheme="minorBidi"/>
                <w:b/>
                <w:bCs/>
                <w:lang w:eastAsia="ro-RO"/>
              </w:rPr>
            </w:pPr>
          </w:p>
        </w:tc>
        <w:tc>
          <w:tcPr>
            <w:tcW w:w="1820" w:type="dxa"/>
            <w:tcBorders>
              <w:top w:val="nil"/>
              <w:left w:val="nil"/>
              <w:bottom w:val="nil"/>
              <w:right w:val="single" w:sz="8" w:space="0" w:color="auto"/>
            </w:tcBorders>
            <w:shd w:val="clear" w:color="auto" w:fill="auto"/>
            <w:vAlign w:val="center"/>
            <w:hideMark/>
          </w:tcPr>
          <w:p w14:paraId="0C04B19B"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Metale prioritare (nr.)</w:t>
            </w:r>
          </w:p>
        </w:tc>
        <w:tc>
          <w:tcPr>
            <w:tcW w:w="1860" w:type="dxa"/>
            <w:tcBorders>
              <w:top w:val="nil"/>
              <w:left w:val="nil"/>
              <w:bottom w:val="nil"/>
              <w:right w:val="single" w:sz="8" w:space="0" w:color="auto"/>
            </w:tcBorders>
            <w:shd w:val="clear" w:color="auto" w:fill="auto"/>
            <w:vAlign w:val="center"/>
            <w:hideMark/>
          </w:tcPr>
          <w:p w14:paraId="2B1E2F06"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Micropoluanţi organici (nr.)</w:t>
            </w:r>
          </w:p>
        </w:tc>
      </w:tr>
      <w:tr w:rsidR="002C537F" w:rsidRPr="00052A88" w14:paraId="2C3D3DA1"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vAlign w:val="center"/>
            <w:hideMark/>
          </w:tcPr>
          <w:p w14:paraId="29BF28DC"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Someș-Tisa</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F39B2"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14</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02A516DE"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126AF4C7"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19</w:t>
            </w:r>
          </w:p>
        </w:tc>
      </w:tr>
      <w:tr w:rsidR="002C537F" w:rsidRPr="00052A88" w14:paraId="0A4BD4E0"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447210F8"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Crișuri</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6701DEDF"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0</w:t>
            </w:r>
          </w:p>
        </w:tc>
        <w:tc>
          <w:tcPr>
            <w:tcW w:w="1820" w:type="dxa"/>
            <w:tcBorders>
              <w:top w:val="nil"/>
              <w:left w:val="nil"/>
              <w:bottom w:val="single" w:sz="4" w:space="0" w:color="auto"/>
              <w:right w:val="single" w:sz="4" w:space="0" w:color="auto"/>
            </w:tcBorders>
            <w:shd w:val="clear" w:color="000000" w:fill="FFFFFF"/>
            <w:noWrap/>
            <w:vAlign w:val="center"/>
            <w:hideMark/>
          </w:tcPr>
          <w:p w14:paraId="4DCFF69D"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0</w:t>
            </w:r>
          </w:p>
        </w:tc>
        <w:tc>
          <w:tcPr>
            <w:tcW w:w="1860" w:type="dxa"/>
            <w:tcBorders>
              <w:top w:val="nil"/>
              <w:left w:val="nil"/>
              <w:bottom w:val="single" w:sz="4" w:space="0" w:color="auto"/>
              <w:right w:val="single" w:sz="4" w:space="0" w:color="auto"/>
            </w:tcBorders>
            <w:shd w:val="clear" w:color="000000" w:fill="FFFFFF"/>
            <w:noWrap/>
            <w:vAlign w:val="center"/>
            <w:hideMark/>
          </w:tcPr>
          <w:p w14:paraId="3E34CA90"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0</w:t>
            </w:r>
          </w:p>
        </w:tc>
      </w:tr>
      <w:tr w:rsidR="002C537F" w:rsidRPr="00052A88" w14:paraId="4514C45E"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1A3251B2"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Mureș</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1774D59C"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17</w:t>
            </w:r>
          </w:p>
        </w:tc>
        <w:tc>
          <w:tcPr>
            <w:tcW w:w="1820" w:type="dxa"/>
            <w:tcBorders>
              <w:top w:val="nil"/>
              <w:left w:val="nil"/>
              <w:bottom w:val="single" w:sz="4" w:space="0" w:color="auto"/>
              <w:right w:val="single" w:sz="4" w:space="0" w:color="auto"/>
            </w:tcBorders>
            <w:shd w:val="clear" w:color="000000" w:fill="FFFFFF"/>
            <w:noWrap/>
            <w:vAlign w:val="center"/>
            <w:hideMark/>
          </w:tcPr>
          <w:p w14:paraId="78338122"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000000" w:fill="FFFFFF"/>
            <w:noWrap/>
            <w:vAlign w:val="center"/>
            <w:hideMark/>
          </w:tcPr>
          <w:p w14:paraId="6AEDEFC8"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12</w:t>
            </w:r>
          </w:p>
        </w:tc>
      </w:tr>
      <w:tr w:rsidR="002C537F" w:rsidRPr="00052A88" w14:paraId="4188F467"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48BE159A"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lastRenderedPageBreak/>
              <w:t>Banat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3F4F8B6A"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20" w:type="dxa"/>
            <w:tcBorders>
              <w:top w:val="nil"/>
              <w:left w:val="nil"/>
              <w:bottom w:val="single" w:sz="4" w:space="0" w:color="auto"/>
              <w:right w:val="single" w:sz="4" w:space="0" w:color="auto"/>
            </w:tcBorders>
            <w:shd w:val="clear" w:color="000000" w:fill="FFFFFF"/>
            <w:noWrap/>
            <w:vAlign w:val="center"/>
            <w:hideMark/>
          </w:tcPr>
          <w:p w14:paraId="69A42C82"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000000" w:fill="FFFFFF"/>
            <w:noWrap/>
            <w:vAlign w:val="center"/>
            <w:hideMark/>
          </w:tcPr>
          <w:p w14:paraId="5A4C709C"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16</w:t>
            </w:r>
          </w:p>
        </w:tc>
      </w:tr>
      <w:tr w:rsidR="002C537F" w:rsidRPr="00052A88" w14:paraId="1219C3EF"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3E14E431"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Jiu</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4282FE4C"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5</w:t>
            </w:r>
          </w:p>
        </w:tc>
        <w:tc>
          <w:tcPr>
            <w:tcW w:w="1820" w:type="dxa"/>
            <w:tcBorders>
              <w:top w:val="nil"/>
              <w:left w:val="nil"/>
              <w:bottom w:val="single" w:sz="4" w:space="0" w:color="auto"/>
              <w:right w:val="single" w:sz="4" w:space="0" w:color="auto"/>
            </w:tcBorders>
            <w:shd w:val="clear" w:color="000000" w:fill="FFFFFF"/>
            <w:noWrap/>
            <w:vAlign w:val="center"/>
            <w:hideMark/>
          </w:tcPr>
          <w:p w14:paraId="366282ED"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000000" w:fill="FFFFFF"/>
            <w:noWrap/>
            <w:vAlign w:val="center"/>
            <w:hideMark/>
          </w:tcPr>
          <w:p w14:paraId="7C45855A"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12</w:t>
            </w:r>
          </w:p>
        </w:tc>
      </w:tr>
      <w:tr w:rsidR="002C537F" w:rsidRPr="00052A88" w14:paraId="5CA6F325"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017E7395"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Olt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6B24C0BE"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14</w:t>
            </w:r>
          </w:p>
        </w:tc>
        <w:tc>
          <w:tcPr>
            <w:tcW w:w="1820" w:type="dxa"/>
            <w:tcBorders>
              <w:top w:val="nil"/>
              <w:left w:val="nil"/>
              <w:bottom w:val="single" w:sz="4" w:space="0" w:color="auto"/>
              <w:right w:val="single" w:sz="4" w:space="0" w:color="auto"/>
            </w:tcBorders>
            <w:shd w:val="clear" w:color="000000" w:fill="FFFFFF"/>
            <w:noWrap/>
            <w:vAlign w:val="center"/>
            <w:hideMark/>
          </w:tcPr>
          <w:p w14:paraId="7C0319E7"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000000" w:fill="FFFFFF"/>
            <w:noWrap/>
            <w:vAlign w:val="center"/>
            <w:hideMark/>
          </w:tcPr>
          <w:p w14:paraId="1E05B96B"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29</w:t>
            </w:r>
          </w:p>
        </w:tc>
      </w:tr>
      <w:tr w:rsidR="002C537F" w:rsidRPr="00052A88" w14:paraId="2A3B063B"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0BCAB1E7"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Argeș-Vedea</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7A17AE20"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w:t>
            </w:r>
          </w:p>
        </w:tc>
        <w:tc>
          <w:tcPr>
            <w:tcW w:w="1820" w:type="dxa"/>
            <w:tcBorders>
              <w:top w:val="nil"/>
              <w:left w:val="nil"/>
              <w:bottom w:val="single" w:sz="4" w:space="0" w:color="auto"/>
              <w:right w:val="single" w:sz="4" w:space="0" w:color="auto"/>
            </w:tcBorders>
            <w:shd w:val="clear" w:color="000000" w:fill="FFFFFF"/>
            <w:noWrap/>
            <w:vAlign w:val="center"/>
            <w:hideMark/>
          </w:tcPr>
          <w:p w14:paraId="797FFF34"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0</w:t>
            </w:r>
          </w:p>
        </w:tc>
        <w:tc>
          <w:tcPr>
            <w:tcW w:w="1860" w:type="dxa"/>
            <w:tcBorders>
              <w:top w:val="nil"/>
              <w:left w:val="nil"/>
              <w:bottom w:val="single" w:sz="4" w:space="0" w:color="auto"/>
              <w:right w:val="single" w:sz="4" w:space="0" w:color="auto"/>
            </w:tcBorders>
            <w:shd w:val="clear" w:color="000000" w:fill="FFFFFF"/>
            <w:noWrap/>
            <w:vAlign w:val="center"/>
            <w:hideMark/>
          </w:tcPr>
          <w:p w14:paraId="3E6E5837"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11</w:t>
            </w:r>
          </w:p>
        </w:tc>
      </w:tr>
      <w:tr w:rsidR="002C537F" w:rsidRPr="00052A88" w14:paraId="35425E65"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356ACD84"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Buzău-Ialomița</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5D5B10C0"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4</w:t>
            </w:r>
          </w:p>
        </w:tc>
        <w:tc>
          <w:tcPr>
            <w:tcW w:w="1820" w:type="dxa"/>
            <w:tcBorders>
              <w:top w:val="nil"/>
              <w:left w:val="nil"/>
              <w:bottom w:val="single" w:sz="4" w:space="0" w:color="auto"/>
              <w:right w:val="single" w:sz="4" w:space="0" w:color="auto"/>
            </w:tcBorders>
            <w:shd w:val="clear" w:color="000000" w:fill="FFFFFF"/>
            <w:noWrap/>
            <w:vAlign w:val="center"/>
            <w:hideMark/>
          </w:tcPr>
          <w:p w14:paraId="099E80C0"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0</w:t>
            </w:r>
          </w:p>
        </w:tc>
        <w:tc>
          <w:tcPr>
            <w:tcW w:w="1860" w:type="dxa"/>
            <w:tcBorders>
              <w:top w:val="nil"/>
              <w:left w:val="nil"/>
              <w:bottom w:val="single" w:sz="4" w:space="0" w:color="auto"/>
              <w:right w:val="single" w:sz="4" w:space="0" w:color="auto"/>
            </w:tcBorders>
            <w:shd w:val="clear" w:color="000000" w:fill="FFFFFF"/>
            <w:noWrap/>
            <w:vAlign w:val="center"/>
            <w:hideMark/>
          </w:tcPr>
          <w:p w14:paraId="20BE07EA"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12</w:t>
            </w:r>
          </w:p>
        </w:tc>
      </w:tr>
      <w:tr w:rsidR="002C537F" w:rsidRPr="00052A88" w14:paraId="27E49D2F"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4E2C1FFB"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Siret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0DD3D17B"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6</w:t>
            </w:r>
          </w:p>
        </w:tc>
        <w:tc>
          <w:tcPr>
            <w:tcW w:w="1820" w:type="dxa"/>
            <w:tcBorders>
              <w:top w:val="nil"/>
              <w:left w:val="nil"/>
              <w:bottom w:val="single" w:sz="4" w:space="0" w:color="auto"/>
              <w:right w:val="single" w:sz="4" w:space="0" w:color="auto"/>
            </w:tcBorders>
            <w:shd w:val="clear" w:color="000000" w:fill="FFFFFF"/>
            <w:noWrap/>
            <w:vAlign w:val="center"/>
            <w:hideMark/>
          </w:tcPr>
          <w:p w14:paraId="12180160"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000000" w:fill="FFFFFF"/>
            <w:noWrap/>
            <w:vAlign w:val="center"/>
            <w:hideMark/>
          </w:tcPr>
          <w:p w14:paraId="3DF9815D"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11</w:t>
            </w:r>
          </w:p>
        </w:tc>
      </w:tr>
      <w:tr w:rsidR="002C537F" w:rsidRPr="00052A88" w14:paraId="74D2C8FD"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086EEA18"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Prut- Bârlad</w:t>
            </w: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2176247"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22</w:t>
            </w:r>
          </w:p>
        </w:tc>
        <w:tc>
          <w:tcPr>
            <w:tcW w:w="1820" w:type="dxa"/>
            <w:tcBorders>
              <w:top w:val="nil"/>
              <w:left w:val="nil"/>
              <w:bottom w:val="single" w:sz="4" w:space="0" w:color="auto"/>
              <w:right w:val="single" w:sz="4" w:space="0" w:color="auto"/>
            </w:tcBorders>
            <w:shd w:val="clear" w:color="auto" w:fill="auto"/>
            <w:noWrap/>
            <w:vAlign w:val="center"/>
            <w:hideMark/>
          </w:tcPr>
          <w:p w14:paraId="7622032C"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auto" w:fill="auto"/>
            <w:noWrap/>
            <w:vAlign w:val="center"/>
            <w:hideMark/>
          </w:tcPr>
          <w:p w14:paraId="11E0B6D5"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14</w:t>
            </w:r>
          </w:p>
        </w:tc>
      </w:tr>
      <w:tr w:rsidR="002C537F" w:rsidRPr="00052A88" w14:paraId="0FB5F699" w14:textId="77777777" w:rsidTr="00C74E50">
        <w:trPr>
          <w:trHeight w:val="300"/>
          <w:jc w:val="center"/>
        </w:trPr>
        <w:tc>
          <w:tcPr>
            <w:tcW w:w="1940" w:type="dxa"/>
            <w:tcBorders>
              <w:top w:val="nil"/>
              <w:left w:val="single" w:sz="8" w:space="0" w:color="auto"/>
              <w:bottom w:val="single" w:sz="8" w:space="0" w:color="auto"/>
              <w:right w:val="nil"/>
            </w:tcBorders>
            <w:shd w:val="clear" w:color="auto" w:fill="auto"/>
            <w:noWrap/>
            <w:vAlign w:val="center"/>
            <w:hideMark/>
          </w:tcPr>
          <w:p w14:paraId="55759A47"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Dobrogea - Litoral*</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14:paraId="1BAC861D"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16</w:t>
            </w:r>
          </w:p>
        </w:tc>
        <w:tc>
          <w:tcPr>
            <w:tcW w:w="1820" w:type="dxa"/>
            <w:tcBorders>
              <w:top w:val="nil"/>
              <w:left w:val="nil"/>
              <w:bottom w:val="single" w:sz="4" w:space="0" w:color="auto"/>
              <w:right w:val="single" w:sz="4" w:space="0" w:color="auto"/>
            </w:tcBorders>
            <w:shd w:val="clear" w:color="000000" w:fill="FFFFFF"/>
            <w:noWrap/>
            <w:vAlign w:val="center"/>
            <w:hideMark/>
          </w:tcPr>
          <w:p w14:paraId="44A1C4BA"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1860" w:type="dxa"/>
            <w:tcBorders>
              <w:top w:val="nil"/>
              <w:left w:val="nil"/>
              <w:bottom w:val="single" w:sz="4" w:space="0" w:color="auto"/>
              <w:right w:val="single" w:sz="4" w:space="0" w:color="auto"/>
            </w:tcBorders>
            <w:shd w:val="clear" w:color="000000" w:fill="FFFFFF"/>
            <w:noWrap/>
            <w:vAlign w:val="center"/>
            <w:hideMark/>
          </w:tcPr>
          <w:p w14:paraId="0D04E446" w14:textId="77777777" w:rsidR="002C537F" w:rsidRPr="00052A88"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29</w:t>
            </w:r>
          </w:p>
        </w:tc>
      </w:tr>
      <w:tr w:rsidR="002C537F" w:rsidRPr="00D67611" w14:paraId="4DDFD487" w14:textId="77777777" w:rsidTr="00C74E50">
        <w:trPr>
          <w:trHeight w:val="300"/>
          <w:jc w:val="center"/>
        </w:trPr>
        <w:tc>
          <w:tcPr>
            <w:tcW w:w="1940" w:type="dxa"/>
            <w:tcBorders>
              <w:top w:val="nil"/>
              <w:left w:val="single" w:sz="8" w:space="0" w:color="auto"/>
              <w:bottom w:val="single" w:sz="8" w:space="0" w:color="auto"/>
              <w:right w:val="single" w:sz="8" w:space="0" w:color="auto"/>
            </w:tcBorders>
            <w:shd w:val="clear" w:color="auto" w:fill="00B0F0"/>
            <w:noWrap/>
            <w:vAlign w:val="center"/>
            <w:hideMark/>
          </w:tcPr>
          <w:p w14:paraId="52C202A7"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Total</w:t>
            </w:r>
          </w:p>
        </w:tc>
        <w:tc>
          <w:tcPr>
            <w:tcW w:w="1600" w:type="dxa"/>
            <w:tcBorders>
              <w:top w:val="nil"/>
              <w:left w:val="nil"/>
              <w:bottom w:val="single" w:sz="8" w:space="0" w:color="auto"/>
              <w:right w:val="single" w:sz="8" w:space="0" w:color="auto"/>
            </w:tcBorders>
            <w:shd w:val="clear" w:color="auto" w:fill="00B0F0"/>
            <w:noWrap/>
            <w:vAlign w:val="center"/>
            <w:hideMark/>
          </w:tcPr>
          <w:p w14:paraId="77ECADE9"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102</w:t>
            </w:r>
          </w:p>
        </w:tc>
        <w:tc>
          <w:tcPr>
            <w:tcW w:w="1820" w:type="dxa"/>
            <w:tcBorders>
              <w:top w:val="nil"/>
              <w:left w:val="nil"/>
              <w:bottom w:val="single" w:sz="8" w:space="0" w:color="auto"/>
              <w:right w:val="single" w:sz="8" w:space="0" w:color="auto"/>
            </w:tcBorders>
            <w:shd w:val="clear" w:color="auto" w:fill="00B0F0"/>
            <w:noWrap/>
            <w:vAlign w:val="center"/>
            <w:hideMark/>
          </w:tcPr>
          <w:p w14:paraId="4DD8BD67"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3</w:t>
            </w:r>
          </w:p>
        </w:tc>
        <w:tc>
          <w:tcPr>
            <w:tcW w:w="1860" w:type="dxa"/>
            <w:tcBorders>
              <w:top w:val="nil"/>
              <w:left w:val="nil"/>
              <w:bottom w:val="single" w:sz="8" w:space="0" w:color="auto"/>
              <w:right w:val="nil"/>
            </w:tcBorders>
            <w:shd w:val="clear" w:color="auto" w:fill="00B0F0"/>
            <w:noWrap/>
            <w:vAlign w:val="center"/>
            <w:hideMark/>
          </w:tcPr>
          <w:p w14:paraId="0EE6F8B4" w14:textId="77777777" w:rsidR="002C537F" w:rsidRPr="00052A88"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29</w:t>
            </w:r>
          </w:p>
        </w:tc>
      </w:tr>
    </w:tbl>
    <w:p w14:paraId="1EE90F4B" w14:textId="77777777" w:rsidR="002C537F" w:rsidRPr="00052A88" w:rsidRDefault="002C537F" w:rsidP="002C537F">
      <w:pPr>
        <w:spacing w:after="0" w:line="240" w:lineRule="auto"/>
        <w:jc w:val="both"/>
        <w:rPr>
          <w:rFonts w:ascii="Arial" w:hAnsi="Arial" w:cs="Arial"/>
          <w:b/>
          <w:i/>
          <w:sz w:val="24"/>
          <w:szCs w:val="24"/>
        </w:rPr>
      </w:pPr>
      <w:r w:rsidRPr="00052A88">
        <w:rPr>
          <w:rFonts w:ascii="Arial" w:hAnsi="Arial" w:cs="Arial"/>
          <w:b/>
          <w:i/>
          <w:sz w:val="24"/>
          <w:szCs w:val="24"/>
        </w:rPr>
        <w:tab/>
      </w:r>
      <w:r w:rsidRPr="00052A88">
        <w:rPr>
          <w:rFonts w:ascii="Arial" w:hAnsi="Arial" w:cs="Arial"/>
          <w:b/>
          <w:i/>
          <w:sz w:val="24"/>
          <w:szCs w:val="24"/>
        </w:rPr>
        <w:tab/>
      </w:r>
      <w:r w:rsidRPr="00052A88">
        <w:rPr>
          <w:rFonts w:ascii="Arial" w:hAnsi="Arial" w:cs="Arial"/>
          <w:b/>
          <w:i/>
          <w:sz w:val="20"/>
          <w:szCs w:val="20"/>
        </w:rPr>
        <w:t>*include și lacul tranzitoriu lacustru Sinoe</w:t>
      </w:r>
    </w:p>
    <w:p w14:paraId="6DFC7853" w14:textId="77777777" w:rsidR="002C537F" w:rsidRPr="00505570" w:rsidRDefault="002C537F" w:rsidP="002C537F">
      <w:pPr>
        <w:spacing w:after="0"/>
        <w:ind w:left="900" w:hanging="900"/>
        <w:jc w:val="both"/>
        <w:rPr>
          <w:rFonts w:ascii="Arial" w:hAnsi="Arial" w:cs="Arial"/>
          <w:i/>
          <w:iCs/>
          <w:color w:val="FF0000"/>
          <w:sz w:val="20"/>
          <w:szCs w:val="20"/>
          <w:lang w:eastAsia="ro-RO"/>
        </w:rPr>
      </w:pPr>
      <w:bookmarkStart w:id="40" w:name="_Hlk138677499"/>
      <w:r w:rsidRPr="00E36C00">
        <w:rPr>
          <w:rFonts w:ascii="Arial" w:hAnsi="Arial" w:cs="Arial"/>
          <w:i/>
          <w:iCs/>
          <w:sz w:val="20"/>
          <w:szCs w:val="20"/>
          <w:lang w:eastAsia="ro-RO"/>
        </w:rPr>
        <w:t>(Sursa: Administraţia Naţională “Apele Române”, Sinteza calităţii apelor din România în anul 2022</w:t>
      </w:r>
      <w:r w:rsidRPr="00052BA7">
        <w:rPr>
          <w:rFonts w:ascii="Arial" w:hAnsi="Arial" w:cs="Arial"/>
          <w:i/>
          <w:iCs/>
          <w:sz w:val="20"/>
          <w:szCs w:val="20"/>
          <w:lang w:eastAsia="ro-RO"/>
        </w:rPr>
        <w:t>)</w:t>
      </w:r>
    </w:p>
    <w:bookmarkEnd w:id="40"/>
    <w:p w14:paraId="09A0FE51" w14:textId="77777777" w:rsidR="002C537F" w:rsidRDefault="002C537F" w:rsidP="002C537F">
      <w:pPr>
        <w:spacing w:after="0" w:line="240" w:lineRule="auto"/>
        <w:jc w:val="both"/>
        <w:rPr>
          <w:rFonts w:ascii="Arial" w:hAnsi="Arial" w:cs="Arial"/>
          <w:b/>
          <w:i/>
          <w:color w:val="FF0000"/>
          <w:sz w:val="20"/>
          <w:szCs w:val="16"/>
          <w:u w:val="single"/>
        </w:rPr>
      </w:pPr>
    </w:p>
    <w:p w14:paraId="00492E24" w14:textId="77777777" w:rsidR="002C537F" w:rsidRDefault="002C537F" w:rsidP="002C537F">
      <w:pPr>
        <w:spacing w:after="0" w:line="240" w:lineRule="auto"/>
        <w:jc w:val="both"/>
        <w:rPr>
          <w:rFonts w:ascii="Arial" w:hAnsi="Arial" w:cs="Arial"/>
          <w:b/>
          <w:i/>
          <w:color w:val="FF0000"/>
          <w:sz w:val="20"/>
          <w:szCs w:val="16"/>
          <w:u w:val="single"/>
        </w:rPr>
      </w:pPr>
    </w:p>
    <w:p w14:paraId="127BBDD9" w14:textId="77777777" w:rsidR="002C537F" w:rsidRDefault="002C537F" w:rsidP="002C537F">
      <w:pPr>
        <w:spacing w:after="0" w:line="240" w:lineRule="auto"/>
        <w:jc w:val="both"/>
        <w:rPr>
          <w:rFonts w:ascii="Arial" w:hAnsi="Arial" w:cs="Arial"/>
          <w:b/>
          <w:i/>
          <w:color w:val="FF0000"/>
          <w:sz w:val="20"/>
          <w:szCs w:val="16"/>
          <w:u w:val="single"/>
        </w:rPr>
      </w:pPr>
    </w:p>
    <w:p w14:paraId="302EEC1A" w14:textId="77777777" w:rsidR="002C537F" w:rsidRDefault="002C537F" w:rsidP="002C537F">
      <w:pPr>
        <w:spacing w:after="0" w:line="240" w:lineRule="auto"/>
        <w:jc w:val="both"/>
        <w:rPr>
          <w:rFonts w:ascii="Arial" w:hAnsi="Arial" w:cs="Arial"/>
          <w:b/>
          <w:i/>
          <w:color w:val="FF0000"/>
          <w:sz w:val="20"/>
          <w:szCs w:val="16"/>
          <w:u w:val="single"/>
        </w:rPr>
      </w:pPr>
    </w:p>
    <w:p w14:paraId="1324611E" w14:textId="77777777" w:rsidR="002C537F" w:rsidRDefault="002C537F" w:rsidP="002C537F">
      <w:pPr>
        <w:spacing w:after="0" w:line="240" w:lineRule="auto"/>
        <w:jc w:val="both"/>
        <w:rPr>
          <w:rFonts w:ascii="Arial" w:hAnsi="Arial" w:cs="Arial"/>
          <w:b/>
          <w:i/>
          <w:color w:val="FF0000"/>
          <w:sz w:val="20"/>
          <w:szCs w:val="16"/>
          <w:u w:val="single"/>
        </w:rPr>
      </w:pPr>
    </w:p>
    <w:p w14:paraId="75AE8660" w14:textId="77777777" w:rsidR="002C537F" w:rsidRDefault="002C537F" w:rsidP="002C537F">
      <w:pPr>
        <w:spacing w:after="0" w:line="240" w:lineRule="auto"/>
        <w:jc w:val="both"/>
        <w:rPr>
          <w:rFonts w:ascii="Arial" w:hAnsi="Arial" w:cs="Arial"/>
          <w:b/>
          <w:i/>
          <w:color w:val="FF0000"/>
          <w:sz w:val="20"/>
          <w:szCs w:val="16"/>
          <w:u w:val="single"/>
        </w:rPr>
      </w:pPr>
    </w:p>
    <w:p w14:paraId="4365FFD8" w14:textId="77777777" w:rsidR="002C537F" w:rsidRDefault="002C537F" w:rsidP="002C537F">
      <w:pPr>
        <w:spacing w:after="0" w:line="240" w:lineRule="auto"/>
        <w:jc w:val="both"/>
        <w:rPr>
          <w:rFonts w:ascii="Arial" w:hAnsi="Arial" w:cs="Arial"/>
          <w:b/>
          <w:i/>
          <w:color w:val="FF0000"/>
          <w:sz w:val="20"/>
          <w:szCs w:val="16"/>
          <w:u w:val="single"/>
        </w:rPr>
      </w:pPr>
    </w:p>
    <w:p w14:paraId="3B14DBC2" w14:textId="77777777" w:rsidR="002C537F" w:rsidRDefault="002C537F" w:rsidP="002C537F">
      <w:pPr>
        <w:spacing w:after="0" w:line="240" w:lineRule="auto"/>
        <w:jc w:val="both"/>
        <w:rPr>
          <w:rFonts w:ascii="Arial" w:hAnsi="Arial" w:cs="Arial"/>
          <w:b/>
          <w:i/>
          <w:color w:val="FF0000"/>
          <w:sz w:val="20"/>
          <w:szCs w:val="16"/>
          <w:u w:val="single"/>
        </w:rPr>
      </w:pPr>
    </w:p>
    <w:p w14:paraId="2A3F7699" w14:textId="77777777" w:rsidR="002C537F" w:rsidRDefault="002C537F" w:rsidP="002C537F">
      <w:pPr>
        <w:spacing w:after="0" w:line="240" w:lineRule="auto"/>
        <w:jc w:val="both"/>
        <w:rPr>
          <w:rFonts w:ascii="Arial" w:hAnsi="Arial" w:cs="Arial"/>
          <w:b/>
          <w:i/>
          <w:color w:val="FF0000"/>
          <w:sz w:val="20"/>
          <w:szCs w:val="16"/>
          <w:u w:val="single"/>
        </w:rPr>
      </w:pPr>
    </w:p>
    <w:p w14:paraId="5FB58C3E" w14:textId="77777777" w:rsidR="002C537F" w:rsidRDefault="002C537F" w:rsidP="002C537F">
      <w:pPr>
        <w:spacing w:after="0" w:line="240" w:lineRule="auto"/>
        <w:jc w:val="both"/>
        <w:rPr>
          <w:rFonts w:ascii="Arial" w:hAnsi="Arial" w:cs="Arial"/>
          <w:b/>
          <w:i/>
          <w:color w:val="FF0000"/>
          <w:sz w:val="20"/>
          <w:szCs w:val="16"/>
          <w:u w:val="single"/>
        </w:rPr>
      </w:pPr>
    </w:p>
    <w:p w14:paraId="52D21D5C" w14:textId="77777777" w:rsidR="002C537F" w:rsidRDefault="002C537F" w:rsidP="002C537F">
      <w:pPr>
        <w:spacing w:after="0" w:line="240" w:lineRule="auto"/>
        <w:jc w:val="both"/>
        <w:rPr>
          <w:rFonts w:ascii="Arial" w:hAnsi="Arial" w:cs="Arial"/>
          <w:b/>
          <w:i/>
          <w:color w:val="FF0000"/>
          <w:sz w:val="20"/>
          <w:szCs w:val="16"/>
          <w:u w:val="single"/>
        </w:rPr>
      </w:pPr>
    </w:p>
    <w:p w14:paraId="61BD2F68" w14:textId="77777777" w:rsidR="002C537F" w:rsidRDefault="002C537F" w:rsidP="002C537F">
      <w:pPr>
        <w:spacing w:after="0" w:line="240" w:lineRule="auto"/>
        <w:jc w:val="both"/>
        <w:rPr>
          <w:rFonts w:ascii="Arial" w:hAnsi="Arial" w:cs="Arial"/>
          <w:b/>
          <w:i/>
          <w:color w:val="FF0000"/>
          <w:sz w:val="20"/>
          <w:szCs w:val="16"/>
          <w:u w:val="single"/>
        </w:rPr>
      </w:pPr>
    </w:p>
    <w:p w14:paraId="31D09295" w14:textId="77777777" w:rsidR="002C537F" w:rsidRDefault="002C537F" w:rsidP="002C537F">
      <w:pPr>
        <w:spacing w:after="0" w:line="240" w:lineRule="auto"/>
        <w:jc w:val="both"/>
        <w:rPr>
          <w:rFonts w:ascii="Arial" w:hAnsi="Arial" w:cs="Arial"/>
          <w:b/>
          <w:i/>
          <w:color w:val="FF0000"/>
          <w:sz w:val="20"/>
          <w:szCs w:val="16"/>
          <w:u w:val="single"/>
        </w:rPr>
      </w:pPr>
    </w:p>
    <w:p w14:paraId="299423E4" w14:textId="77777777" w:rsidR="002C537F" w:rsidRDefault="002C537F" w:rsidP="002C537F">
      <w:pPr>
        <w:spacing w:after="0" w:line="240" w:lineRule="auto"/>
        <w:jc w:val="both"/>
        <w:rPr>
          <w:rFonts w:ascii="Arial" w:hAnsi="Arial" w:cs="Arial"/>
          <w:b/>
          <w:i/>
          <w:color w:val="FF0000"/>
          <w:sz w:val="20"/>
          <w:szCs w:val="16"/>
          <w:u w:val="single"/>
        </w:rPr>
      </w:pPr>
    </w:p>
    <w:p w14:paraId="3331996D" w14:textId="77777777" w:rsidR="002C537F" w:rsidRDefault="002C537F" w:rsidP="002C537F">
      <w:pPr>
        <w:spacing w:after="0" w:line="240" w:lineRule="auto"/>
        <w:jc w:val="both"/>
        <w:rPr>
          <w:rFonts w:ascii="Arial" w:hAnsi="Arial" w:cs="Arial"/>
          <w:b/>
          <w:i/>
          <w:color w:val="FF0000"/>
          <w:sz w:val="20"/>
          <w:szCs w:val="16"/>
          <w:u w:val="single"/>
        </w:rPr>
      </w:pPr>
    </w:p>
    <w:p w14:paraId="10D7BBE6" w14:textId="77777777" w:rsidR="002C537F" w:rsidRDefault="002C537F" w:rsidP="002C537F">
      <w:pPr>
        <w:spacing w:after="0" w:line="240" w:lineRule="auto"/>
        <w:jc w:val="both"/>
        <w:rPr>
          <w:rFonts w:ascii="Arial" w:hAnsi="Arial" w:cs="Arial"/>
          <w:b/>
          <w:i/>
          <w:color w:val="FF0000"/>
          <w:sz w:val="20"/>
          <w:szCs w:val="16"/>
          <w:u w:val="single"/>
        </w:rPr>
      </w:pPr>
    </w:p>
    <w:p w14:paraId="3F501D1A" w14:textId="77777777" w:rsidR="002C537F" w:rsidRDefault="002C537F" w:rsidP="002C537F">
      <w:pPr>
        <w:spacing w:after="0" w:line="240" w:lineRule="auto"/>
        <w:jc w:val="both"/>
        <w:rPr>
          <w:rFonts w:ascii="Arial" w:hAnsi="Arial" w:cs="Arial"/>
          <w:b/>
          <w:i/>
          <w:color w:val="FF0000"/>
          <w:sz w:val="20"/>
          <w:szCs w:val="16"/>
          <w:u w:val="single"/>
        </w:rPr>
      </w:pPr>
    </w:p>
    <w:p w14:paraId="7F795146" w14:textId="77777777" w:rsidR="002C537F" w:rsidRDefault="002C537F" w:rsidP="002C537F">
      <w:pPr>
        <w:spacing w:after="0" w:line="240" w:lineRule="auto"/>
        <w:jc w:val="both"/>
        <w:rPr>
          <w:rFonts w:ascii="Arial" w:hAnsi="Arial" w:cs="Arial"/>
          <w:b/>
          <w:i/>
          <w:color w:val="FF0000"/>
          <w:sz w:val="20"/>
          <w:szCs w:val="16"/>
          <w:u w:val="single"/>
        </w:rPr>
      </w:pPr>
    </w:p>
    <w:p w14:paraId="6C2FDAAB" w14:textId="77777777" w:rsidR="002C537F" w:rsidRDefault="002C537F" w:rsidP="002C537F">
      <w:pPr>
        <w:spacing w:after="0" w:line="240" w:lineRule="auto"/>
        <w:jc w:val="both"/>
        <w:rPr>
          <w:rFonts w:ascii="Arial" w:hAnsi="Arial" w:cs="Arial"/>
          <w:b/>
          <w:i/>
          <w:color w:val="FF0000"/>
          <w:sz w:val="20"/>
          <w:szCs w:val="16"/>
          <w:u w:val="single"/>
        </w:rPr>
      </w:pPr>
    </w:p>
    <w:p w14:paraId="02E4D639" w14:textId="77777777" w:rsidR="002C537F" w:rsidRDefault="002C537F" w:rsidP="002C537F">
      <w:pPr>
        <w:spacing w:after="0" w:line="240" w:lineRule="auto"/>
        <w:jc w:val="both"/>
        <w:rPr>
          <w:rFonts w:ascii="Arial" w:hAnsi="Arial" w:cs="Arial"/>
          <w:b/>
          <w:i/>
          <w:color w:val="FF0000"/>
          <w:sz w:val="20"/>
          <w:szCs w:val="16"/>
          <w:u w:val="single"/>
        </w:rPr>
      </w:pPr>
    </w:p>
    <w:p w14:paraId="1FFB052D" w14:textId="77777777" w:rsidR="002C537F" w:rsidRDefault="002C537F" w:rsidP="002C537F">
      <w:pPr>
        <w:spacing w:after="0" w:line="240" w:lineRule="auto"/>
        <w:jc w:val="both"/>
        <w:rPr>
          <w:rFonts w:ascii="Arial" w:hAnsi="Arial" w:cs="Arial"/>
          <w:b/>
          <w:i/>
          <w:color w:val="FF0000"/>
          <w:sz w:val="20"/>
          <w:szCs w:val="16"/>
          <w:u w:val="single"/>
        </w:rPr>
      </w:pPr>
    </w:p>
    <w:p w14:paraId="7C02593A" w14:textId="77777777" w:rsidR="002C537F" w:rsidRPr="00BD44E6" w:rsidRDefault="002C537F" w:rsidP="002C537F">
      <w:pPr>
        <w:spacing w:after="0" w:line="240" w:lineRule="auto"/>
        <w:jc w:val="both"/>
        <w:rPr>
          <w:rFonts w:ascii="Arial" w:hAnsi="Arial" w:cs="Arial"/>
          <w:b/>
          <w:i/>
          <w:sz w:val="20"/>
          <w:szCs w:val="16"/>
          <w:u w:val="single"/>
        </w:rPr>
      </w:pPr>
      <w:r w:rsidRPr="00431EB4">
        <w:rPr>
          <w:rFonts w:ascii="Arial" w:hAnsi="Arial" w:cs="Arial"/>
          <w:b/>
          <w:i/>
          <w:sz w:val="20"/>
          <w:szCs w:val="16"/>
        </w:rPr>
        <w:t xml:space="preserve">Figura II.2.1.2.1 Distribuția substanțelor prioritare monitorizate în lacuri (lacuri naturale, puternic modificate și artificiale) pe spații/bazine hidrografice în anul 2022 – </w:t>
      </w:r>
      <w:r w:rsidRPr="00431EB4">
        <w:rPr>
          <w:rFonts w:ascii="Arial" w:hAnsi="Arial" w:cs="Arial"/>
          <w:b/>
          <w:i/>
          <w:sz w:val="20"/>
          <w:szCs w:val="16"/>
          <w:u w:val="single"/>
        </w:rPr>
        <w:t>mediul de investigare APĂ</w:t>
      </w:r>
    </w:p>
    <w:p w14:paraId="0125FAAA" w14:textId="77777777" w:rsidR="002C537F" w:rsidRPr="00505570" w:rsidRDefault="002C537F" w:rsidP="002C537F">
      <w:pPr>
        <w:spacing w:after="0" w:line="240" w:lineRule="auto"/>
        <w:jc w:val="both"/>
        <w:rPr>
          <w:rFonts w:ascii="Arial" w:hAnsi="Arial" w:cs="Arial"/>
          <w:b/>
          <w:i/>
          <w:color w:val="FF0000"/>
          <w:sz w:val="20"/>
          <w:szCs w:val="20"/>
          <w:u w:val="single"/>
        </w:rPr>
      </w:pPr>
      <w:r>
        <w:rPr>
          <w:noProof/>
          <w:lang w:val="en-GB" w:eastAsia="en-GB"/>
        </w:rPr>
        <w:drawing>
          <wp:inline distT="0" distB="0" distL="0" distR="0" wp14:anchorId="3E506518" wp14:editId="2D432F2C">
            <wp:extent cx="6438900" cy="3177540"/>
            <wp:effectExtent l="0" t="0" r="0" b="3810"/>
            <wp:docPr id="1055701399" name="Chart 1">
              <a:extLst xmlns:a="http://schemas.openxmlformats.org/drawingml/2006/main">
                <a:ext uri="{FF2B5EF4-FFF2-40B4-BE49-F238E27FC236}">
                  <a16:creationId xmlns:a16="http://schemas.microsoft.com/office/drawing/2014/main" id="{89269FCE-C235-4651-B3B8-20199E9296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90DF126" w14:textId="77777777" w:rsidR="002C537F" w:rsidRPr="00431EB4" w:rsidRDefault="002C537F" w:rsidP="002C537F">
      <w:pPr>
        <w:spacing w:after="0"/>
        <w:ind w:left="900" w:hanging="900"/>
        <w:jc w:val="both"/>
        <w:rPr>
          <w:rFonts w:ascii="Arial" w:hAnsi="Arial" w:cs="Arial"/>
          <w:i/>
          <w:iCs/>
          <w:sz w:val="20"/>
          <w:szCs w:val="20"/>
          <w:lang w:eastAsia="ro-RO"/>
        </w:rPr>
      </w:pPr>
      <w:r w:rsidRPr="00431EB4">
        <w:rPr>
          <w:rFonts w:ascii="Arial" w:hAnsi="Arial" w:cs="Arial"/>
          <w:i/>
          <w:iCs/>
          <w:sz w:val="20"/>
          <w:szCs w:val="20"/>
          <w:lang w:eastAsia="ro-RO"/>
        </w:rPr>
        <w:t>(Sursa: Administraţia Naţională “Apele Române”, Sinteza calităţii apelor din România în anul 2022)</w:t>
      </w:r>
    </w:p>
    <w:p w14:paraId="16E90AC9" w14:textId="77777777" w:rsidR="002C537F" w:rsidRPr="00505570" w:rsidRDefault="002C537F" w:rsidP="002C537F">
      <w:pPr>
        <w:spacing w:after="0" w:line="240" w:lineRule="auto"/>
        <w:jc w:val="both"/>
        <w:rPr>
          <w:rFonts w:ascii="Arial" w:hAnsi="Arial" w:cs="Arial"/>
          <w:b/>
          <w:i/>
          <w:color w:val="FF0000"/>
          <w:sz w:val="20"/>
          <w:szCs w:val="16"/>
          <w:u w:val="single"/>
        </w:rPr>
      </w:pPr>
    </w:p>
    <w:p w14:paraId="054F870B" w14:textId="77777777" w:rsidR="002C537F" w:rsidRPr="00BD44E6" w:rsidRDefault="002C537F" w:rsidP="002C537F">
      <w:pPr>
        <w:spacing w:after="0" w:line="240" w:lineRule="auto"/>
        <w:jc w:val="both"/>
        <w:rPr>
          <w:rFonts w:ascii="Arial" w:hAnsi="Arial" w:cs="Arial"/>
          <w:i/>
          <w:sz w:val="20"/>
          <w:szCs w:val="16"/>
          <w:lang w:val="fr-FR"/>
        </w:rPr>
      </w:pPr>
      <w:r w:rsidRPr="00D67611">
        <w:rPr>
          <w:rFonts w:ascii="Arial" w:hAnsi="Arial" w:cs="Arial"/>
          <w:b/>
          <w:i/>
          <w:sz w:val="20"/>
          <w:szCs w:val="16"/>
        </w:rPr>
        <w:t xml:space="preserve">Tabelul II.2.1.2.2 Ponderea secțiunilor de monitorizare a substanțelor prioritare cu concentrații mai mari decât SCM (%) în anul 2022 pe spații/bazine hidrografice – </w:t>
      </w:r>
      <w:r w:rsidRPr="00D67611">
        <w:rPr>
          <w:rFonts w:ascii="Arial" w:hAnsi="Arial" w:cs="Arial"/>
          <w:b/>
          <w:i/>
          <w:sz w:val="20"/>
          <w:szCs w:val="16"/>
          <w:u w:val="single"/>
        </w:rPr>
        <w:t>mediul de investigare APĂ</w:t>
      </w:r>
    </w:p>
    <w:tbl>
      <w:tblPr>
        <w:tblW w:w="9895" w:type="dxa"/>
        <w:jc w:val="center"/>
        <w:tblLook w:val="04A0" w:firstRow="1" w:lastRow="0" w:firstColumn="1" w:lastColumn="0" w:noHBand="0" w:noVBand="1"/>
      </w:tblPr>
      <w:tblGrid>
        <w:gridCol w:w="2245"/>
        <w:gridCol w:w="1710"/>
        <w:gridCol w:w="2700"/>
        <w:gridCol w:w="3240"/>
      </w:tblGrid>
      <w:tr w:rsidR="002C537F" w:rsidRPr="00D67611" w14:paraId="44CAF6F1" w14:textId="77777777" w:rsidTr="00C74E50">
        <w:trPr>
          <w:trHeight w:val="1320"/>
          <w:jc w:val="center"/>
        </w:trPr>
        <w:tc>
          <w:tcPr>
            <w:tcW w:w="224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FC6DCD"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lastRenderedPageBreak/>
              <w:t>Spațiu / Bazin hidrografic</w:t>
            </w:r>
          </w:p>
        </w:tc>
        <w:tc>
          <w:tcPr>
            <w:tcW w:w="1710" w:type="dxa"/>
            <w:tcBorders>
              <w:top w:val="single" w:sz="4" w:space="0" w:color="auto"/>
              <w:left w:val="nil"/>
              <w:bottom w:val="single" w:sz="4" w:space="0" w:color="auto"/>
              <w:right w:val="single" w:sz="4" w:space="0" w:color="auto"/>
            </w:tcBorders>
            <w:shd w:val="clear" w:color="000000" w:fill="FFFFFF"/>
            <w:vAlign w:val="center"/>
            <w:hideMark/>
          </w:tcPr>
          <w:p w14:paraId="2D0D2787"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t>Secțiuni de monitorizare</w:t>
            </w:r>
            <w:r w:rsidRPr="00D67611">
              <w:rPr>
                <w:rFonts w:asciiTheme="minorBidi" w:eastAsia="Times New Roman" w:hAnsiTheme="minorBidi"/>
                <w:b/>
                <w:bCs/>
                <w:lang w:eastAsia="ro-RO"/>
              </w:rPr>
              <w:br/>
              <w:t>(nr.)</w:t>
            </w:r>
          </w:p>
        </w:tc>
        <w:tc>
          <w:tcPr>
            <w:tcW w:w="2700" w:type="dxa"/>
            <w:tcBorders>
              <w:top w:val="single" w:sz="4" w:space="0" w:color="auto"/>
              <w:left w:val="nil"/>
              <w:bottom w:val="single" w:sz="4" w:space="0" w:color="auto"/>
              <w:right w:val="single" w:sz="4" w:space="0" w:color="auto"/>
            </w:tcBorders>
            <w:shd w:val="clear" w:color="000000" w:fill="FFFFFF"/>
            <w:vAlign w:val="center"/>
            <w:hideMark/>
          </w:tcPr>
          <w:p w14:paraId="6CB2444D"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t>Secțiuni de monitorizare cu concentrații mai mari decât SCM (nr.)</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0DF32B26"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t>Ponderea secțiunilor de monitorizare cu  concentrații mai mari decât SCM</w:t>
            </w:r>
            <w:r w:rsidRPr="00D67611">
              <w:rPr>
                <w:rFonts w:asciiTheme="minorBidi" w:eastAsia="Times New Roman" w:hAnsiTheme="minorBidi"/>
                <w:b/>
                <w:bCs/>
                <w:lang w:eastAsia="ro-RO"/>
              </w:rPr>
              <w:br/>
              <w:t xml:space="preserve"> (%)</w:t>
            </w:r>
          </w:p>
        </w:tc>
      </w:tr>
      <w:tr w:rsidR="002C537F" w:rsidRPr="00D67611" w14:paraId="7E494650"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vAlign w:val="bottom"/>
            <w:hideMark/>
          </w:tcPr>
          <w:p w14:paraId="397066D9"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Someș - Tisa</w:t>
            </w:r>
          </w:p>
        </w:tc>
        <w:tc>
          <w:tcPr>
            <w:tcW w:w="1710" w:type="dxa"/>
            <w:tcBorders>
              <w:top w:val="nil"/>
              <w:left w:val="nil"/>
              <w:bottom w:val="single" w:sz="4" w:space="0" w:color="auto"/>
              <w:right w:val="single" w:sz="4" w:space="0" w:color="auto"/>
            </w:tcBorders>
            <w:shd w:val="clear" w:color="000000" w:fill="FFFFFF"/>
            <w:noWrap/>
            <w:vAlign w:val="center"/>
            <w:hideMark/>
          </w:tcPr>
          <w:p w14:paraId="282670DE"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14</w:t>
            </w:r>
          </w:p>
        </w:tc>
        <w:tc>
          <w:tcPr>
            <w:tcW w:w="2700" w:type="dxa"/>
            <w:tcBorders>
              <w:top w:val="nil"/>
              <w:left w:val="nil"/>
              <w:bottom w:val="single" w:sz="4" w:space="0" w:color="auto"/>
              <w:right w:val="single" w:sz="4" w:space="0" w:color="auto"/>
            </w:tcBorders>
            <w:shd w:val="clear" w:color="auto" w:fill="auto"/>
            <w:noWrap/>
            <w:vAlign w:val="bottom"/>
            <w:hideMark/>
          </w:tcPr>
          <w:p w14:paraId="65C4CCE9"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49F605CC"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0D50D17B"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5C1B57C8"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Crișuri</w:t>
            </w:r>
          </w:p>
        </w:tc>
        <w:tc>
          <w:tcPr>
            <w:tcW w:w="1710" w:type="dxa"/>
            <w:tcBorders>
              <w:top w:val="nil"/>
              <w:left w:val="nil"/>
              <w:bottom w:val="single" w:sz="4" w:space="0" w:color="auto"/>
              <w:right w:val="single" w:sz="4" w:space="0" w:color="auto"/>
            </w:tcBorders>
            <w:shd w:val="clear" w:color="000000" w:fill="FFFFFF"/>
            <w:noWrap/>
            <w:vAlign w:val="center"/>
            <w:hideMark/>
          </w:tcPr>
          <w:p w14:paraId="20038314"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0</w:t>
            </w:r>
          </w:p>
        </w:tc>
        <w:tc>
          <w:tcPr>
            <w:tcW w:w="2700" w:type="dxa"/>
            <w:tcBorders>
              <w:top w:val="nil"/>
              <w:left w:val="nil"/>
              <w:bottom w:val="single" w:sz="4" w:space="0" w:color="auto"/>
              <w:right w:val="single" w:sz="4" w:space="0" w:color="auto"/>
            </w:tcBorders>
            <w:shd w:val="clear" w:color="auto" w:fill="auto"/>
            <w:noWrap/>
            <w:vAlign w:val="bottom"/>
            <w:hideMark/>
          </w:tcPr>
          <w:p w14:paraId="41C84D90"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3C54691A"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2BCC22DA"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708116A6"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Mureș</w:t>
            </w:r>
          </w:p>
        </w:tc>
        <w:tc>
          <w:tcPr>
            <w:tcW w:w="1710" w:type="dxa"/>
            <w:tcBorders>
              <w:top w:val="nil"/>
              <w:left w:val="nil"/>
              <w:bottom w:val="single" w:sz="4" w:space="0" w:color="auto"/>
              <w:right w:val="single" w:sz="4" w:space="0" w:color="auto"/>
            </w:tcBorders>
            <w:shd w:val="clear" w:color="000000" w:fill="FFFFFF"/>
            <w:noWrap/>
            <w:vAlign w:val="center"/>
            <w:hideMark/>
          </w:tcPr>
          <w:p w14:paraId="234EDCA3"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17</w:t>
            </w:r>
          </w:p>
        </w:tc>
        <w:tc>
          <w:tcPr>
            <w:tcW w:w="2700" w:type="dxa"/>
            <w:tcBorders>
              <w:top w:val="nil"/>
              <w:left w:val="nil"/>
              <w:bottom w:val="single" w:sz="4" w:space="0" w:color="auto"/>
              <w:right w:val="single" w:sz="4" w:space="0" w:color="auto"/>
            </w:tcBorders>
            <w:shd w:val="clear" w:color="auto" w:fill="auto"/>
            <w:noWrap/>
            <w:vAlign w:val="bottom"/>
            <w:hideMark/>
          </w:tcPr>
          <w:p w14:paraId="23731649"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112AA36C"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7CA14D27"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5161DD03"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Banat</w:t>
            </w:r>
          </w:p>
        </w:tc>
        <w:tc>
          <w:tcPr>
            <w:tcW w:w="1710" w:type="dxa"/>
            <w:tcBorders>
              <w:top w:val="nil"/>
              <w:left w:val="nil"/>
              <w:bottom w:val="single" w:sz="4" w:space="0" w:color="auto"/>
              <w:right w:val="single" w:sz="4" w:space="0" w:color="auto"/>
            </w:tcBorders>
            <w:shd w:val="clear" w:color="000000" w:fill="FFFFFF"/>
            <w:noWrap/>
            <w:vAlign w:val="center"/>
            <w:hideMark/>
          </w:tcPr>
          <w:p w14:paraId="3268916F"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3</w:t>
            </w:r>
          </w:p>
        </w:tc>
        <w:tc>
          <w:tcPr>
            <w:tcW w:w="2700" w:type="dxa"/>
            <w:tcBorders>
              <w:top w:val="nil"/>
              <w:left w:val="nil"/>
              <w:bottom w:val="single" w:sz="4" w:space="0" w:color="auto"/>
              <w:right w:val="single" w:sz="4" w:space="0" w:color="auto"/>
            </w:tcBorders>
            <w:shd w:val="clear" w:color="auto" w:fill="auto"/>
            <w:noWrap/>
            <w:vAlign w:val="bottom"/>
            <w:hideMark/>
          </w:tcPr>
          <w:p w14:paraId="70A024E4"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4AB4294D"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64B04624"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5319DDBC"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Jiu</w:t>
            </w:r>
          </w:p>
        </w:tc>
        <w:tc>
          <w:tcPr>
            <w:tcW w:w="1710" w:type="dxa"/>
            <w:tcBorders>
              <w:top w:val="nil"/>
              <w:left w:val="nil"/>
              <w:bottom w:val="single" w:sz="4" w:space="0" w:color="auto"/>
              <w:right w:val="single" w:sz="4" w:space="0" w:color="auto"/>
            </w:tcBorders>
            <w:shd w:val="clear" w:color="000000" w:fill="FFFFFF"/>
            <w:noWrap/>
            <w:vAlign w:val="center"/>
            <w:hideMark/>
          </w:tcPr>
          <w:p w14:paraId="225C45D9"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5</w:t>
            </w:r>
          </w:p>
        </w:tc>
        <w:tc>
          <w:tcPr>
            <w:tcW w:w="2700" w:type="dxa"/>
            <w:tcBorders>
              <w:top w:val="nil"/>
              <w:left w:val="nil"/>
              <w:bottom w:val="single" w:sz="4" w:space="0" w:color="auto"/>
              <w:right w:val="single" w:sz="4" w:space="0" w:color="auto"/>
            </w:tcBorders>
            <w:shd w:val="clear" w:color="auto" w:fill="auto"/>
            <w:noWrap/>
            <w:vAlign w:val="bottom"/>
            <w:hideMark/>
          </w:tcPr>
          <w:p w14:paraId="48F0536C"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46BD3BE9"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6009C281"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597FAD84"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Olt</w:t>
            </w:r>
          </w:p>
        </w:tc>
        <w:tc>
          <w:tcPr>
            <w:tcW w:w="1710" w:type="dxa"/>
            <w:tcBorders>
              <w:top w:val="nil"/>
              <w:left w:val="nil"/>
              <w:bottom w:val="single" w:sz="4" w:space="0" w:color="auto"/>
              <w:right w:val="single" w:sz="4" w:space="0" w:color="auto"/>
            </w:tcBorders>
            <w:shd w:val="clear" w:color="000000" w:fill="FFFFFF"/>
            <w:noWrap/>
            <w:vAlign w:val="center"/>
            <w:hideMark/>
          </w:tcPr>
          <w:p w14:paraId="12308403"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14</w:t>
            </w:r>
          </w:p>
        </w:tc>
        <w:tc>
          <w:tcPr>
            <w:tcW w:w="2700" w:type="dxa"/>
            <w:tcBorders>
              <w:top w:val="nil"/>
              <w:left w:val="nil"/>
              <w:bottom w:val="single" w:sz="4" w:space="0" w:color="auto"/>
              <w:right w:val="single" w:sz="4" w:space="0" w:color="auto"/>
            </w:tcBorders>
            <w:shd w:val="clear" w:color="auto" w:fill="auto"/>
            <w:noWrap/>
            <w:vAlign w:val="bottom"/>
            <w:hideMark/>
          </w:tcPr>
          <w:p w14:paraId="6A451F82"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78D6B5CF"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23865A87"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7177B5E3"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Argeș - Vedea</w:t>
            </w:r>
          </w:p>
        </w:tc>
        <w:tc>
          <w:tcPr>
            <w:tcW w:w="1710" w:type="dxa"/>
            <w:tcBorders>
              <w:top w:val="nil"/>
              <w:left w:val="nil"/>
              <w:bottom w:val="single" w:sz="4" w:space="0" w:color="auto"/>
              <w:right w:val="single" w:sz="4" w:space="0" w:color="auto"/>
            </w:tcBorders>
            <w:shd w:val="clear" w:color="000000" w:fill="FFFFFF"/>
            <w:noWrap/>
            <w:vAlign w:val="center"/>
            <w:hideMark/>
          </w:tcPr>
          <w:p w14:paraId="1889BC4E"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w:t>
            </w:r>
          </w:p>
        </w:tc>
        <w:tc>
          <w:tcPr>
            <w:tcW w:w="2700" w:type="dxa"/>
            <w:tcBorders>
              <w:top w:val="nil"/>
              <w:left w:val="nil"/>
              <w:bottom w:val="single" w:sz="4" w:space="0" w:color="auto"/>
              <w:right w:val="single" w:sz="4" w:space="0" w:color="auto"/>
            </w:tcBorders>
            <w:shd w:val="clear" w:color="auto" w:fill="auto"/>
            <w:noWrap/>
            <w:vAlign w:val="bottom"/>
            <w:hideMark/>
          </w:tcPr>
          <w:p w14:paraId="7709B31B"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4A290A8B"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38C171CA"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744BB353"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Buzău - Ialomița</w:t>
            </w:r>
          </w:p>
        </w:tc>
        <w:tc>
          <w:tcPr>
            <w:tcW w:w="1710" w:type="dxa"/>
            <w:tcBorders>
              <w:top w:val="nil"/>
              <w:left w:val="nil"/>
              <w:bottom w:val="single" w:sz="4" w:space="0" w:color="auto"/>
              <w:right w:val="single" w:sz="4" w:space="0" w:color="auto"/>
            </w:tcBorders>
            <w:shd w:val="clear" w:color="000000" w:fill="FFFFFF"/>
            <w:noWrap/>
            <w:vAlign w:val="center"/>
            <w:hideMark/>
          </w:tcPr>
          <w:p w14:paraId="172B5F88"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4</w:t>
            </w:r>
          </w:p>
        </w:tc>
        <w:tc>
          <w:tcPr>
            <w:tcW w:w="2700" w:type="dxa"/>
            <w:tcBorders>
              <w:top w:val="nil"/>
              <w:left w:val="nil"/>
              <w:bottom w:val="single" w:sz="4" w:space="0" w:color="auto"/>
              <w:right w:val="single" w:sz="4" w:space="0" w:color="auto"/>
            </w:tcBorders>
            <w:shd w:val="clear" w:color="auto" w:fill="auto"/>
            <w:noWrap/>
            <w:vAlign w:val="bottom"/>
            <w:hideMark/>
          </w:tcPr>
          <w:p w14:paraId="75FC98EE"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7683C8F6"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1B908105"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703725ED"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Siret</w:t>
            </w:r>
          </w:p>
        </w:tc>
        <w:tc>
          <w:tcPr>
            <w:tcW w:w="1710" w:type="dxa"/>
            <w:tcBorders>
              <w:top w:val="nil"/>
              <w:left w:val="nil"/>
              <w:bottom w:val="single" w:sz="4" w:space="0" w:color="auto"/>
              <w:right w:val="single" w:sz="4" w:space="0" w:color="auto"/>
            </w:tcBorders>
            <w:shd w:val="clear" w:color="000000" w:fill="FFFFFF"/>
            <w:noWrap/>
            <w:vAlign w:val="center"/>
            <w:hideMark/>
          </w:tcPr>
          <w:p w14:paraId="0EB6E33F"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6</w:t>
            </w:r>
          </w:p>
        </w:tc>
        <w:tc>
          <w:tcPr>
            <w:tcW w:w="2700" w:type="dxa"/>
            <w:tcBorders>
              <w:top w:val="nil"/>
              <w:left w:val="nil"/>
              <w:bottom w:val="single" w:sz="4" w:space="0" w:color="auto"/>
              <w:right w:val="single" w:sz="4" w:space="0" w:color="auto"/>
            </w:tcBorders>
            <w:shd w:val="clear" w:color="auto" w:fill="auto"/>
            <w:noWrap/>
            <w:vAlign w:val="bottom"/>
            <w:hideMark/>
          </w:tcPr>
          <w:p w14:paraId="19389BF7"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2BC40F6D"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4F84066B"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11B26E0B"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Prut - Bârlad</w:t>
            </w:r>
          </w:p>
        </w:tc>
        <w:tc>
          <w:tcPr>
            <w:tcW w:w="1710" w:type="dxa"/>
            <w:tcBorders>
              <w:top w:val="nil"/>
              <w:left w:val="nil"/>
              <w:bottom w:val="single" w:sz="4" w:space="0" w:color="auto"/>
              <w:right w:val="single" w:sz="4" w:space="0" w:color="auto"/>
            </w:tcBorders>
            <w:shd w:val="clear" w:color="auto" w:fill="auto"/>
            <w:noWrap/>
            <w:vAlign w:val="center"/>
            <w:hideMark/>
          </w:tcPr>
          <w:p w14:paraId="05344B94"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22</w:t>
            </w:r>
          </w:p>
        </w:tc>
        <w:tc>
          <w:tcPr>
            <w:tcW w:w="2700" w:type="dxa"/>
            <w:tcBorders>
              <w:top w:val="nil"/>
              <w:left w:val="nil"/>
              <w:bottom w:val="single" w:sz="4" w:space="0" w:color="auto"/>
              <w:right w:val="single" w:sz="4" w:space="0" w:color="auto"/>
            </w:tcBorders>
            <w:shd w:val="clear" w:color="auto" w:fill="auto"/>
            <w:noWrap/>
            <w:vAlign w:val="bottom"/>
            <w:hideMark/>
          </w:tcPr>
          <w:p w14:paraId="42442D5B"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4C8CC590"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2C312A09"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auto"/>
            <w:noWrap/>
            <w:vAlign w:val="bottom"/>
            <w:hideMark/>
          </w:tcPr>
          <w:p w14:paraId="16F7204C"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Dobrogea - Litoral*</w:t>
            </w:r>
          </w:p>
        </w:tc>
        <w:tc>
          <w:tcPr>
            <w:tcW w:w="1710" w:type="dxa"/>
            <w:tcBorders>
              <w:top w:val="nil"/>
              <w:left w:val="nil"/>
              <w:bottom w:val="single" w:sz="4" w:space="0" w:color="auto"/>
              <w:right w:val="single" w:sz="4" w:space="0" w:color="auto"/>
            </w:tcBorders>
            <w:shd w:val="clear" w:color="000000" w:fill="FFFFFF"/>
            <w:noWrap/>
            <w:vAlign w:val="center"/>
            <w:hideMark/>
          </w:tcPr>
          <w:p w14:paraId="219ECCE4" w14:textId="77777777" w:rsidR="002C537F" w:rsidRPr="00D67611" w:rsidRDefault="002C537F" w:rsidP="00C74E50">
            <w:pPr>
              <w:spacing w:after="0" w:line="240" w:lineRule="auto"/>
              <w:jc w:val="center"/>
              <w:rPr>
                <w:rFonts w:asciiTheme="minorBidi" w:eastAsia="Times New Roman" w:hAnsiTheme="minorBidi"/>
                <w:lang w:eastAsia="ro-RO"/>
              </w:rPr>
            </w:pPr>
            <w:r w:rsidRPr="00052A88">
              <w:rPr>
                <w:rFonts w:asciiTheme="minorBidi" w:eastAsia="Times New Roman" w:hAnsiTheme="minorBidi"/>
                <w:lang w:eastAsia="ro-RO"/>
              </w:rPr>
              <w:t>16</w:t>
            </w:r>
          </w:p>
        </w:tc>
        <w:tc>
          <w:tcPr>
            <w:tcW w:w="2700" w:type="dxa"/>
            <w:tcBorders>
              <w:top w:val="nil"/>
              <w:left w:val="nil"/>
              <w:bottom w:val="single" w:sz="4" w:space="0" w:color="auto"/>
              <w:right w:val="single" w:sz="4" w:space="0" w:color="auto"/>
            </w:tcBorders>
            <w:shd w:val="clear" w:color="auto" w:fill="auto"/>
            <w:noWrap/>
            <w:vAlign w:val="bottom"/>
            <w:hideMark/>
          </w:tcPr>
          <w:p w14:paraId="64271307"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c>
          <w:tcPr>
            <w:tcW w:w="3240" w:type="dxa"/>
            <w:tcBorders>
              <w:top w:val="nil"/>
              <w:left w:val="nil"/>
              <w:bottom w:val="single" w:sz="4" w:space="0" w:color="auto"/>
              <w:right w:val="single" w:sz="4" w:space="0" w:color="auto"/>
            </w:tcBorders>
            <w:shd w:val="clear" w:color="auto" w:fill="auto"/>
            <w:noWrap/>
            <w:vAlign w:val="center"/>
            <w:hideMark/>
          </w:tcPr>
          <w:p w14:paraId="4A11E954" w14:textId="77777777" w:rsidR="002C537F" w:rsidRPr="00D67611" w:rsidRDefault="002C537F" w:rsidP="00C74E50">
            <w:pPr>
              <w:spacing w:after="0" w:line="240" w:lineRule="auto"/>
              <w:jc w:val="center"/>
              <w:rPr>
                <w:rFonts w:asciiTheme="minorBidi" w:eastAsia="Times New Roman" w:hAnsiTheme="minorBidi"/>
                <w:lang w:eastAsia="ro-RO"/>
              </w:rPr>
            </w:pPr>
            <w:r w:rsidRPr="00D67611">
              <w:rPr>
                <w:rFonts w:asciiTheme="minorBidi" w:eastAsia="Times New Roman" w:hAnsiTheme="minorBidi"/>
                <w:lang w:eastAsia="ro-RO"/>
              </w:rPr>
              <w:t>0</w:t>
            </w:r>
          </w:p>
        </w:tc>
      </w:tr>
      <w:tr w:rsidR="002C537F" w:rsidRPr="00D67611" w14:paraId="6DDC1A51" w14:textId="77777777" w:rsidTr="00C74E50">
        <w:trPr>
          <w:trHeight w:val="288"/>
          <w:jc w:val="center"/>
        </w:trPr>
        <w:tc>
          <w:tcPr>
            <w:tcW w:w="2245" w:type="dxa"/>
            <w:tcBorders>
              <w:top w:val="nil"/>
              <w:left w:val="single" w:sz="4" w:space="0" w:color="auto"/>
              <w:bottom w:val="single" w:sz="4" w:space="0" w:color="auto"/>
              <w:right w:val="single" w:sz="4" w:space="0" w:color="auto"/>
            </w:tcBorders>
            <w:shd w:val="clear" w:color="auto" w:fill="00B0F0"/>
            <w:noWrap/>
            <w:vAlign w:val="bottom"/>
            <w:hideMark/>
          </w:tcPr>
          <w:p w14:paraId="75267209"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t>Total</w:t>
            </w:r>
          </w:p>
        </w:tc>
        <w:tc>
          <w:tcPr>
            <w:tcW w:w="1710" w:type="dxa"/>
            <w:tcBorders>
              <w:top w:val="nil"/>
              <w:left w:val="nil"/>
              <w:bottom w:val="single" w:sz="4" w:space="0" w:color="auto"/>
              <w:right w:val="single" w:sz="4" w:space="0" w:color="auto"/>
            </w:tcBorders>
            <w:shd w:val="clear" w:color="auto" w:fill="00B0F0"/>
            <w:noWrap/>
            <w:vAlign w:val="center"/>
            <w:hideMark/>
          </w:tcPr>
          <w:p w14:paraId="5EF1AA25" w14:textId="77777777" w:rsidR="002C537F" w:rsidRPr="00D67611" w:rsidRDefault="002C537F" w:rsidP="00C74E50">
            <w:pPr>
              <w:spacing w:after="0" w:line="240" w:lineRule="auto"/>
              <w:jc w:val="center"/>
              <w:rPr>
                <w:rFonts w:asciiTheme="minorBidi" w:eastAsia="Times New Roman" w:hAnsiTheme="minorBidi"/>
                <w:b/>
                <w:bCs/>
                <w:lang w:eastAsia="ro-RO"/>
              </w:rPr>
            </w:pPr>
            <w:r w:rsidRPr="00052A88">
              <w:rPr>
                <w:rFonts w:asciiTheme="minorBidi" w:eastAsia="Times New Roman" w:hAnsiTheme="minorBidi"/>
                <w:b/>
                <w:bCs/>
                <w:lang w:eastAsia="ro-RO"/>
              </w:rPr>
              <w:t>102</w:t>
            </w:r>
          </w:p>
        </w:tc>
        <w:tc>
          <w:tcPr>
            <w:tcW w:w="2700" w:type="dxa"/>
            <w:tcBorders>
              <w:top w:val="nil"/>
              <w:left w:val="nil"/>
              <w:bottom w:val="single" w:sz="4" w:space="0" w:color="auto"/>
              <w:right w:val="single" w:sz="4" w:space="0" w:color="auto"/>
            </w:tcBorders>
            <w:shd w:val="clear" w:color="auto" w:fill="00B0F0"/>
            <w:noWrap/>
            <w:vAlign w:val="bottom"/>
            <w:hideMark/>
          </w:tcPr>
          <w:p w14:paraId="7819366A"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t>0</w:t>
            </w:r>
          </w:p>
        </w:tc>
        <w:tc>
          <w:tcPr>
            <w:tcW w:w="3240" w:type="dxa"/>
            <w:tcBorders>
              <w:top w:val="nil"/>
              <w:left w:val="nil"/>
              <w:bottom w:val="single" w:sz="4" w:space="0" w:color="auto"/>
              <w:right w:val="single" w:sz="4" w:space="0" w:color="auto"/>
            </w:tcBorders>
            <w:shd w:val="clear" w:color="auto" w:fill="00B0F0"/>
            <w:noWrap/>
            <w:vAlign w:val="center"/>
            <w:hideMark/>
          </w:tcPr>
          <w:p w14:paraId="7A496CB3" w14:textId="77777777" w:rsidR="002C537F" w:rsidRPr="00D67611" w:rsidRDefault="002C537F" w:rsidP="00C74E50">
            <w:pPr>
              <w:spacing w:after="0" w:line="240" w:lineRule="auto"/>
              <w:jc w:val="center"/>
              <w:rPr>
                <w:rFonts w:asciiTheme="minorBidi" w:eastAsia="Times New Roman" w:hAnsiTheme="minorBidi"/>
                <w:b/>
                <w:bCs/>
                <w:lang w:eastAsia="ro-RO"/>
              </w:rPr>
            </w:pPr>
            <w:r w:rsidRPr="00D67611">
              <w:rPr>
                <w:rFonts w:asciiTheme="minorBidi" w:eastAsia="Times New Roman" w:hAnsiTheme="minorBidi"/>
                <w:b/>
                <w:bCs/>
                <w:lang w:eastAsia="ro-RO"/>
              </w:rPr>
              <w:t>0,00</w:t>
            </w:r>
          </w:p>
        </w:tc>
      </w:tr>
    </w:tbl>
    <w:p w14:paraId="2FEA890B" w14:textId="77777777" w:rsidR="002C537F" w:rsidRPr="00D67611" w:rsidRDefault="002C537F" w:rsidP="002C537F">
      <w:pPr>
        <w:spacing w:after="0" w:line="240" w:lineRule="auto"/>
        <w:ind w:firstLine="708"/>
        <w:jc w:val="both"/>
        <w:rPr>
          <w:rFonts w:ascii="Arial" w:hAnsi="Arial" w:cs="Arial"/>
          <w:b/>
          <w:i/>
          <w:sz w:val="20"/>
          <w:szCs w:val="16"/>
          <w:lang w:val="fr-FR"/>
        </w:rPr>
      </w:pPr>
      <w:r w:rsidRPr="00D67611">
        <w:rPr>
          <w:rFonts w:ascii="Arial" w:eastAsia="Times New Roman" w:hAnsi="Arial" w:cs="Arial"/>
          <w:szCs w:val="20"/>
          <w:lang w:eastAsia="ro-RO"/>
        </w:rPr>
        <w:t>*include si lacul tranzitoriu lacustru Sinoe</w:t>
      </w:r>
    </w:p>
    <w:p w14:paraId="539828F6" w14:textId="77777777" w:rsidR="002C537F" w:rsidRPr="00D67611" w:rsidRDefault="002C537F" w:rsidP="002C537F">
      <w:pPr>
        <w:spacing w:after="0"/>
        <w:ind w:left="900" w:hanging="900"/>
        <w:jc w:val="both"/>
        <w:rPr>
          <w:rFonts w:ascii="Arial" w:hAnsi="Arial" w:cs="Arial"/>
          <w:i/>
          <w:iCs/>
          <w:sz w:val="20"/>
          <w:szCs w:val="20"/>
          <w:lang w:eastAsia="ro-RO"/>
        </w:rPr>
      </w:pPr>
      <w:r w:rsidRPr="00D67611">
        <w:rPr>
          <w:rFonts w:ascii="Arial" w:hAnsi="Arial" w:cs="Arial"/>
          <w:i/>
          <w:iCs/>
          <w:sz w:val="20"/>
          <w:szCs w:val="20"/>
          <w:lang w:eastAsia="ro-RO"/>
        </w:rPr>
        <w:t>(Sursa: Administraţia Naţională “Apele Române”, Sinteza calităţii apelor din România în anul 2022)</w:t>
      </w:r>
    </w:p>
    <w:p w14:paraId="0F684787" w14:textId="77777777" w:rsidR="002C537F" w:rsidRDefault="002C537F" w:rsidP="002C537F">
      <w:pPr>
        <w:spacing w:line="240" w:lineRule="auto"/>
        <w:rPr>
          <w:rFonts w:ascii="Arial" w:hAnsi="Arial" w:cs="Arial"/>
          <w:b/>
          <w:color w:val="FF0000"/>
          <w:sz w:val="24"/>
          <w:szCs w:val="24"/>
        </w:rPr>
      </w:pPr>
    </w:p>
    <w:p w14:paraId="2E8CB792" w14:textId="77777777" w:rsidR="002C537F" w:rsidRDefault="002C537F" w:rsidP="002C537F">
      <w:pPr>
        <w:spacing w:line="240" w:lineRule="auto"/>
        <w:rPr>
          <w:rFonts w:ascii="Arial" w:hAnsi="Arial" w:cs="Arial"/>
          <w:b/>
          <w:color w:val="FF0000"/>
          <w:sz w:val="24"/>
          <w:szCs w:val="24"/>
        </w:rPr>
      </w:pPr>
    </w:p>
    <w:p w14:paraId="676B3859" w14:textId="77777777" w:rsidR="002C537F" w:rsidRDefault="002C537F" w:rsidP="002C537F">
      <w:pPr>
        <w:spacing w:line="240" w:lineRule="auto"/>
        <w:rPr>
          <w:rFonts w:ascii="Arial" w:hAnsi="Arial" w:cs="Arial"/>
          <w:b/>
          <w:color w:val="FF0000"/>
          <w:sz w:val="24"/>
          <w:szCs w:val="24"/>
        </w:rPr>
      </w:pPr>
    </w:p>
    <w:p w14:paraId="175DA625" w14:textId="77777777" w:rsidR="002C537F" w:rsidRDefault="002C537F" w:rsidP="002C537F">
      <w:pPr>
        <w:spacing w:line="240" w:lineRule="auto"/>
        <w:rPr>
          <w:rFonts w:ascii="Arial" w:hAnsi="Arial" w:cs="Arial"/>
          <w:b/>
          <w:color w:val="FF0000"/>
          <w:sz w:val="24"/>
          <w:szCs w:val="24"/>
        </w:rPr>
      </w:pPr>
    </w:p>
    <w:p w14:paraId="7EBB9DEC" w14:textId="77777777" w:rsidR="002C537F" w:rsidRDefault="002C537F" w:rsidP="002C537F">
      <w:pPr>
        <w:spacing w:line="240" w:lineRule="auto"/>
        <w:rPr>
          <w:rFonts w:ascii="Arial" w:hAnsi="Arial" w:cs="Arial"/>
          <w:b/>
          <w:color w:val="FF0000"/>
          <w:sz w:val="24"/>
          <w:szCs w:val="24"/>
        </w:rPr>
      </w:pPr>
    </w:p>
    <w:p w14:paraId="7EA667AF" w14:textId="77777777" w:rsidR="002C537F" w:rsidRDefault="002C537F" w:rsidP="002C537F">
      <w:pPr>
        <w:spacing w:line="240" w:lineRule="auto"/>
        <w:rPr>
          <w:rFonts w:ascii="Arial" w:hAnsi="Arial" w:cs="Arial"/>
          <w:b/>
          <w:color w:val="FF0000"/>
          <w:sz w:val="24"/>
          <w:szCs w:val="24"/>
        </w:rPr>
      </w:pPr>
    </w:p>
    <w:p w14:paraId="50E495A4" w14:textId="77777777" w:rsidR="002C537F" w:rsidRPr="00505570" w:rsidRDefault="002C537F" w:rsidP="002C537F">
      <w:pPr>
        <w:spacing w:line="240" w:lineRule="auto"/>
        <w:rPr>
          <w:rFonts w:ascii="Arial" w:hAnsi="Arial" w:cs="Arial"/>
          <w:b/>
          <w:color w:val="FF0000"/>
          <w:sz w:val="24"/>
          <w:szCs w:val="24"/>
        </w:rPr>
      </w:pPr>
    </w:p>
    <w:p w14:paraId="6C4D9229" w14:textId="77777777" w:rsidR="002C537F" w:rsidRDefault="002C537F" w:rsidP="002C537F">
      <w:pPr>
        <w:spacing w:line="240" w:lineRule="auto"/>
        <w:rPr>
          <w:rFonts w:ascii="Arial" w:hAnsi="Arial" w:cs="Arial"/>
          <w:b/>
          <w:sz w:val="24"/>
          <w:szCs w:val="24"/>
        </w:rPr>
      </w:pPr>
      <w:r w:rsidRPr="00C418AE">
        <w:rPr>
          <w:rFonts w:ascii="Arial" w:hAnsi="Arial" w:cs="Arial"/>
          <w:b/>
          <w:sz w:val="24"/>
          <w:szCs w:val="24"/>
        </w:rPr>
        <w:t>Evoluția secțiunilor de monitorizare cu concentrație mai mare decât SCM</w:t>
      </w:r>
    </w:p>
    <w:p w14:paraId="76ED2A13" w14:textId="77777777" w:rsidR="002C537F" w:rsidRPr="00BD44E6" w:rsidRDefault="002C537F" w:rsidP="002C537F">
      <w:pPr>
        <w:spacing w:after="0" w:line="240" w:lineRule="auto"/>
        <w:jc w:val="both"/>
        <w:rPr>
          <w:rFonts w:ascii="Arial" w:hAnsi="Arial" w:cs="Arial"/>
          <w:b/>
          <w:i/>
          <w:sz w:val="20"/>
          <w:szCs w:val="16"/>
        </w:rPr>
      </w:pPr>
      <w:r w:rsidRPr="00C418AE">
        <w:rPr>
          <w:rFonts w:ascii="Arial" w:hAnsi="Arial" w:cs="Arial"/>
          <w:b/>
          <w:i/>
          <w:sz w:val="20"/>
          <w:szCs w:val="16"/>
        </w:rPr>
        <w:t>Tabelul II.2.1.2.3 Ponderea secțiunilor de monitorizare cu concentrație mai mare decât SCM (%) în perioada 2015 - 2022</w:t>
      </w:r>
    </w:p>
    <w:tbl>
      <w:tblPr>
        <w:tblW w:w="10620" w:type="dxa"/>
        <w:tblInd w:w="-635" w:type="dxa"/>
        <w:tblLook w:val="04A0" w:firstRow="1" w:lastRow="0" w:firstColumn="1" w:lastColumn="0" w:noHBand="0" w:noVBand="1"/>
      </w:tblPr>
      <w:tblGrid>
        <w:gridCol w:w="2340"/>
        <w:gridCol w:w="900"/>
        <w:gridCol w:w="990"/>
        <w:gridCol w:w="990"/>
        <w:gridCol w:w="1080"/>
        <w:gridCol w:w="1170"/>
        <w:gridCol w:w="990"/>
        <w:gridCol w:w="1080"/>
        <w:gridCol w:w="1080"/>
      </w:tblGrid>
      <w:tr w:rsidR="002C537F" w:rsidRPr="00C418AE" w14:paraId="7367D158" w14:textId="77777777" w:rsidTr="00C74E50">
        <w:trPr>
          <w:trHeight w:val="264"/>
        </w:trPr>
        <w:tc>
          <w:tcPr>
            <w:tcW w:w="2340"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3740C6C"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Anul</w:t>
            </w:r>
          </w:p>
        </w:tc>
        <w:tc>
          <w:tcPr>
            <w:tcW w:w="900" w:type="dxa"/>
            <w:tcBorders>
              <w:top w:val="single" w:sz="4" w:space="0" w:color="auto"/>
              <w:left w:val="nil"/>
              <w:bottom w:val="single" w:sz="4" w:space="0" w:color="auto"/>
              <w:right w:val="single" w:sz="4" w:space="0" w:color="auto"/>
            </w:tcBorders>
            <w:shd w:val="clear" w:color="auto" w:fill="00B0F0"/>
            <w:vAlign w:val="center"/>
            <w:hideMark/>
          </w:tcPr>
          <w:p w14:paraId="160D45E8"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2015</w:t>
            </w:r>
          </w:p>
        </w:tc>
        <w:tc>
          <w:tcPr>
            <w:tcW w:w="990" w:type="dxa"/>
            <w:tcBorders>
              <w:top w:val="single" w:sz="4" w:space="0" w:color="auto"/>
              <w:left w:val="nil"/>
              <w:bottom w:val="single" w:sz="4" w:space="0" w:color="auto"/>
              <w:right w:val="single" w:sz="4" w:space="0" w:color="auto"/>
            </w:tcBorders>
            <w:shd w:val="clear" w:color="auto" w:fill="00B0F0"/>
            <w:vAlign w:val="center"/>
            <w:hideMark/>
          </w:tcPr>
          <w:p w14:paraId="163F9160"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2016</w:t>
            </w:r>
          </w:p>
        </w:tc>
        <w:tc>
          <w:tcPr>
            <w:tcW w:w="990" w:type="dxa"/>
            <w:tcBorders>
              <w:top w:val="single" w:sz="4" w:space="0" w:color="auto"/>
              <w:left w:val="nil"/>
              <w:bottom w:val="single" w:sz="4" w:space="0" w:color="auto"/>
              <w:right w:val="single" w:sz="4" w:space="0" w:color="auto"/>
            </w:tcBorders>
            <w:shd w:val="clear" w:color="auto" w:fill="00B0F0"/>
            <w:noWrap/>
            <w:vAlign w:val="center"/>
            <w:hideMark/>
          </w:tcPr>
          <w:p w14:paraId="1FB8DD47"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2017</w:t>
            </w:r>
          </w:p>
        </w:tc>
        <w:tc>
          <w:tcPr>
            <w:tcW w:w="1080" w:type="dxa"/>
            <w:tcBorders>
              <w:top w:val="single" w:sz="4" w:space="0" w:color="auto"/>
              <w:left w:val="nil"/>
              <w:bottom w:val="single" w:sz="4" w:space="0" w:color="auto"/>
              <w:right w:val="single" w:sz="4" w:space="0" w:color="auto"/>
            </w:tcBorders>
            <w:shd w:val="clear" w:color="auto" w:fill="00B0F0"/>
            <w:noWrap/>
            <w:vAlign w:val="center"/>
            <w:hideMark/>
          </w:tcPr>
          <w:p w14:paraId="120DB8A0"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2018</w:t>
            </w:r>
          </w:p>
        </w:tc>
        <w:tc>
          <w:tcPr>
            <w:tcW w:w="1170" w:type="dxa"/>
            <w:tcBorders>
              <w:top w:val="single" w:sz="4" w:space="0" w:color="auto"/>
              <w:left w:val="nil"/>
              <w:bottom w:val="single" w:sz="4" w:space="0" w:color="auto"/>
              <w:right w:val="single" w:sz="4" w:space="0" w:color="auto"/>
            </w:tcBorders>
            <w:shd w:val="clear" w:color="auto" w:fill="00B0F0"/>
            <w:noWrap/>
            <w:vAlign w:val="center"/>
            <w:hideMark/>
          </w:tcPr>
          <w:p w14:paraId="33707EB5"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2019</w:t>
            </w:r>
          </w:p>
        </w:tc>
        <w:tc>
          <w:tcPr>
            <w:tcW w:w="990" w:type="dxa"/>
            <w:tcBorders>
              <w:top w:val="single" w:sz="4" w:space="0" w:color="auto"/>
              <w:left w:val="nil"/>
              <w:bottom w:val="single" w:sz="4" w:space="0" w:color="auto"/>
              <w:right w:val="single" w:sz="4" w:space="0" w:color="auto"/>
            </w:tcBorders>
            <w:shd w:val="clear" w:color="auto" w:fill="00B0F0"/>
            <w:noWrap/>
            <w:vAlign w:val="center"/>
            <w:hideMark/>
          </w:tcPr>
          <w:p w14:paraId="7DB9C283"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2020</w:t>
            </w:r>
          </w:p>
        </w:tc>
        <w:tc>
          <w:tcPr>
            <w:tcW w:w="1080" w:type="dxa"/>
            <w:tcBorders>
              <w:top w:val="single" w:sz="4" w:space="0" w:color="auto"/>
              <w:left w:val="nil"/>
              <w:bottom w:val="single" w:sz="4" w:space="0" w:color="auto"/>
              <w:right w:val="single" w:sz="4" w:space="0" w:color="auto"/>
            </w:tcBorders>
            <w:shd w:val="clear" w:color="auto" w:fill="00B0F0"/>
          </w:tcPr>
          <w:p w14:paraId="5A6816D8"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2021</w:t>
            </w:r>
          </w:p>
        </w:tc>
        <w:tc>
          <w:tcPr>
            <w:tcW w:w="1080" w:type="dxa"/>
            <w:tcBorders>
              <w:top w:val="single" w:sz="4" w:space="0" w:color="auto"/>
              <w:left w:val="nil"/>
              <w:bottom w:val="single" w:sz="4" w:space="0" w:color="auto"/>
              <w:right w:val="single" w:sz="4" w:space="0" w:color="auto"/>
            </w:tcBorders>
            <w:shd w:val="clear" w:color="auto" w:fill="00B0F0"/>
          </w:tcPr>
          <w:p w14:paraId="66415507"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2022</w:t>
            </w:r>
          </w:p>
        </w:tc>
      </w:tr>
      <w:tr w:rsidR="002C537F" w:rsidRPr="00C418AE" w14:paraId="54065276" w14:textId="77777777" w:rsidTr="00C74E50">
        <w:trPr>
          <w:trHeight w:val="484"/>
        </w:trPr>
        <w:tc>
          <w:tcPr>
            <w:tcW w:w="2340" w:type="dxa"/>
            <w:tcBorders>
              <w:top w:val="nil"/>
              <w:left w:val="single" w:sz="4" w:space="0" w:color="auto"/>
              <w:bottom w:val="single" w:sz="4" w:space="0" w:color="auto"/>
              <w:right w:val="single" w:sz="4" w:space="0" w:color="auto"/>
            </w:tcBorders>
            <w:shd w:val="clear" w:color="000000" w:fill="FFFFFF"/>
            <w:vAlign w:val="center"/>
            <w:hideMark/>
          </w:tcPr>
          <w:p w14:paraId="70D71B12"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Substanțe prioritare monitorizate (nr.)</w:t>
            </w:r>
          </w:p>
        </w:tc>
        <w:tc>
          <w:tcPr>
            <w:tcW w:w="900" w:type="dxa"/>
            <w:tcBorders>
              <w:top w:val="nil"/>
              <w:left w:val="nil"/>
              <w:bottom w:val="single" w:sz="4" w:space="0" w:color="auto"/>
              <w:right w:val="single" w:sz="4" w:space="0" w:color="auto"/>
            </w:tcBorders>
            <w:shd w:val="clear" w:color="000000" w:fill="FFFFFF"/>
            <w:vAlign w:val="center"/>
            <w:hideMark/>
          </w:tcPr>
          <w:p w14:paraId="0736765B"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31</w:t>
            </w:r>
          </w:p>
        </w:tc>
        <w:tc>
          <w:tcPr>
            <w:tcW w:w="990" w:type="dxa"/>
            <w:tcBorders>
              <w:top w:val="nil"/>
              <w:left w:val="nil"/>
              <w:bottom w:val="single" w:sz="4" w:space="0" w:color="auto"/>
              <w:right w:val="single" w:sz="4" w:space="0" w:color="auto"/>
            </w:tcBorders>
            <w:shd w:val="clear" w:color="000000" w:fill="FFFFFF"/>
            <w:vAlign w:val="center"/>
            <w:hideMark/>
          </w:tcPr>
          <w:p w14:paraId="4F673B6D"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37</w:t>
            </w:r>
          </w:p>
        </w:tc>
        <w:tc>
          <w:tcPr>
            <w:tcW w:w="990" w:type="dxa"/>
            <w:tcBorders>
              <w:top w:val="nil"/>
              <w:left w:val="nil"/>
              <w:bottom w:val="single" w:sz="4" w:space="0" w:color="auto"/>
              <w:right w:val="single" w:sz="4" w:space="0" w:color="auto"/>
            </w:tcBorders>
            <w:shd w:val="clear" w:color="auto" w:fill="auto"/>
            <w:noWrap/>
            <w:vAlign w:val="center"/>
            <w:hideMark/>
          </w:tcPr>
          <w:p w14:paraId="465FB18B"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26</w:t>
            </w:r>
          </w:p>
        </w:tc>
        <w:tc>
          <w:tcPr>
            <w:tcW w:w="1080" w:type="dxa"/>
            <w:tcBorders>
              <w:top w:val="nil"/>
              <w:left w:val="nil"/>
              <w:bottom w:val="single" w:sz="4" w:space="0" w:color="auto"/>
              <w:right w:val="single" w:sz="4" w:space="0" w:color="auto"/>
            </w:tcBorders>
            <w:shd w:val="clear" w:color="auto" w:fill="auto"/>
            <w:noWrap/>
            <w:vAlign w:val="center"/>
            <w:hideMark/>
          </w:tcPr>
          <w:p w14:paraId="602AFF61"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18</w:t>
            </w:r>
          </w:p>
        </w:tc>
        <w:tc>
          <w:tcPr>
            <w:tcW w:w="1170" w:type="dxa"/>
            <w:tcBorders>
              <w:top w:val="nil"/>
              <w:left w:val="nil"/>
              <w:bottom w:val="single" w:sz="4" w:space="0" w:color="auto"/>
              <w:right w:val="single" w:sz="4" w:space="0" w:color="auto"/>
            </w:tcBorders>
            <w:shd w:val="clear" w:color="auto" w:fill="auto"/>
            <w:noWrap/>
            <w:vAlign w:val="center"/>
            <w:hideMark/>
          </w:tcPr>
          <w:p w14:paraId="6C941CEE"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32</w:t>
            </w:r>
          </w:p>
        </w:tc>
        <w:tc>
          <w:tcPr>
            <w:tcW w:w="990" w:type="dxa"/>
            <w:tcBorders>
              <w:top w:val="nil"/>
              <w:left w:val="nil"/>
              <w:bottom w:val="single" w:sz="4" w:space="0" w:color="auto"/>
              <w:right w:val="single" w:sz="4" w:space="0" w:color="auto"/>
            </w:tcBorders>
            <w:shd w:val="clear" w:color="auto" w:fill="auto"/>
            <w:noWrap/>
            <w:vAlign w:val="center"/>
            <w:hideMark/>
          </w:tcPr>
          <w:p w14:paraId="0926B77F"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32</w:t>
            </w:r>
          </w:p>
        </w:tc>
        <w:tc>
          <w:tcPr>
            <w:tcW w:w="1080" w:type="dxa"/>
            <w:tcBorders>
              <w:top w:val="nil"/>
              <w:left w:val="nil"/>
              <w:bottom w:val="single" w:sz="4" w:space="0" w:color="auto"/>
              <w:right w:val="single" w:sz="4" w:space="0" w:color="auto"/>
            </w:tcBorders>
            <w:vAlign w:val="center"/>
          </w:tcPr>
          <w:p w14:paraId="2D5A3F4E"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25</w:t>
            </w:r>
          </w:p>
        </w:tc>
        <w:tc>
          <w:tcPr>
            <w:tcW w:w="1080" w:type="dxa"/>
            <w:tcBorders>
              <w:top w:val="nil"/>
              <w:left w:val="nil"/>
              <w:bottom w:val="single" w:sz="4" w:space="0" w:color="auto"/>
              <w:right w:val="single" w:sz="4" w:space="0" w:color="auto"/>
            </w:tcBorders>
            <w:vAlign w:val="center"/>
          </w:tcPr>
          <w:p w14:paraId="7A3B67B4"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32</w:t>
            </w:r>
          </w:p>
        </w:tc>
      </w:tr>
      <w:tr w:rsidR="002C537F" w:rsidRPr="00C418AE" w14:paraId="5C507E2B" w14:textId="77777777" w:rsidTr="00C74E50">
        <w:trPr>
          <w:trHeight w:val="484"/>
        </w:trPr>
        <w:tc>
          <w:tcPr>
            <w:tcW w:w="2340" w:type="dxa"/>
            <w:tcBorders>
              <w:top w:val="nil"/>
              <w:left w:val="single" w:sz="4" w:space="0" w:color="auto"/>
              <w:bottom w:val="single" w:sz="4" w:space="0" w:color="auto"/>
              <w:right w:val="single" w:sz="4" w:space="0" w:color="auto"/>
            </w:tcBorders>
            <w:shd w:val="clear" w:color="000000" w:fill="FFFFFF"/>
            <w:vAlign w:val="center"/>
            <w:hideMark/>
          </w:tcPr>
          <w:p w14:paraId="11964C44"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Secțiuni de monitorizare (nr.)</w:t>
            </w:r>
          </w:p>
        </w:tc>
        <w:tc>
          <w:tcPr>
            <w:tcW w:w="900" w:type="dxa"/>
            <w:tcBorders>
              <w:top w:val="nil"/>
              <w:left w:val="nil"/>
              <w:bottom w:val="single" w:sz="4" w:space="0" w:color="auto"/>
              <w:right w:val="single" w:sz="4" w:space="0" w:color="auto"/>
            </w:tcBorders>
            <w:shd w:val="clear" w:color="000000" w:fill="FFFFFF"/>
            <w:vAlign w:val="center"/>
            <w:hideMark/>
          </w:tcPr>
          <w:p w14:paraId="4DF8868C"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71</w:t>
            </w:r>
          </w:p>
        </w:tc>
        <w:tc>
          <w:tcPr>
            <w:tcW w:w="990" w:type="dxa"/>
            <w:tcBorders>
              <w:top w:val="nil"/>
              <w:left w:val="nil"/>
              <w:bottom w:val="single" w:sz="4" w:space="0" w:color="auto"/>
              <w:right w:val="single" w:sz="4" w:space="0" w:color="auto"/>
            </w:tcBorders>
            <w:shd w:val="clear" w:color="000000" w:fill="FFFFFF"/>
            <w:vAlign w:val="center"/>
            <w:hideMark/>
          </w:tcPr>
          <w:p w14:paraId="524E8B64"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95</w:t>
            </w:r>
          </w:p>
        </w:tc>
        <w:tc>
          <w:tcPr>
            <w:tcW w:w="990" w:type="dxa"/>
            <w:tcBorders>
              <w:top w:val="nil"/>
              <w:left w:val="nil"/>
              <w:bottom w:val="single" w:sz="4" w:space="0" w:color="auto"/>
              <w:right w:val="single" w:sz="4" w:space="0" w:color="auto"/>
            </w:tcBorders>
            <w:shd w:val="clear" w:color="auto" w:fill="auto"/>
            <w:noWrap/>
            <w:vAlign w:val="center"/>
            <w:hideMark/>
          </w:tcPr>
          <w:p w14:paraId="2A464FB3"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55</w:t>
            </w:r>
          </w:p>
        </w:tc>
        <w:tc>
          <w:tcPr>
            <w:tcW w:w="1080" w:type="dxa"/>
            <w:tcBorders>
              <w:top w:val="nil"/>
              <w:left w:val="nil"/>
              <w:bottom w:val="single" w:sz="4" w:space="0" w:color="auto"/>
              <w:right w:val="single" w:sz="4" w:space="0" w:color="auto"/>
            </w:tcBorders>
            <w:shd w:val="clear" w:color="auto" w:fill="auto"/>
            <w:noWrap/>
            <w:vAlign w:val="center"/>
            <w:hideMark/>
          </w:tcPr>
          <w:p w14:paraId="666C4DBB"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111</w:t>
            </w:r>
          </w:p>
        </w:tc>
        <w:tc>
          <w:tcPr>
            <w:tcW w:w="1170" w:type="dxa"/>
            <w:tcBorders>
              <w:top w:val="nil"/>
              <w:left w:val="nil"/>
              <w:bottom w:val="single" w:sz="4" w:space="0" w:color="auto"/>
              <w:right w:val="single" w:sz="4" w:space="0" w:color="auto"/>
            </w:tcBorders>
            <w:shd w:val="clear" w:color="auto" w:fill="auto"/>
            <w:noWrap/>
            <w:vAlign w:val="center"/>
            <w:hideMark/>
          </w:tcPr>
          <w:p w14:paraId="63EEF89E"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107</w:t>
            </w:r>
          </w:p>
        </w:tc>
        <w:tc>
          <w:tcPr>
            <w:tcW w:w="990" w:type="dxa"/>
            <w:tcBorders>
              <w:top w:val="nil"/>
              <w:left w:val="nil"/>
              <w:bottom w:val="single" w:sz="4" w:space="0" w:color="auto"/>
              <w:right w:val="single" w:sz="4" w:space="0" w:color="auto"/>
            </w:tcBorders>
            <w:shd w:val="clear" w:color="auto" w:fill="auto"/>
            <w:noWrap/>
            <w:vAlign w:val="center"/>
            <w:hideMark/>
          </w:tcPr>
          <w:p w14:paraId="61C49EA3"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104</w:t>
            </w:r>
          </w:p>
        </w:tc>
        <w:tc>
          <w:tcPr>
            <w:tcW w:w="1080" w:type="dxa"/>
            <w:tcBorders>
              <w:top w:val="nil"/>
              <w:left w:val="nil"/>
              <w:bottom w:val="single" w:sz="4" w:space="0" w:color="auto"/>
              <w:right w:val="single" w:sz="4" w:space="0" w:color="auto"/>
            </w:tcBorders>
            <w:vAlign w:val="center"/>
          </w:tcPr>
          <w:p w14:paraId="4F06B9DE"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110</w:t>
            </w:r>
          </w:p>
        </w:tc>
        <w:tc>
          <w:tcPr>
            <w:tcW w:w="1080" w:type="dxa"/>
            <w:tcBorders>
              <w:top w:val="nil"/>
              <w:left w:val="nil"/>
              <w:bottom w:val="single" w:sz="4" w:space="0" w:color="auto"/>
              <w:right w:val="single" w:sz="4" w:space="0" w:color="auto"/>
            </w:tcBorders>
            <w:vAlign w:val="center"/>
          </w:tcPr>
          <w:p w14:paraId="50154DA4"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102</w:t>
            </w:r>
          </w:p>
        </w:tc>
      </w:tr>
      <w:tr w:rsidR="002C537F" w:rsidRPr="00C418AE" w14:paraId="61F214AB" w14:textId="77777777" w:rsidTr="00C74E50">
        <w:trPr>
          <w:trHeight w:val="727"/>
        </w:trPr>
        <w:tc>
          <w:tcPr>
            <w:tcW w:w="2340" w:type="dxa"/>
            <w:tcBorders>
              <w:top w:val="nil"/>
              <w:left w:val="single" w:sz="4" w:space="0" w:color="auto"/>
              <w:bottom w:val="single" w:sz="4" w:space="0" w:color="auto"/>
              <w:right w:val="single" w:sz="4" w:space="0" w:color="auto"/>
            </w:tcBorders>
            <w:shd w:val="clear" w:color="000000" w:fill="FFFFFF"/>
            <w:vAlign w:val="center"/>
            <w:hideMark/>
          </w:tcPr>
          <w:p w14:paraId="17051F8D" w14:textId="77777777" w:rsidR="002C537F" w:rsidRPr="00C418AE" w:rsidRDefault="002C537F" w:rsidP="00C74E50">
            <w:pPr>
              <w:spacing w:after="0" w:line="240" w:lineRule="auto"/>
              <w:jc w:val="center"/>
              <w:rPr>
                <w:rFonts w:ascii="Arial" w:eastAsia="Times New Roman" w:hAnsi="Arial" w:cs="Arial"/>
                <w:b/>
                <w:bCs/>
                <w:sz w:val="20"/>
                <w:szCs w:val="20"/>
                <w:lang w:eastAsia="ro-RO"/>
              </w:rPr>
            </w:pPr>
            <w:r w:rsidRPr="00C418AE">
              <w:rPr>
                <w:rFonts w:ascii="Arial" w:eastAsia="Times New Roman" w:hAnsi="Arial" w:cs="Arial"/>
                <w:b/>
                <w:bCs/>
                <w:sz w:val="20"/>
                <w:szCs w:val="20"/>
                <w:lang w:eastAsia="ro-RO"/>
              </w:rPr>
              <w:t>Ponderea secțiunilor cu  concentrație mai mare decat SCM (%)</w:t>
            </w:r>
          </w:p>
        </w:tc>
        <w:tc>
          <w:tcPr>
            <w:tcW w:w="900" w:type="dxa"/>
            <w:tcBorders>
              <w:top w:val="nil"/>
              <w:left w:val="nil"/>
              <w:bottom w:val="single" w:sz="4" w:space="0" w:color="auto"/>
              <w:right w:val="single" w:sz="4" w:space="0" w:color="auto"/>
            </w:tcBorders>
            <w:shd w:val="clear" w:color="000000" w:fill="FFFFFF"/>
            <w:vAlign w:val="center"/>
            <w:hideMark/>
          </w:tcPr>
          <w:p w14:paraId="3A98153A"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2,81</w:t>
            </w:r>
          </w:p>
        </w:tc>
        <w:tc>
          <w:tcPr>
            <w:tcW w:w="990" w:type="dxa"/>
            <w:tcBorders>
              <w:top w:val="nil"/>
              <w:left w:val="nil"/>
              <w:bottom w:val="single" w:sz="4" w:space="0" w:color="auto"/>
              <w:right w:val="single" w:sz="4" w:space="0" w:color="auto"/>
            </w:tcBorders>
            <w:shd w:val="clear" w:color="000000" w:fill="FFFFFF"/>
            <w:vAlign w:val="center"/>
            <w:hideMark/>
          </w:tcPr>
          <w:p w14:paraId="777323F7"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3,15</w:t>
            </w:r>
          </w:p>
        </w:tc>
        <w:tc>
          <w:tcPr>
            <w:tcW w:w="990" w:type="dxa"/>
            <w:tcBorders>
              <w:top w:val="nil"/>
              <w:left w:val="nil"/>
              <w:bottom w:val="single" w:sz="4" w:space="0" w:color="auto"/>
              <w:right w:val="single" w:sz="4" w:space="0" w:color="auto"/>
            </w:tcBorders>
            <w:shd w:val="clear" w:color="auto" w:fill="auto"/>
            <w:noWrap/>
            <w:vAlign w:val="center"/>
            <w:hideMark/>
          </w:tcPr>
          <w:p w14:paraId="1737A907"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1,82</w:t>
            </w:r>
          </w:p>
        </w:tc>
        <w:tc>
          <w:tcPr>
            <w:tcW w:w="1080" w:type="dxa"/>
            <w:tcBorders>
              <w:top w:val="nil"/>
              <w:left w:val="nil"/>
              <w:bottom w:val="single" w:sz="4" w:space="0" w:color="auto"/>
              <w:right w:val="single" w:sz="4" w:space="0" w:color="auto"/>
            </w:tcBorders>
            <w:shd w:val="clear" w:color="auto" w:fill="auto"/>
            <w:noWrap/>
            <w:vAlign w:val="center"/>
            <w:hideMark/>
          </w:tcPr>
          <w:p w14:paraId="4D5C3368"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0,90</w:t>
            </w:r>
          </w:p>
        </w:tc>
        <w:tc>
          <w:tcPr>
            <w:tcW w:w="1170" w:type="dxa"/>
            <w:tcBorders>
              <w:top w:val="nil"/>
              <w:left w:val="nil"/>
              <w:bottom w:val="single" w:sz="4" w:space="0" w:color="auto"/>
              <w:right w:val="single" w:sz="4" w:space="0" w:color="auto"/>
            </w:tcBorders>
            <w:shd w:val="clear" w:color="auto" w:fill="auto"/>
            <w:noWrap/>
            <w:vAlign w:val="center"/>
            <w:hideMark/>
          </w:tcPr>
          <w:p w14:paraId="652CE9A8"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1,87</w:t>
            </w:r>
          </w:p>
        </w:tc>
        <w:tc>
          <w:tcPr>
            <w:tcW w:w="990" w:type="dxa"/>
            <w:tcBorders>
              <w:top w:val="nil"/>
              <w:left w:val="nil"/>
              <w:bottom w:val="single" w:sz="4" w:space="0" w:color="auto"/>
              <w:right w:val="single" w:sz="4" w:space="0" w:color="auto"/>
            </w:tcBorders>
            <w:shd w:val="clear" w:color="auto" w:fill="auto"/>
            <w:noWrap/>
            <w:vAlign w:val="center"/>
            <w:hideMark/>
          </w:tcPr>
          <w:p w14:paraId="070CB9D0"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2,88</w:t>
            </w:r>
          </w:p>
        </w:tc>
        <w:tc>
          <w:tcPr>
            <w:tcW w:w="1080" w:type="dxa"/>
            <w:tcBorders>
              <w:top w:val="nil"/>
              <w:left w:val="nil"/>
              <w:bottom w:val="single" w:sz="4" w:space="0" w:color="auto"/>
              <w:right w:val="single" w:sz="4" w:space="0" w:color="auto"/>
            </w:tcBorders>
            <w:vAlign w:val="center"/>
          </w:tcPr>
          <w:p w14:paraId="0E4103A2"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0,00</w:t>
            </w:r>
          </w:p>
        </w:tc>
        <w:tc>
          <w:tcPr>
            <w:tcW w:w="1080" w:type="dxa"/>
            <w:tcBorders>
              <w:top w:val="nil"/>
              <w:left w:val="nil"/>
              <w:bottom w:val="single" w:sz="4" w:space="0" w:color="auto"/>
              <w:right w:val="single" w:sz="4" w:space="0" w:color="auto"/>
            </w:tcBorders>
            <w:vAlign w:val="center"/>
          </w:tcPr>
          <w:p w14:paraId="6F3511A0" w14:textId="77777777" w:rsidR="002C537F" w:rsidRPr="00C418AE" w:rsidRDefault="002C537F" w:rsidP="00C74E50">
            <w:pPr>
              <w:spacing w:after="0" w:line="240" w:lineRule="auto"/>
              <w:jc w:val="center"/>
              <w:rPr>
                <w:rFonts w:ascii="Arial" w:eastAsia="Times New Roman" w:hAnsi="Arial" w:cs="Arial"/>
                <w:sz w:val="20"/>
                <w:szCs w:val="20"/>
                <w:lang w:eastAsia="ro-RO"/>
              </w:rPr>
            </w:pPr>
            <w:r w:rsidRPr="00C418AE">
              <w:rPr>
                <w:rFonts w:ascii="Arial" w:eastAsia="Times New Roman" w:hAnsi="Arial" w:cs="Arial"/>
                <w:sz w:val="20"/>
                <w:szCs w:val="20"/>
                <w:lang w:eastAsia="ro-RO"/>
              </w:rPr>
              <w:t>0,00</w:t>
            </w:r>
          </w:p>
        </w:tc>
      </w:tr>
    </w:tbl>
    <w:p w14:paraId="1F0FD38B" w14:textId="77777777" w:rsidR="002C537F" w:rsidRPr="00C418AE" w:rsidRDefault="002C537F" w:rsidP="002C537F">
      <w:pPr>
        <w:spacing w:after="0"/>
        <w:ind w:left="900" w:hanging="900"/>
        <w:jc w:val="both"/>
        <w:rPr>
          <w:rFonts w:ascii="Arial" w:hAnsi="Arial" w:cs="Arial"/>
          <w:i/>
          <w:iCs/>
          <w:sz w:val="20"/>
          <w:szCs w:val="20"/>
          <w:lang w:eastAsia="ro-RO"/>
        </w:rPr>
      </w:pPr>
      <w:r w:rsidRPr="00C418AE">
        <w:rPr>
          <w:rFonts w:ascii="Arial" w:hAnsi="Arial" w:cs="Arial"/>
          <w:i/>
          <w:iCs/>
          <w:sz w:val="20"/>
          <w:szCs w:val="20"/>
          <w:lang w:eastAsia="ro-RO"/>
        </w:rPr>
        <w:t>(Sursa: Administraţia Naţională “Apele Române”, Sinteza calităţii apelor din România în anul 2022)</w:t>
      </w:r>
    </w:p>
    <w:p w14:paraId="3D3332CB" w14:textId="77777777" w:rsidR="002C537F" w:rsidRDefault="002C537F" w:rsidP="002C537F">
      <w:pPr>
        <w:jc w:val="both"/>
      </w:pPr>
    </w:p>
    <w:p w14:paraId="70307188" w14:textId="77777777" w:rsidR="002C537F" w:rsidRPr="00D26E90" w:rsidRDefault="002C537F" w:rsidP="002C537F"/>
    <w:p w14:paraId="0D805BCE" w14:textId="77777777" w:rsidR="002C537F" w:rsidRPr="00D26E90" w:rsidRDefault="002C537F" w:rsidP="002C537F"/>
    <w:p w14:paraId="104EA8CF" w14:textId="77777777" w:rsidR="002C537F" w:rsidRPr="00D26E90" w:rsidRDefault="002C537F" w:rsidP="002C537F"/>
    <w:p w14:paraId="34AEBECE" w14:textId="77777777" w:rsidR="002C537F" w:rsidRPr="00D26E90" w:rsidRDefault="002C537F" w:rsidP="002C537F"/>
    <w:p w14:paraId="2EDAA1C1" w14:textId="77777777" w:rsidR="002C537F" w:rsidRPr="00D26E90" w:rsidRDefault="002C537F" w:rsidP="002C537F"/>
    <w:p w14:paraId="147C3671" w14:textId="77777777" w:rsidR="002C537F" w:rsidRPr="00D26E90" w:rsidRDefault="002C537F" w:rsidP="002C537F"/>
    <w:p w14:paraId="7C4151E8" w14:textId="77777777" w:rsidR="002C537F" w:rsidRPr="00D26E90" w:rsidRDefault="002C537F" w:rsidP="002C537F"/>
    <w:p w14:paraId="70F02EB5" w14:textId="77777777" w:rsidR="002C537F" w:rsidRDefault="002C537F" w:rsidP="002C537F"/>
    <w:p w14:paraId="54E9FD69" w14:textId="77777777" w:rsidR="00127ECA" w:rsidRPr="007C3218" w:rsidRDefault="002C537F" w:rsidP="00127ECA">
      <w:pPr>
        <w:rPr>
          <w:rFonts w:ascii="Arial" w:hAnsi="Arial" w:cs="Arial"/>
          <w:b/>
          <w:color w:val="FF0000"/>
          <w:sz w:val="28"/>
          <w:szCs w:val="28"/>
          <w:lang w:val="en-US"/>
        </w:rPr>
      </w:pPr>
      <w:r>
        <w:tab/>
      </w:r>
    </w:p>
    <w:p w14:paraId="2FAB9191" w14:textId="77777777" w:rsidR="00127ECA" w:rsidRPr="00B11BCF" w:rsidRDefault="00127ECA" w:rsidP="00127ECA">
      <w:pPr>
        <w:rPr>
          <w:rFonts w:ascii="Arial" w:hAnsi="Arial" w:cs="Arial"/>
          <w:b/>
          <w:iCs/>
          <w:sz w:val="24"/>
          <w:szCs w:val="24"/>
          <w:u w:val="single"/>
          <w:lang w:val="en-US"/>
        </w:rPr>
      </w:pPr>
      <w:r w:rsidRPr="00B11BCF">
        <w:rPr>
          <w:rFonts w:ascii="Arial" w:hAnsi="Arial" w:cs="Arial"/>
          <w:b/>
          <w:iCs/>
          <w:sz w:val="24"/>
          <w:szCs w:val="24"/>
          <w:u w:val="single"/>
          <w:lang w:val="en-US"/>
        </w:rPr>
        <w:t>II.2.1.3. Calitatea apelor subterane</w:t>
      </w:r>
    </w:p>
    <w:p w14:paraId="63FC3B25" w14:textId="77777777" w:rsidR="00127ECA" w:rsidRDefault="00127ECA" w:rsidP="00127ECA">
      <w:pPr>
        <w:spacing w:line="240" w:lineRule="auto"/>
        <w:jc w:val="both"/>
        <w:rPr>
          <w:rFonts w:ascii="Arial" w:hAnsi="Arial" w:cs="Arial"/>
          <w:b/>
          <w:sz w:val="24"/>
          <w:szCs w:val="24"/>
          <w:lang w:val="en-US"/>
        </w:rPr>
      </w:pPr>
    </w:p>
    <w:p w14:paraId="5E75E19E" w14:textId="77777777" w:rsidR="00127ECA" w:rsidRPr="005A2ED0" w:rsidRDefault="00127ECA" w:rsidP="00127ECA">
      <w:pPr>
        <w:spacing w:line="240" w:lineRule="auto"/>
        <w:jc w:val="center"/>
        <w:rPr>
          <w:rFonts w:ascii="Arial" w:hAnsi="Arial" w:cs="Arial"/>
          <w:b/>
          <w:sz w:val="24"/>
          <w:szCs w:val="24"/>
          <w:lang w:val="en-US"/>
        </w:rPr>
      </w:pPr>
      <w:r w:rsidRPr="00401388">
        <w:rPr>
          <w:rFonts w:ascii="Arial" w:hAnsi="Arial" w:cs="Arial"/>
          <w:b/>
          <w:sz w:val="24"/>
          <w:szCs w:val="24"/>
          <w:highlight w:val="green"/>
          <w:lang w:val="en-US"/>
        </w:rPr>
        <w:t>Indicator CSI 20. Nutrienţi în apă RO 20</w:t>
      </w:r>
    </w:p>
    <w:p w14:paraId="6B5D48CE" w14:textId="77777777" w:rsidR="00127ECA" w:rsidRDefault="00127ECA" w:rsidP="00127ECA">
      <w:pPr>
        <w:spacing w:after="0" w:line="240" w:lineRule="auto"/>
        <w:jc w:val="both"/>
        <w:rPr>
          <w:rFonts w:ascii="Arial" w:hAnsi="Arial" w:cs="Arial"/>
          <w:b/>
          <w:i/>
          <w:sz w:val="24"/>
          <w:szCs w:val="24"/>
          <w:lang w:val="en-US"/>
        </w:rPr>
      </w:pPr>
    </w:p>
    <w:p w14:paraId="74BF01F1" w14:textId="77777777" w:rsidR="00127ECA" w:rsidRPr="00B11BCF" w:rsidRDefault="00127ECA" w:rsidP="00127ECA">
      <w:pPr>
        <w:spacing w:after="0" w:line="240" w:lineRule="auto"/>
        <w:jc w:val="both"/>
        <w:rPr>
          <w:rFonts w:ascii="Arial" w:hAnsi="Arial" w:cs="Arial"/>
          <w:b/>
          <w:i/>
          <w:sz w:val="24"/>
          <w:szCs w:val="24"/>
          <w:lang w:val="en-US"/>
        </w:rPr>
      </w:pPr>
      <w:r w:rsidRPr="00B11BCF">
        <w:rPr>
          <w:rFonts w:ascii="Arial" w:hAnsi="Arial" w:cs="Arial"/>
          <w:b/>
          <w:i/>
          <w:sz w:val="24"/>
          <w:szCs w:val="24"/>
          <w:lang w:val="en-US"/>
        </w:rPr>
        <w:t>EVOLUȚIA NUMĂRULUI PUNCTELOR DE MONITORIZARE CU DEPĂȘIRI LA CONȚINUTUL DE NITRAȚI ÎN PERIOADA 2016 – 2022 (%)</w:t>
      </w:r>
    </w:p>
    <w:p w14:paraId="5EBA652C" w14:textId="77777777" w:rsidR="00127ECA" w:rsidRDefault="00127ECA" w:rsidP="00127ECA">
      <w:pPr>
        <w:spacing w:after="0" w:line="240" w:lineRule="auto"/>
        <w:rPr>
          <w:rFonts w:ascii="Arial" w:hAnsi="Arial" w:cs="Arial"/>
          <w:b/>
          <w:i/>
          <w:sz w:val="20"/>
          <w:szCs w:val="16"/>
        </w:rPr>
      </w:pPr>
    </w:p>
    <w:p w14:paraId="2FC8351B" w14:textId="77777777" w:rsidR="00127ECA" w:rsidRPr="00B11BCF" w:rsidRDefault="00127ECA" w:rsidP="00127ECA">
      <w:pPr>
        <w:spacing w:after="0" w:line="240" w:lineRule="auto"/>
        <w:rPr>
          <w:rFonts w:ascii="Arial" w:hAnsi="Arial" w:cs="Arial"/>
          <w:b/>
          <w:i/>
          <w:sz w:val="20"/>
          <w:szCs w:val="16"/>
        </w:rPr>
      </w:pPr>
      <w:r>
        <w:rPr>
          <w:rFonts w:ascii="Arial" w:hAnsi="Arial" w:cs="Arial"/>
          <w:b/>
          <w:i/>
          <w:sz w:val="20"/>
          <w:szCs w:val="16"/>
        </w:rPr>
        <w:t>Figura II.2.</w:t>
      </w:r>
      <w:r w:rsidRPr="005A2ED0">
        <w:rPr>
          <w:rFonts w:ascii="Arial" w:hAnsi="Arial" w:cs="Arial"/>
          <w:b/>
          <w:i/>
          <w:sz w:val="20"/>
          <w:szCs w:val="16"/>
        </w:rPr>
        <w:t>1.</w:t>
      </w:r>
      <w:r>
        <w:rPr>
          <w:rFonts w:ascii="Arial" w:hAnsi="Arial" w:cs="Arial"/>
          <w:b/>
          <w:i/>
          <w:sz w:val="20"/>
          <w:szCs w:val="16"/>
        </w:rPr>
        <w:t>3.1</w:t>
      </w:r>
      <w:r w:rsidRPr="005A2ED0">
        <w:rPr>
          <w:rFonts w:ascii="Arial" w:hAnsi="Arial" w:cs="Arial"/>
          <w:b/>
          <w:i/>
          <w:sz w:val="20"/>
          <w:szCs w:val="16"/>
        </w:rPr>
        <w:t xml:space="preserve"> Evoluția punctelor de monitorizare cu depășiri ale concentrațiilor de n</w:t>
      </w:r>
      <w:r>
        <w:rPr>
          <w:rFonts w:ascii="Arial" w:hAnsi="Arial" w:cs="Arial"/>
          <w:b/>
          <w:i/>
          <w:sz w:val="20"/>
          <w:szCs w:val="16"/>
        </w:rPr>
        <w:t>itrați  în  perioada 2016 - 2022</w:t>
      </w:r>
      <w:r w:rsidRPr="005A2ED0">
        <w:rPr>
          <w:rFonts w:ascii="Arial" w:hAnsi="Arial" w:cs="Arial"/>
          <w:b/>
          <w:i/>
          <w:sz w:val="20"/>
          <w:szCs w:val="16"/>
        </w:rPr>
        <w:t xml:space="preserve"> (%)</w:t>
      </w:r>
    </w:p>
    <w:p w14:paraId="2EAA2AC5" w14:textId="77777777" w:rsidR="00127ECA" w:rsidRPr="00CB7541" w:rsidRDefault="00127ECA" w:rsidP="00127ECA">
      <w:pPr>
        <w:spacing w:after="0" w:line="240" w:lineRule="auto"/>
        <w:jc w:val="both"/>
        <w:rPr>
          <w:rFonts w:ascii="Arial" w:hAnsi="Arial" w:cs="Arial"/>
          <w:b/>
          <w:i/>
          <w:color w:val="FF0000"/>
          <w:sz w:val="24"/>
          <w:szCs w:val="24"/>
          <w:lang w:val="en-US"/>
        </w:rPr>
      </w:pPr>
      <w:r>
        <w:rPr>
          <w:rFonts w:ascii="Arial" w:hAnsi="Arial" w:cs="Arial"/>
          <w:b/>
          <w:i/>
          <w:noProof/>
          <w:color w:val="FF0000"/>
          <w:sz w:val="24"/>
          <w:szCs w:val="24"/>
          <w:lang w:val="en-GB" w:eastAsia="en-GB"/>
        </w:rPr>
        <w:drawing>
          <wp:inline distT="0" distB="0" distL="0" distR="0" wp14:anchorId="22895C7C" wp14:editId="0AADD725">
            <wp:extent cx="6427470" cy="2797919"/>
            <wp:effectExtent l="0" t="0" r="0" b="2540"/>
            <wp:docPr id="217968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28226" cy="2798248"/>
                    </a:xfrm>
                    <a:prstGeom prst="rect">
                      <a:avLst/>
                    </a:prstGeom>
                    <a:noFill/>
                  </pic:spPr>
                </pic:pic>
              </a:graphicData>
            </a:graphic>
          </wp:inline>
        </w:drawing>
      </w:r>
    </w:p>
    <w:p w14:paraId="513798DD" w14:textId="77777777" w:rsidR="00127ECA" w:rsidRPr="00505570" w:rsidRDefault="00127ECA" w:rsidP="00127ECA">
      <w:pPr>
        <w:spacing w:after="0"/>
        <w:ind w:left="900" w:hanging="900"/>
        <w:jc w:val="both"/>
        <w:rPr>
          <w:rFonts w:ascii="Arial" w:hAnsi="Arial" w:cs="Arial"/>
          <w:i/>
          <w:iCs/>
          <w:color w:val="FF0000"/>
          <w:sz w:val="20"/>
          <w:szCs w:val="20"/>
          <w:lang w:eastAsia="ro-RO"/>
        </w:rPr>
      </w:pPr>
      <w:r w:rsidRPr="00E36C00">
        <w:rPr>
          <w:rFonts w:ascii="Arial" w:hAnsi="Arial" w:cs="Arial"/>
          <w:i/>
          <w:iCs/>
          <w:sz w:val="20"/>
          <w:szCs w:val="20"/>
          <w:lang w:eastAsia="ro-RO"/>
        </w:rPr>
        <w:t>(Sursa: Administraţia Naţională “Apele Române”, Sinteza calităţii apelor din România în anul 2022</w:t>
      </w:r>
      <w:r w:rsidRPr="00052BA7">
        <w:rPr>
          <w:rFonts w:ascii="Arial" w:hAnsi="Arial" w:cs="Arial"/>
          <w:i/>
          <w:iCs/>
          <w:sz w:val="20"/>
          <w:szCs w:val="20"/>
          <w:lang w:eastAsia="ro-RO"/>
        </w:rPr>
        <w:t>)</w:t>
      </w:r>
    </w:p>
    <w:p w14:paraId="5CF03332" w14:textId="77777777" w:rsidR="00127ECA" w:rsidRPr="00601A94" w:rsidRDefault="00127ECA" w:rsidP="00127ECA">
      <w:pPr>
        <w:spacing w:line="240" w:lineRule="auto"/>
        <w:ind w:left="708" w:firstLine="708"/>
        <w:rPr>
          <w:rFonts w:ascii="Arial" w:hAnsi="Arial" w:cs="Arial"/>
          <w:b/>
          <w:sz w:val="24"/>
          <w:szCs w:val="24"/>
        </w:rPr>
      </w:pPr>
    </w:p>
    <w:p w14:paraId="05E8E800" w14:textId="77777777" w:rsidR="00127ECA" w:rsidRPr="00601A94" w:rsidRDefault="00127ECA" w:rsidP="00127ECA">
      <w:pPr>
        <w:spacing w:line="240" w:lineRule="auto"/>
        <w:jc w:val="center"/>
        <w:rPr>
          <w:rFonts w:ascii="Arial" w:hAnsi="Arial" w:cs="Arial"/>
          <w:b/>
          <w:sz w:val="24"/>
          <w:szCs w:val="24"/>
        </w:rPr>
      </w:pPr>
      <w:r w:rsidRPr="00CB6340">
        <w:rPr>
          <w:rFonts w:ascii="Arial" w:hAnsi="Arial" w:cs="Arial"/>
          <w:b/>
          <w:sz w:val="24"/>
          <w:szCs w:val="24"/>
          <w:highlight w:val="green"/>
        </w:rPr>
        <w:t>Indicator VHS 01. Pesticidele din apele subterane RO 64</w:t>
      </w:r>
    </w:p>
    <w:p w14:paraId="5318EB84" w14:textId="77777777" w:rsidR="00127ECA" w:rsidRDefault="00127ECA" w:rsidP="00127ECA">
      <w:pPr>
        <w:spacing w:line="240" w:lineRule="auto"/>
        <w:jc w:val="both"/>
        <w:rPr>
          <w:rFonts w:ascii="Arial" w:hAnsi="Arial" w:cs="Arial"/>
          <w:b/>
          <w:i/>
          <w:sz w:val="24"/>
          <w:szCs w:val="24"/>
        </w:rPr>
      </w:pPr>
      <w:r w:rsidRPr="00601A94">
        <w:rPr>
          <w:rFonts w:ascii="Arial" w:hAnsi="Arial" w:cs="Arial"/>
          <w:b/>
          <w:i/>
          <w:sz w:val="24"/>
          <w:szCs w:val="24"/>
        </w:rPr>
        <w:t>Distribuția numărului punctelor de monitorizare a pesticidelor pe spații</w:t>
      </w:r>
      <w:r>
        <w:rPr>
          <w:rFonts w:ascii="Arial" w:hAnsi="Arial" w:cs="Arial"/>
          <w:b/>
          <w:i/>
          <w:sz w:val="24"/>
          <w:szCs w:val="24"/>
        </w:rPr>
        <w:t>/bazine hidrografice în anul 2022</w:t>
      </w:r>
    </w:p>
    <w:p w14:paraId="7E100489" w14:textId="77777777" w:rsidR="00127ECA" w:rsidRPr="00B11BCF" w:rsidRDefault="00127ECA" w:rsidP="00127ECA">
      <w:pPr>
        <w:spacing w:after="0" w:line="240" w:lineRule="auto"/>
        <w:rPr>
          <w:rFonts w:ascii="Arial" w:hAnsi="Arial" w:cs="Arial"/>
          <w:b/>
          <w:i/>
          <w:sz w:val="20"/>
          <w:szCs w:val="16"/>
        </w:rPr>
      </w:pPr>
      <w:r w:rsidRPr="00601A94">
        <w:rPr>
          <w:rFonts w:ascii="Arial" w:hAnsi="Arial" w:cs="Arial"/>
          <w:b/>
          <w:i/>
          <w:sz w:val="20"/>
          <w:szCs w:val="16"/>
        </w:rPr>
        <w:t>Tabel II.2.1.</w:t>
      </w:r>
      <w:r>
        <w:rPr>
          <w:rFonts w:ascii="Arial" w:hAnsi="Arial" w:cs="Arial"/>
          <w:b/>
          <w:i/>
          <w:sz w:val="20"/>
          <w:szCs w:val="16"/>
        </w:rPr>
        <w:t>3.1</w:t>
      </w:r>
      <w:r w:rsidRPr="00601A94">
        <w:rPr>
          <w:rFonts w:ascii="Arial" w:hAnsi="Arial" w:cs="Arial"/>
          <w:b/>
          <w:i/>
          <w:sz w:val="20"/>
          <w:szCs w:val="16"/>
        </w:rPr>
        <w:t xml:space="preserve"> Pe</w:t>
      </w:r>
      <w:r>
        <w:rPr>
          <w:rFonts w:ascii="Arial" w:hAnsi="Arial" w:cs="Arial"/>
          <w:b/>
          <w:i/>
          <w:sz w:val="20"/>
          <w:szCs w:val="16"/>
        </w:rPr>
        <w:t>sticide monitorizate în anul 2022</w:t>
      </w:r>
      <w:r w:rsidRPr="00601A94">
        <w:rPr>
          <w:rFonts w:ascii="Arial" w:hAnsi="Arial" w:cs="Arial"/>
          <w:b/>
          <w:i/>
          <w:sz w:val="20"/>
          <w:szCs w:val="16"/>
        </w:rPr>
        <w:t xml:space="preserve"> (nr.)</w:t>
      </w:r>
    </w:p>
    <w:tbl>
      <w:tblPr>
        <w:tblW w:w="9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840"/>
        <w:gridCol w:w="2240"/>
        <w:gridCol w:w="2253"/>
        <w:gridCol w:w="1527"/>
      </w:tblGrid>
      <w:tr w:rsidR="00127ECA" w:rsidRPr="00B9012A" w14:paraId="338C93CB" w14:textId="77777777" w:rsidTr="00C74E50">
        <w:trPr>
          <w:trHeight w:val="912"/>
        </w:trPr>
        <w:tc>
          <w:tcPr>
            <w:tcW w:w="2020" w:type="dxa"/>
            <w:shd w:val="clear" w:color="000000" w:fill="FFFFFF"/>
            <w:vAlign w:val="center"/>
            <w:hideMark/>
          </w:tcPr>
          <w:p w14:paraId="478AF6F4" w14:textId="77777777" w:rsidR="00127ECA" w:rsidRPr="00B9012A" w:rsidRDefault="00127ECA" w:rsidP="00C74E50">
            <w:pPr>
              <w:spacing w:after="0" w:line="240" w:lineRule="auto"/>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Spaţiu / Bazin hidrografic</w:t>
            </w:r>
          </w:p>
        </w:tc>
        <w:tc>
          <w:tcPr>
            <w:tcW w:w="1840" w:type="dxa"/>
            <w:shd w:val="clear" w:color="000000" w:fill="FFFFFF"/>
            <w:vAlign w:val="center"/>
            <w:hideMark/>
          </w:tcPr>
          <w:p w14:paraId="3930B9CB" w14:textId="77777777" w:rsidR="00127ECA" w:rsidRPr="00B9012A" w:rsidRDefault="00127ECA" w:rsidP="00C74E50">
            <w:pPr>
              <w:spacing w:after="0" w:line="240" w:lineRule="auto"/>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Număr corpuri de apă monitorizate</w:t>
            </w:r>
          </w:p>
        </w:tc>
        <w:tc>
          <w:tcPr>
            <w:tcW w:w="2240" w:type="dxa"/>
            <w:shd w:val="clear" w:color="000000" w:fill="FFFFFF"/>
            <w:vAlign w:val="center"/>
            <w:hideMark/>
          </w:tcPr>
          <w:p w14:paraId="1D5481B5" w14:textId="77777777" w:rsidR="00127ECA" w:rsidRPr="00B9012A" w:rsidRDefault="00127ECA" w:rsidP="00C74E50">
            <w:pPr>
              <w:spacing w:after="0" w:line="240" w:lineRule="auto"/>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Număr total de puncte de monitorizare</w:t>
            </w:r>
          </w:p>
        </w:tc>
        <w:tc>
          <w:tcPr>
            <w:tcW w:w="2253" w:type="dxa"/>
            <w:shd w:val="clear" w:color="000000" w:fill="FFFFFF"/>
            <w:vAlign w:val="center"/>
            <w:hideMark/>
          </w:tcPr>
          <w:p w14:paraId="4E00B1E1" w14:textId="77777777" w:rsidR="00127ECA" w:rsidRPr="00B9012A" w:rsidRDefault="00127ECA" w:rsidP="00C74E50">
            <w:pPr>
              <w:spacing w:after="0" w:line="240" w:lineRule="auto"/>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Număr de puncte în care sunt monitorizate   pesticidele</w:t>
            </w:r>
          </w:p>
        </w:tc>
        <w:tc>
          <w:tcPr>
            <w:tcW w:w="1527" w:type="dxa"/>
            <w:shd w:val="clear" w:color="000000" w:fill="FFFFFF"/>
            <w:vAlign w:val="center"/>
            <w:hideMark/>
          </w:tcPr>
          <w:p w14:paraId="0BB4D644" w14:textId="77777777" w:rsidR="00127ECA" w:rsidRPr="00B9012A" w:rsidRDefault="00127ECA" w:rsidP="00C74E50">
            <w:pPr>
              <w:spacing w:after="0" w:line="240" w:lineRule="auto"/>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Pesticide monitorizate (nr.)</w:t>
            </w:r>
          </w:p>
        </w:tc>
      </w:tr>
      <w:tr w:rsidR="00127ECA" w:rsidRPr="00B9012A" w14:paraId="12AA213C" w14:textId="77777777" w:rsidTr="00C74E50">
        <w:trPr>
          <w:trHeight w:val="327"/>
        </w:trPr>
        <w:tc>
          <w:tcPr>
            <w:tcW w:w="2020" w:type="dxa"/>
            <w:shd w:val="clear" w:color="000000" w:fill="FFFFFF"/>
            <w:vAlign w:val="center"/>
            <w:hideMark/>
          </w:tcPr>
          <w:p w14:paraId="330EA937"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Someș - Tisa</w:t>
            </w:r>
          </w:p>
        </w:tc>
        <w:tc>
          <w:tcPr>
            <w:tcW w:w="1840" w:type="dxa"/>
            <w:shd w:val="clear" w:color="000000" w:fill="FFFFFF"/>
            <w:noWrap/>
            <w:vAlign w:val="center"/>
            <w:hideMark/>
          </w:tcPr>
          <w:p w14:paraId="547E6DFC"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15</w:t>
            </w:r>
          </w:p>
        </w:tc>
        <w:tc>
          <w:tcPr>
            <w:tcW w:w="2240" w:type="dxa"/>
            <w:shd w:val="clear" w:color="000000" w:fill="FFFFFF"/>
            <w:noWrap/>
            <w:vAlign w:val="center"/>
            <w:hideMark/>
          </w:tcPr>
          <w:p w14:paraId="114E2F92"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132</w:t>
            </w:r>
          </w:p>
        </w:tc>
        <w:tc>
          <w:tcPr>
            <w:tcW w:w="2253" w:type="dxa"/>
            <w:shd w:val="clear" w:color="000000" w:fill="FFFFFF"/>
            <w:noWrap/>
            <w:vAlign w:val="center"/>
            <w:hideMark/>
          </w:tcPr>
          <w:p w14:paraId="7F83B167"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w:t>
            </w:r>
          </w:p>
        </w:tc>
        <w:tc>
          <w:tcPr>
            <w:tcW w:w="1527" w:type="dxa"/>
            <w:shd w:val="clear" w:color="000000" w:fill="FFFFFF"/>
            <w:noWrap/>
            <w:vAlign w:val="center"/>
            <w:hideMark/>
          </w:tcPr>
          <w:p w14:paraId="7A39B38D"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3</w:t>
            </w:r>
          </w:p>
        </w:tc>
      </w:tr>
      <w:tr w:rsidR="00127ECA" w:rsidRPr="00B9012A" w14:paraId="3C88BEF8" w14:textId="77777777" w:rsidTr="00C74E50">
        <w:trPr>
          <w:trHeight w:val="309"/>
        </w:trPr>
        <w:tc>
          <w:tcPr>
            <w:tcW w:w="2020" w:type="dxa"/>
            <w:shd w:val="clear" w:color="000000" w:fill="FFFFFF"/>
            <w:noWrap/>
            <w:vAlign w:val="center"/>
            <w:hideMark/>
          </w:tcPr>
          <w:p w14:paraId="23C9BBC3"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Crișuri</w:t>
            </w:r>
          </w:p>
        </w:tc>
        <w:tc>
          <w:tcPr>
            <w:tcW w:w="1840" w:type="dxa"/>
            <w:shd w:val="clear" w:color="000000" w:fill="FFFFFF"/>
            <w:noWrap/>
            <w:vAlign w:val="center"/>
            <w:hideMark/>
          </w:tcPr>
          <w:p w14:paraId="0D34EDD4"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9</w:t>
            </w:r>
          </w:p>
        </w:tc>
        <w:tc>
          <w:tcPr>
            <w:tcW w:w="2240" w:type="dxa"/>
            <w:shd w:val="clear" w:color="000000" w:fill="FFFFFF"/>
            <w:noWrap/>
            <w:vAlign w:val="center"/>
            <w:hideMark/>
          </w:tcPr>
          <w:p w14:paraId="42948428"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134</w:t>
            </w:r>
          </w:p>
        </w:tc>
        <w:tc>
          <w:tcPr>
            <w:tcW w:w="2253" w:type="dxa"/>
            <w:shd w:val="clear" w:color="000000" w:fill="FFFFFF"/>
            <w:noWrap/>
            <w:vAlign w:val="center"/>
            <w:hideMark/>
          </w:tcPr>
          <w:p w14:paraId="569EB777"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w:t>
            </w:r>
          </w:p>
        </w:tc>
        <w:tc>
          <w:tcPr>
            <w:tcW w:w="1527" w:type="dxa"/>
            <w:shd w:val="clear" w:color="000000" w:fill="FFFFFF"/>
            <w:noWrap/>
            <w:vAlign w:val="center"/>
            <w:hideMark/>
          </w:tcPr>
          <w:p w14:paraId="21F12E45"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3</w:t>
            </w:r>
          </w:p>
        </w:tc>
      </w:tr>
      <w:tr w:rsidR="00127ECA" w:rsidRPr="00B9012A" w14:paraId="65220293" w14:textId="77777777" w:rsidTr="00C74E50">
        <w:trPr>
          <w:trHeight w:val="276"/>
        </w:trPr>
        <w:tc>
          <w:tcPr>
            <w:tcW w:w="2020" w:type="dxa"/>
            <w:shd w:val="clear" w:color="000000" w:fill="FFFFFF"/>
            <w:noWrap/>
            <w:vAlign w:val="center"/>
            <w:hideMark/>
          </w:tcPr>
          <w:p w14:paraId="651308E2"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Mureș</w:t>
            </w:r>
          </w:p>
        </w:tc>
        <w:tc>
          <w:tcPr>
            <w:tcW w:w="1840" w:type="dxa"/>
            <w:shd w:val="clear" w:color="auto" w:fill="auto"/>
            <w:noWrap/>
            <w:vAlign w:val="center"/>
            <w:hideMark/>
          </w:tcPr>
          <w:p w14:paraId="2648A94F"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22</w:t>
            </w:r>
          </w:p>
        </w:tc>
        <w:tc>
          <w:tcPr>
            <w:tcW w:w="2240" w:type="dxa"/>
            <w:shd w:val="clear" w:color="auto" w:fill="auto"/>
            <w:noWrap/>
            <w:vAlign w:val="center"/>
            <w:hideMark/>
          </w:tcPr>
          <w:p w14:paraId="4C94020E"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122</w:t>
            </w:r>
          </w:p>
        </w:tc>
        <w:tc>
          <w:tcPr>
            <w:tcW w:w="2253" w:type="dxa"/>
            <w:shd w:val="clear" w:color="auto" w:fill="auto"/>
            <w:noWrap/>
            <w:vAlign w:val="center"/>
            <w:hideMark/>
          </w:tcPr>
          <w:p w14:paraId="651FC26D"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4</w:t>
            </w:r>
          </w:p>
        </w:tc>
        <w:tc>
          <w:tcPr>
            <w:tcW w:w="1527" w:type="dxa"/>
            <w:shd w:val="clear" w:color="auto" w:fill="auto"/>
            <w:noWrap/>
            <w:vAlign w:val="center"/>
            <w:hideMark/>
          </w:tcPr>
          <w:p w14:paraId="0E72CCA8"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10</w:t>
            </w:r>
          </w:p>
        </w:tc>
      </w:tr>
      <w:tr w:rsidR="00127ECA" w:rsidRPr="00B9012A" w14:paraId="62691D86" w14:textId="77777777" w:rsidTr="00C74E50">
        <w:trPr>
          <w:trHeight w:val="276"/>
        </w:trPr>
        <w:tc>
          <w:tcPr>
            <w:tcW w:w="2020" w:type="dxa"/>
            <w:shd w:val="clear" w:color="000000" w:fill="FFFFFF"/>
            <w:noWrap/>
            <w:vAlign w:val="center"/>
            <w:hideMark/>
          </w:tcPr>
          <w:p w14:paraId="64C9AE6C"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Banat</w:t>
            </w:r>
          </w:p>
        </w:tc>
        <w:tc>
          <w:tcPr>
            <w:tcW w:w="1840" w:type="dxa"/>
            <w:shd w:val="clear" w:color="000000" w:fill="FFFFFF"/>
            <w:noWrap/>
            <w:vAlign w:val="center"/>
            <w:hideMark/>
          </w:tcPr>
          <w:p w14:paraId="28354A17"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20</w:t>
            </w:r>
          </w:p>
        </w:tc>
        <w:tc>
          <w:tcPr>
            <w:tcW w:w="2240" w:type="dxa"/>
            <w:shd w:val="clear" w:color="000000" w:fill="FFFFFF"/>
            <w:noWrap/>
            <w:vAlign w:val="center"/>
            <w:hideMark/>
          </w:tcPr>
          <w:p w14:paraId="1F681A91"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213</w:t>
            </w:r>
          </w:p>
        </w:tc>
        <w:tc>
          <w:tcPr>
            <w:tcW w:w="2253" w:type="dxa"/>
            <w:shd w:val="clear" w:color="000000" w:fill="FFFFFF"/>
            <w:noWrap/>
            <w:vAlign w:val="center"/>
            <w:hideMark/>
          </w:tcPr>
          <w:p w14:paraId="77CFE7B7"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15</w:t>
            </w:r>
          </w:p>
        </w:tc>
        <w:tc>
          <w:tcPr>
            <w:tcW w:w="1527" w:type="dxa"/>
            <w:shd w:val="clear" w:color="000000" w:fill="FFFFFF"/>
            <w:noWrap/>
            <w:vAlign w:val="center"/>
            <w:hideMark/>
          </w:tcPr>
          <w:p w14:paraId="7DF95CC6"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11</w:t>
            </w:r>
          </w:p>
        </w:tc>
      </w:tr>
      <w:tr w:rsidR="00127ECA" w:rsidRPr="00B9012A" w14:paraId="3A30F200" w14:textId="77777777" w:rsidTr="00C74E50">
        <w:trPr>
          <w:trHeight w:val="276"/>
        </w:trPr>
        <w:tc>
          <w:tcPr>
            <w:tcW w:w="2020" w:type="dxa"/>
            <w:shd w:val="clear" w:color="000000" w:fill="FFFFFF"/>
            <w:noWrap/>
            <w:vAlign w:val="center"/>
            <w:hideMark/>
          </w:tcPr>
          <w:p w14:paraId="759E98C9"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Jiu</w:t>
            </w:r>
          </w:p>
        </w:tc>
        <w:tc>
          <w:tcPr>
            <w:tcW w:w="1840" w:type="dxa"/>
            <w:shd w:val="clear" w:color="000000" w:fill="FFFFFF"/>
            <w:noWrap/>
            <w:vAlign w:val="center"/>
            <w:hideMark/>
          </w:tcPr>
          <w:p w14:paraId="60584191"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8</w:t>
            </w:r>
          </w:p>
        </w:tc>
        <w:tc>
          <w:tcPr>
            <w:tcW w:w="2240" w:type="dxa"/>
            <w:shd w:val="clear" w:color="000000" w:fill="FFFFFF"/>
            <w:noWrap/>
            <w:vAlign w:val="center"/>
            <w:hideMark/>
          </w:tcPr>
          <w:p w14:paraId="34D83CE8"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95</w:t>
            </w:r>
          </w:p>
        </w:tc>
        <w:tc>
          <w:tcPr>
            <w:tcW w:w="2253" w:type="dxa"/>
            <w:shd w:val="clear" w:color="000000" w:fill="FFFFFF"/>
            <w:noWrap/>
            <w:vAlign w:val="center"/>
            <w:hideMark/>
          </w:tcPr>
          <w:p w14:paraId="66A552F7"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73</w:t>
            </w:r>
          </w:p>
        </w:tc>
        <w:tc>
          <w:tcPr>
            <w:tcW w:w="1527" w:type="dxa"/>
            <w:shd w:val="clear" w:color="000000" w:fill="FFFFFF"/>
            <w:noWrap/>
            <w:vAlign w:val="center"/>
            <w:hideMark/>
          </w:tcPr>
          <w:p w14:paraId="6F6CC0E5"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2</w:t>
            </w:r>
          </w:p>
        </w:tc>
      </w:tr>
      <w:tr w:rsidR="00127ECA" w:rsidRPr="00B9012A" w14:paraId="09B626B3" w14:textId="77777777" w:rsidTr="00C74E50">
        <w:trPr>
          <w:trHeight w:val="276"/>
        </w:trPr>
        <w:tc>
          <w:tcPr>
            <w:tcW w:w="2020" w:type="dxa"/>
            <w:shd w:val="clear" w:color="000000" w:fill="FFFFFF"/>
            <w:noWrap/>
            <w:vAlign w:val="center"/>
            <w:hideMark/>
          </w:tcPr>
          <w:p w14:paraId="02C0B78E"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Olt</w:t>
            </w:r>
          </w:p>
        </w:tc>
        <w:tc>
          <w:tcPr>
            <w:tcW w:w="1840" w:type="dxa"/>
            <w:shd w:val="clear" w:color="000000" w:fill="FFFFFF"/>
            <w:noWrap/>
            <w:vAlign w:val="center"/>
            <w:hideMark/>
          </w:tcPr>
          <w:p w14:paraId="364E75FD"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14</w:t>
            </w:r>
          </w:p>
        </w:tc>
        <w:tc>
          <w:tcPr>
            <w:tcW w:w="2240" w:type="dxa"/>
            <w:shd w:val="clear" w:color="000000" w:fill="FFFFFF"/>
            <w:noWrap/>
            <w:vAlign w:val="center"/>
            <w:hideMark/>
          </w:tcPr>
          <w:p w14:paraId="7B11359D"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135</w:t>
            </w:r>
          </w:p>
        </w:tc>
        <w:tc>
          <w:tcPr>
            <w:tcW w:w="2253" w:type="dxa"/>
            <w:shd w:val="clear" w:color="000000" w:fill="FFFFFF"/>
            <w:noWrap/>
            <w:vAlign w:val="center"/>
            <w:hideMark/>
          </w:tcPr>
          <w:p w14:paraId="5E42BC8C"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12</w:t>
            </w:r>
          </w:p>
        </w:tc>
        <w:tc>
          <w:tcPr>
            <w:tcW w:w="1527" w:type="dxa"/>
            <w:shd w:val="clear" w:color="000000" w:fill="FFFFFF"/>
            <w:noWrap/>
            <w:vAlign w:val="center"/>
            <w:hideMark/>
          </w:tcPr>
          <w:p w14:paraId="41483215"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13</w:t>
            </w:r>
          </w:p>
        </w:tc>
      </w:tr>
      <w:tr w:rsidR="00127ECA" w:rsidRPr="00B9012A" w14:paraId="01A6CF41" w14:textId="77777777" w:rsidTr="00C74E50">
        <w:trPr>
          <w:trHeight w:val="276"/>
        </w:trPr>
        <w:tc>
          <w:tcPr>
            <w:tcW w:w="2020" w:type="dxa"/>
            <w:shd w:val="clear" w:color="000000" w:fill="FFFFFF"/>
            <w:noWrap/>
            <w:vAlign w:val="center"/>
            <w:hideMark/>
          </w:tcPr>
          <w:p w14:paraId="2BF7570D"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Argeș - Vedea</w:t>
            </w:r>
          </w:p>
        </w:tc>
        <w:tc>
          <w:tcPr>
            <w:tcW w:w="1840" w:type="dxa"/>
            <w:shd w:val="clear" w:color="000000" w:fill="FFFFFF"/>
            <w:noWrap/>
            <w:vAlign w:val="center"/>
            <w:hideMark/>
          </w:tcPr>
          <w:p w14:paraId="4AD36623"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11</w:t>
            </w:r>
          </w:p>
        </w:tc>
        <w:tc>
          <w:tcPr>
            <w:tcW w:w="2240" w:type="dxa"/>
            <w:shd w:val="clear" w:color="000000" w:fill="FFFFFF"/>
            <w:noWrap/>
            <w:vAlign w:val="center"/>
            <w:hideMark/>
          </w:tcPr>
          <w:p w14:paraId="2B023371"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161</w:t>
            </w:r>
          </w:p>
        </w:tc>
        <w:tc>
          <w:tcPr>
            <w:tcW w:w="2253" w:type="dxa"/>
            <w:shd w:val="clear" w:color="000000" w:fill="FFFFFF"/>
            <w:noWrap/>
            <w:vAlign w:val="center"/>
            <w:hideMark/>
          </w:tcPr>
          <w:p w14:paraId="0E7C5104"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130</w:t>
            </w:r>
          </w:p>
        </w:tc>
        <w:tc>
          <w:tcPr>
            <w:tcW w:w="1527" w:type="dxa"/>
            <w:shd w:val="clear" w:color="000000" w:fill="FFFFFF"/>
            <w:noWrap/>
            <w:vAlign w:val="center"/>
            <w:hideMark/>
          </w:tcPr>
          <w:p w14:paraId="523CCD8F"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27</w:t>
            </w:r>
          </w:p>
        </w:tc>
      </w:tr>
      <w:tr w:rsidR="00127ECA" w:rsidRPr="00B9012A" w14:paraId="393F26AA" w14:textId="77777777" w:rsidTr="00C74E50">
        <w:trPr>
          <w:trHeight w:val="276"/>
        </w:trPr>
        <w:tc>
          <w:tcPr>
            <w:tcW w:w="2020" w:type="dxa"/>
            <w:shd w:val="clear" w:color="000000" w:fill="FFFFFF"/>
            <w:noWrap/>
            <w:vAlign w:val="center"/>
            <w:hideMark/>
          </w:tcPr>
          <w:p w14:paraId="77699E17"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Buzău - Ialomița</w:t>
            </w:r>
          </w:p>
        </w:tc>
        <w:tc>
          <w:tcPr>
            <w:tcW w:w="1840" w:type="dxa"/>
            <w:shd w:val="clear" w:color="000000" w:fill="FFFFFF"/>
            <w:noWrap/>
            <w:vAlign w:val="center"/>
            <w:hideMark/>
          </w:tcPr>
          <w:p w14:paraId="29E2E260"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18</w:t>
            </w:r>
          </w:p>
        </w:tc>
        <w:tc>
          <w:tcPr>
            <w:tcW w:w="2240" w:type="dxa"/>
            <w:shd w:val="clear" w:color="000000" w:fill="FFFFFF"/>
            <w:noWrap/>
            <w:vAlign w:val="center"/>
            <w:hideMark/>
          </w:tcPr>
          <w:p w14:paraId="00135239"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191</w:t>
            </w:r>
          </w:p>
        </w:tc>
        <w:tc>
          <w:tcPr>
            <w:tcW w:w="2253" w:type="dxa"/>
            <w:shd w:val="clear" w:color="000000" w:fill="FFFFFF"/>
            <w:noWrap/>
            <w:vAlign w:val="center"/>
            <w:hideMark/>
          </w:tcPr>
          <w:p w14:paraId="004603EB"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47</w:t>
            </w:r>
          </w:p>
        </w:tc>
        <w:tc>
          <w:tcPr>
            <w:tcW w:w="1527" w:type="dxa"/>
            <w:shd w:val="clear" w:color="000000" w:fill="FFFFFF"/>
            <w:noWrap/>
            <w:vAlign w:val="center"/>
            <w:hideMark/>
          </w:tcPr>
          <w:p w14:paraId="1910EC1F"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4</w:t>
            </w:r>
          </w:p>
        </w:tc>
      </w:tr>
      <w:tr w:rsidR="00127ECA" w:rsidRPr="00B9012A" w14:paraId="5BE6945B" w14:textId="77777777" w:rsidTr="00C74E50">
        <w:trPr>
          <w:trHeight w:val="276"/>
        </w:trPr>
        <w:tc>
          <w:tcPr>
            <w:tcW w:w="2020" w:type="dxa"/>
            <w:shd w:val="clear" w:color="000000" w:fill="FFFFFF"/>
            <w:noWrap/>
            <w:vAlign w:val="center"/>
            <w:hideMark/>
          </w:tcPr>
          <w:p w14:paraId="46BB1E86"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Siret</w:t>
            </w:r>
          </w:p>
        </w:tc>
        <w:tc>
          <w:tcPr>
            <w:tcW w:w="1840" w:type="dxa"/>
            <w:shd w:val="clear" w:color="000000" w:fill="FFFFFF"/>
            <w:noWrap/>
            <w:vAlign w:val="center"/>
            <w:hideMark/>
          </w:tcPr>
          <w:p w14:paraId="138EE18F"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6</w:t>
            </w:r>
          </w:p>
        </w:tc>
        <w:tc>
          <w:tcPr>
            <w:tcW w:w="2240" w:type="dxa"/>
            <w:shd w:val="clear" w:color="000000" w:fill="FFFFFF"/>
            <w:noWrap/>
            <w:vAlign w:val="center"/>
            <w:hideMark/>
          </w:tcPr>
          <w:p w14:paraId="6B6FED7C"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109</w:t>
            </w:r>
          </w:p>
        </w:tc>
        <w:tc>
          <w:tcPr>
            <w:tcW w:w="2253" w:type="dxa"/>
            <w:shd w:val="clear" w:color="000000" w:fill="FFFFFF"/>
            <w:noWrap/>
            <w:vAlign w:val="center"/>
            <w:hideMark/>
          </w:tcPr>
          <w:p w14:paraId="3FF69346"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3</w:t>
            </w:r>
          </w:p>
        </w:tc>
        <w:tc>
          <w:tcPr>
            <w:tcW w:w="1527" w:type="dxa"/>
            <w:shd w:val="clear" w:color="000000" w:fill="FFFFFF"/>
            <w:noWrap/>
            <w:vAlign w:val="center"/>
            <w:hideMark/>
          </w:tcPr>
          <w:p w14:paraId="717CCD8D"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18</w:t>
            </w:r>
          </w:p>
        </w:tc>
      </w:tr>
      <w:tr w:rsidR="00127ECA" w:rsidRPr="00B9012A" w14:paraId="38AD6631" w14:textId="77777777" w:rsidTr="00C74E50">
        <w:trPr>
          <w:trHeight w:val="276"/>
        </w:trPr>
        <w:tc>
          <w:tcPr>
            <w:tcW w:w="2020" w:type="dxa"/>
            <w:shd w:val="clear" w:color="000000" w:fill="FFFFFF"/>
            <w:noWrap/>
            <w:vAlign w:val="center"/>
            <w:hideMark/>
          </w:tcPr>
          <w:p w14:paraId="37D643E5"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Prut- Bârlad</w:t>
            </w:r>
          </w:p>
        </w:tc>
        <w:tc>
          <w:tcPr>
            <w:tcW w:w="1840" w:type="dxa"/>
            <w:shd w:val="clear" w:color="auto" w:fill="auto"/>
            <w:noWrap/>
            <w:vAlign w:val="center"/>
            <w:hideMark/>
          </w:tcPr>
          <w:p w14:paraId="31F7840E"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7</w:t>
            </w:r>
          </w:p>
        </w:tc>
        <w:tc>
          <w:tcPr>
            <w:tcW w:w="2240" w:type="dxa"/>
            <w:shd w:val="clear" w:color="000000" w:fill="FFFFFF"/>
            <w:noWrap/>
            <w:vAlign w:val="center"/>
            <w:hideMark/>
          </w:tcPr>
          <w:p w14:paraId="7F91DB15"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119</w:t>
            </w:r>
          </w:p>
        </w:tc>
        <w:tc>
          <w:tcPr>
            <w:tcW w:w="2253" w:type="dxa"/>
            <w:shd w:val="clear" w:color="000000" w:fill="FFFFFF"/>
            <w:noWrap/>
            <w:vAlign w:val="center"/>
            <w:hideMark/>
          </w:tcPr>
          <w:p w14:paraId="198EB835"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57</w:t>
            </w:r>
          </w:p>
        </w:tc>
        <w:tc>
          <w:tcPr>
            <w:tcW w:w="1527" w:type="dxa"/>
            <w:shd w:val="clear" w:color="000000" w:fill="FFFFFF"/>
            <w:noWrap/>
            <w:vAlign w:val="center"/>
            <w:hideMark/>
          </w:tcPr>
          <w:p w14:paraId="133D7B3C"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18</w:t>
            </w:r>
          </w:p>
        </w:tc>
      </w:tr>
      <w:tr w:rsidR="00127ECA" w:rsidRPr="00B9012A" w14:paraId="5ABF9B5B" w14:textId="77777777" w:rsidTr="00C74E50">
        <w:trPr>
          <w:trHeight w:val="288"/>
        </w:trPr>
        <w:tc>
          <w:tcPr>
            <w:tcW w:w="2020" w:type="dxa"/>
            <w:shd w:val="clear" w:color="000000" w:fill="FFFFFF"/>
            <w:noWrap/>
            <w:vAlign w:val="center"/>
            <w:hideMark/>
          </w:tcPr>
          <w:p w14:paraId="6F3644E2" w14:textId="77777777" w:rsidR="00127ECA" w:rsidRPr="00B9012A" w:rsidRDefault="00127ECA" w:rsidP="00C74E50">
            <w:pPr>
              <w:spacing w:after="0" w:line="240" w:lineRule="auto"/>
              <w:jc w:val="center"/>
              <w:rPr>
                <w:rFonts w:ascii="Arial" w:eastAsia="Times New Roman" w:hAnsi="Arial" w:cs="Arial"/>
                <w:color w:val="000000"/>
                <w:lang w:eastAsia="ro-RO"/>
              </w:rPr>
            </w:pPr>
            <w:r w:rsidRPr="00B9012A">
              <w:rPr>
                <w:rFonts w:ascii="Arial" w:eastAsia="Times New Roman" w:hAnsi="Arial" w:cs="Arial"/>
                <w:color w:val="000000"/>
                <w:lang w:eastAsia="ro-RO"/>
              </w:rPr>
              <w:t>Dobrogea - Litoral</w:t>
            </w:r>
          </w:p>
        </w:tc>
        <w:tc>
          <w:tcPr>
            <w:tcW w:w="1840" w:type="dxa"/>
            <w:shd w:val="clear" w:color="000000" w:fill="FFFFFF"/>
            <w:noWrap/>
            <w:vAlign w:val="center"/>
            <w:hideMark/>
          </w:tcPr>
          <w:p w14:paraId="0FFD7F33"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9</w:t>
            </w:r>
          </w:p>
        </w:tc>
        <w:tc>
          <w:tcPr>
            <w:tcW w:w="2240" w:type="dxa"/>
            <w:shd w:val="clear" w:color="000000" w:fill="FFFFFF"/>
            <w:noWrap/>
            <w:vAlign w:val="center"/>
            <w:hideMark/>
          </w:tcPr>
          <w:p w14:paraId="0B058CFD"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117</w:t>
            </w:r>
          </w:p>
        </w:tc>
        <w:tc>
          <w:tcPr>
            <w:tcW w:w="2253" w:type="dxa"/>
            <w:shd w:val="clear" w:color="000000" w:fill="FFFFFF"/>
            <w:noWrap/>
            <w:vAlign w:val="center"/>
            <w:hideMark/>
          </w:tcPr>
          <w:p w14:paraId="6EFE87FF"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16</w:t>
            </w:r>
          </w:p>
        </w:tc>
        <w:tc>
          <w:tcPr>
            <w:tcW w:w="1527" w:type="dxa"/>
            <w:shd w:val="clear" w:color="000000" w:fill="FFFFFF"/>
            <w:noWrap/>
            <w:vAlign w:val="center"/>
            <w:hideMark/>
          </w:tcPr>
          <w:p w14:paraId="35B4236B" w14:textId="77777777" w:rsidR="00127ECA" w:rsidRPr="0026170F" w:rsidRDefault="00127ECA" w:rsidP="00C74E50">
            <w:pPr>
              <w:spacing w:after="0" w:line="240" w:lineRule="auto"/>
              <w:jc w:val="center"/>
              <w:rPr>
                <w:rFonts w:ascii="Arial" w:eastAsia="Times New Roman" w:hAnsi="Arial" w:cs="Arial"/>
                <w:lang w:eastAsia="ro-RO"/>
              </w:rPr>
            </w:pPr>
            <w:r w:rsidRPr="0026170F">
              <w:rPr>
                <w:rFonts w:ascii="Arial" w:eastAsia="Times New Roman" w:hAnsi="Arial" w:cs="Arial"/>
                <w:lang w:eastAsia="ro-RO"/>
              </w:rPr>
              <w:t>18</w:t>
            </w:r>
          </w:p>
        </w:tc>
      </w:tr>
      <w:tr w:rsidR="00127ECA" w:rsidRPr="00B9012A" w14:paraId="2CC36E6B" w14:textId="77777777" w:rsidTr="00C74E50">
        <w:trPr>
          <w:trHeight w:val="336"/>
        </w:trPr>
        <w:tc>
          <w:tcPr>
            <w:tcW w:w="2020" w:type="dxa"/>
            <w:shd w:val="clear" w:color="auto" w:fill="00B0F0"/>
            <w:noWrap/>
            <w:vAlign w:val="center"/>
            <w:hideMark/>
          </w:tcPr>
          <w:p w14:paraId="03B7E9F3" w14:textId="77777777" w:rsidR="00127ECA" w:rsidRPr="00B9012A" w:rsidRDefault="00127ECA" w:rsidP="00C74E50">
            <w:pPr>
              <w:spacing w:after="0" w:line="240" w:lineRule="auto"/>
              <w:jc w:val="center"/>
              <w:rPr>
                <w:rFonts w:ascii="Arial" w:eastAsia="Times New Roman" w:hAnsi="Arial" w:cs="Arial"/>
                <w:b/>
                <w:bCs/>
                <w:color w:val="000000"/>
                <w:lang w:eastAsia="ro-RO"/>
              </w:rPr>
            </w:pPr>
            <w:r w:rsidRPr="00B9012A">
              <w:rPr>
                <w:rFonts w:ascii="Arial" w:eastAsia="Times New Roman" w:hAnsi="Arial" w:cs="Arial"/>
                <w:b/>
                <w:bCs/>
                <w:color w:val="000000"/>
                <w:lang w:eastAsia="ro-RO"/>
              </w:rPr>
              <w:t>TOTAL</w:t>
            </w:r>
          </w:p>
        </w:tc>
        <w:tc>
          <w:tcPr>
            <w:tcW w:w="1840" w:type="dxa"/>
            <w:shd w:val="clear" w:color="auto" w:fill="00B0F0"/>
            <w:noWrap/>
            <w:vAlign w:val="center"/>
            <w:hideMark/>
          </w:tcPr>
          <w:p w14:paraId="4196B45E" w14:textId="77777777" w:rsidR="00127ECA" w:rsidRPr="00B9012A" w:rsidRDefault="00127ECA" w:rsidP="00C74E50">
            <w:pPr>
              <w:spacing w:after="0" w:line="240" w:lineRule="auto"/>
              <w:jc w:val="center"/>
              <w:rPr>
                <w:rFonts w:ascii="Arial" w:eastAsia="Times New Roman" w:hAnsi="Arial" w:cs="Arial"/>
                <w:b/>
                <w:bCs/>
                <w:lang w:eastAsia="ro-RO"/>
              </w:rPr>
            </w:pPr>
            <w:r>
              <w:rPr>
                <w:rFonts w:ascii="Arial" w:eastAsia="Times New Roman" w:hAnsi="Arial" w:cs="Arial"/>
                <w:b/>
                <w:bCs/>
                <w:lang w:eastAsia="ro-RO"/>
              </w:rPr>
              <w:t>139</w:t>
            </w:r>
          </w:p>
        </w:tc>
        <w:tc>
          <w:tcPr>
            <w:tcW w:w="2240" w:type="dxa"/>
            <w:shd w:val="clear" w:color="auto" w:fill="00B0F0"/>
            <w:noWrap/>
            <w:vAlign w:val="center"/>
            <w:hideMark/>
          </w:tcPr>
          <w:p w14:paraId="4D92509D" w14:textId="77777777" w:rsidR="00127ECA" w:rsidRPr="00B9012A" w:rsidRDefault="00127ECA" w:rsidP="00C74E50">
            <w:pPr>
              <w:spacing w:after="0" w:line="240" w:lineRule="auto"/>
              <w:jc w:val="center"/>
              <w:rPr>
                <w:rFonts w:ascii="Arial" w:eastAsia="Times New Roman" w:hAnsi="Arial" w:cs="Arial"/>
                <w:b/>
                <w:bCs/>
                <w:lang w:eastAsia="ro-RO"/>
              </w:rPr>
            </w:pPr>
            <w:r>
              <w:rPr>
                <w:rFonts w:ascii="Arial" w:eastAsia="Times New Roman" w:hAnsi="Arial" w:cs="Arial"/>
                <w:b/>
                <w:bCs/>
                <w:lang w:eastAsia="ro-RO"/>
              </w:rPr>
              <w:t>1528</w:t>
            </w:r>
          </w:p>
        </w:tc>
        <w:tc>
          <w:tcPr>
            <w:tcW w:w="2253" w:type="dxa"/>
            <w:shd w:val="clear" w:color="auto" w:fill="00B0F0"/>
            <w:noWrap/>
            <w:vAlign w:val="center"/>
            <w:hideMark/>
          </w:tcPr>
          <w:p w14:paraId="012B8868" w14:textId="77777777" w:rsidR="00127ECA" w:rsidRPr="002218CF" w:rsidRDefault="00127ECA" w:rsidP="00C74E50">
            <w:pPr>
              <w:spacing w:after="0" w:line="240" w:lineRule="auto"/>
              <w:jc w:val="center"/>
              <w:rPr>
                <w:rFonts w:ascii="Arial" w:eastAsia="Times New Roman" w:hAnsi="Arial" w:cs="Arial"/>
                <w:b/>
                <w:bCs/>
                <w:color w:val="FF0000"/>
                <w:lang w:eastAsia="ro-RO"/>
              </w:rPr>
            </w:pPr>
            <w:r w:rsidRPr="000541B4">
              <w:rPr>
                <w:rFonts w:ascii="Arial" w:eastAsia="Times New Roman" w:hAnsi="Arial" w:cs="Arial"/>
                <w:b/>
                <w:bCs/>
                <w:lang w:eastAsia="ro-RO"/>
              </w:rPr>
              <w:t>3</w:t>
            </w:r>
            <w:r>
              <w:rPr>
                <w:rFonts w:ascii="Arial" w:eastAsia="Times New Roman" w:hAnsi="Arial" w:cs="Arial"/>
                <w:b/>
                <w:bCs/>
                <w:lang w:eastAsia="ro-RO"/>
              </w:rPr>
              <w:t>59</w:t>
            </w:r>
          </w:p>
        </w:tc>
        <w:tc>
          <w:tcPr>
            <w:tcW w:w="1527" w:type="dxa"/>
            <w:shd w:val="clear" w:color="auto" w:fill="00B0F0"/>
            <w:noWrap/>
            <w:vAlign w:val="center"/>
            <w:hideMark/>
          </w:tcPr>
          <w:p w14:paraId="7E1CAA6F" w14:textId="77777777" w:rsidR="00127ECA" w:rsidRPr="002218CF" w:rsidRDefault="00127ECA" w:rsidP="00C74E50">
            <w:pPr>
              <w:spacing w:after="0" w:line="240" w:lineRule="auto"/>
              <w:jc w:val="center"/>
              <w:rPr>
                <w:rFonts w:ascii="Arial" w:eastAsia="Times New Roman" w:hAnsi="Arial" w:cs="Arial"/>
                <w:b/>
                <w:bCs/>
                <w:color w:val="FF0000"/>
                <w:lang w:eastAsia="ro-RO"/>
              </w:rPr>
            </w:pPr>
            <w:r w:rsidRPr="000541B4">
              <w:rPr>
                <w:rFonts w:ascii="Arial" w:eastAsia="Times New Roman" w:hAnsi="Arial" w:cs="Arial"/>
                <w:b/>
                <w:bCs/>
                <w:lang w:eastAsia="ro-RO"/>
              </w:rPr>
              <w:t>28</w:t>
            </w:r>
          </w:p>
        </w:tc>
      </w:tr>
    </w:tbl>
    <w:p w14:paraId="606FDB42" w14:textId="77777777" w:rsidR="00127ECA" w:rsidRPr="00505570" w:rsidRDefault="00127ECA" w:rsidP="00127ECA">
      <w:pPr>
        <w:spacing w:after="0"/>
        <w:ind w:left="900" w:hanging="900"/>
        <w:jc w:val="both"/>
        <w:rPr>
          <w:rFonts w:ascii="Arial" w:hAnsi="Arial" w:cs="Arial"/>
          <w:i/>
          <w:iCs/>
          <w:color w:val="FF0000"/>
          <w:sz w:val="20"/>
          <w:szCs w:val="20"/>
          <w:lang w:eastAsia="ro-RO"/>
        </w:rPr>
      </w:pPr>
      <w:r w:rsidRPr="00E36C00">
        <w:rPr>
          <w:rFonts w:ascii="Arial" w:hAnsi="Arial" w:cs="Arial"/>
          <w:i/>
          <w:iCs/>
          <w:sz w:val="20"/>
          <w:szCs w:val="20"/>
          <w:lang w:eastAsia="ro-RO"/>
        </w:rPr>
        <w:t>(Sursa: Administraţia Naţională “Apele Române”, Sinteza calităţii apelor din România în anul 2022</w:t>
      </w:r>
      <w:r w:rsidRPr="00052BA7">
        <w:rPr>
          <w:rFonts w:ascii="Arial" w:hAnsi="Arial" w:cs="Arial"/>
          <w:i/>
          <w:iCs/>
          <w:sz w:val="20"/>
          <w:szCs w:val="20"/>
          <w:lang w:eastAsia="ro-RO"/>
        </w:rPr>
        <w:t>)</w:t>
      </w:r>
    </w:p>
    <w:p w14:paraId="3E3B4B64" w14:textId="77777777" w:rsidR="00127ECA" w:rsidRDefault="00127ECA" w:rsidP="00127ECA">
      <w:pPr>
        <w:spacing w:line="240" w:lineRule="auto"/>
        <w:rPr>
          <w:rFonts w:ascii="Arial" w:hAnsi="Arial" w:cs="Arial"/>
          <w:b/>
          <w:i/>
          <w:sz w:val="24"/>
          <w:szCs w:val="24"/>
        </w:rPr>
      </w:pPr>
    </w:p>
    <w:p w14:paraId="03C8220F" w14:textId="77777777" w:rsidR="00127ECA" w:rsidRDefault="00127ECA" w:rsidP="00127ECA">
      <w:pPr>
        <w:spacing w:line="240" w:lineRule="auto"/>
        <w:rPr>
          <w:rFonts w:ascii="Arial" w:eastAsia="Times New Roman" w:hAnsi="Arial" w:cs="Arial"/>
          <w:b/>
          <w:i/>
          <w:sz w:val="24"/>
          <w:szCs w:val="24"/>
          <w:lang w:eastAsia="ro-RO"/>
        </w:rPr>
      </w:pPr>
      <w:r w:rsidRPr="00363DED">
        <w:rPr>
          <w:rFonts w:ascii="Arial" w:hAnsi="Arial" w:cs="Arial"/>
          <w:b/>
          <w:i/>
          <w:sz w:val="24"/>
          <w:szCs w:val="24"/>
        </w:rPr>
        <w:t>Ponderea punctelor de monitorizare cu concentrație mai mare de 0,1</w:t>
      </w:r>
      <w:r w:rsidRPr="00363DED">
        <w:rPr>
          <w:rFonts w:ascii="Arial" w:eastAsia="Times New Roman" w:hAnsi="Arial" w:cs="Arial"/>
          <w:i/>
          <w:sz w:val="24"/>
          <w:szCs w:val="24"/>
          <w:lang w:eastAsia="ro-RO"/>
        </w:rPr>
        <w:t xml:space="preserve"> </w:t>
      </w:r>
      <w:r w:rsidRPr="00363DED">
        <w:rPr>
          <w:rFonts w:ascii="Arial" w:eastAsia="Times New Roman" w:hAnsi="Arial" w:cs="Arial"/>
          <w:b/>
          <w:i/>
          <w:sz w:val="24"/>
          <w:szCs w:val="24"/>
          <w:lang w:eastAsia="ro-RO"/>
        </w:rPr>
        <w:t>µg/L din numărul de foraje în care s</w:t>
      </w:r>
      <w:r>
        <w:rPr>
          <w:rFonts w:ascii="Arial" w:eastAsia="Times New Roman" w:hAnsi="Arial" w:cs="Arial"/>
          <w:b/>
          <w:i/>
          <w:sz w:val="24"/>
          <w:szCs w:val="24"/>
          <w:lang w:eastAsia="ro-RO"/>
        </w:rPr>
        <w:t>-au</w:t>
      </w:r>
      <w:r w:rsidRPr="00363DED">
        <w:rPr>
          <w:rFonts w:ascii="Arial" w:eastAsia="Times New Roman" w:hAnsi="Arial" w:cs="Arial"/>
          <w:b/>
          <w:i/>
          <w:sz w:val="24"/>
          <w:szCs w:val="24"/>
          <w:lang w:eastAsia="ro-RO"/>
        </w:rPr>
        <w:t xml:space="preserve"> monitoriz</w:t>
      </w:r>
      <w:r>
        <w:rPr>
          <w:rFonts w:ascii="Arial" w:eastAsia="Times New Roman" w:hAnsi="Arial" w:cs="Arial"/>
          <w:b/>
          <w:i/>
          <w:sz w:val="24"/>
          <w:szCs w:val="24"/>
          <w:lang w:eastAsia="ro-RO"/>
        </w:rPr>
        <w:t>at pesticidele în</w:t>
      </w:r>
      <w:r w:rsidRPr="00363DED">
        <w:rPr>
          <w:rFonts w:ascii="Arial" w:eastAsia="Times New Roman" w:hAnsi="Arial" w:cs="Arial"/>
          <w:b/>
          <w:i/>
          <w:sz w:val="24"/>
          <w:szCs w:val="24"/>
          <w:lang w:eastAsia="ro-RO"/>
        </w:rPr>
        <w:t xml:space="preserve"> </w:t>
      </w:r>
      <w:r>
        <w:rPr>
          <w:rFonts w:ascii="Arial" w:eastAsia="Times New Roman" w:hAnsi="Arial" w:cs="Arial"/>
          <w:b/>
          <w:i/>
          <w:sz w:val="24"/>
          <w:szCs w:val="24"/>
          <w:lang w:eastAsia="ro-RO"/>
        </w:rPr>
        <w:t>anul 2022</w:t>
      </w:r>
    </w:p>
    <w:p w14:paraId="2FCF4E0D" w14:textId="77777777" w:rsidR="00127ECA" w:rsidRPr="00B11BCF" w:rsidRDefault="00127ECA" w:rsidP="00127ECA">
      <w:pPr>
        <w:spacing w:after="0" w:line="240" w:lineRule="auto"/>
        <w:rPr>
          <w:rFonts w:ascii="Arial" w:eastAsia="Times New Roman" w:hAnsi="Arial" w:cs="Arial"/>
          <w:b/>
          <w:i/>
          <w:sz w:val="20"/>
          <w:szCs w:val="16"/>
          <w:lang w:eastAsia="ro-RO"/>
        </w:rPr>
      </w:pPr>
      <w:r w:rsidRPr="00363DED">
        <w:rPr>
          <w:rFonts w:ascii="Arial" w:hAnsi="Arial" w:cs="Arial"/>
          <w:b/>
          <w:i/>
          <w:sz w:val="20"/>
          <w:szCs w:val="16"/>
        </w:rPr>
        <w:t>Tabel II.2.</w:t>
      </w:r>
      <w:r>
        <w:rPr>
          <w:rFonts w:ascii="Arial" w:hAnsi="Arial" w:cs="Arial"/>
          <w:b/>
          <w:i/>
          <w:sz w:val="20"/>
          <w:szCs w:val="16"/>
        </w:rPr>
        <w:t>1.3.2</w:t>
      </w:r>
      <w:r w:rsidRPr="00363DED">
        <w:rPr>
          <w:rFonts w:ascii="Arial" w:hAnsi="Arial" w:cs="Arial"/>
          <w:b/>
          <w:i/>
          <w:sz w:val="20"/>
          <w:szCs w:val="16"/>
        </w:rPr>
        <w:t xml:space="preserve"> Ponderea punctelor de monitorizare cu concentrație mai mare de 0,1</w:t>
      </w:r>
      <w:r w:rsidRPr="00363DED">
        <w:rPr>
          <w:rFonts w:ascii="Arial" w:eastAsia="Times New Roman" w:hAnsi="Arial" w:cs="Arial"/>
          <w:i/>
          <w:sz w:val="20"/>
          <w:szCs w:val="16"/>
          <w:lang w:eastAsia="ro-RO"/>
        </w:rPr>
        <w:t xml:space="preserve"> </w:t>
      </w:r>
      <w:r w:rsidRPr="00363DED">
        <w:rPr>
          <w:rFonts w:ascii="Arial" w:eastAsia="Times New Roman" w:hAnsi="Arial" w:cs="Arial"/>
          <w:b/>
          <w:i/>
          <w:sz w:val="20"/>
          <w:szCs w:val="16"/>
          <w:lang w:eastAsia="ro-RO"/>
        </w:rPr>
        <w:t>µg/L din numărul de foraje în care s</w:t>
      </w:r>
      <w:r>
        <w:rPr>
          <w:rFonts w:ascii="Arial" w:eastAsia="Times New Roman" w:hAnsi="Arial" w:cs="Arial"/>
          <w:b/>
          <w:i/>
          <w:sz w:val="20"/>
          <w:szCs w:val="16"/>
          <w:lang w:eastAsia="ro-RO"/>
        </w:rPr>
        <w:t>-au</w:t>
      </w:r>
      <w:r w:rsidRPr="00363DED">
        <w:rPr>
          <w:rFonts w:ascii="Arial" w:eastAsia="Times New Roman" w:hAnsi="Arial" w:cs="Arial"/>
          <w:b/>
          <w:i/>
          <w:sz w:val="20"/>
          <w:szCs w:val="16"/>
          <w:lang w:eastAsia="ro-RO"/>
        </w:rPr>
        <w:t xml:space="preserve"> monitoriz</w:t>
      </w:r>
      <w:r>
        <w:rPr>
          <w:rFonts w:ascii="Arial" w:eastAsia="Times New Roman" w:hAnsi="Arial" w:cs="Arial"/>
          <w:b/>
          <w:i/>
          <w:sz w:val="20"/>
          <w:szCs w:val="16"/>
          <w:lang w:eastAsia="ro-RO"/>
        </w:rPr>
        <w:t>at</w:t>
      </w:r>
      <w:r w:rsidRPr="00363DED">
        <w:rPr>
          <w:rFonts w:ascii="Arial" w:eastAsia="Times New Roman" w:hAnsi="Arial" w:cs="Arial"/>
          <w:b/>
          <w:i/>
          <w:sz w:val="20"/>
          <w:szCs w:val="16"/>
          <w:lang w:eastAsia="ro-RO"/>
        </w:rPr>
        <w:t xml:space="preserve"> pesticidele </w:t>
      </w:r>
      <w:r>
        <w:rPr>
          <w:rFonts w:ascii="Arial" w:eastAsia="Times New Roman" w:hAnsi="Arial" w:cs="Arial"/>
          <w:b/>
          <w:i/>
          <w:sz w:val="20"/>
          <w:szCs w:val="16"/>
          <w:lang w:eastAsia="ro-RO"/>
        </w:rPr>
        <w:t>în</w:t>
      </w:r>
      <w:r w:rsidRPr="00363DED">
        <w:rPr>
          <w:rFonts w:ascii="Arial" w:eastAsia="Times New Roman" w:hAnsi="Arial" w:cs="Arial"/>
          <w:b/>
          <w:i/>
          <w:sz w:val="20"/>
          <w:szCs w:val="16"/>
          <w:lang w:eastAsia="ro-RO"/>
        </w:rPr>
        <w:t xml:space="preserve"> anul 20</w:t>
      </w:r>
      <w:r>
        <w:rPr>
          <w:rFonts w:ascii="Arial" w:eastAsia="Times New Roman" w:hAnsi="Arial" w:cs="Arial"/>
          <w:b/>
          <w:i/>
          <w:sz w:val="20"/>
          <w:szCs w:val="16"/>
          <w:lang w:eastAsia="ro-RO"/>
        </w:rPr>
        <w:t>22</w:t>
      </w:r>
      <w:r w:rsidRPr="00363DED">
        <w:rPr>
          <w:rFonts w:ascii="Arial" w:eastAsia="Times New Roman" w:hAnsi="Arial" w:cs="Arial"/>
          <w:b/>
          <w:i/>
          <w:sz w:val="20"/>
          <w:szCs w:val="16"/>
          <w:lang w:eastAsia="ro-RO"/>
        </w:rPr>
        <w:t xml:space="preserve"> (%)</w:t>
      </w:r>
    </w:p>
    <w:tbl>
      <w:tblPr>
        <w:tblW w:w="8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2025"/>
        <w:gridCol w:w="2055"/>
        <w:gridCol w:w="2160"/>
      </w:tblGrid>
      <w:tr w:rsidR="00127ECA" w:rsidRPr="00BE1500" w14:paraId="10D8242A" w14:textId="77777777" w:rsidTr="00C74E50">
        <w:trPr>
          <w:trHeight w:val="792"/>
          <w:jc w:val="center"/>
        </w:trPr>
        <w:tc>
          <w:tcPr>
            <w:tcW w:w="2020" w:type="dxa"/>
            <w:shd w:val="clear" w:color="000000" w:fill="FFFFFF"/>
            <w:vAlign w:val="center"/>
            <w:hideMark/>
          </w:tcPr>
          <w:p w14:paraId="3EF20FD4" w14:textId="77777777" w:rsidR="00127ECA" w:rsidRPr="00BE1500" w:rsidRDefault="00127ECA" w:rsidP="00C74E50">
            <w:pPr>
              <w:spacing w:after="0" w:line="240" w:lineRule="auto"/>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Spaţiu / Bazin hidrografic</w:t>
            </w:r>
          </w:p>
        </w:tc>
        <w:tc>
          <w:tcPr>
            <w:tcW w:w="2025" w:type="dxa"/>
            <w:shd w:val="clear" w:color="000000" w:fill="FFFFFF"/>
            <w:vAlign w:val="center"/>
            <w:hideMark/>
          </w:tcPr>
          <w:p w14:paraId="67562050" w14:textId="77777777" w:rsidR="00127ECA" w:rsidRPr="00BE1500" w:rsidRDefault="00127ECA" w:rsidP="00C74E50">
            <w:pPr>
              <w:spacing w:after="0" w:line="240" w:lineRule="auto"/>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Puncte în care sunt monitorizate   pesticidele (nr.)</w:t>
            </w:r>
          </w:p>
        </w:tc>
        <w:tc>
          <w:tcPr>
            <w:tcW w:w="2055" w:type="dxa"/>
            <w:shd w:val="clear" w:color="000000" w:fill="FFFFFF"/>
            <w:vAlign w:val="center"/>
            <w:hideMark/>
          </w:tcPr>
          <w:p w14:paraId="6E229745" w14:textId="77777777" w:rsidR="00127ECA" w:rsidRPr="00BE1500" w:rsidRDefault="00127ECA" w:rsidP="00C74E50">
            <w:pPr>
              <w:spacing w:after="0" w:line="240" w:lineRule="auto"/>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Puncte de monitorizare cu conc. &gt; 0,1 µg/L (nr.)</w:t>
            </w:r>
          </w:p>
        </w:tc>
        <w:tc>
          <w:tcPr>
            <w:tcW w:w="2160" w:type="dxa"/>
            <w:shd w:val="clear" w:color="000000" w:fill="FFFFFF"/>
            <w:vAlign w:val="center"/>
            <w:hideMark/>
          </w:tcPr>
          <w:p w14:paraId="401215B9" w14:textId="77777777" w:rsidR="00127ECA" w:rsidRPr="00BE1500" w:rsidRDefault="00127ECA" w:rsidP="00C74E50">
            <w:pPr>
              <w:spacing w:after="0" w:line="240" w:lineRule="auto"/>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Puncte de monitorizare cu conc. &gt; 0,1 µg/L  (%)</w:t>
            </w:r>
          </w:p>
        </w:tc>
      </w:tr>
      <w:tr w:rsidR="00127ECA" w:rsidRPr="00BE1500" w14:paraId="33358BF3" w14:textId="77777777" w:rsidTr="00C74E50">
        <w:trPr>
          <w:trHeight w:val="408"/>
          <w:jc w:val="center"/>
        </w:trPr>
        <w:tc>
          <w:tcPr>
            <w:tcW w:w="2020" w:type="dxa"/>
            <w:shd w:val="clear" w:color="000000" w:fill="FFFFFF"/>
            <w:vAlign w:val="center"/>
            <w:hideMark/>
          </w:tcPr>
          <w:p w14:paraId="4EF01D73" w14:textId="77777777" w:rsidR="00127ECA" w:rsidRPr="00BE1500" w:rsidRDefault="00127ECA" w:rsidP="00C74E50">
            <w:pPr>
              <w:spacing w:after="0" w:line="240" w:lineRule="auto"/>
              <w:jc w:val="center"/>
              <w:rPr>
                <w:rFonts w:ascii="Arial" w:eastAsia="Times New Roman" w:hAnsi="Arial" w:cs="Arial"/>
                <w:color w:val="000000"/>
                <w:lang w:eastAsia="ro-RO"/>
              </w:rPr>
            </w:pPr>
            <w:r w:rsidRPr="00BE1500">
              <w:rPr>
                <w:rFonts w:ascii="Arial" w:eastAsia="Times New Roman" w:hAnsi="Arial" w:cs="Arial"/>
                <w:color w:val="000000"/>
                <w:lang w:eastAsia="ro-RO"/>
              </w:rPr>
              <w:t>Someș - Tisa</w:t>
            </w:r>
          </w:p>
        </w:tc>
        <w:tc>
          <w:tcPr>
            <w:tcW w:w="2025" w:type="dxa"/>
            <w:shd w:val="clear" w:color="000000" w:fill="FFFFFF"/>
            <w:vAlign w:val="center"/>
            <w:hideMark/>
          </w:tcPr>
          <w:p w14:paraId="6CA69579"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1</w:t>
            </w:r>
          </w:p>
        </w:tc>
        <w:tc>
          <w:tcPr>
            <w:tcW w:w="2055" w:type="dxa"/>
            <w:shd w:val="clear" w:color="000000" w:fill="FFFFFF"/>
            <w:noWrap/>
            <w:vAlign w:val="center"/>
            <w:hideMark/>
          </w:tcPr>
          <w:p w14:paraId="4DC134D9"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08154645"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03525276" w14:textId="77777777" w:rsidTr="00C74E50">
        <w:trPr>
          <w:trHeight w:val="381"/>
          <w:jc w:val="center"/>
        </w:trPr>
        <w:tc>
          <w:tcPr>
            <w:tcW w:w="2020" w:type="dxa"/>
            <w:shd w:val="clear" w:color="000000" w:fill="FFFFFF"/>
            <w:noWrap/>
            <w:vAlign w:val="center"/>
            <w:hideMark/>
          </w:tcPr>
          <w:p w14:paraId="2846BCAD" w14:textId="77777777" w:rsidR="00127ECA" w:rsidRPr="00756506" w:rsidRDefault="00127ECA" w:rsidP="00C74E50">
            <w:pPr>
              <w:spacing w:after="0" w:line="240" w:lineRule="auto"/>
              <w:jc w:val="center"/>
              <w:rPr>
                <w:rFonts w:ascii="Arial" w:eastAsia="Times New Roman" w:hAnsi="Arial" w:cs="Arial"/>
                <w:lang w:eastAsia="ro-RO"/>
              </w:rPr>
            </w:pPr>
            <w:r w:rsidRPr="00756506">
              <w:rPr>
                <w:rFonts w:ascii="Arial" w:eastAsia="Times New Roman" w:hAnsi="Arial" w:cs="Arial"/>
                <w:lang w:eastAsia="ro-RO"/>
              </w:rPr>
              <w:t>Crișuri</w:t>
            </w:r>
          </w:p>
        </w:tc>
        <w:tc>
          <w:tcPr>
            <w:tcW w:w="2025" w:type="dxa"/>
            <w:shd w:val="clear" w:color="000000" w:fill="FFFFFF"/>
            <w:vAlign w:val="center"/>
            <w:hideMark/>
          </w:tcPr>
          <w:p w14:paraId="3CC0F2B1"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1</w:t>
            </w:r>
          </w:p>
        </w:tc>
        <w:tc>
          <w:tcPr>
            <w:tcW w:w="2055" w:type="dxa"/>
            <w:shd w:val="clear" w:color="000000" w:fill="FFFFFF"/>
            <w:noWrap/>
            <w:vAlign w:val="center"/>
            <w:hideMark/>
          </w:tcPr>
          <w:p w14:paraId="512B52D5"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061589C1"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6820E8A5" w14:textId="77777777" w:rsidTr="00C74E50">
        <w:trPr>
          <w:trHeight w:val="354"/>
          <w:jc w:val="center"/>
        </w:trPr>
        <w:tc>
          <w:tcPr>
            <w:tcW w:w="2020" w:type="dxa"/>
            <w:shd w:val="clear" w:color="000000" w:fill="FFFFFF"/>
            <w:noWrap/>
            <w:vAlign w:val="center"/>
            <w:hideMark/>
          </w:tcPr>
          <w:p w14:paraId="083225D4" w14:textId="77777777" w:rsidR="00127ECA" w:rsidRPr="00B64070" w:rsidRDefault="00127ECA" w:rsidP="00C74E50">
            <w:pPr>
              <w:spacing w:after="0" w:line="240" w:lineRule="auto"/>
              <w:jc w:val="center"/>
              <w:rPr>
                <w:rFonts w:ascii="Arial" w:eastAsia="Times New Roman" w:hAnsi="Arial" w:cs="Arial"/>
                <w:lang w:eastAsia="ro-RO"/>
              </w:rPr>
            </w:pPr>
            <w:r w:rsidRPr="00B64070">
              <w:rPr>
                <w:rFonts w:ascii="Arial" w:eastAsia="Times New Roman" w:hAnsi="Arial" w:cs="Arial"/>
                <w:lang w:eastAsia="ro-RO"/>
              </w:rPr>
              <w:t>Mureș</w:t>
            </w:r>
          </w:p>
        </w:tc>
        <w:tc>
          <w:tcPr>
            <w:tcW w:w="2025" w:type="dxa"/>
            <w:shd w:val="clear" w:color="000000" w:fill="FFFFFF"/>
            <w:vAlign w:val="center"/>
            <w:hideMark/>
          </w:tcPr>
          <w:p w14:paraId="06E1E8E6"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4</w:t>
            </w:r>
          </w:p>
        </w:tc>
        <w:tc>
          <w:tcPr>
            <w:tcW w:w="2055" w:type="dxa"/>
            <w:shd w:val="clear" w:color="000000" w:fill="FFFFFF"/>
            <w:noWrap/>
            <w:vAlign w:val="center"/>
            <w:hideMark/>
          </w:tcPr>
          <w:p w14:paraId="23B0707A"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42D7B3FE"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3E7EF06D" w14:textId="77777777" w:rsidTr="00C74E50">
        <w:trPr>
          <w:trHeight w:val="345"/>
          <w:jc w:val="center"/>
        </w:trPr>
        <w:tc>
          <w:tcPr>
            <w:tcW w:w="2020" w:type="dxa"/>
            <w:shd w:val="clear" w:color="000000" w:fill="FFFFFF"/>
            <w:noWrap/>
            <w:vAlign w:val="center"/>
            <w:hideMark/>
          </w:tcPr>
          <w:p w14:paraId="5189E5D2" w14:textId="77777777" w:rsidR="00127ECA" w:rsidRPr="00B64070" w:rsidRDefault="00127ECA" w:rsidP="00C74E50">
            <w:pPr>
              <w:spacing w:after="0" w:line="240" w:lineRule="auto"/>
              <w:jc w:val="center"/>
              <w:rPr>
                <w:rFonts w:ascii="Arial" w:eastAsia="Times New Roman" w:hAnsi="Arial" w:cs="Arial"/>
                <w:lang w:eastAsia="ro-RO"/>
              </w:rPr>
            </w:pPr>
            <w:r w:rsidRPr="00B64070">
              <w:rPr>
                <w:rFonts w:ascii="Arial" w:eastAsia="Times New Roman" w:hAnsi="Arial" w:cs="Arial"/>
                <w:lang w:eastAsia="ro-RO"/>
              </w:rPr>
              <w:t>Banat</w:t>
            </w:r>
          </w:p>
        </w:tc>
        <w:tc>
          <w:tcPr>
            <w:tcW w:w="2025" w:type="dxa"/>
            <w:shd w:val="clear" w:color="000000" w:fill="FFFFFF"/>
            <w:vAlign w:val="center"/>
            <w:hideMark/>
          </w:tcPr>
          <w:p w14:paraId="32428800"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15</w:t>
            </w:r>
          </w:p>
        </w:tc>
        <w:tc>
          <w:tcPr>
            <w:tcW w:w="2055" w:type="dxa"/>
            <w:shd w:val="clear" w:color="000000" w:fill="FFFFFF"/>
            <w:noWrap/>
            <w:vAlign w:val="center"/>
            <w:hideMark/>
          </w:tcPr>
          <w:p w14:paraId="3D683241"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615CC1AD"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6D926D09" w14:textId="77777777" w:rsidTr="00C74E50">
        <w:trPr>
          <w:trHeight w:val="288"/>
          <w:jc w:val="center"/>
        </w:trPr>
        <w:tc>
          <w:tcPr>
            <w:tcW w:w="2020" w:type="dxa"/>
            <w:shd w:val="clear" w:color="000000" w:fill="FFFFFF"/>
            <w:noWrap/>
            <w:vAlign w:val="center"/>
            <w:hideMark/>
          </w:tcPr>
          <w:p w14:paraId="26DA52A0" w14:textId="77777777" w:rsidR="00127ECA" w:rsidRPr="00BC7A2E" w:rsidRDefault="00127ECA" w:rsidP="00C74E50">
            <w:pPr>
              <w:spacing w:after="0" w:line="240" w:lineRule="auto"/>
              <w:jc w:val="center"/>
              <w:rPr>
                <w:rFonts w:ascii="Arial" w:eastAsia="Times New Roman" w:hAnsi="Arial" w:cs="Arial"/>
                <w:lang w:eastAsia="ro-RO"/>
              </w:rPr>
            </w:pPr>
            <w:r w:rsidRPr="00BC7A2E">
              <w:rPr>
                <w:rFonts w:ascii="Arial" w:eastAsia="Times New Roman" w:hAnsi="Arial" w:cs="Arial"/>
                <w:lang w:eastAsia="ro-RO"/>
              </w:rPr>
              <w:t>Jiu</w:t>
            </w:r>
          </w:p>
        </w:tc>
        <w:tc>
          <w:tcPr>
            <w:tcW w:w="2025" w:type="dxa"/>
            <w:shd w:val="clear" w:color="000000" w:fill="FFFFFF"/>
            <w:vAlign w:val="center"/>
            <w:hideMark/>
          </w:tcPr>
          <w:p w14:paraId="20A0937A"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73</w:t>
            </w:r>
          </w:p>
        </w:tc>
        <w:tc>
          <w:tcPr>
            <w:tcW w:w="2055" w:type="dxa"/>
            <w:shd w:val="clear" w:color="000000" w:fill="FFFFFF"/>
            <w:noWrap/>
            <w:vAlign w:val="center"/>
            <w:hideMark/>
          </w:tcPr>
          <w:p w14:paraId="4B467082"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6857061D"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7CB44045" w14:textId="77777777" w:rsidTr="00C74E50">
        <w:trPr>
          <w:trHeight w:val="288"/>
          <w:jc w:val="center"/>
        </w:trPr>
        <w:tc>
          <w:tcPr>
            <w:tcW w:w="2020" w:type="dxa"/>
            <w:shd w:val="clear" w:color="000000" w:fill="FFFFFF"/>
            <w:noWrap/>
            <w:vAlign w:val="center"/>
            <w:hideMark/>
          </w:tcPr>
          <w:p w14:paraId="256DDEB1" w14:textId="77777777" w:rsidR="00127ECA" w:rsidRPr="00BC7A2E" w:rsidRDefault="00127ECA" w:rsidP="00C74E50">
            <w:pPr>
              <w:spacing w:after="0" w:line="240" w:lineRule="auto"/>
              <w:jc w:val="center"/>
              <w:rPr>
                <w:rFonts w:ascii="Arial" w:eastAsia="Times New Roman" w:hAnsi="Arial" w:cs="Arial"/>
                <w:lang w:eastAsia="ro-RO"/>
              </w:rPr>
            </w:pPr>
            <w:r w:rsidRPr="00BC7A2E">
              <w:rPr>
                <w:rFonts w:ascii="Arial" w:eastAsia="Times New Roman" w:hAnsi="Arial" w:cs="Arial"/>
                <w:lang w:eastAsia="ro-RO"/>
              </w:rPr>
              <w:t>Olt</w:t>
            </w:r>
          </w:p>
        </w:tc>
        <w:tc>
          <w:tcPr>
            <w:tcW w:w="2025" w:type="dxa"/>
            <w:shd w:val="clear" w:color="000000" w:fill="FFFFFF"/>
            <w:vAlign w:val="center"/>
            <w:hideMark/>
          </w:tcPr>
          <w:p w14:paraId="0304FFDA"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12</w:t>
            </w:r>
          </w:p>
        </w:tc>
        <w:tc>
          <w:tcPr>
            <w:tcW w:w="2055" w:type="dxa"/>
            <w:shd w:val="clear" w:color="000000" w:fill="FFFFFF"/>
            <w:noWrap/>
            <w:vAlign w:val="center"/>
            <w:hideMark/>
          </w:tcPr>
          <w:p w14:paraId="71D7EF9C"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04103454"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6AA576CE" w14:textId="77777777" w:rsidTr="00C74E50">
        <w:trPr>
          <w:trHeight w:val="288"/>
          <w:jc w:val="center"/>
        </w:trPr>
        <w:tc>
          <w:tcPr>
            <w:tcW w:w="2020" w:type="dxa"/>
            <w:shd w:val="clear" w:color="000000" w:fill="FFFFFF"/>
            <w:noWrap/>
            <w:vAlign w:val="center"/>
            <w:hideMark/>
          </w:tcPr>
          <w:p w14:paraId="2A129B64" w14:textId="77777777" w:rsidR="00127ECA" w:rsidRPr="00BC7A2E" w:rsidRDefault="00127ECA" w:rsidP="00C74E50">
            <w:pPr>
              <w:spacing w:after="0" w:line="240" w:lineRule="auto"/>
              <w:jc w:val="center"/>
              <w:rPr>
                <w:rFonts w:ascii="Arial" w:eastAsia="Times New Roman" w:hAnsi="Arial" w:cs="Arial"/>
                <w:lang w:eastAsia="ro-RO"/>
              </w:rPr>
            </w:pPr>
            <w:r w:rsidRPr="00BC7A2E">
              <w:rPr>
                <w:rFonts w:ascii="Arial" w:eastAsia="Times New Roman" w:hAnsi="Arial" w:cs="Arial"/>
                <w:lang w:eastAsia="ro-RO"/>
              </w:rPr>
              <w:t>Argeș - Vedea</w:t>
            </w:r>
          </w:p>
        </w:tc>
        <w:tc>
          <w:tcPr>
            <w:tcW w:w="2025" w:type="dxa"/>
            <w:shd w:val="clear" w:color="000000" w:fill="FFFFFF"/>
            <w:vAlign w:val="center"/>
            <w:hideMark/>
          </w:tcPr>
          <w:p w14:paraId="26E01CC7"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130</w:t>
            </w:r>
          </w:p>
        </w:tc>
        <w:tc>
          <w:tcPr>
            <w:tcW w:w="2055" w:type="dxa"/>
            <w:shd w:val="clear" w:color="000000" w:fill="FFFFFF"/>
            <w:noWrap/>
            <w:vAlign w:val="center"/>
            <w:hideMark/>
          </w:tcPr>
          <w:p w14:paraId="7EBCC2C6"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3</w:t>
            </w:r>
          </w:p>
        </w:tc>
        <w:tc>
          <w:tcPr>
            <w:tcW w:w="2160" w:type="dxa"/>
            <w:shd w:val="clear" w:color="000000" w:fill="FFFFFF"/>
            <w:noWrap/>
            <w:vAlign w:val="center"/>
            <w:hideMark/>
          </w:tcPr>
          <w:p w14:paraId="2A8926E2"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2,31</w:t>
            </w:r>
          </w:p>
        </w:tc>
      </w:tr>
      <w:tr w:rsidR="00127ECA" w:rsidRPr="00BE1500" w14:paraId="41132604" w14:textId="77777777" w:rsidTr="00C74E50">
        <w:trPr>
          <w:trHeight w:val="288"/>
          <w:jc w:val="center"/>
        </w:trPr>
        <w:tc>
          <w:tcPr>
            <w:tcW w:w="2020" w:type="dxa"/>
            <w:shd w:val="clear" w:color="000000" w:fill="FFFFFF"/>
            <w:noWrap/>
            <w:vAlign w:val="center"/>
            <w:hideMark/>
          </w:tcPr>
          <w:p w14:paraId="68CB9A58" w14:textId="77777777" w:rsidR="00127ECA" w:rsidRPr="002175D9" w:rsidRDefault="00127ECA" w:rsidP="00C74E50">
            <w:pPr>
              <w:spacing w:after="0" w:line="240" w:lineRule="auto"/>
              <w:jc w:val="center"/>
              <w:rPr>
                <w:rFonts w:ascii="Arial" w:eastAsia="Times New Roman" w:hAnsi="Arial" w:cs="Arial"/>
                <w:lang w:eastAsia="ro-RO"/>
              </w:rPr>
            </w:pPr>
            <w:r w:rsidRPr="002175D9">
              <w:rPr>
                <w:rFonts w:ascii="Arial" w:eastAsia="Times New Roman" w:hAnsi="Arial" w:cs="Arial"/>
                <w:lang w:eastAsia="ro-RO"/>
              </w:rPr>
              <w:t>Buzău - Ialomița</w:t>
            </w:r>
          </w:p>
        </w:tc>
        <w:tc>
          <w:tcPr>
            <w:tcW w:w="2025" w:type="dxa"/>
            <w:shd w:val="clear" w:color="000000" w:fill="FFFFFF"/>
            <w:vAlign w:val="center"/>
            <w:hideMark/>
          </w:tcPr>
          <w:p w14:paraId="65ED162E"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47</w:t>
            </w:r>
          </w:p>
        </w:tc>
        <w:tc>
          <w:tcPr>
            <w:tcW w:w="2055" w:type="dxa"/>
            <w:shd w:val="clear" w:color="000000" w:fill="FFFFFF"/>
            <w:noWrap/>
            <w:vAlign w:val="center"/>
            <w:hideMark/>
          </w:tcPr>
          <w:p w14:paraId="5378D859"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5E10AEEA"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183EC272" w14:textId="77777777" w:rsidTr="00C74E50">
        <w:trPr>
          <w:trHeight w:val="288"/>
          <w:jc w:val="center"/>
        </w:trPr>
        <w:tc>
          <w:tcPr>
            <w:tcW w:w="2020" w:type="dxa"/>
            <w:shd w:val="clear" w:color="000000" w:fill="FFFFFF"/>
            <w:noWrap/>
            <w:vAlign w:val="center"/>
            <w:hideMark/>
          </w:tcPr>
          <w:p w14:paraId="16A64D95" w14:textId="77777777" w:rsidR="00127ECA" w:rsidRPr="006A411A" w:rsidRDefault="00127ECA" w:rsidP="00C74E50">
            <w:pPr>
              <w:spacing w:after="0" w:line="240" w:lineRule="auto"/>
              <w:jc w:val="center"/>
              <w:rPr>
                <w:rFonts w:ascii="Arial" w:eastAsia="Times New Roman" w:hAnsi="Arial" w:cs="Arial"/>
                <w:color w:val="FF0000"/>
                <w:lang w:eastAsia="ro-RO"/>
              </w:rPr>
            </w:pPr>
            <w:r w:rsidRPr="008C7FE4">
              <w:rPr>
                <w:rFonts w:ascii="Arial" w:eastAsia="Times New Roman" w:hAnsi="Arial" w:cs="Arial"/>
                <w:lang w:eastAsia="ro-RO"/>
              </w:rPr>
              <w:t>Siret</w:t>
            </w:r>
          </w:p>
        </w:tc>
        <w:tc>
          <w:tcPr>
            <w:tcW w:w="2025" w:type="dxa"/>
            <w:shd w:val="clear" w:color="000000" w:fill="FFFFFF"/>
            <w:vAlign w:val="center"/>
            <w:hideMark/>
          </w:tcPr>
          <w:p w14:paraId="04FB16B6"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3</w:t>
            </w:r>
          </w:p>
        </w:tc>
        <w:tc>
          <w:tcPr>
            <w:tcW w:w="2055" w:type="dxa"/>
            <w:shd w:val="clear" w:color="000000" w:fill="FFFFFF"/>
            <w:noWrap/>
            <w:vAlign w:val="center"/>
            <w:hideMark/>
          </w:tcPr>
          <w:p w14:paraId="2FA305D5"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1C237B52"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6658CAA6" w14:textId="77777777" w:rsidTr="00C74E50">
        <w:trPr>
          <w:trHeight w:val="288"/>
          <w:jc w:val="center"/>
        </w:trPr>
        <w:tc>
          <w:tcPr>
            <w:tcW w:w="2020" w:type="dxa"/>
            <w:shd w:val="clear" w:color="000000" w:fill="FFFFFF"/>
            <w:noWrap/>
            <w:vAlign w:val="center"/>
            <w:hideMark/>
          </w:tcPr>
          <w:p w14:paraId="3AB65818" w14:textId="77777777" w:rsidR="00127ECA" w:rsidRPr="006A411A" w:rsidRDefault="00127ECA" w:rsidP="00C74E50">
            <w:pPr>
              <w:spacing w:after="0" w:line="240" w:lineRule="auto"/>
              <w:jc w:val="center"/>
              <w:rPr>
                <w:rFonts w:ascii="Arial" w:eastAsia="Times New Roman" w:hAnsi="Arial" w:cs="Arial"/>
                <w:color w:val="FF0000"/>
                <w:lang w:eastAsia="ro-RO"/>
              </w:rPr>
            </w:pPr>
            <w:r w:rsidRPr="00E44578">
              <w:rPr>
                <w:rFonts w:ascii="Arial" w:eastAsia="Times New Roman" w:hAnsi="Arial" w:cs="Arial"/>
                <w:lang w:eastAsia="ro-RO"/>
              </w:rPr>
              <w:t>Prut- Bârlad</w:t>
            </w:r>
          </w:p>
        </w:tc>
        <w:tc>
          <w:tcPr>
            <w:tcW w:w="2025" w:type="dxa"/>
            <w:shd w:val="clear" w:color="000000" w:fill="FFFFFF"/>
            <w:vAlign w:val="center"/>
            <w:hideMark/>
          </w:tcPr>
          <w:p w14:paraId="005E71E8"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57</w:t>
            </w:r>
          </w:p>
        </w:tc>
        <w:tc>
          <w:tcPr>
            <w:tcW w:w="2055" w:type="dxa"/>
            <w:shd w:val="clear" w:color="000000" w:fill="FFFFFF"/>
            <w:noWrap/>
            <w:vAlign w:val="center"/>
            <w:hideMark/>
          </w:tcPr>
          <w:p w14:paraId="424474F3"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2</w:t>
            </w:r>
          </w:p>
        </w:tc>
        <w:tc>
          <w:tcPr>
            <w:tcW w:w="2160" w:type="dxa"/>
            <w:shd w:val="clear" w:color="000000" w:fill="FFFFFF"/>
            <w:noWrap/>
            <w:vAlign w:val="center"/>
            <w:hideMark/>
          </w:tcPr>
          <w:p w14:paraId="57475370" w14:textId="77777777" w:rsidR="00127ECA" w:rsidRPr="00052ACC" w:rsidRDefault="00127ECA" w:rsidP="00C74E50">
            <w:pPr>
              <w:spacing w:after="0" w:line="240" w:lineRule="auto"/>
              <w:jc w:val="center"/>
              <w:rPr>
                <w:rFonts w:ascii="Arial" w:eastAsia="Times New Roman" w:hAnsi="Arial" w:cs="Arial"/>
                <w:lang w:eastAsia="ro-RO"/>
              </w:rPr>
            </w:pPr>
            <w:r>
              <w:rPr>
                <w:rFonts w:ascii="Arial" w:eastAsia="Times New Roman" w:hAnsi="Arial" w:cs="Arial"/>
                <w:lang w:eastAsia="ro-RO"/>
              </w:rPr>
              <w:t>3,51</w:t>
            </w:r>
          </w:p>
        </w:tc>
      </w:tr>
      <w:tr w:rsidR="00127ECA" w:rsidRPr="00BE1500" w14:paraId="504D9695" w14:textId="77777777" w:rsidTr="00C74E50">
        <w:trPr>
          <w:trHeight w:val="288"/>
          <w:jc w:val="center"/>
        </w:trPr>
        <w:tc>
          <w:tcPr>
            <w:tcW w:w="2020" w:type="dxa"/>
            <w:shd w:val="clear" w:color="000000" w:fill="FFFFFF"/>
            <w:noWrap/>
            <w:vAlign w:val="center"/>
            <w:hideMark/>
          </w:tcPr>
          <w:p w14:paraId="77632FC6" w14:textId="77777777" w:rsidR="00127ECA" w:rsidRPr="006A411A" w:rsidRDefault="00127ECA" w:rsidP="00C74E50">
            <w:pPr>
              <w:spacing w:after="0" w:line="240" w:lineRule="auto"/>
              <w:jc w:val="center"/>
              <w:rPr>
                <w:rFonts w:ascii="Arial" w:eastAsia="Times New Roman" w:hAnsi="Arial" w:cs="Arial"/>
                <w:color w:val="FF0000"/>
                <w:lang w:eastAsia="ro-RO"/>
              </w:rPr>
            </w:pPr>
            <w:r w:rsidRPr="00261239">
              <w:rPr>
                <w:rFonts w:ascii="Arial" w:eastAsia="Times New Roman" w:hAnsi="Arial" w:cs="Arial"/>
                <w:lang w:eastAsia="ro-RO"/>
              </w:rPr>
              <w:t>Dobrogea - Litoral</w:t>
            </w:r>
          </w:p>
        </w:tc>
        <w:tc>
          <w:tcPr>
            <w:tcW w:w="2025" w:type="dxa"/>
            <w:shd w:val="clear" w:color="000000" w:fill="FFFFFF"/>
            <w:vAlign w:val="center"/>
            <w:hideMark/>
          </w:tcPr>
          <w:p w14:paraId="332CA73B"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16</w:t>
            </w:r>
          </w:p>
        </w:tc>
        <w:tc>
          <w:tcPr>
            <w:tcW w:w="2055" w:type="dxa"/>
            <w:shd w:val="clear" w:color="000000" w:fill="FFFFFF"/>
            <w:noWrap/>
            <w:vAlign w:val="center"/>
            <w:hideMark/>
          </w:tcPr>
          <w:p w14:paraId="53185647"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c>
          <w:tcPr>
            <w:tcW w:w="2160" w:type="dxa"/>
            <w:shd w:val="clear" w:color="000000" w:fill="FFFFFF"/>
            <w:noWrap/>
            <w:vAlign w:val="center"/>
            <w:hideMark/>
          </w:tcPr>
          <w:p w14:paraId="67B2C572" w14:textId="77777777" w:rsidR="00127ECA" w:rsidRPr="00052ACC" w:rsidRDefault="00127ECA" w:rsidP="00C74E50">
            <w:pPr>
              <w:spacing w:after="0" w:line="240" w:lineRule="auto"/>
              <w:jc w:val="center"/>
              <w:rPr>
                <w:rFonts w:ascii="Arial" w:eastAsia="Times New Roman" w:hAnsi="Arial" w:cs="Arial"/>
                <w:lang w:eastAsia="ro-RO"/>
              </w:rPr>
            </w:pPr>
            <w:r w:rsidRPr="00052ACC">
              <w:rPr>
                <w:rFonts w:ascii="Arial" w:eastAsia="Times New Roman" w:hAnsi="Arial" w:cs="Arial"/>
                <w:lang w:eastAsia="ro-RO"/>
              </w:rPr>
              <w:t>0</w:t>
            </w:r>
          </w:p>
        </w:tc>
      </w:tr>
      <w:tr w:rsidR="00127ECA" w:rsidRPr="00BE1500" w14:paraId="13890F0B" w14:textId="77777777" w:rsidTr="00C74E50">
        <w:trPr>
          <w:trHeight w:val="288"/>
          <w:jc w:val="center"/>
        </w:trPr>
        <w:tc>
          <w:tcPr>
            <w:tcW w:w="2020" w:type="dxa"/>
            <w:shd w:val="clear" w:color="auto" w:fill="00B0F0"/>
            <w:noWrap/>
            <w:vAlign w:val="center"/>
            <w:hideMark/>
          </w:tcPr>
          <w:p w14:paraId="4B96A8BF" w14:textId="77777777" w:rsidR="00127ECA" w:rsidRPr="00BE1500" w:rsidRDefault="00127ECA" w:rsidP="00C74E50">
            <w:pPr>
              <w:spacing w:after="0" w:line="240" w:lineRule="auto"/>
              <w:jc w:val="center"/>
              <w:rPr>
                <w:rFonts w:ascii="Arial" w:eastAsia="Times New Roman" w:hAnsi="Arial" w:cs="Arial"/>
                <w:b/>
                <w:bCs/>
                <w:color w:val="000000"/>
                <w:lang w:eastAsia="ro-RO"/>
              </w:rPr>
            </w:pPr>
            <w:r w:rsidRPr="00BE1500">
              <w:rPr>
                <w:rFonts w:ascii="Arial" w:eastAsia="Times New Roman" w:hAnsi="Arial" w:cs="Arial"/>
                <w:b/>
                <w:bCs/>
                <w:color w:val="000000"/>
                <w:lang w:eastAsia="ro-RO"/>
              </w:rPr>
              <w:t>Total</w:t>
            </w:r>
          </w:p>
        </w:tc>
        <w:tc>
          <w:tcPr>
            <w:tcW w:w="2025" w:type="dxa"/>
            <w:shd w:val="clear" w:color="auto" w:fill="00B0F0"/>
            <w:vAlign w:val="center"/>
            <w:hideMark/>
          </w:tcPr>
          <w:p w14:paraId="6DD48053" w14:textId="77777777" w:rsidR="00127ECA" w:rsidRPr="00BE1500" w:rsidRDefault="00127ECA" w:rsidP="00C74E50">
            <w:pPr>
              <w:spacing w:after="0" w:line="240" w:lineRule="auto"/>
              <w:jc w:val="center"/>
              <w:rPr>
                <w:rFonts w:ascii="Arial" w:eastAsia="Times New Roman" w:hAnsi="Arial" w:cs="Arial"/>
                <w:b/>
                <w:bCs/>
                <w:lang w:eastAsia="ro-RO"/>
              </w:rPr>
            </w:pPr>
            <w:r>
              <w:rPr>
                <w:rFonts w:ascii="Arial" w:eastAsia="Times New Roman" w:hAnsi="Arial" w:cs="Arial"/>
                <w:b/>
                <w:bCs/>
                <w:lang w:eastAsia="ro-RO"/>
              </w:rPr>
              <w:t>359</w:t>
            </w:r>
          </w:p>
        </w:tc>
        <w:tc>
          <w:tcPr>
            <w:tcW w:w="2055" w:type="dxa"/>
            <w:shd w:val="clear" w:color="auto" w:fill="00B0F0"/>
            <w:noWrap/>
            <w:vAlign w:val="center"/>
            <w:hideMark/>
          </w:tcPr>
          <w:p w14:paraId="0C4BE14C" w14:textId="77777777" w:rsidR="00127ECA" w:rsidRPr="00BE1500" w:rsidRDefault="00127ECA" w:rsidP="00C74E50">
            <w:pPr>
              <w:spacing w:after="0" w:line="240" w:lineRule="auto"/>
              <w:jc w:val="center"/>
              <w:rPr>
                <w:rFonts w:ascii="Arial" w:eastAsia="Times New Roman" w:hAnsi="Arial" w:cs="Arial"/>
                <w:b/>
                <w:bCs/>
                <w:lang w:eastAsia="ro-RO"/>
              </w:rPr>
            </w:pPr>
            <w:r>
              <w:rPr>
                <w:rFonts w:ascii="Arial" w:eastAsia="Times New Roman" w:hAnsi="Arial" w:cs="Arial"/>
                <w:b/>
                <w:bCs/>
                <w:lang w:eastAsia="ro-RO"/>
              </w:rPr>
              <w:t>5</w:t>
            </w:r>
          </w:p>
        </w:tc>
        <w:tc>
          <w:tcPr>
            <w:tcW w:w="2160" w:type="dxa"/>
            <w:shd w:val="clear" w:color="auto" w:fill="00B0F0"/>
            <w:noWrap/>
            <w:vAlign w:val="center"/>
            <w:hideMark/>
          </w:tcPr>
          <w:p w14:paraId="560EDEE0" w14:textId="77777777" w:rsidR="00127ECA" w:rsidRPr="00BE1500" w:rsidRDefault="00127ECA" w:rsidP="00C74E50">
            <w:pPr>
              <w:spacing w:after="0" w:line="240" w:lineRule="auto"/>
              <w:jc w:val="center"/>
              <w:rPr>
                <w:rFonts w:ascii="Arial" w:eastAsia="Times New Roman" w:hAnsi="Arial" w:cs="Arial"/>
                <w:b/>
                <w:bCs/>
                <w:lang w:eastAsia="ro-RO"/>
              </w:rPr>
            </w:pPr>
            <w:r>
              <w:rPr>
                <w:rFonts w:ascii="Arial" w:eastAsia="Times New Roman" w:hAnsi="Arial" w:cs="Arial"/>
                <w:b/>
                <w:bCs/>
                <w:lang w:eastAsia="ro-RO"/>
              </w:rPr>
              <w:t>1,39</w:t>
            </w:r>
          </w:p>
        </w:tc>
      </w:tr>
    </w:tbl>
    <w:p w14:paraId="0C12E068" w14:textId="77777777" w:rsidR="00127ECA" w:rsidRPr="00505570" w:rsidRDefault="00127ECA" w:rsidP="00127ECA">
      <w:pPr>
        <w:spacing w:after="0"/>
        <w:ind w:left="900" w:hanging="900"/>
        <w:jc w:val="both"/>
        <w:rPr>
          <w:rFonts w:ascii="Arial" w:hAnsi="Arial" w:cs="Arial"/>
          <w:i/>
          <w:iCs/>
          <w:color w:val="FF0000"/>
          <w:sz w:val="20"/>
          <w:szCs w:val="20"/>
          <w:lang w:eastAsia="ro-RO"/>
        </w:rPr>
      </w:pPr>
      <w:r w:rsidRPr="00E36C00">
        <w:rPr>
          <w:rFonts w:ascii="Arial" w:hAnsi="Arial" w:cs="Arial"/>
          <w:i/>
          <w:iCs/>
          <w:sz w:val="20"/>
          <w:szCs w:val="20"/>
          <w:lang w:eastAsia="ro-RO"/>
        </w:rPr>
        <w:t>(Sursa: Administraţia Naţională “Apele Române”, Sinteza calităţii apelor din România în anul 2022</w:t>
      </w:r>
      <w:r w:rsidRPr="00052BA7">
        <w:rPr>
          <w:rFonts w:ascii="Arial" w:hAnsi="Arial" w:cs="Arial"/>
          <w:i/>
          <w:iCs/>
          <w:sz w:val="20"/>
          <w:szCs w:val="20"/>
          <w:lang w:eastAsia="ro-RO"/>
        </w:rPr>
        <w:t>)</w:t>
      </w:r>
    </w:p>
    <w:p w14:paraId="4B37AD3A" w14:textId="77777777" w:rsidR="00127ECA" w:rsidRPr="00094AD8" w:rsidRDefault="00127ECA" w:rsidP="00127ECA">
      <w:pPr>
        <w:spacing w:line="240" w:lineRule="auto"/>
        <w:rPr>
          <w:rFonts w:ascii="Arial" w:hAnsi="Arial" w:cs="Arial"/>
          <w:b/>
          <w:i/>
          <w:sz w:val="20"/>
          <w:szCs w:val="20"/>
        </w:rPr>
      </w:pPr>
    </w:p>
    <w:p w14:paraId="31FD73CC" w14:textId="77777777" w:rsidR="00127ECA" w:rsidRPr="007567C5" w:rsidRDefault="00127ECA" w:rsidP="00127ECA">
      <w:pPr>
        <w:spacing w:line="240" w:lineRule="auto"/>
        <w:rPr>
          <w:rFonts w:ascii="Arial" w:hAnsi="Arial" w:cs="Arial"/>
          <w:i/>
          <w:sz w:val="24"/>
          <w:szCs w:val="20"/>
        </w:rPr>
      </w:pPr>
      <w:r w:rsidRPr="007567C5">
        <w:rPr>
          <w:rFonts w:ascii="Arial" w:hAnsi="Arial" w:cs="Arial"/>
          <w:b/>
          <w:i/>
          <w:sz w:val="24"/>
          <w:szCs w:val="20"/>
        </w:rPr>
        <w:t>Evoluția punctelor de monitorizare cu concentrație mai mare de 0,1</w:t>
      </w:r>
      <w:r w:rsidRPr="007567C5">
        <w:rPr>
          <w:rFonts w:ascii="Arial" w:eastAsia="Times New Roman" w:hAnsi="Arial" w:cs="Arial"/>
          <w:i/>
          <w:sz w:val="24"/>
          <w:szCs w:val="20"/>
          <w:lang w:eastAsia="ro-RO"/>
        </w:rPr>
        <w:t xml:space="preserve"> </w:t>
      </w:r>
      <w:r w:rsidRPr="007567C5">
        <w:rPr>
          <w:rFonts w:ascii="Arial" w:eastAsia="Times New Roman" w:hAnsi="Arial" w:cs="Arial"/>
          <w:b/>
          <w:i/>
          <w:sz w:val="24"/>
          <w:szCs w:val="20"/>
          <w:lang w:eastAsia="ro-RO"/>
        </w:rPr>
        <w:t>µg/L pentru perioada 2015 - 20</w:t>
      </w:r>
      <w:r>
        <w:rPr>
          <w:rFonts w:ascii="Arial" w:eastAsia="Times New Roman" w:hAnsi="Arial" w:cs="Arial"/>
          <w:b/>
          <w:i/>
          <w:sz w:val="24"/>
          <w:szCs w:val="20"/>
          <w:lang w:eastAsia="ro-RO"/>
        </w:rPr>
        <w:t>22</w:t>
      </w:r>
      <w:r w:rsidRPr="007567C5">
        <w:rPr>
          <w:rFonts w:ascii="Arial" w:eastAsia="Times New Roman" w:hAnsi="Arial" w:cs="Arial"/>
          <w:b/>
          <w:i/>
          <w:sz w:val="24"/>
          <w:szCs w:val="20"/>
          <w:lang w:eastAsia="ro-RO"/>
        </w:rPr>
        <w:t xml:space="preserve"> (%)</w:t>
      </w:r>
    </w:p>
    <w:p w14:paraId="635017E6" w14:textId="77777777" w:rsidR="00127ECA" w:rsidRPr="00B11BCF" w:rsidRDefault="00127ECA" w:rsidP="00127ECA">
      <w:pPr>
        <w:spacing w:after="0" w:line="240" w:lineRule="auto"/>
        <w:jc w:val="both"/>
        <w:rPr>
          <w:rFonts w:ascii="Arial" w:eastAsia="Times New Roman" w:hAnsi="Arial" w:cs="Arial"/>
          <w:b/>
          <w:i/>
          <w:sz w:val="20"/>
          <w:szCs w:val="16"/>
          <w:lang w:eastAsia="ro-RO"/>
        </w:rPr>
      </w:pPr>
      <w:r w:rsidRPr="00094AD8">
        <w:rPr>
          <w:rFonts w:ascii="Arial" w:hAnsi="Arial" w:cs="Arial"/>
          <w:b/>
          <w:i/>
          <w:sz w:val="20"/>
          <w:szCs w:val="20"/>
        </w:rPr>
        <w:t>Tabel II.2.</w:t>
      </w:r>
      <w:r>
        <w:rPr>
          <w:rFonts w:ascii="Arial" w:hAnsi="Arial" w:cs="Arial"/>
          <w:b/>
          <w:i/>
          <w:sz w:val="20"/>
          <w:szCs w:val="20"/>
        </w:rPr>
        <w:t>1</w:t>
      </w:r>
      <w:r w:rsidRPr="00094AD8">
        <w:rPr>
          <w:rFonts w:ascii="Arial" w:hAnsi="Arial" w:cs="Arial"/>
          <w:b/>
          <w:i/>
          <w:sz w:val="20"/>
          <w:szCs w:val="20"/>
        </w:rPr>
        <w:t>.3.</w:t>
      </w:r>
      <w:r>
        <w:rPr>
          <w:rFonts w:ascii="Arial" w:hAnsi="Arial" w:cs="Arial"/>
          <w:b/>
          <w:i/>
          <w:sz w:val="20"/>
          <w:szCs w:val="20"/>
        </w:rPr>
        <w:t>3</w:t>
      </w:r>
      <w:r w:rsidRPr="00094AD8">
        <w:rPr>
          <w:rFonts w:ascii="Arial" w:hAnsi="Arial" w:cs="Arial"/>
          <w:b/>
          <w:i/>
          <w:sz w:val="20"/>
          <w:szCs w:val="20"/>
        </w:rPr>
        <w:t xml:space="preserve"> Evoluția punctelor de monitorizare cu concentrație mai mare de 0,1</w:t>
      </w:r>
      <w:r w:rsidRPr="00094AD8">
        <w:rPr>
          <w:rFonts w:ascii="Arial" w:eastAsia="Times New Roman" w:hAnsi="Arial" w:cs="Arial"/>
          <w:i/>
          <w:sz w:val="20"/>
          <w:szCs w:val="20"/>
          <w:lang w:eastAsia="ro-RO"/>
        </w:rPr>
        <w:t xml:space="preserve"> </w:t>
      </w:r>
      <w:r w:rsidRPr="00094AD8">
        <w:rPr>
          <w:rFonts w:ascii="Arial" w:eastAsia="Times New Roman" w:hAnsi="Arial" w:cs="Arial"/>
          <w:b/>
          <w:i/>
          <w:sz w:val="20"/>
          <w:szCs w:val="20"/>
          <w:lang w:eastAsia="ro-RO"/>
        </w:rPr>
        <w:t>µg/L pentru</w:t>
      </w:r>
      <w:r w:rsidRPr="00094AD8">
        <w:rPr>
          <w:rFonts w:ascii="Arial" w:eastAsia="Times New Roman" w:hAnsi="Arial" w:cs="Arial"/>
          <w:b/>
          <w:i/>
          <w:sz w:val="20"/>
          <w:szCs w:val="16"/>
          <w:lang w:eastAsia="ro-RO"/>
        </w:rPr>
        <w:t xml:space="preserve"> </w:t>
      </w:r>
      <w:r>
        <w:rPr>
          <w:rFonts w:ascii="Arial" w:eastAsia="Times New Roman" w:hAnsi="Arial" w:cs="Arial"/>
          <w:b/>
          <w:i/>
          <w:sz w:val="20"/>
          <w:szCs w:val="16"/>
          <w:lang w:eastAsia="ro-RO"/>
        </w:rPr>
        <w:t xml:space="preserve">perioada 2015 </w:t>
      </w:r>
      <w:r w:rsidRPr="005F7CBA">
        <w:rPr>
          <w:rFonts w:ascii="Arial" w:eastAsia="Times New Roman" w:hAnsi="Arial" w:cs="Arial"/>
          <w:b/>
          <w:i/>
          <w:sz w:val="20"/>
          <w:szCs w:val="16"/>
          <w:lang w:eastAsia="ro-RO"/>
        </w:rPr>
        <w:t>-</w:t>
      </w:r>
      <w:r>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20</w:t>
      </w:r>
      <w:r>
        <w:rPr>
          <w:rFonts w:ascii="Arial" w:eastAsia="Times New Roman" w:hAnsi="Arial" w:cs="Arial"/>
          <w:b/>
          <w:i/>
          <w:sz w:val="20"/>
          <w:szCs w:val="16"/>
          <w:lang w:eastAsia="ro-RO"/>
        </w:rPr>
        <w:t>22</w:t>
      </w:r>
      <w:r w:rsidRPr="005F7CBA">
        <w:rPr>
          <w:rFonts w:ascii="Arial" w:eastAsia="Times New Roman" w:hAnsi="Arial" w:cs="Arial"/>
          <w:b/>
          <w:i/>
          <w:sz w:val="20"/>
          <w:szCs w:val="16"/>
          <w:lang w:eastAsia="ro-RO"/>
        </w:rPr>
        <w:t xml:space="preserve"> (%)</w:t>
      </w:r>
    </w:p>
    <w:tbl>
      <w:tblPr>
        <w:tblW w:w="10620" w:type="dxa"/>
        <w:tblInd w:w="-730" w:type="dxa"/>
        <w:tblLook w:val="04A0" w:firstRow="1" w:lastRow="0" w:firstColumn="1" w:lastColumn="0" w:noHBand="0" w:noVBand="1"/>
      </w:tblPr>
      <w:tblGrid>
        <w:gridCol w:w="2880"/>
        <w:gridCol w:w="900"/>
        <w:gridCol w:w="990"/>
        <w:gridCol w:w="990"/>
        <w:gridCol w:w="990"/>
        <w:gridCol w:w="990"/>
        <w:gridCol w:w="990"/>
        <w:gridCol w:w="990"/>
        <w:gridCol w:w="900"/>
      </w:tblGrid>
      <w:tr w:rsidR="00127ECA" w:rsidRPr="000C6A67" w14:paraId="66C45649" w14:textId="77777777" w:rsidTr="00C74E50">
        <w:trPr>
          <w:trHeight w:val="245"/>
        </w:trPr>
        <w:tc>
          <w:tcPr>
            <w:tcW w:w="2880" w:type="dxa"/>
            <w:tcBorders>
              <w:top w:val="single" w:sz="8" w:space="0" w:color="auto"/>
              <w:left w:val="single" w:sz="8" w:space="0" w:color="auto"/>
              <w:bottom w:val="single" w:sz="8" w:space="0" w:color="auto"/>
              <w:right w:val="single" w:sz="8" w:space="0" w:color="auto"/>
            </w:tcBorders>
            <w:shd w:val="clear" w:color="auto" w:fill="00B0F0"/>
            <w:noWrap/>
            <w:vAlign w:val="center"/>
            <w:hideMark/>
          </w:tcPr>
          <w:p w14:paraId="12B1B4A4"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Anul</w:t>
            </w:r>
          </w:p>
        </w:tc>
        <w:tc>
          <w:tcPr>
            <w:tcW w:w="900" w:type="dxa"/>
            <w:tcBorders>
              <w:top w:val="single" w:sz="8" w:space="0" w:color="auto"/>
              <w:left w:val="nil"/>
              <w:bottom w:val="single" w:sz="8" w:space="0" w:color="auto"/>
              <w:right w:val="single" w:sz="8" w:space="0" w:color="auto"/>
            </w:tcBorders>
            <w:shd w:val="clear" w:color="auto" w:fill="00B0F0"/>
            <w:vAlign w:val="center"/>
            <w:hideMark/>
          </w:tcPr>
          <w:p w14:paraId="466BA223"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2015</w:t>
            </w:r>
          </w:p>
        </w:tc>
        <w:tc>
          <w:tcPr>
            <w:tcW w:w="990" w:type="dxa"/>
            <w:tcBorders>
              <w:top w:val="single" w:sz="8" w:space="0" w:color="auto"/>
              <w:left w:val="nil"/>
              <w:bottom w:val="single" w:sz="8" w:space="0" w:color="auto"/>
              <w:right w:val="single" w:sz="8" w:space="0" w:color="auto"/>
            </w:tcBorders>
            <w:shd w:val="clear" w:color="auto" w:fill="00B0F0"/>
            <w:vAlign w:val="center"/>
            <w:hideMark/>
          </w:tcPr>
          <w:p w14:paraId="2A37F926"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2016</w:t>
            </w:r>
          </w:p>
        </w:tc>
        <w:tc>
          <w:tcPr>
            <w:tcW w:w="990" w:type="dxa"/>
            <w:tcBorders>
              <w:top w:val="single" w:sz="8" w:space="0" w:color="auto"/>
              <w:left w:val="nil"/>
              <w:bottom w:val="single" w:sz="8" w:space="0" w:color="auto"/>
              <w:right w:val="single" w:sz="8" w:space="0" w:color="auto"/>
            </w:tcBorders>
            <w:shd w:val="clear" w:color="auto" w:fill="00B0F0"/>
            <w:vAlign w:val="center"/>
            <w:hideMark/>
          </w:tcPr>
          <w:p w14:paraId="405DF7E1"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2017</w:t>
            </w:r>
          </w:p>
        </w:tc>
        <w:tc>
          <w:tcPr>
            <w:tcW w:w="990" w:type="dxa"/>
            <w:tcBorders>
              <w:top w:val="single" w:sz="8" w:space="0" w:color="auto"/>
              <w:left w:val="nil"/>
              <w:bottom w:val="single" w:sz="8" w:space="0" w:color="auto"/>
              <w:right w:val="nil"/>
            </w:tcBorders>
            <w:shd w:val="clear" w:color="auto" w:fill="00B0F0"/>
            <w:noWrap/>
            <w:vAlign w:val="center"/>
            <w:hideMark/>
          </w:tcPr>
          <w:p w14:paraId="6FFB3ABE"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2018</w:t>
            </w:r>
          </w:p>
        </w:tc>
        <w:tc>
          <w:tcPr>
            <w:tcW w:w="990"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4097A38"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2019</w:t>
            </w:r>
          </w:p>
        </w:tc>
        <w:tc>
          <w:tcPr>
            <w:tcW w:w="990" w:type="dxa"/>
            <w:tcBorders>
              <w:top w:val="single" w:sz="4" w:space="0" w:color="auto"/>
              <w:left w:val="nil"/>
              <w:bottom w:val="single" w:sz="4" w:space="0" w:color="auto"/>
              <w:right w:val="single" w:sz="4" w:space="0" w:color="auto"/>
            </w:tcBorders>
            <w:shd w:val="clear" w:color="auto" w:fill="00B0F0"/>
            <w:noWrap/>
            <w:vAlign w:val="center"/>
            <w:hideMark/>
          </w:tcPr>
          <w:p w14:paraId="4AA27F19"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2020</w:t>
            </w:r>
          </w:p>
        </w:tc>
        <w:tc>
          <w:tcPr>
            <w:tcW w:w="990" w:type="dxa"/>
            <w:tcBorders>
              <w:top w:val="single" w:sz="4" w:space="0" w:color="auto"/>
              <w:left w:val="nil"/>
              <w:bottom w:val="single" w:sz="4" w:space="0" w:color="auto"/>
              <w:right w:val="single" w:sz="4" w:space="0" w:color="auto"/>
            </w:tcBorders>
            <w:shd w:val="clear" w:color="auto" w:fill="00B0F0"/>
          </w:tcPr>
          <w:p w14:paraId="56F2CA3B"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2021</w:t>
            </w:r>
          </w:p>
        </w:tc>
        <w:tc>
          <w:tcPr>
            <w:tcW w:w="900" w:type="dxa"/>
            <w:tcBorders>
              <w:top w:val="single" w:sz="4" w:space="0" w:color="auto"/>
              <w:left w:val="nil"/>
              <w:bottom w:val="single" w:sz="4" w:space="0" w:color="auto"/>
              <w:right w:val="single" w:sz="4" w:space="0" w:color="auto"/>
            </w:tcBorders>
            <w:shd w:val="clear" w:color="auto" w:fill="00B0F0"/>
          </w:tcPr>
          <w:p w14:paraId="3B4525B5" w14:textId="77777777" w:rsidR="00127ECA" w:rsidRDefault="00127ECA" w:rsidP="00C74E50">
            <w:pPr>
              <w:spacing w:after="0" w:line="240" w:lineRule="auto"/>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2022</w:t>
            </w:r>
          </w:p>
        </w:tc>
      </w:tr>
      <w:tr w:rsidR="00127ECA" w:rsidRPr="000C6A67" w14:paraId="68FF4EC6" w14:textId="77777777" w:rsidTr="00C74E50">
        <w:trPr>
          <w:trHeight w:val="461"/>
        </w:trPr>
        <w:tc>
          <w:tcPr>
            <w:tcW w:w="2880" w:type="dxa"/>
            <w:tcBorders>
              <w:top w:val="nil"/>
              <w:left w:val="single" w:sz="8" w:space="0" w:color="auto"/>
              <w:bottom w:val="single" w:sz="8" w:space="0" w:color="auto"/>
              <w:right w:val="single" w:sz="8" w:space="0" w:color="auto"/>
            </w:tcBorders>
            <w:shd w:val="clear" w:color="auto" w:fill="auto"/>
            <w:vAlign w:val="center"/>
            <w:hideMark/>
          </w:tcPr>
          <w:p w14:paraId="152F1DF1"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Număr pesticide monitorizate</w:t>
            </w:r>
          </w:p>
        </w:tc>
        <w:tc>
          <w:tcPr>
            <w:tcW w:w="900" w:type="dxa"/>
            <w:tcBorders>
              <w:top w:val="nil"/>
              <w:left w:val="nil"/>
              <w:bottom w:val="single" w:sz="8" w:space="0" w:color="auto"/>
              <w:right w:val="single" w:sz="8" w:space="0" w:color="auto"/>
            </w:tcBorders>
            <w:shd w:val="clear" w:color="auto" w:fill="auto"/>
            <w:vAlign w:val="center"/>
            <w:hideMark/>
          </w:tcPr>
          <w:p w14:paraId="4B9C5DD9"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19</w:t>
            </w:r>
          </w:p>
        </w:tc>
        <w:tc>
          <w:tcPr>
            <w:tcW w:w="990" w:type="dxa"/>
            <w:tcBorders>
              <w:top w:val="nil"/>
              <w:left w:val="nil"/>
              <w:bottom w:val="single" w:sz="8" w:space="0" w:color="auto"/>
              <w:right w:val="single" w:sz="8" w:space="0" w:color="auto"/>
            </w:tcBorders>
            <w:shd w:val="clear" w:color="000000" w:fill="FFFFFF"/>
            <w:vAlign w:val="center"/>
            <w:hideMark/>
          </w:tcPr>
          <w:p w14:paraId="48C9299E"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20</w:t>
            </w:r>
          </w:p>
        </w:tc>
        <w:tc>
          <w:tcPr>
            <w:tcW w:w="990" w:type="dxa"/>
            <w:tcBorders>
              <w:top w:val="nil"/>
              <w:left w:val="nil"/>
              <w:bottom w:val="single" w:sz="8" w:space="0" w:color="auto"/>
              <w:right w:val="single" w:sz="8" w:space="0" w:color="auto"/>
            </w:tcBorders>
            <w:shd w:val="clear" w:color="000000" w:fill="FFFFFF"/>
            <w:vAlign w:val="center"/>
            <w:hideMark/>
          </w:tcPr>
          <w:p w14:paraId="684E7FCB"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21</w:t>
            </w:r>
          </w:p>
        </w:tc>
        <w:tc>
          <w:tcPr>
            <w:tcW w:w="990" w:type="dxa"/>
            <w:tcBorders>
              <w:top w:val="nil"/>
              <w:left w:val="nil"/>
              <w:bottom w:val="single" w:sz="8" w:space="0" w:color="auto"/>
              <w:right w:val="nil"/>
            </w:tcBorders>
            <w:shd w:val="clear" w:color="auto" w:fill="auto"/>
            <w:noWrap/>
            <w:vAlign w:val="center"/>
            <w:hideMark/>
          </w:tcPr>
          <w:p w14:paraId="26897014"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23</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019D873C"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30</w:t>
            </w:r>
          </w:p>
        </w:tc>
        <w:tc>
          <w:tcPr>
            <w:tcW w:w="990" w:type="dxa"/>
            <w:tcBorders>
              <w:top w:val="nil"/>
              <w:left w:val="nil"/>
              <w:bottom w:val="single" w:sz="4" w:space="0" w:color="auto"/>
              <w:right w:val="single" w:sz="4" w:space="0" w:color="auto"/>
            </w:tcBorders>
            <w:shd w:val="clear" w:color="auto" w:fill="auto"/>
            <w:noWrap/>
            <w:vAlign w:val="center"/>
            <w:hideMark/>
          </w:tcPr>
          <w:p w14:paraId="1359C5B7"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28</w:t>
            </w:r>
          </w:p>
        </w:tc>
        <w:tc>
          <w:tcPr>
            <w:tcW w:w="990" w:type="dxa"/>
            <w:tcBorders>
              <w:top w:val="nil"/>
              <w:left w:val="nil"/>
              <w:bottom w:val="single" w:sz="4" w:space="0" w:color="auto"/>
              <w:right w:val="single" w:sz="4" w:space="0" w:color="auto"/>
            </w:tcBorders>
            <w:vAlign w:val="center"/>
          </w:tcPr>
          <w:p w14:paraId="7602CACE"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28</w:t>
            </w:r>
          </w:p>
        </w:tc>
        <w:tc>
          <w:tcPr>
            <w:tcW w:w="900" w:type="dxa"/>
            <w:tcBorders>
              <w:top w:val="nil"/>
              <w:left w:val="nil"/>
              <w:bottom w:val="single" w:sz="4" w:space="0" w:color="auto"/>
              <w:right w:val="single" w:sz="4" w:space="0" w:color="auto"/>
            </w:tcBorders>
            <w:vAlign w:val="center"/>
          </w:tcPr>
          <w:p w14:paraId="642B378F" w14:textId="77777777" w:rsidR="00127ECA"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28</w:t>
            </w:r>
          </w:p>
        </w:tc>
      </w:tr>
      <w:tr w:rsidR="00127ECA" w:rsidRPr="000C6A67" w14:paraId="3955C8C4" w14:textId="77777777" w:rsidTr="00C74E50">
        <w:trPr>
          <w:trHeight w:val="461"/>
        </w:trPr>
        <w:tc>
          <w:tcPr>
            <w:tcW w:w="2880" w:type="dxa"/>
            <w:tcBorders>
              <w:top w:val="nil"/>
              <w:left w:val="single" w:sz="8" w:space="0" w:color="auto"/>
              <w:bottom w:val="single" w:sz="8" w:space="0" w:color="auto"/>
              <w:right w:val="single" w:sz="8" w:space="0" w:color="auto"/>
            </w:tcBorders>
            <w:shd w:val="clear" w:color="auto" w:fill="auto"/>
            <w:vAlign w:val="center"/>
            <w:hideMark/>
          </w:tcPr>
          <w:p w14:paraId="257DFC5D"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Număr total de puncte monitorizate</w:t>
            </w:r>
          </w:p>
        </w:tc>
        <w:tc>
          <w:tcPr>
            <w:tcW w:w="900" w:type="dxa"/>
            <w:tcBorders>
              <w:top w:val="nil"/>
              <w:left w:val="nil"/>
              <w:bottom w:val="single" w:sz="8" w:space="0" w:color="auto"/>
              <w:right w:val="single" w:sz="8" w:space="0" w:color="auto"/>
            </w:tcBorders>
            <w:shd w:val="clear" w:color="auto" w:fill="auto"/>
            <w:vAlign w:val="center"/>
            <w:hideMark/>
          </w:tcPr>
          <w:p w14:paraId="6D474DFB"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1310</w:t>
            </w:r>
          </w:p>
        </w:tc>
        <w:tc>
          <w:tcPr>
            <w:tcW w:w="990" w:type="dxa"/>
            <w:tcBorders>
              <w:top w:val="nil"/>
              <w:left w:val="nil"/>
              <w:bottom w:val="single" w:sz="8" w:space="0" w:color="auto"/>
              <w:right w:val="single" w:sz="8" w:space="0" w:color="auto"/>
            </w:tcBorders>
            <w:shd w:val="clear" w:color="000000" w:fill="FFFFFF"/>
            <w:vAlign w:val="center"/>
            <w:hideMark/>
          </w:tcPr>
          <w:p w14:paraId="638779FC"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1523</w:t>
            </w:r>
          </w:p>
        </w:tc>
        <w:tc>
          <w:tcPr>
            <w:tcW w:w="990" w:type="dxa"/>
            <w:tcBorders>
              <w:top w:val="nil"/>
              <w:left w:val="nil"/>
              <w:bottom w:val="single" w:sz="8" w:space="0" w:color="auto"/>
              <w:right w:val="single" w:sz="8" w:space="0" w:color="auto"/>
            </w:tcBorders>
            <w:shd w:val="clear" w:color="000000" w:fill="FFFFFF"/>
            <w:vAlign w:val="center"/>
            <w:hideMark/>
          </w:tcPr>
          <w:p w14:paraId="5F5FB6A6"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1536</w:t>
            </w:r>
          </w:p>
        </w:tc>
        <w:tc>
          <w:tcPr>
            <w:tcW w:w="990" w:type="dxa"/>
            <w:tcBorders>
              <w:top w:val="nil"/>
              <w:left w:val="nil"/>
              <w:bottom w:val="single" w:sz="8" w:space="0" w:color="auto"/>
              <w:right w:val="nil"/>
            </w:tcBorders>
            <w:shd w:val="clear" w:color="auto" w:fill="auto"/>
            <w:noWrap/>
            <w:vAlign w:val="center"/>
            <w:hideMark/>
          </w:tcPr>
          <w:p w14:paraId="75EEF30A"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1535</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6AEEC6AF"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1533</w:t>
            </w:r>
          </w:p>
        </w:tc>
        <w:tc>
          <w:tcPr>
            <w:tcW w:w="990" w:type="dxa"/>
            <w:tcBorders>
              <w:top w:val="nil"/>
              <w:left w:val="nil"/>
              <w:bottom w:val="single" w:sz="4" w:space="0" w:color="auto"/>
              <w:right w:val="single" w:sz="4" w:space="0" w:color="auto"/>
            </w:tcBorders>
            <w:shd w:val="clear" w:color="auto" w:fill="auto"/>
            <w:noWrap/>
            <w:vAlign w:val="center"/>
            <w:hideMark/>
          </w:tcPr>
          <w:p w14:paraId="654911BF"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1487</w:t>
            </w:r>
          </w:p>
        </w:tc>
        <w:tc>
          <w:tcPr>
            <w:tcW w:w="990" w:type="dxa"/>
            <w:tcBorders>
              <w:top w:val="nil"/>
              <w:left w:val="nil"/>
              <w:bottom w:val="single" w:sz="4" w:space="0" w:color="auto"/>
              <w:right w:val="single" w:sz="4" w:space="0" w:color="auto"/>
            </w:tcBorders>
            <w:vAlign w:val="center"/>
          </w:tcPr>
          <w:p w14:paraId="3F3AB510"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1524</w:t>
            </w:r>
          </w:p>
        </w:tc>
        <w:tc>
          <w:tcPr>
            <w:tcW w:w="900" w:type="dxa"/>
            <w:tcBorders>
              <w:top w:val="nil"/>
              <w:left w:val="nil"/>
              <w:bottom w:val="single" w:sz="4" w:space="0" w:color="auto"/>
              <w:right w:val="single" w:sz="4" w:space="0" w:color="auto"/>
            </w:tcBorders>
            <w:vAlign w:val="center"/>
          </w:tcPr>
          <w:p w14:paraId="4A40F723" w14:textId="77777777" w:rsidR="00127ECA"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1528</w:t>
            </w:r>
          </w:p>
        </w:tc>
      </w:tr>
      <w:tr w:rsidR="00127ECA" w:rsidRPr="000C6A67" w14:paraId="6A14C958" w14:textId="77777777" w:rsidTr="00C74E50">
        <w:trPr>
          <w:trHeight w:val="596"/>
        </w:trPr>
        <w:tc>
          <w:tcPr>
            <w:tcW w:w="2880" w:type="dxa"/>
            <w:tcBorders>
              <w:top w:val="nil"/>
              <w:left w:val="single" w:sz="8" w:space="0" w:color="auto"/>
              <w:bottom w:val="single" w:sz="8" w:space="0" w:color="auto"/>
              <w:right w:val="single" w:sz="8" w:space="0" w:color="auto"/>
            </w:tcBorders>
            <w:shd w:val="clear" w:color="auto" w:fill="auto"/>
            <w:vAlign w:val="center"/>
            <w:hideMark/>
          </w:tcPr>
          <w:p w14:paraId="2B03D2E2"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Număr puncte în care se  monitorizează pesticidele</w:t>
            </w:r>
          </w:p>
        </w:tc>
        <w:tc>
          <w:tcPr>
            <w:tcW w:w="900" w:type="dxa"/>
            <w:tcBorders>
              <w:top w:val="nil"/>
              <w:left w:val="nil"/>
              <w:bottom w:val="single" w:sz="8" w:space="0" w:color="auto"/>
              <w:right w:val="single" w:sz="8" w:space="0" w:color="auto"/>
            </w:tcBorders>
            <w:shd w:val="clear" w:color="auto" w:fill="auto"/>
            <w:vAlign w:val="center"/>
            <w:hideMark/>
          </w:tcPr>
          <w:p w14:paraId="4CBDED1C"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365</w:t>
            </w:r>
          </w:p>
        </w:tc>
        <w:tc>
          <w:tcPr>
            <w:tcW w:w="990" w:type="dxa"/>
            <w:tcBorders>
              <w:top w:val="nil"/>
              <w:left w:val="nil"/>
              <w:bottom w:val="single" w:sz="8" w:space="0" w:color="auto"/>
              <w:right w:val="single" w:sz="8" w:space="0" w:color="auto"/>
            </w:tcBorders>
            <w:shd w:val="clear" w:color="000000" w:fill="FFFFFF"/>
            <w:vAlign w:val="center"/>
            <w:hideMark/>
          </w:tcPr>
          <w:p w14:paraId="2D3E302D"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574</w:t>
            </w:r>
          </w:p>
        </w:tc>
        <w:tc>
          <w:tcPr>
            <w:tcW w:w="990" w:type="dxa"/>
            <w:tcBorders>
              <w:top w:val="nil"/>
              <w:left w:val="nil"/>
              <w:bottom w:val="single" w:sz="8" w:space="0" w:color="auto"/>
              <w:right w:val="single" w:sz="8" w:space="0" w:color="auto"/>
            </w:tcBorders>
            <w:shd w:val="clear" w:color="000000" w:fill="FFFFFF"/>
            <w:vAlign w:val="center"/>
            <w:hideMark/>
          </w:tcPr>
          <w:p w14:paraId="45CB027E"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550</w:t>
            </w:r>
          </w:p>
        </w:tc>
        <w:tc>
          <w:tcPr>
            <w:tcW w:w="990" w:type="dxa"/>
            <w:tcBorders>
              <w:top w:val="nil"/>
              <w:left w:val="nil"/>
              <w:bottom w:val="single" w:sz="8" w:space="0" w:color="auto"/>
              <w:right w:val="nil"/>
            </w:tcBorders>
            <w:shd w:val="clear" w:color="auto" w:fill="auto"/>
            <w:noWrap/>
            <w:vAlign w:val="center"/>
            <w:hideMark/>
          </w:tcPr>
          <w:p w14:paraId="182B74F1"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272</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5631FADF"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275</w:t>
            </w:r>
          </w:p>
        </w:tc>
        <w:tc>
          <w:tcPr>
            <w:tcW w:w="990" w:type="dxa"/>
            <w:tcBorders>
              <w:top w:val="nil"/>
              <w:left w:val="nil"/>
              <w:bottom w:val="single" w:sz="4" w:space="0" w:color="auto"/>
              <w:right w:val="single" w:sz="4" w:space="0" w:color="auto"/>
            </w:tcBorders>
            <w:shd w:val="clear" w:color="auto" w:fill="auto"/>
            <w:noWrap/>
            <w:vAlign w:val="center"/>
            <w:hideMark/>
          </w:tcPr>
          <w:p w14:paraId="56721520"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356</w:t>
            </w:r>
          </w:p>
        </w:tc>
        <w:tc>
          <w:tcPr>
            <w:tcW w:w="990" w:type="dxa"/>
            <w:tcBorders>
              <w:top w:val="nil"/>
              <w:left w:val="nil"/>
              <w:bottom w:val="single" w:sz="4" w:space="0" w:color="auto"/>
              <w:right w:val="single" w:sz="4" w:space="0" w:color="auto"/>
            </w:tcBorders>
            <w:vAlign w:val="center"/>
          </w:tcPr>
          <w:p w14:paraId="71A15DD7"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346</w:t>
            </w:r>
          </w:p>
        </w:tc>
        <w:tc>
          <w:tcPr>
            <w:tcW w:w="900" w:type="dxa"/>
            <w:tcBorders>
              <w:top w:val="nil"/>
              <w:left w:val="nil"/>
              <w:bottom w:val="single" w:sz="4" w:space="0" w:color="auto"/>
              <w:right w:val="single" w:sz="4" w:space="0" w:color="auto"/>
            </w:tcBorders>
            <w:vAlign w:val="center"/>
          </w:tcPr>
          <w:p w14:paraId="5699EC8D" w14:textId="77777777" w:rsidR="00127ECA"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359</w:t>
            </w:r>
          </w:p>
        </w:tc>
      </w:tr>
      <w:tr w:rsidR="00127ECA" w:rsidRPr="000C6A67" w14:paraId="00CF7081" w14:textId="77777777" w:rsidTr="00C74E50">
        <w:trPr>
          <w:trHeight w:val="1050"/>
        </w:trPr>
        <w:tc>
          <w:tcPr>
            <w:tcW w:w="2880" w:type="dxa"/>
            <w:tcBorders>
              <w:top w:val="nil"/>
              <w:left w:val="single" w:sz="8" w:space="0" w:color="auto"/>
              <w:bottom w:val="single" w:sz="8" w:space="0" w:color="auto"/>
              <w:right w:val="single" w:sz="8" w:space="0" w:color="auto"/>
            </w:tcBorders>
            <w:shd w:val="clear" w:color="auto" w:fill="auto"/>
            <w:vAlign w:val="center"/>
            <w:hideMark/>
          </w:tcPr>
          <w:p w14:paraId="3A7D12EE" w14:textId="77777777" w:rsidR="00127ECA" w:rsidRPr="000C6A67" w:rsidRDefault="00127ECA" w:rsidP="00C74E50">
            <w:pPr>
              <w:spacing w:after="0" w:line="240" w:lineRule="auto"/>
              <w:jc w:val="center"/>
              <w:rPr>
                <w:rFonts w:ascii="Arial" w:eastAsia="Times New Roman" w:hAnsi="Arial" w:cs="Arial"/>
                <w:b/>
                <w:bCs/>
                <w:color w:val="000000"/>
                <w:sz w:val="20"/>
                <w:szCs w:val="20"/>
                <w:lang w:eastAsia="ro-RO"/>
              </w:rPr>
            </w:pPr>
            <w:r w:rsidRPr="000C6A67">
              <w:rPr>
                <w:rFonts w:ascii="Arial" w:eastAsia="Times New Roman" w:hAnsi="Arial" w:cs="Arial"/>
                <w:b/>
                <w:bCs/>
                <w:color w:val="000000"/>
                <w:sz w:val="20"/>
                <w:szCs w:val="20"/>
                <w:lang w:eastAsia="ro-RO"/>
              </w:rPr>
              <w:t>Ponderea punctelor de monitorizare  cu concentrație mai mare de 0</w:t>
            </w:r>
            <w:r>
              <w:rPr>
                <w:rFonts w:ascii="Arial" w:eastAsia="Times New Roman" w:hAnsi="Arial" w:cs="Arial"/>
                <w:b/>
                <w:bCs/>
                <w:color w:val="000000"/>
                <w:sz w:val="20"/>
                <w:szCs w:val="20"/>
                <w:lang w:eastAsia="ro-RO"/>
              </w:rPr>
              <w:t>,</w:t>
            </w:r>
            <w:r w:rsidRPr="000C6A67">
              <w:rPr>
                <w:rFonts w:ascii="Arial" w:eastAsia="Times New Roman" w:hAnsi="Arial" w:cs="Arial"/>
                <w:b/>
                <w:bCs/>
                <w:color w:val="000000"/>
                <w:sz w:val="20"/>
                <w:szCs w:val="20"/>
                <w:lang w:eastAsia="ro-RO"/>
              </w:rPr>
              <w:t>1µg/L din nr. punctelor în care se monitorizează pesticidele (%)</w:t>
            </w:r>
          </w:p>
        </w:tc>
        <w:tc>
          <w:tcPr>
            <w:tcW w:w="900" w:type="dxa"/>
            <w:tcBorders>
              <w:top w:val="nil"/>
              <w:left w:val="nil"/>
              <w:bottom w:val="single" w:sz="8" w:space="0" w:color="auto"/>
              <w:right w:val="single" w:sz="8" w:space="0" w:color="auto"/>
            </w:tcBorders>
            <w:shd w:val="clear" w:color="auto" w:fill="auto"/>
            <w:vAlign w:val="center"/>
            <w:hideMark/>
          </w:tcPr>
          <w:p w14:paraId="6B4C05C1"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6,3</w:t>
            </w:r>
          </w:p>
        </w:tc>
        <w:tc>
          <w:tcPr>
            <w:tcW w:w="990" w:type="dxa"/>
            <w:tcBorders>
              <w:top w:val="nil"/>
              <w:left w:val="nil"/>
              <w:bottom w:val="single" w:sz="8" w:space="0" w:color="auto"/>
              <w:right w:val="single" w:sz="8" w:space="0" w:color="auto"/>
            </w:tcBorders>
            <w:shd w:val="clear" w:color="000000" w:fill="FFFFFF"/>
            <w:vAlign w:val="center"/>
            <w:hideMark/>
          </w:tcPr>
          <w:p w14:paraId="5E85C063"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3,31</w:t>
            </w:r>
          </w:p>
        </w:tc>
        <w:tc>
          <w:tcPr>
            <w:tcW w:w="990" w:type="dxa"/>
            <w:tcBorders>
              <w:top w:val="nil"/>
              <w:left w:val="nil"/>
              <w:bottom w:val="single" w:sz="8" w:space="0" w:color="auto"/>
              <w:right w:val="single" w:sz="8" w:space="0" w:color="auto"/>
            </w:tcBorders>
            <w:shd w:val="clear" w:color="000000" w:fill="FFFFFF"/>
            <w:vAlign w:val="center"/>
            <w:hideMark/>
          </w:tcPr>
          <w:p w14:paraId="4C3278CB"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sidRPr="000C6A67">
              <w:rPr>
                <w:rFonts w:ascii="Arial" w:eastAsia="Times New Roman" w:hAnsi="Arial" w:cs="Arial"/>
                <w:color w:val="000000"/>
                <w:sz w:val="20"/>
                <w:szCs w:val="20"/>
                <w:lang w:eastAsia="ro-RO"/>
              </w:rPr>
              <w:t>2,0</w:t>
            </w:r>
          </w:p>
        </w:tc>
        <w:tc>
          <w:tcPr>
            <w:tcW w:w="990" w:type="dxa"/>
            <w:tcBorders>
              <w:top w:val="nil"/>
              <w:left w:val="nil"/>
              <w:bottom w:val="single" w:sz="8" w:space="0" w:color="auto"/>
              <w:right w:val="nil"/>
            </w:tcBorders>
            <w:shd w:val="clear" w:color="auto" w:fill="auto"/>
            <w:noWrap/>
            <w:vAlign w:val="center"/>
            <w:hideMark/>
          </w:tcPr>
          <w:p w14:paraId="4750F3FD"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w:t>
            </w:r>
            <w:r w:rsidRPr="000C6A67">
              <w:rPr>
                <w:rFonts w:ascii="Arial" w:eastAsia="Times New Roman" w:hAnsi="Arial" w:cs="Arial"/>
                <w:color w:val="000000"/>
                <w:sz w:val="20"/>
                <w:szCs w:val="20"/>
                <w:lang w:eastAsia="ro-RO"/>
              </w:rPr>
              <w:t>94</w:t>
            </w:r>
          </w:p>
        </w:tc>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07AD0E80"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w:t>
            </w:r>
            <w:r w:rsidRPr="000C6A67">
              <w:rPr>
                <w:rFonts w:ascii="Arial" w:eastAsia="Times New Roman" w:hAnsi="Arial" w:cs="Arial"/>
                <w:color w:val="000000"/>
                <w:sz w:val="20"/>
                <w:szCs w:val="20"/>
                <w:lang w:eastAsia="ro-RO"/>
              </w:rPr>
              <w:t>55</w:t>
            </w:r>
          </w:p>
        </w:tc>
        <w:tc>
          <w:tcPr>
            <w:tcW w:w="990" w:type="dxa"/>
            <w:tcBorders>
              <w:top w:val="nil"/>
              <w:left w:val="nil"/>
              <w:bottom w:val="single" w:sz="4" w:space="0" w:color="auto"/>
              <w:right w:val="single" w:sz="4" w:space="0" w:color="auto"/>
            </w:tcBorders>
            <w:shd w:val="clear" w:color="auto" w:fill="auto"/>
            <w:noWrap/>
            <w:vAlign w:val="center"/>
            <w:hideMark/>
          </w:tcPr>
          <w:p w14:paraId="1511F2F5" w14:textId="77777777" w:rsidR="00127ECA" w:rsidRPr="000C6A67"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w:t>
            </w:r>
            <w:r w:rsidRPr="000C6A67">
              <w:rPr>
                <w:rFonts w:ascii="Arial" w:eastAsia="Times New Roman" w:hAnsi="Arial" w:cs="Arial"/>
                <w:color w:val="000000"/>
                <w:sz w:val="20"/>
                <w:szCs w:val="20"/>
                <w:lang w:eastAsia="ro-RO"/>
              </w:rPr>
              <w:t>25</w:t>
            </w:r>
          </w:p>
        </w:tc>
        <w:tc>
          <w:tcPr>
            <w:tcW w:w="990" w:type="dxa"/>
            <w:tcBorders>
              <w:top w:val="nil"/>
              <w:left w:val="nil"/>
              <w:bottom w:val="single" w:sz="4" w:space="0" w:color="auto"/>
              <w:right w:val="single" w:sz="4" w:space="0" w:color="auto"/>
            </w:tcBorders>
            <w:vAlign w:val="center"/>
          </w:tcPr>
          <w:p w14:paraId="6CA26C28" w14:textId="77777777" w:rsidR="00127ECA"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0,29</w:t>
            </w:r>
          </w:p>
        </w:tc>
        <w:tc>
          <w:tcPr>
            <w:tcW w:w="900" w:type="dxa"/>
            <w:tcBorders>
              <w:top w:val="nil"/>
              <w:left w:val="nil"/>
              <w:bottom w:val="single" w:sz="4" w:space="0" w:color="auto"/>
              <w:right w:val="single" w:sz="4" w:space="0" w:color="auto"/>
            </w:tcBorders>
            <w:vAlign w:val="center"/>
          </w:tcPr>
          <w:p w14:paraId="2E1C1B7D" w14:textId="77777777" w:rsidR="00127ECA" w:rsidRDefault="00127ECA" w:rsidP="00C74E50">
            <w:pPr>
              <w:spacing w:after="0" w:line="240" w:lineRule="auto"/>
              <w:jc w:val="center"/>
              <w:rPr>
                <w:rFonts w:ascii="Arial" w:eastAsia="Times New Roman" w:hAnsi="Arial" w:cs="Arial"/>
                <w:color w:val="000000"/>
                <w:sz w:val="20"/>
                <w:szCs w:val="20"/>
                <w:lang w:eastAsia="ro-RO"/>
              </w:rPr>
            </w:pPr>
          </w:p>
          <w:p w14:paraId="0757660D" w14:textId="77777777" w:rsidR="00127ECA" w:rsidRDefault="00127ECA" w:rsidP="00C74E50">
            <w:pPr>
              <w:spacing w:after="0" w:line="240" w:lineRule="auto"/>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1,39</w:t>
            </w:r>
          </w:p>
          <w:p w14:paraId="3EF2B9D2" w14:textId="77777777" w:rsidR="00127ECA" w:rsidRDefault="00127ECA" w:rsidP="00C74E50">
            <w:pPr>
              <w:spacing w:after="0" w:line="240" w:lineRule="auto"/>
              <w:jc w:val="center"/>
              <w:rPr>
                <w:rFonts w:ascii="Arial" w:eastAsia="Times New Roman" w:hAnsi="Arial" w:cs="Arial"/>
                <w:color w:val="000000"/>
                <w:sz w:val="20"/>
                <w:szCs w:val="20"/>
                <w:lang w:eastAsia="ro-RO"/>
              </w:rPr>
            </w:pPr>
          </w:p>
        </w:tc>
      </w:tr>
    </w:tbl>
    <w:p w14:paraId="311BB5B8" w14:textId="77777777" w:rsidR="00127ECA" w:rsidRPr="00505570" w:rsidRDefault="00127ECA" w:rsidP="00127ECA">
      <w:pPr>
        <w:spacing w:after="0"/>
        <w:ind w:left="900" w:hanging="900"/>
        <w:jc w:val="both"/>
        <w:rPr>
          <w:rFonts w:ascii="Arial" w:hAnsi="Arial" w:cs="Arial"/>
          <w:i/>
          <w:iCs/>
          <w:color w:val="FF0000"/>
          <w:sz w:val="20"/>
          <w:szCs w:val="20"/>
          <w:lang w:eastAsia="ro-RO"/>
        </w:rPr>
      </w:pPr>
      <w:r w:rsidRPr="00E36C00">
        <w:rPr>
          <w:rFonts w:ascii="Arial" w:hAnsi="Arial" w:cs="Arial"/>
          <w:i/>
          <w:iCs/>
          <w:sz w:val="20"/>
          <w:szCs w:val="20"/>
          <w:lang w:eastAsia="ro-RO"/>
        </w:rPr>
        <w:t>(Sursa: Administraţia Naţională “Apele Române”, Sinteza calităţii apelor din România în anul 2022</w:t>
      </w:r>
      <w:r w:rsidRPr="00052BA7">
        <w:rPr>
          <w:rFonts w:ascii="Arial" w:hAnsi="Arial" w:cs="Arial"/>
          <w:i/>
          <w:iCs/>
          <w:sz w:val="20"/>
          <w:szCs w:val="20"/>
          <w:lang w:eastAsia="ro-RO"/>
        </w:rPr>
        <w:t>)</w:t>
      </w:r>
    </w:p>
    <w:p w14:paraId="0F1717CF"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03F91584"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05BB125B"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74BBDB06"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65CE72F2"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3C1C9697"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2FC9EF2E"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70E986C2"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49E3B284"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3F445D7A"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3CC2DDE6" w14:textId="77777777" w:rsidR="00127ECA" w:rsidRDefault="00127ECA" w:rsidP="00127ECA">
      <w:pPr>
        <w:spacing w:line="240" w:lineRule="auto"/>
        <w:jc w:val="both"/>
        <w:rPr>
          <w:rFonts w:ascii="Arial" w:eastAsia="Times New Roman" w:hAnsi="Arial" w:cs="Arial"/>
          <w:b/>
          <w:i/>
          <w:color w:val="FF0000"/>
          <w:sz w:val="16"/>
          <w:szCs w:val="16"/>
          <w:lang w:eastAsia="ro-RO"/>
        </w:rPr>
      </w:pPr>
    </w:p>
    <w:p w14:paraId="1AC78C76" w14:textId="77777777" w:rsidR="00127ECA" w:rsidRPr="00B11BCF" w:rsidRDefault="00127ECA" w:rsidP="00127ECA">
      <w:pPr>
        <w:spacing w:after="0" w:line="240" w:lineRule="auto"/>
        <w:jc w:val="both"/>
        <w:rPr>
          <w:rFonts w:ascii="Arial" w:eastAsia="Times New Roman" w:hAnsi="Arial" w:cs="Arial"/>
          <w:b/>
          <w:i/>
          <w:sz w:val="20"/>
          <w:szCs w:val="16"/>
          <w:lang w:eastAsia="ro-RO"/>
        </w:rPr>
      </w:pPr>
      <w:r w:rsidRPr="00363DED">
        <w:rPr>
          <w:rFonts w:ascii="Arial" w:eastAsia="Times New Roman" w:hAnsi="Arial" w:cs="Arial"/>
          <w:b/>
          <w:bCs/>
          <w:i/>
          <w:sz w:val="20"/>
          <w:szCs w:val="16"/>
          <w:lang w:eastAsia="ro-RO"/>
        </w:rPr>
        <w:t>Tabel II.2.</w:t>
      </w:r>
      <w:r>
        <w:rPr>
          <w:rFonts w:ascii="Arial" w:eastAsia="Times New Roman" w:hAnsi="Arial" w:cs="Arial"/>
          <w:b/>
          <w:bCs/>
          <w:i/>
          <w:sz w:val="20"/>
          <w:szCs w:val="16"/>
          <w:lang w:eastAsia="ro-RO"/>
        </w:rPr>
        <w:t>1</w:t>
      </w:r>
      <w:r w:rsidRPr="00363DED">
        <w:rPr>
          <w:rFonts w:ascii="Arial" w:eastAsia="Times New Roman" w:hAnsi="Arial" w:cs="Arial"/>
          <w:b/>
          <w:bCs/>
          <w:i/>
          <w:sz w:val="20"/>
          <w:szCs w:val="16"/>
          <w:lang w:eastAsia="ro-RO"/>
        </w:rPr>
        <w:t>.</w:t>
      </w:r>
      <w:r>
        <w:rPr>
          <w:rFonts w:ascii="Arial" w:eastAsia="Times New Roman" w:hAnsi="Arial" w:cs="Arial"/>
          <w:b/>
          <w:bCs/>
          <w:i/>
          <w:sz w:val="20"/>
          <w:szCs w:val="16"/>
          <w:lang w:eastAsia="ro-RO"/>
        </w:rPr>
        <w:t>3.</w:t>
      </w:r>
      <w:r w:rsidRPr="00363DED">
        <w:rPr>
          <w:rFonts w:ascii="Arial" w:eastAsia="Times New Roman" w:hAnsi="Arial" w:cs="Arial"/>
          <w:b/>
          <w:bCs/>
          <w:i/>
          <w:sz w:val="20"/>
          <w:szCs w:val="16"/>
          <w:lang w:eastAsia="ro-RO"/>
        </w:rPr>
        <w:t xml:space="preserve">4. Numărul punctele </w:t>
      </w:r>
      <w:r>
        <w:rPr>
          <w:rFonts w:ascii="Arial" w:eastAsia="Times New Roman" w:hAnsi="Arial" w:cs="Arial"/>
          <w:b/>
          <w:bCs/>
          <w:i/>
          <w:sz w:val="20"/>
          <w:szCs w:val="16"/>
          <w:lang w:eastAsia="ro-RO"/>
        </w:rPr>
        <w:t xml:space="preserve">de </w:t>
      </w:r>
      <w:r w:rsidRPr="00363DED">
        <w:rPr>
          <w:rFonts w:ascii="Arial" w:eastAsia="Times New Roman" w:hAnsi="Arial" w:cs="Arial"/>
          <w:b/>
          <w:bCs/>
          <w:i/>
          <w:sz w:val="20"/>
          <w:szCs w:val="16"/>
          <w:lang w:eastAsia="ro-RO"/>
        </w:rPr>
        <w:t>monitoriza</w:t>
      </w:r>
      <w:r>
        <w:rPr>
          <w:rFonts w:ascii="Arial" w:eastAsia="Times New Roman" w:hAnsi="Arial" w:cs="Arial"/>
          <w:b/>
          <w:bCs/>
          <w:i/>
          <w:sz w:val="20"/>
          <w:szCs w:val="16"/>
          <w:lang w:eastAsia="ro-RO"/>
        </w:rPr>
        <w:t>r</w:t>
      </w:r>
      <w:r w:rsidRPr="00363DED">
        <w:rPr>
          <w:rFonts w:ascii="Arial" w:eastAsia="Times New Roman" w:hAnsi="Arial" w:cs="Arial"/>
          <w:b/>
          <w:bCs/>
          <w:i/>
          <w:sz w:val="20"/>
          <w:szCs w:val="16"/>
          <w:lang w:eastAsia="ro-RO"/>
        </w:rPr>
        <w:t xml:space="preserve">e în care se </w:t>
      </w:r>
      <w:r>
        <w:rPr>
          <w:rFonts w:ascii="Arial" w:eastAsia="Times New Roman" w:hAnsi="Arial" w:cs="Arial"/>
          <w:b/>
          <w:bCs/>
          <w:i/>
          <w:sz w:val="20"/>
          <w:szCs w:val="16"/>
          <w:lang w:eastAsia="ro-RO"/>
        </w:rPr>
        <w:t>analizează</w:t>
      </w:r>
      <w:r w:rsidRPr="00363DED">
        <w:rPr>
          <w:rFonts w:ascii="Arial" w:eastAsia="Times New Roman" w:hAnsi="Arial" w:cs="Arial"/>
          <w:b/>
          <w:bCs/>
          <w:i/>
          <w:sz w:val="20"/>
          <w:szCs w:val="16"/>
          <w:lang w:eastAsia="ro-RO"/>
        </w:rPr>
        <w:t xml:space="preserve"> pesticidele și nr. punctelor  cu c</w:t>
      </w:r>
      <w:r>
        <w:rPr>
          <w:rFonts w:ascii="Arial" w:eastAsia="Times New Roman" w:hAnsi="Arial" w:cs="Arial"/>
          <w:b/>
          <w:bCs/>
          <w:i/>
          <w:sz w:val="20"/>
          <w:szCs w:val="16"/>
          <w:lang w:eastAsia="ro-RO"/>
        </w:rPr>
        <w:t xml:space="preserve">oncentrație mai mare de 0,1µg/L </w:t>
      </w:r>
      <w:r w:rsidRPr="00363DED">
        <w:rPr>
          <w:rFonts w:ascii="Arial" w:eastAsia="Times New Roman" w:hAnsi="Arial" w:cs="Arial"/>
          <w:b/>
          <w:bCs/>
          <w:i/>
          <w:sz w:val="20"/>
          <w:szCs w:val="16"/>
          <w:lang w:eastAsia="ro-RO"/>
        </w:rPr>
        <w:t>în anul 20</w:t>
      </w:r>
      <w:r>
        <w:rPr>
          <w:rFonts w:ascii="Arial" w:eastAsia="Times New Roman" w:hAnsi="Arial" w:cs="Arial"/>
          <w:b/>
          <w:bCs/>
          <w:i/>
          <w:sz w:val="20"/>
          <w:szCs w:val="16"/>
          <w:lang w:eastAsia="ro-RO"/>
        </w:rPr>
        <w:t>22</w:t>
      </w:r>
    </w:p>
    <w:tbl>
      <w:tblPr>
        <w:tblW w:w="8995" w:type="dxa"/>
        <w:jc w:val="center"/>
        <w:tblLook w:val="04A0" w:firstRow="1" w:lastRow="0" w:firstColumn="1" w:lastColumn="0" w:noHBand="0" w:noVBand="1"/>
      </w:tblPr>
      <w:tblGrid>
        <w:gridCol w:w="625"/>
        <w:gridCol w:w="2965"/>
        <w:gridCol w:w="2795"/>
        <w:gridCol w:w="2610"/>
      </w:tblGrid>
      <w:tr w:rsidR="00127ECA" w:rsidRPr="00BC348E" w14:paraId="2727DDCE" w14:textId="77777777" w:rsidTr="00C74E50">
        <w:trPr>
          <w:trHeight w:val="890"/>
          <w:jc w:val="center"/>
        </w:trPr>
        <w:tc>
          <w:tcPr>
            <w:tcW w:w="625"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4643E6A" w14:textId="77777777" w:rsidR="00127ECA" w:rsidRPr="00BC348E" w:rsidRDefault="00127ECA" w:rsidP="00C74E50">
            <w:pPr>
              <w:spacing w:after="0" w:line="240" w:lineRule="auto"/>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Nr. crt.</w:t>
            </w:r>
          </w:p>
        </w:tc>
        <w:tc>
          <w:tcPr>
            <w:tcW w:w="2965" w:type="dxa"/>
            <w:tcBorders>
              <w:top w:val="single" w:sz="4" w:space="0" w:color="auto"/>
              <w:left w:val="nil"/>
              <w:bottom w:val="single" w:sz="4" w:space="0" w:color="auto"/>
              <w:right w:val="single" w:sz="4" w:space="0" w:color="auto"/>
            </w:tcBorders>
            <w:shd w:val="clear" w:color="auto" w:fill="00B0F0"/>
            <w:vAlign w:val="center"/>
            <w:hideMark/>
          </w:tcPr>
          <w:p w14:paraId="44BB6783" w14:textId="77777777" w:rsidR="00127ECA" w:rsidRPr="00BC348E" w:rsidRDefault="00127ECA" w:rsidP="00C74E50">
            <w:pPr>
              <w:spacing w:after="0" w:line="240" w:lineRule="auto"/>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Pesticide</w:t>
            </w:r>
          </w:p>
        </w:tc>
        <w:tc>
          <w:tcPr>
            <w:tcW w:w="2795" w:type="dxa"/>
            <w:tcBorders>
              <w:top w:val="single" w:sz="4" w:space="0" w:color="auto"/>
              <w:left w:val="nil"/>
              <w:bottom w:val="single" w:sz="4" w:space="0" w:color="auto"/>
              <w:right w:val="single" w:sz="4" w:space="0" w:color="auto"/>
            </w:tcBorders>
            <w:shd w:val="clear" w:color="auto" w:fill="00B0F0"/>
            <w:vAlign w:val="center"/>
            <w:hideMark/>
          </w:tcPr>
          <w:p w14:paraId="647EE1EE" w14:textId="77777777" w:rsidR="00127ECA" w:rsidRPr="00BC348E" w:rsidRDefault="00127ECA" w:rsidP="00C74E50">
            <w:pPr>
              <w:spacing w:after="0" w:line="240" w:lineRule="auto"/>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Nr. de puncte în care se monitorizează pesticide</w:t>
            </w:r>
          </w:p>
        </w:tc>
        <w:tc>
          <w:tcPr>
            <w:tcW w:w="2610" w:type="dxa"/>
            <w:tcBorders>
              <w:top w:val="single" w:sz="4" w:space="0" w:color="auto"/>
              <w:left w:val="nil"/>
              <w:bottom w:val="single" w:sz="4" w:space="0" w:color="auto"/>
              <w:right w:val="single" w:sz="4" w:space="0" w:color="auto"/>
            </w:tcBorders>
            <w:shd w:val="clear" w:color="auto" w:fill="00B0F0"/>
            <w:vAlign w:val="center"/>
            <w:hideMark/>
          </w:tcPr>
          <w:p w14:paraId="72AE6364" w14:textId="77777777" w:rsidR="00127ECA" w:rsidRPr="00BC348E" w:rsidRDefault="00127ECA" w:rsidP="00C74E50">
            <w:pPr>
              <w:spacing w:after="0" w:line="240" w:lineRule="auto"/>
              <w:jc w:val="center"/>
              <w:rPr>
                <w:rFonts w:ascii="Arial" w:eastAsia="Times New Roman" w:hAnsi="Arial" w:cs="Arial"/>
                <w:b/>
                <w:bCs/>
                <w:color w:val="000000"/>
                <w:lang w:eastAsia="ro-RO"/>
              </w:rPr>
            </w:pPr>
            <w:r w:rsidRPr="00BC348E">
              <w:rPr>
                <w:rFonts w:ascii="Arial" w:eastAsia="Times New Roman" w:hAnsi="Arial" w:cs="Arial"/>
                <w:b/>
                <w:bCs/>
                <w:color w:val="000000"/>
                <w:lang w:eastAsia="ro-RO"/>
              </w:rPr>
              <w:t>Nr. puncte de monitorizare cu conc. &gt; 0,1 µg/L</w:t>
            </w:r>
          </w:p>
        </w:tc>
      </w:tr>
      <w:tr w:rsidR="00127ECA" w:rsidRPr="00BC348E" w14:paraId="05696D6B" w14:textId="77777777" w:rsidTr="00C74E50">
        <w:trPr>
          <w:trHeight w:val="390"/>
          <w:jc w:val="center"/>
        </w:trPr>
        <w:tc>
          <w:tcPr>
            <w:tcW w:w="62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F74DFA8"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w:t>
            </w:r>
          </w:p>
        </w:tc>
        <w:tc>
          <w:tcPr>
            <w:tcW w:w="2965" w:type="dxa"/>
            <w:tcBorders>
              <w:top w:val="single" w:sz="4" w:space="0" w:color="auto"/>
              <w:left w:val="nil"/>
              <w:bottom w:val="single" w:sz="4" w:space="0" w:color="auto"/>
              <w:right w:val="single" w:sz="4" w:space="0" w:color="auto"/>
            </w:tcBorders>
            <w:shd w:val="clear" w:color="auto" w:fill="auto"/>
            <w:vAlign w:val="center"/>
            <w:hideMark/>
          </w:tcPr>
          <w:p w14:paraId="01B5163D"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alfa - Hexaclorciclohexan</w:t>
            </w:r>
          </w:p>
        </w:tc>
        <w:tc>
          <w:tcPr>
            <w:tcW w:w="2795" w:type="dxa"/>
            <w:tcBorders>
              <w:top w:val="single" w:sz="4" w:space="0" w:color="auto"/>
              <w:left w:val="nil"/>
              <w:bottom w:val="single" w:sz="4" w:space="0" w:color="auto"/>
              <w:right w:val="single" w:sz="4" w:space="0" w:color="auto"/>
            </w:tcBorders>
            <w:shd w:val="clear" w:color="auto" w:fill="auto"/>
            <w:noWrap/>
            <w:vAlign w:val="center"/>
            <w:hideMark/>
          </w:tcPr>
          <w:p w14:paraId="1B22CC59"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203</w:t>
            </w:r>
          </w:p>
        </w:tc>
        <w:tc>
          <w:tcPr>
            <w:tcW w:w="2610" w:type="dxa"/>
            <w:tcBorders>
              <w:top w:val="single" w:sz="4" w:space="0" w:color="auto"/>
              <w:left w:val="nil"/>
              <w:bottom w:val="single" w:sz="4" w:space="0" w:color="auto"/>
              <w:right w:val="single" w:sz="8" w:space="0" w:color="auto"/>
            </w:tcBorders>
            <w:shd w:val="clear" w:color="auto" w:fill="auto"/>
            <w:noWrap/>
            <w:vAlign w:val="center"/>
            <w:hideMark/>
          </w:tcPr>
          <w:p w14:paraId="21062FED"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37437A97" w14:textId="77777777" w:rsidTr="00C74E50">
        <w:trPr>
          <w:trHeight w:val="552"/>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8975EF0"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w:t>
            </w:r>
          </w:p>
        </w:tc>
        <w:tc>
          <w:tcPr>
            <w:tcW w:w="2965" w:type="dxa"/>
            <w:tcBorders>
              <w:top w:val="nil"/>
              <w:left w:val="nil"/>
              <w:bottom w:val="single" w:sz="4" w:space="0" w:color="auto"/>
              <w:right w:val="single" w:sz="4" w:space="0" w:color="auto"/>
            </w:tcBorders>
            <w:shd w:val="clear" w:color="auto" w:fill="auto"/>
            <w:vAlign w:val="center"/>
            <w:hideMark/>
          </w:tcPr>
          <w:p w14:paraId="2221F874"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beta - Hexaclorciclohexan</w:t>
            </w:r>
          </w:p>
        </w:tc>
        <w:tc>
          <w:tcPr>
            <w:tcW w:w="2795" w:type="dxa"/>
            <w:tcBorders>
              <w:top w:val="nil"/>
              <w:left w:val="nil"/>
              <w:bottom w:val="single" w:sz="4" w:space="0" w:color="auto"/>
              <w:right w:val="single" w:sz="4" w:space="0" w:color="auto"/>
            </w:tcBorders>
            <w:shd w:val="clear" w:color="auto" w:fill="auto"/>
            <w:noWrap/>
            <w:vAlign w:val="center"/>
            <w:hideMark/>
          </w:tcPr>
          <w:p w14:paraId="0C4536C3"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203</w:t>
            </w:r>
          </w:p>
        </w:tc>
        <w:tc>
          <w:tcPr>
            <w:tcW w:w="2610" w:type="dxa"/>
            <w:tcBorders>
              <w:top w:val="nil"/>
              <w:left w:val="nil"/>
              <w:bottom w:val="single" w:sz="4" w:space="0" w:color="auto"/>
              <w:right w:val="single" w:sz="8" w:space="0" w:color="auto"/>
            </w:tcBorders>
            <w:shd w:val="clear" w:color="auto" w:fill="auto"/>
            <w:noWrap/>
            <w:vAlign w:val="center"/>
            <w:hideMark/>
          </w:tcPr>
          <w:p w14:paraId="5652884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172915FD"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2C2C86D"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3</w:t>
            </w:r>
          </w:p>
        </w:tc>
        <w:tc>
          <w:tcPr>
            <w:tcW w:w="2965" w:type="dxa"/>
            <w:tcBorders>
              <w:top w:val="nil"/>
              <w:left w:val="nil"/>
              <w:bottom w:val="single" w:sz="4" w:space="0" w:color="auto"/>
              <w:right w:val="single" w:sz="4" w:space="0" w:color="auto"/>
            </w:tcBorders>
            <w:shd w:val="clear" w:color="000000" w:fill="FFFFFF"/>
            <w:vAlign w:val="center"/>
            <w:hideMark/>
          </w:tcPr>
          <w:p w14:paraId="758FC1B4"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gama HCH - Lindan</w:t>
            </w:r>
          </w:p>
        </w:tc>
        <w:tc>
          <w:tcPr>
            <w:tcW w:w="2795" w:type="dxa"/>
            <w:tcBorders>
              <w:top w:val="nil"/>
              <w:left w:val="nil"/>
              <w:bottom w:val="single" w:sz="4" w:space="0" w:color="auto"/>
              <w:right w:val="single" w:sz="4" w:space="0" w:color="auto"/>
            </w:tcBorders>
            <w:shd w:val="clear" w:color="auto" w:fill="auto"/>
            <w:noWrap/>
            <w:vAlign w:val="center"/>
            <w:hideMark/>
          </w:tcPr>
          <w:p w14:paraId="27071ADE"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274</w:t>
            </w:r>
          </w:p>
        </w:tc>
        <w:tc>
          <w:tcPr>
            <w:tcW w:w="2610" w:type="dxa"/>
            <w:tcBorders>
              <w:top w:val="nil"/>
              <w:left w:val="nil"/>
              <w:bottom w:val="single" w:sz="4" w:space="0" w:color="auto"/>
              <w:right w:val="single" w:sz="8" w:space="0" w:color="auto"/>
            </w:tcBorders>
            <w:shd w:val="clear" w:color="auto" w:fill="auto"/>
            <w:noWrap/>
            <w:vAlign w:val="center"/>
            <w:hideMark/>
          </w:tcPr>
          <w:p w14:paraId="569E6F8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17FB707F"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1E3D4821"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4</w:t>
            </w:r>
          </w:p>
        </w:tc>
        <w:tc>
          <w:tcPr>
            <w:tcW w:w="2965" w:type="dxa"/>
            <w:tcBorders>
              <w:top w:val="nil"/>
              <w:left w:val="nil"/>
              <w:bottom w:val="single" w:sz="4" w:space="0" w:color="auto"/>
              <w:right w:val="single" w:sz="4" w:space="0" w:color="auto"/>
            </w:tcBorders>
            <w:shd w:val="clear" w:color="000000" w:fill="FFFFFF"/>
            <w:vAlign w:val="center"/>
            <w:hideMark/>
          </w:tcPr>
          <w:p w14:paraId="3004DCD3"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alfa-Endosulfan</w:t>
            </w:r>
          </w:p>
        </w:tc>
        <w:tc>
          <w:tcPr>
            <w:tcW w:w="2795" w:type="dxa"/>
            <w:tcBorders>
              <w:top w:val="nil"/>
              <w:left w:val="nil"/>
              <w:bottom w:val="single" w:sz="4" w:space="0" w:color="auto"/>
              <w:right w:val="single" w:sz="4" w:space="0" w:color="auto"/>
            </w:tcBorders>
            <w:shd w:val="clear" w:color="auto" w:fill="auto"/>
            <w:noWrap/>
            <w:vAlign w:val="center"/>
            <w:hideMark/>
          </w:tcPr>
          <w:p w14:paraId="45986564"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306</w:t>
            </w:r>
          </w:p>
        </w:tc>
        <w:tc>
          <w:tcPr>
            <w:tcW w:w="2610" w:type="dxa"/>
            <w:tcBorders>
              <w:top w:val="nil"/>
              <w:left w:val="nil"/>
              <w:bottom w:val="single" w:sz="4" w:space="0" w:color="auto"/>
              <w:right w:val="single" w:sz="8" w:space="0" w:color="auto"/>
            </w:tcBorders>
            <w:shd w:val="clear" w:color="auto" w:fill="auto"/>
            <w:noWrap/>
            <w:vAlign w:val="center"/>
            <w:hideMark/>
          </w:tcPr>
          <w:p w14:paraId="027685E6"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7CB39711"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24176480"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5</w:t>
            </w:r>
          </w:p>
        </w:tc>
        <w:tc>
          <w:tcPr>
            <w:tcW w:w="2965" w:type="dxa"/>
            <w:tcBorders>
              <w:top w:val="nil"/>
              <w:left w:val="nil"/>
              <w:bottom w:val="single" w:sz="4" w:space="0" w:color="auto"/>
              <w:right w:val="single" w:sz="4" w:space="0" w:color="auto"/>
            </w:tcBorders>
            <w:shd w:val="clear" w:color="000000" w:fill="FFFFFF"/>
            <w:vAlign w:val="center"/>
            <w:hideMark/>
          </w:tcPr>
          <w:p w14:paraId="30773AFF"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beta-Endosulfan</w:t>
            </w:r>
          </w:p>
        </w:tc>
        <w:tc>
          <w:tcPr>
            <w:tcW w:w="2795" w:type="dxa"/>
            <w:tcBorders>
              <w:top w:val="nil"/>
              <w:left w:val="nil"/>
              <w:bottom w:val="single" w:sz="4" w:space="0" w:color="auto"/>
              <w:right w:val="single" w:sz="4" w:space="0" w:color="auto"/>
            </w:tcBorders>
            <w:shd w:val="clear" w:color="auto" w:fill="auto"/>
            <w:noWrap/>
            <w:vAlign w:val="center"/>
            <w:hideMark/>
          </w:tcPr>
          <w:p w14:paraId="691F20D3"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306</w:t>
            </w:r>
          </w:p>
        </w:tc>
        <w:tc>
          <w:tcPr>
            <w:tcW w:w="2610" w:type="dxa"/>
            <w:tcBorders>
              <w:top w:val="nil"/>
              <w:left w:val="nil"/>
              <w:bottom w:val="single" w:sz="4" w:space="0" w:color="auto"/>
              <w:right w:val="single" w:sz="8" w:space="0" w:color="auto"/>
            </w:tcBorders>
            <w:shd w:val="clear" w:color="auto" w:fill="auto"/>
            <w:noWrap/>
            <w:vAlign w:val="center"/>
            <w:hideMark/>
          </w:tcPr>
          <w:p w14:paraId="6A3B36D6"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6F616B82"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10B75386"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6</w:t>
            </w:r>
          </w:p>
        </w:tc>
        <w:tc>
          <w:tcPr>
            <w:tcW w:w="2965" w:type="dxa"/>
            <w:tcBorders>
              <w:top w:val="nil"/>
              <w:left w:val="nil"/>
              <w:bottom w:val="single" w:sz="4" w:space="0" w:color="auto"/>
              <w:right w:val="single" w:sz="4" w:space="0" w:color="auto"/>
            </w:tcBorders>
            <w:shd w:val="clear" w:color="000000" w:fill="FFFFFF"/>
            <w:vAlign w:val="center"/>
            <w:hideMark/>
          </w:tcPr>
          <w:p w14:paraId="640C0854"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Trifluralin</w:t>
            </w:r>
          </w:p>
        </w:tc>
        <w:tc>
          <w:tcPr>
            <w:tcW w:w="2795" w:type="dxa"/>
            <w:tcBorders>
              <w:top w:val="nil"/>
              <w:left w:val="nil"/>
              <w:bottom w:val="single" w:sz="4" w:space="0" w:color="auto"/>
              <w:right w:val="single" w:sz="4" w:space="0" w:color="auto"/>
            </w:tcBorders>
            <w:shd w:val="clear" w:color="auto" w:fill="auto"/>
            <w:noWrap/>
            <w:vAlign w:val="center"/>
            <w:hideMark/>
          </w:tcPr>
          <w:p w14:paraId="3CA877C0"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206</w:t>
            </w:r>
          </w:p>
        </w:tc>
        <w:tc>
          <w:tcPr>
            <w:tcW w:w="2610" w:type="dxa"/>
            <w:tcBorders>
              <w:top w:val="nil"/>
              <w:left w:val="nil"/>
              <w:bottom w:val="single" w:sz="4" w:space="0" w:color="auto"/>
              <w:right w:val="single" w:sz="8" w:space="0" w:color="auto"/>
            </w:tcBorders>
            <w:shd w:val="clear" w:color="auto" w:fill="auto"/>
            <w:noWrap/>
            <w:vAlign w:val="center"/>
            <w:hideMark/>
          </w:tcPr>
          <w:p w14:paraId="2606D68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w:t>
            </w:r>
          </w:p>
        </w:tc>
      </w:tr>
      <w:tr w:rsidR="00127ECA" w:rsidRPr="00BC348E" w14:paraId="657D9898"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07665257"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7</w:t>
            </w:r>
          </w:p>
        </w:tc>
        <w:tc>
          <w:tcPr>
            <w:tcW w:w="2965" w:type="dxa"/>
            <w:tcBorders>
              <w:top w:val="nil"/>
              <w:left w:val="nil"/>
              <w:bottom w:val="single" w:sz="4" w:space="0" w:color="auto"/>
              <w:right w:val="single" w:sz="4" w:space="0" w:color="auto"/>
            </w:tcBorders>
            <w:shd w:val="clear" w:color="000000" w:fill="FFFFFF"/>
            <w:vAlign w:val="center"/>
            <w:hideMark/>
          </w:tcPr>
          <w:p w14:paraId="7B718DAC"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Alaclor</w:t>
            </w:r>
          </w:p>
        </w:tc>
        <w:tc>
          <w:tcPr>
            <w:tcW w:w="2795" w:type="dxa"/>
            <w:tcBorders>
              <w:top w:val="nil"/>
              <w:left w:val="nil"/>
              <w:bottom w:val="single" w:sz="4" w:space="0" w:color="auto"/>
              <w:right w:val="single" w:sz="4" w:space="0" w:color="auto"/>
            </w:tcBorders>
            <w:shd w:val="clear" w:color="auto" w:fill="auto"/>
            <w:noWrap/>
            <w:vAlign w:val="center"/>
            <w:hideMark/>
          </w:tcPr>
          <w:p w14:paraId="4E54F6E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222</w:t>
            </w:r>
          </w:p>
        </w:tc>
        <w:tc>
          <w:tcPr>
            <w:tcW w:w="2610" w:type="dxa"/>
            <w:tcBorders>
              <w:top w:val="nil"/>
              <w:left w:val="nil"/>
              <w:bottom w:val="single" w:sz="4" w:space="0" w:color="auto"/>
              <w:right w:val="single" w:sz="8" w:space="0" w:color="auto"/>
            </w:tcBorders>
            <w:shd w:val="clear" w:color="auto" w:fill="auto"/>
            <w:noWrap/>
            <w:vAlign w:val="center"/>
            <w:hideMark/>
          </w:tcPr>
          <w:p w14:paraId="2C9183E4"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31CFEF26"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1E53E619"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8</w:t>
            </w:r>
          </w:p>
        </w:tc>
        <w:tc>
          <w:tcPr>
            <w:tcW w:w="2965" w:type="dxa"/>
            <w:tcBorders>
              <w:top w:val="nil"/>
              <w:left w:val="nil"/>
              <w:bottom w:val="single" w:sz="4" w:space="0" w:color="auto"/>
              <w:right w:val="single" w:sz="4" w:space="0" w:color="auto"/>
            </w:tcBorders>
            <w:shd w:val="clear" w:color="000000" w:fill="FFFFFF"/>
            <w:vAlign w:val="center"/>
            <w:hideMark/>
          </w:tcPr>
          <w:p w14:paraId="13AF0F9F"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Aldrin</w:t>
            </w:r>
          </w:p>
        </w:tc>
        <w:tc>
          <w:tcPr>
            <w:tcW w:w="2795" w:type="dxa"/>
            <w:tcBorders>
              <w:top w:val="nil"/>
              <w:left w:val="nil"/>
              <w:bottom w:val="single" w:sz="4" w:space="0" w:color="auto"/>
              <w:right w:val="single" w:sz="4" w:space="0" w:color="auto"/>
            </w:tcBorders>
            <w:shd w:val="clear" w:color="auto" w:fill="auto"/>
            <w:noWrap/>
            <w:vAlign w:val="center"/>
            <w:hideMark/>
          </w:tcPr>
          <w:p w14:paraId="3DF705A1"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192</w:t>
            </w:r>
          </w:p>
        </w:tc>
        <w:tc>
          <w:tcPr>
            <w:tcW w:w="2610" w:type="dxa"/>
            <w:tcBorders>
              <w:top w:val="nil"/>
              <w:left w:val="nil"/>
              <w:bottom w:val="single" w:sz="4" w:space="0" w:color="auto"/>
              <w:right w:val="single" w:sz="8" w:space="0" w:color="auto"/>
            </w:tcBorders>
            <w:shd w:val="clear" w:color="auto" w:fill="auto"/>
            <w:noWrap/>
            <w:vAlign w:val="center"/>
            <w:hideMark/>
          </w:tcPr>
          <w:p w14:paraId="489FB42D"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1B3A33B9"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1116659D"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9</w:t>
            </w:r>
          </w:p>
        </w:tc>
        <w:tc>
          <w:tcPr>
            <w:tcW w:w="2965" w:type="dxa"/>
            <w:tcBorders>
              <w:top w:val="nil"/>
              <w:left w:val="nil"/>
              <w:bottom w:val="single" w:sz="4" w:space="0" w:color="auto"/>
              <w:right w:val="single" w:sz="4" w:space="0" w:color="auto"/>
            </w:tcBorders>
            <w:shd w:val="clear" w:color="000000" w:fill="FFFFFF"/>
            <w:vAlign w:val="center"/>
            <w:hideMark/>
          </w:tcPr>
          <w:p w14:paraId="23450597"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Atrazin</w:t>
            </w:r>
          </w:p>
        </w:tc>
        <w:tc>
          <w:tcPr>
            <w:tcW w:w="2795" w:type="dxa"/>
            <w:tcBorders>
              <w:top w:val="nil"/>
              <w:left w:val="nil"/>
              <w:bottom w:val="single" w:sz="4" w:space="0" w:color="auto"/>
              <w:right w:val="single" w:sz="4" w:space="0" w:color="auto"/>
            </w:tcBorders>
            <w:shd w:val="clear" w:color="auto" w:fill="auto"/>
            <w:noWrap/>
            <w:vAlign w:val="center"/>
            <w:hideMark/>
          </w:tcPr>
          <w:p w14:paraId="29F42542"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223</w:t>
            </w:r>
          </w:p>
        </w:tc>
        <w:tc>
          <w:tcPr>
            <w:tcW w:w="2610" w:type="dxa"/>
            <w:tcBorders>
              <w:top w:val="nil"/>
              <w:left w:val="nil"/>
              <w:bottom w:val="single" w:sz="4" w:space="0" w:color="auto"/>
              <w:right w:val="single" w:sz="8" w:space="0" w:color="auto"/>
            </w:tcBorders>
            <w:shd w:val="clear" w:color="auto" w:fill="auto"/>
            <w:noWrap/>
            <w:vAlign w:val="center"/>
            <w:hideMark/>
          </w:tcPr>
          <w:p w14:paraId="16461FAF"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4</w:t>
            </w:r>
          </w:p>
        </w:tc>
      </w:tr>
      <w:tr w:rsidR="00127ECA" w:rsidRPr="00BC348E" w14:paraId="1EECCB75"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22DF0E0F"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10</w:t>
            </w:r>
          </w:p>
        </w:tc>
        <w:tc>
          <w:tcPr>
            <w:tcW w:w="2965" w:type="dxa"/>
            <w:tcBorders>
              <w:top w:val="nil"/>
              <w:left w:val="nil"/>
              <w:bottom w:val="single" w:sz="4" w:space="0" w:color="auto"/>
              <w:right w:val="single" w:sz="4" w:space="0" w:color="auto"/>
            </w:tcBorders>
            <w:shd w:val="clear" w:color="000000" w:fill="FFFFFF"/>
            <w:vAlign w:val="center"/>
            <w:hideMark/>
          </w:tcPr>
          <w:p w14:paraId="622B24B9"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Clorfenvinfos</w:t>
            </w:r>
          </w:p>
        </w:tc>
        <w:tc>
          <w:tcPr>
            <w:tcW w:w="2795" w:type="dxa"/>
            <w:tcBorders>
              <w:top w:val="nil"/>
              <w:left w:val="nil"/>
              <w:bottom w:val="single" w:sz="4" w:space="0" w:color="auto"/>
              <w:right w:val="single" w:sz="4" w:space="0" w:color="auto"/>
            </w:tcBorders>
            <w:shd w:val="clear" w:color="auto" w:fill="auto"/>
            <w:noWrap/>
            <w:vAlign w:val="center"/>
            <w:hideMark/>
          </w:tcPr>
          <w:p w14:paraId="2C2CADC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204</w:t>
            </w:r>
          </w:p>
        </w:tc>
        <w:tc>
          <w:tcPr>
            <w:tcW w:w="2610" w:type="dxa"/>
            <w:tcBorders>
              <w:top w:val="nil"/>
              <w:left w:val="nil"/>
              <w:bottom w:val="single" w:sz="4" w:space="0" w:color="auto"/>
              <w:right w:val="single" w:sz="8" w:space="0" w:color="auto"/>
            </w:tcBorders>
            <w:shd w:val="clear" w:color="auto" w:fill="auto"/>
            <w:noWrap/>
            <w:vAlign w:val="center"/>
            <w:hideMark/>
          </w:tcPr>
          <w:p w14:paraId="4913FD64"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04EFCA5D"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7D461114"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11</w:t>
            </w:r>
          </w:p>
        </w:tc>
        <w:tc>
          <w:tcPr>
            <w:tcW w:w="2965" w:type="dxa"/>
            <w:tcBorders>
              <w:top w:val="nil"/>
              <w:left w:val="nil"/>
              <w:bottom w:val="single" w:sz="4" w:space="0" w:color="auto"/>
              <w:right w:val="single" w:sz="4" w:space="0" w:color="auto"/>
            </w:tcBorders>
            <w:shd w:val="clear" w:color="000000" w:fill="FFFFFF"/>
            <w:vAlign w:val="center"/>
            <w:hideMark/>
          </w:tcPr>
          <w:p w14:paraId="040A3AB5"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Clorpirifos</w:t>
            </w:r>
          </w:p>
        </w:tc>
        <w:tc>
          <w:tcPr>
            <w:tcW w:w="2795" w:type="dxa"/>
            <w:tcBorders>
              <w:top w:val="nil"/>
              <w:left w:val="nil"/>
              <w:bottom w:val="single" w:sz="4" w:space="0" w:color="auto"/>
              <w:right w:val="single" w:sz="4" w:space="0" w:color="auto"/>
            </w:tcBorders>
            <w:shd w:val="clear" w:color="auto" w:fill="auto"/>
            <w:noWrap/>
            <w:vAlign w:val="center"/>
            <w:hideMark/>
          </w:tcPr>
          <w:p w14:paraId="177AF0C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204</w:t>
            </w:r>
          </w:p>
        </w:tc>
        <w:tc>
          <w:tcPr>
            <w:tcW w:w="2610" w:type="dxa"/>
            <w:tcBorders>
              <w:top w:val="nil"/>
              <w:left w:val="nil"/>
              <w:bottom w:val="single" w:sz="4" w:space="0" w:color="auto"/>
              <w:right w:val="single" w:sz="8" w:space="0" w:color="auto"/>
            </w:tcBorders>
            <w:shd w:val="clear" w:color="auto" w:fill="auto"/>
            <w:noWrap/>
            <w:vAlign w:val="center"/>
            <w:hideMark/>
          </w:tcPr>
          <w:p w14:paraId="62738630"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59F6A04B" w14:textId="77777777" w:rsidTr="00C74E50">
        <w:trPr>
          <w:trHeight w:val="534"/>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7E330CFA"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12</w:t>
            </w:r>
          </w:p>
        </w:tc>
        <w:tc>
          <w:tcPr>
            <w:tcW w:w="2965" w:type="dxa"/>
            <w:tcBorders>
              <w:top w:val="nil"/>
              <w:left w:val="nil"/>
              <w:bottom w:val="single" w:sz="4" w:space="0" w:color="auto"/>
              <w:right w:val="single" w:sz="4" w:space="0" w:color="auto"/>
            </w:tcBorders>
            <w:shd w:val="clear" w:color="auto" w:fill="auto"/>
            <w:vAlign w:val="center"/>
            <w:hideMark/>
          </w:tcPr>
          <w:p w14:paraId="0785BFB2"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Diclorvos (fosfat de 2.2-diclorovinil si dimetil)</w:t>
            </w:r>
          </w:p>
        </w:tc>
        <w:tc>
          <w:tcPr>
            <w:tcW w:w="2795" w:type="dxa"/>
            <w:tcBorders>
              <w:top w:val="nil"/>
              <w:left w:val="nil"/>
              <w:bottom w:val="single" w:sz="4" w:space="0" w:color="auto"/>
              <w:right w:val="single" w:sz="4" w:space="0" w:color="auto"/>
            </w:tcBorders>
            <w:shd w:val="clear" w:color="auto" w:fill="auto"/>
            <w:noWrap/>
            <w:vAlign w:val="center"/>
            <w:hideMark/>
          </w:tcPr>
          <w:p w14:paraId="3117C04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204</w:t>
            </w:r>
          </w:p>
        </w:tc>
        <w:tc>
          <w:tcPr>
            <w:tcW w:w="2610" w:type="dxa"/>
            <w:tcBorders>
              <w:top w:val="nil"/>
              <w:left w:val="nil"/>
              <w:bottom w:val="single" w:sz="4" w:space="0" w:color="auto"/>
              <w:right w:val="single" w:sz="8" w:space="0" w:color="auto"/>
            </w:tcBorders>
            <w:shd w:val="clear" w:color="auto" w:fill="auto"/>
            <w:noWrap/>
            <w:vAlign w:val="center"/>
            <w:hideMark/>
          </w:tcPr>
          <w:p w14:paraId="7738D2A9"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6E6877A6" w14:textId="77777777" w:rsidTr="00C74E50">
        <w:trPr>
          <w:trHeight w:val="276"/>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657043AC"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13</w:t>
            </w:r>
          </w:p>
        </w:tc>
        <w:tc>
          <w:tcPr>
            <w:tcW w:w="2965" w:type="dxa"/>
            <w:tcBorders>
              <w:top w:val="nil"/>
              <w:left w:val="nil"/>
              <w:bottom w:val="single" w:sz="4" w:space="0" w:color="auto"/>
              <w:right w:val="single" w:sz="4" w:space="0" w:color="auto"/>
            </w:tcBorders>
            <w:shd w:val="clear" w:color="000000" w:fill="FFFFFF"/>
            <w:vAlign w:val="center"/>
            <w:hideMark/>
          </w:tcPr>
          <w:p w14:paraId="1EE102F1"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Dieldrin</w:t>
            </w:r>
          </w:p>
        </w:tc>
        <w:tc>
          <w:tcPr>
            <w:tcW w:w="2795" w:type="dxa"/>
            <w:tcBorders>
              <w:top w:val="nil"/>
              <w:left w:val="nil"/>
              <w:bottom w:val="single" w:sz="4" w:space="0" w:color="auto"/>
              <w:right w:val="single" w:sz="4" w:space="0" w:color="auto"/>
            </w:tcBorders>
            <w:shd w:val="clear" w:color="auto" w:fill="auto"/>
            <w:noWrap/>
            <w:vAlign w:val="center"/>
            <w:hideMark/>
          </w:tcPr>
          <w:p w14:paraId="393A88C8"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244</w:t>
            </w:r>
          </w:p>
        </w:tc>
        <w:tc>
          <w:tcPr>
            <w:tcW w:w="2610" w:type="dxa"/>
            <w:tcBorders>
              <w:top w:val="nil"/>
              <w:left w:val="nil"/>
              <w:bottom w:val="single" w:sz="4" w:space="0" w:color="auto"/>
              <w:right w:val="single" w:sz="8" w:space="0" w:color="auto"/>
            </w:tcBorders>
            <w:shd w:val="clear" w:color="auto" w:fill="auto"/>
            <w:noWrap/>
            <w:vAlign w:val="center"/>
            <w:hideMark/>
          </w:tcPr>
          <w:p w14:paraId="159E2119"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79E71AB0"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8C304A8"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14</w:t>
            </w:r>
          </w:p>
        </w:tc>
        <w:tc>
          <w:tcPr>
            <w:tcW w:w="2965" w:type="dxa"/>
            <w:tcBorders>
              <w:top w:val="nil"/>
              <w:left w:val="nil"/>
              <w:bottom w:val="single" w:sz="4" w:space="0" w:color="auto"/>
              <w:right w:val="single" w:sz="4" w:space="0" w:color="auto"/>
            </w:tcBorders>
            <w:shd w:val="clear" w:color="000000" w:fill="FFFFFF"/>
            <w:vAlign w:val="center"/>
            <w:hideMark/>
          </w:tcPr>
          <w:p w14:paraId="2C96637F"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Diuron</w:t>
            </w:r>
          </w:p>
        </w:tc>
        <w:tc>
          <w:tcPr>
            <w:tcW w:w="2795" w:type="dxa"/>
            <w:tcBorders>
              <w:top w:val="nil"/>
              <w:left w:val="nil"/>
              <w:bottom w:val="single" w:sz="4" w:space="0" w:color="auto"/>
              <w:right w:val="single" w:sz="4" w:space="0" w:color="auto"/>
            </w:tcBorders>
            <w:shd w:val="clear" w:color="auto" w:fill="auto"/>
            <w:noWrap/>
            <w:vAlign w:val="center"/>
            <w:hideMark/>
          </w:tcPr>
          <w:p w14:paraId="2073B709"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135</w:t>
            </w:r>
          </w:p>
        </w:tc>
        <w:tc>
          <w:tcPr>
            <w:tcW w:w="2610" w:type="dxa"/>
            <w:tcBorders>
              <w:top w:val="nil"/>
              <w:left w:val="nil"/>
              <w:bottom w:val="single" w:sz="4" w:space="0" w:color="auto"/>
              <w:right w:val="single" w:sz="8" w:space="0" w:color="auto"/>
            </w:tcBorders>
            <w:shd w:val="clear" w:color="auto" w:fill="auto"/>
            <w:noWrap/>
            <w:vAlign w:val="center"/>
            <w:hideMark/>
          </w:tcPr>
          <w:p w14:paraId="12419B14"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7AF571F3" w14:textId="77777777" w:rsidTr="00C74E50">
        <w:trPr>
          <w:trHeight w:val="309"/>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1F7DCA2"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15</w:t>
            </w:r>
          </w:p>
        </w:tc>
        <w:tc>
          <w:tcPr>
            <w:tcW w:w="2965" w:type="dxa"/>
            <w:tcBorders>
              <w:top w:val="nil"/>
              <w:left w:val="nil"/>
              <w:bottom w:val="single" w:sz="4" w:space="0" w:color="auto"/>
              <w:right w:val="single" w:sz="4" w:space="0" w:color="auto"/>
            </w:tcBorders>
            <w:shd w:val="clear" w:color="000000" w:fill="FFFFFF"/>
            <w:vAlign w:val="center"/>
            <w:hideMark/>
          </w:tcPr>
          <w:p w14:paraId="0CD7EEB9"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Endrin</w:t>
            </w:r>
          </w:p>
        </w:tc>
        <w:tc>
          <w:tcPr>
            <w:tcW w:w="2795" w:type="dxa"/>
            <w:tcBorders>
              <w:top w:val="nil"/>
              <w:left w:val="nil"/>
              <w:bottom w:val="single" w:sz="4" w:space="0" w:color="auto"/>
              <w:right w:val="single" w:sz="4" w:space="0" w:color="auto"/>
            </w:tcBorders>
            <w:shd w:val="clear" w:color="auto" w:fill="auto"/>
            <w:noWrap/>
            <w:vAlign w:val="center"/>
            <w:hideMark/>
          </w:tcPr>
          <w:p w14:paraId="52EDE7B4"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192</w:t>
            </w:r>
          </w:p>
        </w:tc>
        <w:tc>
          <w:tcPr>
            <w:tcW w:w="2610" w:type="dxa"/>
            <w:tcBorders>
              <w:top w:val="nil"/>
              <w:left w:val="nil"/>
              <w:bottom w:val="single" w:sz="4" w:space="0" w:color="auto"/>
              <w:right w:val="single" w:sz="8" w:space="0" w:color="auto"/>
            </w:tcBorders>
            <w:shd w:val="clear" w:color="auto" w:fill="auto"/>
            <w:noWrap/>
            <w:vAlign w:val="center"/>
            <w:hideMark/>
          </w:tcPr>
          <w:p w14:paraId="0BDEBC96"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174E58D1"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5215E9B"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16</w:t>
            </w:r>
          </w:p>
        </w:tc>
        <w:tc>
          <w:tcPr>
            <w:tcW w:w="2965" w:type="dxa"/>
            <w:tcBorders>
              <w:top w:val="nil"/>
              <w:left w:val="nil"/>
              <w:bottom w:val="single" w:sz="4" w:space="0" w:color="auto"/>
              <w:right w:val="single" w:sz="4" w:space="0" w:color="auto"/>
            </w:tcBorders>
            <w:shd w:val="clear" w:color="000000" w:fill="FFFFFF"/>
            <w:vAlign w:val="center"/>
            <w:hideMark/>
          </w:tcPr>
          <w:p w14:paraId="5C37265D"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Isodrin</w:t>
            </w:r>
          </w:p>
        </w:tc>
        <w:tc>
          <w:tcPr>
            <w:tcW w:w="2795" w:type="dxa"/>
            <w:tcBorders>
              <w:top w:val="nil"/>
              <w:left w:val="nil"/>
              <w:bottom w:val="single" w:sz="4" w:space="0" w:color="auto"/>
              <w:right w:val="single" w:sz="4" w:space="0" w:color="auto"/>
            </w:tcBorders>
            <w:shd w:val="clear" w:color="auto" w:fill="auto"/>
            <w:noWrap/>
            <w:vAlign w:val="center"/>
            <w:hideMark/>
          </w:tcPr>
          <w:p w14:paraId="4AC7B79E"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192</w:t>
            </w:r>
          </w:p>
        </w:tc>
        <w:tc>
          <w:tcPr>
            <w:tcW w:w="2610" w:type="dxa"/>
            <w:tcBorders>
              <w:top w:val="nil"/>
              <w:left w:val="nil"/>
              <w:bottom w:val="single" w:sz="4" w:space="0" w:color="auto"/>
              <w:right w:val="single" w:sz="8" w:space="0" w:color="auto"/>
            </w:tcBorders>
            <w:shd w:val="clear" w:color="auto" w:fill="auto"/>
            <w:noWrap/>
            <w:vAlign w:val="center"/>
            <w:hideMark/>
          </w:tcPr>
          <w:p w14:paraId="6ADC0F93"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373F6BB2" w14:textId="77777777" w:rsidTr="00C74E50">
        <w:trPr>
          <w:trHeight w:val="327"/>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3B1F84F"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17</w:t>
            </w:r>
          </w:p>
        </w:tc>
        <w:tc>
          <w:tcPr>
            <w:tcW w:w="2965" w:type="dxa"/>
            <w:tcBorders>
              <w:top w:val="nil"/>
              <w:left w:val="nil"/>
              <w:bottom w:val="single" w:sz="4" w:space="0" w:color="auto"/>
              <w:right w:val="single" w:sz="4" w:space="0" w:color="auto"/>
            </w:tcBorders>
            <w:shd w:val="clear" w:color="000000" w:fill="FFFFFF"/>
            <w:vAlign w:val="center"/>
            <w:hideMark/>
          </w:tcPr>
          <w:p w14:paraId="4D8FB2E2"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Izoproturon</w:t>
            </w:r>
          </w:p>
        </w:tc>
        <w:tc>
          <w:tcPr>
            <w:tcW w:w="2795" w:type="dxa"/>
            <w:tcBorders>
              <w:top w:val="nil"/>
              <w:left w:val="nil"/>
              <w:bottom w:val="single" w:sz="4" w:space="0" w:color="auto"/>
              <w:right w:val="single" w:sz="4" w:space="0" w:color="auto"/>
            </w:tcBorders>
            <w:shd w:val="clear" w:color="auto" w:fill="auto"/>
            <w:noWrap/>
            <w:vAlign w:val="center"/>
            <w:hideMark/>
          </w:tcPr>
          <w:p w14:paraId="1CCE6D2F"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135</w:t>
            </w:r>
          </w:p>
        </w:tc>
        <w:tc>
          <w:tcPr>
            <w:tcW w:w="2610" w:type="dxa"/>
            <w:tcBorders>
              <w:top w:val="nil"/>
              <w:left w:val="nil"/>
              <w:bottom w:val="single" w:sz="4" w:space="0" w:color="auto"/>
              <w:right w:val="single" w:sz="8" w:space="0" w:color="auto"/>
            </w:tcBorders>
            <w:shd w:val="clear" w:color="auto" w:fill="auto"/>
            <w:noWrap/>
            <w:vAlign w:val="center"/>
            <w:hideMark/>
          </w:tcPr>
          <w:p w14:paraId="363F58D3"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73C6E7A3" w14:textId="77777777" w:rsidTr="00C74E50">
        <w:trPr>
          <w:trHeight w:val="795"/>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17136BBA"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18</w:t>
            </w:r>
          </w:p>
        </w:tc>
        <w:tc>
          <w:tcPr>
            <w:tcW w:w="2965" w:type="dxa"/>
            <w:tcBorders>
              <w:top w:val="nil"/>
              <w:left w:val="nil"/>
              <w:bottom w:val="single" w:sz="4" w:space="0" w:color="auto"/>
              <w:right w:val="single" w:sz="4" w:space="0" w:color="auto"/>
            </w:tcBorders>
            <w:shd w:val="clear" w:color="auto" w:fill="auto"/>
            <w:vAlign w:val="center"/>
            <w:hideMark/>
          </w:tcPr>
          <w:p w14:paraId="5F186CCD"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Linuron (3-(3.4-diclorfenil) -1-metoxi-1-metiluree)</w:t>
            </w:r>
          </w:p>
        </w:tc>
        <w:tc>
          <w:tcPr>
            <w:tcW w:w="2795" w:type="dxa"/>
            <w:tcBorders>
              <w:top w:val="nil"/>
              <w:left w:val="nil"/>
              <w:bottom w:val="single" w:sz="4" w:space="0" w:color="auto"/>
              <w:right w:val="single" w:sz="4" w:space="0" w:color="auto"/>
            </w:tcBorders>
            <w:shd w:val="clear" w:color="auto" w:fill="auto"/>
            <w:noWrap/>
            <w:vAlign w:val="center"/>
            <w:hideMark/>
          </w:tcPr>
          <w:p w14:paraId="4712D11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tc>
        <w:tc>
          <w:tcPr>
            <w:tcW w:w="2610" w:type="dxa"/>
            <w:tcBorders>
              <w:top w:val="nil"/>
              <w:left w:val="nil"/>
              <w:bottom w:val="single" w:sz="4" w:space="0" w:color="auto"/>
              <w:right w:val="single" w:sz="8" w:space="0" w:color="auto"/>
            </w:tcBorders>
            <w:shd w:val="clear" w:color="auto" w:fill="auto"/>
            <w:noWrap/>
            <w:vAlign w:val="center"/>
            <w:hideMark/>
          </w:tcPr>
          <w:p w14:paraId="37EBFFF3"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50B61866" w14:textId="77777777" w:rsidTr="00C74E50">
        <w:trPr>
          <w:trHeight w:val="840"/>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0B15AAB"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19</w:t>
            </w:r>
          </w:p>
        </w:tc>
        <w:tc>
          <w:tcPr>
            <w:tcW w:w="2965" w:type="dxa"/>
            <w:tcBorders>
              <w:top w:val="nil"/>
              <w:left w:val="nil"/>
              <w:bottom w:val="single" w:sz="4" w:space="0" w:color="auto"/>
              <w:right w:val="single" w:sz="4" w:space="0" w:color="auto"/>
            </w:tcBorders>
            <w:shd w:val="clear" w:color="auto" w:fill="auto"/>
            <w:vAlign w:val="center"/>
            <w:hideMark/>
          </w:tcPr>
          <w:p w14:paraId="1EF00EBE"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 xml:space="preserve">Mevinfos (fosfat de 2-metoxicarbonil-1-metilvinil si dimetil) </w:t>
            </w:r>
          </w:p>
        </w:tc>
        <w:tc>
          <w:tcPr>
            <w:tcW w:w="2795" w:type="dxa"/>
            <w:tcBorders>
              <w:top w:val="nil"/>
              <w:left w:val="nil"/>
              <w:bottom w:val="single" w:sz="4" w:space="0" w:color="auto"/>
              <w:right w:val="single" w:sz="4" w:space="0" w:color="auto"/>
            </w:tcBorders>
            <w:shd w:val="clear" w:color="auto" w:fill="auto"/>
            <w:noWrap/>
            <w:vAlign w:val="center"/>
            <w:hideMark/>
          </w:tcPr>
          <w:p w14:paraId="7A724079"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74</w:t>
            </w:r>
          </w:p>
        </w:tc>
        <w:tc>
          <w:tcPr>
            <w:tcW w:w="2610" w:type="dxa"/>
            <w:tcBorders>
              <w:top w:val="nil"/>
              <w:left w:val="nil"/>
              <w:bottom w:val="single" w:sz="4" w:space="0" w:color="auto"/>
              <w:right w:val="single" w:sz="8" w:space="0" w:color="auto"/>
            </w:tcBorders>
            <w:shd w:val="clear" w:color="auto" w:fill="auto"/>
            <w:noWrap/>
            <w:vAlign w:val="center"/>
            <w:hideMark/>
          </w:tcPr>
          <w:p w14:paraId="0C205DA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33DA91C8" w14:textId="77777777" w:rsidTr="00C74E50">
        <w:trPr>
          <w:trHeight w:val="840"/>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74D2F27E"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20</w:t>
            </w:r>
          </w:p>
        </w:tc>
        <w:tc>
          <w:tcPr>
            <w:tcW w:w="2965" w:type="dxa"/>
            <w:tcBorders>
              <w:top w:val="nil"/>
              <w:left w:val="nil"/>
              <w:bottom w:val="single" w:sz="4" w:space="0" w:color="auto"/>
              <w:right w:val="single" w:sz="4" w:space="0" w:color="auto"/>
            </w:tcBorders>
            <w:shd w:val="clear" w:color="auto" w:fill="auto"/>
            <w:vAlign w:val="center"/>
            <w:hideMark/>
          </w:tcPr>
          <w:p w14:paraId="5BADCC20"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Monolinuron (3-(4-clorofenil)-1-metoxi-1-metiluree)</w:t>
            </w:r>
          </w:p>
        </w:tc>
        <w:tc>
          <w:tcPr>
            <w:tcW w:w="2795" w:type="dxa"/>
            <w:tcBorders>
              <w:top w:val="nil"/>
              <w:left w:val="nil"/>
              <w:bottom w:val="single" w:sz="4" w:space="0" w:color="auto"/>
              <w:right w:val="single" w:sz="4" w:space="0" w:color="auto"/>
            </w:tcBorders>
            <w:shd w:val="clear" w:color="auto" w:fill="auto"/>
            <w:noWrap/>
            <w:vAlign w:val="center"/>
            <w:hideMark/>
          </w:tcPr>
          <w:p w14:paraId="357CC74F"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tc>
        <w:tc>
          <w:tcPr>
            <w:tcW w:w="2610" w:type="dxa"/>
            <w:tcBorders>
              <w:top w:val="nil"/>
              <w:left w:val="nil"/>
              <w:bottom w:val="single" w:sz="4" w:space="0" w:color="auto"/>
              <w:right w:val="single" w:sz="8" w:space="0" w:color="auto"/>
            </w:tcBorders>
            <w:shd w:val="clear" w:color="auto" w:fill="auto"/>
            <w:noWrap/>
            <w:vAlign w:val="center"/>
            <w:hideMark/>
          </w:tcPr>
          <w:p w14:paraId="0EF6F9D1"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6626752B"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63176ABD"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21</w:t>
            </w:r>
          </w:p>
        </w:tc>
        <w:tc>
          <w:tcPr>
            <w:tcW w:w="2965" w:type="dxa"/>
            <w:tcBorders>
              <w:top w:val="nil"/>
              <w:left w:val="nil"/>
              <w:bottom w:val="single" w:sz="4" w:space="0" w:color="auto"/>
              <w:right w:val="single" w:sz="4" w:space="0" w:color="auto"/>
            </w:tcBorders>
            <w:shd w:val="clear" w:color="auto" w:fill="auto"/>
            <w:noWrap/>
            <w:vAlign w:val="center"/>
            <w:hideMark/>
          </w:tcPr>
          <w:p w14:paraId="1466C0A3"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orto-para-DDT</w:t>
            </w:r>
          </w:p>
        </w:tc>
        <w:tc>
          <w:tcPr>
            <w:tcW w:w="2795" w:type="dxa"/>
            <w:tcBorders>
              <w:top w:val="nil"/>
              <w:left w:val="nil"/>
              <w:bottom w:val="single" w:sz="4" w:space="0" w:color="auto"/>
              <w:right w:val="single" w:sz="4" w:space="0" w:color="auto"/>
            </w:tcBorders>
            <w:shd w:val="clear" w:color="auto" w:fill="auto"/>
            <w:noWrap/>
            <w:vAlign w:val="center"/>
            <w:hideMark/>
          </w:tcPr>
          <w:p w14:paraId="44F8D6E0"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134</w:t>
            </w:r>
          </w:p>
        </w:tc>
        <w:tc>
          <w:tcPr>
            <w:tcW w:w="2610" w:type="dxa"/>
            <w:tcBorders>
              <w:top w:val="nil"/>
              <w:left w:val="nil"/>
              <w:bottom w:val="single" w:sz="4" w:space="0" w:color="auto"/>
              <w:right w:val="single" w:sz="8" w:space="0" w:color="auto"/>
            </w:tcBorders>
            <w:shd w:val="clear" w:color="auto" w:fill="auto"/>
            <w:noWrap/>
            <w:vAlign w:val="center"/>
            <w:hideMark/>
          </w:tcPr>
          <w:p w14:paraId="195828E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182BBE00"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6C69DC7E"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22</w:t>
            </w:r>
          </w:p>
        </w:tc>
        <w:tc>
          <w:tcPr>
            <w:tcW w:w="2965" w:type="dxa"/>
            <w:tcBorders>
              <w:top w:val="nil"/>
              <w:left w:val="nil"/>
              <w:bottom w:val="single" w:sz="4" w:space="0" w:color="auto"/>
              <w:right w:val="single" w:sz="4" w:space="0" w:color="auto"/>
            </w:tcBorders>
            <w:shd w:val="clear" w:color="auto" w:fill="auto"/>
            <w:noWrap/>
            <w:vAlign w:val="center"/>
            <w:hideMark/>
          </w:tcPr>
          <w:p w14:paraId="343CC0DD"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para-para DDD</w:t>
            </w:r>
          </w:p>
        </w:tc>
        <w:tc>
          <w:tcPr>
            <w:tcW w:w="2795" w:type="dxa"/>
            <w:tcBorders>
              <w:top w:val="nil"/>
              <w:left w:val="nil"/>
              <w:bottom w:val="single" w:sz="4" w:space="0" w:color="auto"/>
              <w:right w:val="single" w:sz="4" w:space="0" w:color="auto"/>
            </w:tcBorders>
            <w:shd w:val="clear" w:color="auto" w:fill="auto"/>
            <w:noWrap/>
            <w:vAlign w:val="center"/>
            <w:hideMark/>
          </w:tcPr>
          <w:p w14:paraId="19BFB820"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tc>
        <w:tc>
          <w:tcPr>
            <w:tcW w:w="2610" w:type="dxa"/>
            <w:tcBorders>
              <w:top w:val="nil"/>
              <w:left w:val="nil"/>
              <w:bottom w:val="single" w:sz="4" w:space="0" w:color="auto"/>
              <w:right w:val="single" w:sz="8" w:space="0" w:color="auto"/>
            </w:tcBorders>
            <w:shd w:val="clear" w:color="auto" w:fill="auto"/>
            <w:noWrap/>
            <w:vAlign w:val="center"/>
            <w:hideMark/>
          </w:tcPr>
          <w:p w14:paraId="6B07754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571CFF66"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6124D44C"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23</w:t>
            </w:r>
          </w:p>
        </w:tc>
        <w:tc>
          <w:tcPr>
            <w:tcW w:w="2965" w:type="dxa"/>
            <w:tcBorders>
              <w:top w:val="nil"/>
              <w:left w:val="nil"/>
              <w:bottom w:val="single" w:sz="4" w:space="0" w:color="auto"/>
              <w:right w:val="single" w:sz="4" w:space="0" w:color="auto"/>
            </w:tcBorders>
            <w:shd w:val="clear" w:color="auto" w:fill="auto"/>
            <w:noWrap/>
            <w:vAlign w:val="center"/>
            <w:hideMark/>
          </w:tcPr>
          <w:p w14:paraId="5CF160B1"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para-para-DDE</w:t>
            </w:r>
          </w:p>
        </w:tc>
        <w:tc>
          <w:tcPr>
            <w:tcW w:w="2795" w:type="dxa"/>
            <w:tcBorders>
              <w:top w:val="nil"/>
              <w:left w:val="nil"/>
              <w:bottom w:val="single" w:sz="4" w:space="0" w:color="auto"/>
              <w:right w:val="single" w:sz="4" w:space="0" w:color="auto"/>
            </w:tcBorders>
            <w:shd w:val="clear" w:color="auto" w:fill="auto"/>
            <w:noWrap/>
            <w:vAlign w:val="center"/>
            <w:hideMark/>
          </w:tcPr>
          <w:p w14:paraId="3317548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tc>
        <w:tc>
          <w:tcPr>
            <w:tcW w:w="2610" w:type="dxa"/>
            <w:tcBorders>
              <w:top w:val="nil"/>
              <w:left w:val="nil"/>
              <w:bottom w:val="single" w:sz="4" w:space="0" w:color="auto"/>
              <w:right w:val="single" w:sz="8" w:space="0" w:color="auto"/>
            </w:tcBorders>
            <w:shd w:val="clear" w:color="auto" w:fill="auto"/>
            <w:noWrap/>
            <w:vAlign w:val="center"/>
            <w:hideMark/>
          </w:tcPr>
          <w:p w14:paraId="21125393"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3900A413"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0E7ED376"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24</w:t>
            </w:r>
          </w:p>
        </w:tc>
        <w:tc>
          <w:tcPr>
            <w:tcW w:w="2965" w:type="dxa"/>
            <w:tcBorders>
              <w:top w:val="nil"/>
              <w:left w:val="nil"/>
              <w:bottom w:val="single" w:sz="4" w:space="0" w:color="auto"/>
              <w:right w:val="single" w:sz="4" w:space="0" w:color="auto"/>
            </w:tcBorders>
            <w:shd w:val="clear" w:color="auto" w:fill="auto"/>
            <w:noWrap/>
            <w:vAlign w:val="center"/>
            <w:hideMark/>
          </w:tcPr>
          <w:p w14:paraId="3282FC75"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Para-para-DDT</w:t>
            </w:r>
          </w:p>
        </w:tc>
        <w:tc>
          <w:tcPr>
            <w:tcW w:w="2795" w:type="dxa"/>
            <w:tcBorders>
              <w:top w:val="nil"/>
              <w:left w:val="nil"/>
              <w:bottom w:val="single" w:sz="4" w:space="0" w:color="auto"/>
              <w:right w:val="single" w:sz="4" w:space="0" w:color="auto"/>
            </w:tcBorders>
            <w:shd w:val="clear" w:color="auto" w:fill="auto"/>
            <w:noWrap/>
            <w:vAlign w:val="center"/>
            <w:hideMark/>
          </w:tcPr>
          <w:p w14:paraId="661BDCE2"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p w14:paraId="55F5B5C6" w14:textId="77777777" w:rsidR="00127ECA" w:rsidRPr="006F6FDE" w:rsidRDefault="00127ECA" w:rsidP="00C74E50">
            <w:pPr>
              <w:spacing w:after="0" w:line="240" w:lineRule="auto"/>
              <w:jc w:val="center"/>
              <w:rPr>
                <w:rFonts w:ascii="Arial" w:eastAsia="Times New Roman" w:hAnsi="Arial" w:cs="Arial"/>
                <w:lang w:eastAsia="ro-RO"/>
              </w:rPr>
            </w:pPr>
          </w:p>
        </w:tc>
        <w:tc>
          <w:tcPr>
            <w:tcW w:w="2610" w:type="dxa"/>
            <w:tcBorders>
              <w:top w:val="nil"/>
              <w:left w:val="nil"/>
              <w:bottom w:val="single" w:sz="4" w:space="0" w:color="auto"/>
              <w:right w:val="single" w:sz="8" w:space="0" w:color="auto"/>
            </w:tcBorders>
            <w:shd w:val="clear" w:color="auto" w:fill="auto"/>
            <w:noWrap/>
            <w:vAlign w:val="center"/>
            <w:hideMark/>
          </w:tcPr>
          <w:p w14:paraId="4E4B4771"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0EC0C2E1"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68A34790"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25</w:t>
            </w:r>
          </w:p>
        </w:tc>
        <w:tc>
          <w:tcPr>
            <w:tcW w:w="2965" w:type="dxa"/>
            <w:tcBorders>
              <w:top w:val="nil"/>
              <w:left w:val="nil"/>
              <w:bottom w:val="single" w:sz="4" w:space="0" w:color="auto"/>
              <w:right w:val="single" w:sz="4" w:space="0" w:color="auto"/>
            </w:tcBorders>
            <w:shd w:val="clear" w:color="auto" w:fill="auto"/>
            <w:noWrap/>
            <w:vAlign w:val="center"/>
            <w:hideMark/>
          </w:tcPr>
          <w:p w14:paraId="5AFD5745"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Simazin</w:t>
            </w:r>
          </w:p>
        </w:tc>
        <w:tc>
          <w:tcPr>
            <w:tcW w:w="2795" w:type="dxa"/>
            <w:tcBorders>
              <w:top w:val="nil"/>
              <w:left w:val="nil"/>
              <w:bottom w:val="single" w:sz="4" w:space="0" w:color="auto"/>
              <w:right w:val="single" w:sz="4" w:space="0" w:color="auto"/>
            </w:tcBorders>
            <w:shd w:val="clear" w:color="auto" w:fill="auto"/>
            <w:noWrap/>
            <w:vAlign w:val="center"/>
            <w:hideMark/>
          </w:tcPr>
          <w:p w14:paraId="4409EADA"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271</w:t>
            </w:r>
          </w:p>
        </w:tc>
        <w:tc>
          <w:tcPr>
            <w:tcW w:w="2610" w:type="dxa"/>
            <w:tcBorders>
              <w:top w:val="nil"/>
              <w:left w:val="nil"/>
              <w:bottom w:val="single" w:sz="4" w:space="0" w:color="auto"/>
              <w:right w:val="single" w:sz="8" w:space="0" w:color="auto"/>
            </w:tcBorders>
            <w:shd w:val="clear" w:color="auto" w:fill="auto"/>
            <w:noWrap/>
            <w:vAlign w:val="center"/>
            <w:hideMark/>
          </w:tcPr>
          <w:p w14:paraId="4B837F8B"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28F7588D"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1400DAE0"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26</w:t>
            </w:r>
          </w:p>
        </w:tc>
        <w:tc>
          <w:tcPr>
            <w:tcW w:w="2965" w:type="dxa"/>
            <w:tcBorders>
              <w:top w:val="nil"/>
              <w:left w:val="nil"/>
              <w:bottom w:val="single" w:sz="4" w:space="0" w:color="auto"/>
              <w:right w:val="single" w:sz="4" w:space="0" w:color="auto"/>
            </w:tcBorders>
            <w:shd w:val="clear" w:color="auto" w:fill="auto"/>
            <w:noWrap/>
            <w:vAlign w:val="center"/>
            <w:hideMark/>
          </w:tcPr>
          <w:p w14:paraId="7FD9927F"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Metoxiclor</w:t>
            </w:r>
          </w:p>
        </w:tc>
        <w:tc>
          <w:tcPr>
            <w:tcW w:w="2795" w:type="dxa"/>
            <w:tcBorders>
              <w:top w:val="nil"/>
              <w:left w:val="nil"/>
              <w:bottom w:val="single" w:sz="4" w:space="0" w:color="auto"/>
              <w:right w:val="single" w:sz="4" w:space="0" w:color="auto"/>
            </w:tcBorders>
            <w:shd w:val="clear" w:color="auto" w:fill="auto"/>
            <w:noWrap/>
            <w:vAlign w:val="center"/>
            <w:hideMark/>
          </w:tcPr>
          <w:p w14:paraId="58D60B2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tc>
        <w:tc>
          <w:tcPr>
            <w:tcW w:w="2610" w:type="dxa"/>
            <w:tcBorders>
              <w:top w:val="nil"/>
              <w:left w:val="nil"/>
              <w:bottom w:val="single" w:sz="4" w:space="0" w:color="auto"/>
              <w:right w:val="single" w:sz="8" w:space="0" w:color="auto"/>
            </w:tcBorders>
            <w:shd w:val="clear" w:color="auto" w:fill="auto"/>
            <w:noWrap/>
            <w:vAlign w:val="center"/>
            <w:hideMark/>
          </w:tcPr>
          <w:p w14:paraId="267671C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22DF4EF4" w14:textId="77777777" w:rsidTr="00C74E50">
        <w:trPr>
          <w:trHeight w:val="288"/>
          <w:jc w:val="center"/>
        </w:trPr>
        <w:tc>
          <w:tcPr>
            <w:tcW w:w="625" w:type="dxa"/>
            <w:tcBorders>
              <w:top w:val="nil"/>
              <w:left w:val="single" w:sz="8" w:space="0" w:color="auto"/>
              <w:bottom w:val="single" w:sz="4" w:space="0" w:color="auto"/>
              <w:right w:val="single" w:sz="4" w:space="0" w:color="auto"/>
            </w:tcBorders>
            <w:shd w:val="clear" w:color="auto" w:fill="auto"/>
            <w:noWrap/>
            <w:vAlign w:val="center"/>
            <w:hideMark/>
          </w:tcPr>
          <w:p w14:paraId="340CE5BA"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27</w:t>
            </w:r>
          </w:p>
        </w:tc>
        <w:tc>
          <w:tcPr>
            <w:tcW w:w="2965" w:type="dxa"/>
            <w:tcBorders>
              <w:top w:val="nil"/>
              <w:left w:val="nil"/>
              <w:bottom w:val="single" w:sz="4" w:space="0" w:color="auto"/>
              <w:right w:val="single" w:sz="4" w:space="0" w:color="auto"/>
            </w:tcBorders>
            <w:shd w:val="clear" w:color="auto" w:fill="auto"/>
            <w:noWrap/>
            <w:vAlign w:val="center"/>
            <w:hideMark/>
          </w:tcPr>
          <w:p w14:paraId="6DD5D580"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Clorotoluron</w:t>
            </w:r>
          </w:p>
        </w:tc>
        <w:tc>
          <w:tcPr>
            <w:tcW w:w="2795" w:type="dxa"/>
            <w:tcBorders>
              <w:top w:val="nil"/>
              <w:left w:val="nil"/>
              <w:bottom w:val="single" w:sz="4" w:space="0" w:color="auto"/>
              <w:right w:val="single" w:sz="4" w:space="0" w:color="auto"/>
            </w:tcBorders>
            <w:shd w:val="clear" w:color="auto" w:fill="auto"/>
            <w:noWrap/>
            <w:vAlign w:val="center"/>
            <w:hideMark/>
          </w:tcPr>
          <w:p w14:paraId="3F6C93E6"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130</w:t>
            </w:r>
          </w:p>
        </w:tc>
        <w:tc>
          <w:tcPr>
            <w:tcW w:w="2610" w:type="dxa"/>
            <w:tcBorders>
              <w:top w:val="nil"/>
              <w:left w:val="nil"/>
              <w:bottom w:val="single" w:sz="4" w:space="0" w:color="auto"/>
              <w:right w:val="single" w:sz="8" w:space="0" w:color="auto"/>
            </w:tcBorders>
            <w:shd w:val="clear" w:color="auto" w:fill="auto"/>
            <w:noWrap/>
            <w:vAlign w:val="center"/>
            <w:hideMark/>
          </w:tcPr>
          <w:p w14:paraId="4372B6E5" w14:textId="77777777" w:rsidR="00127ECA" w:rsidRPr="006F6FDE" w:rsidRDefault="00127ECA" w:rsidP="00C74E50">
            <w:pPr>
              <w:spacing w:after="0" w:line="240" w:lineRule="auto"/>
              <w:jc w:val="center"/>
              <w:rPr>
                <w:rFonts w:ascii="Arial" w:eastAsia="Times New Roman" w:hAnsi="Arial" w:cs="Arial"/>
                <w:lang w:eastAsia="ro-RO"/>
              </w:rPr>
            </w:pPr>
            <w:r w:rsidRPr="006F6FDE">
              <w:rPr>
                <w:rFonts w:ascii="Arial" w:eastAsia="Times New Roman" w:hAnsi="Arial" w:cs="Arial"/>
                <w:lang w:eastAsia="ro-RO"/>
              </w:rPr>
              <w:t>0</w:t>
            </w:r>
          </w:p>
        </w:tc>
      </w:tr>
      <w:tr w:rsidR="00127ECA" w:rsidRPr="00BC348E" w14:paraId="22B31706" w14:textId="77777777" w:rsidTr="00C74E50">
        <w:trPr>
          <w:trHeight w:val="288"/>
          <w:jc w:val="center"/>
        </w:trPr>
        <w:tc>
          <w:tcPr>
            <w:tcW w:w="625" w:type="dxa"/>
            <w:tcBorders>
              <w:top w:val="nil"/>
              <w:left w:val="single" w:sz="8" w:space="0" w:color="auto"/>
              <w:bottom w:val="single" w:sz="8" w:space="0" w:color="auto"/>
              <w:right w:val="single" w:sz="4" w:space="0" w:color="auto"/>
            </w:tcBorders>
            <w:shd w:val="clear" w:color="auto" w:fill="auto"/>
            <w:noWrap/>
            <w:vAlign w:val="center"/>
            <w:hideMark/>
          </w:tcPr>
          <w:p w14:paraId="6BE49F5C"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28</w:t>
            </w:r>
          </w:p>
        </w:tc>
        <w:tc>
          <w:tcPr>
            <w:tcW w:w="2965" w:type="dxa"/>
            <w:tcBorders>
              <w:top w:val="nil"/>
              <w:left w:val="nil"/>
              <w:bottom w:val="single" w:sz="8" w:space="0" w:color="auto"/>
              <w:right w:val="single" w:sz="4" w:space="0" w:color="auto"/>
            </w:tcBorders>
            <w:shd w:val="clear" w:color="auto" w:fill="auto"/>
            <w:noWrap/>
            <w:vAlign w:val="center"/>
            <w:hideMark/>
          </w:tcPr>
          <w:p w14:paraId="3CC27985" w14:textId="77777777" w:rsidR="00127ECA" w:rsidRPr="00BC348E" w:rsidRDefault="00127ECA" w:rsidP="00C74E50">
            <w:pPr>
              <w:spacing w:after="0" w:line="240" w:lineRule="auto"/>
              <w:jc w:val="center"/>
              <w:rPr>
                <w:rFonts w:ascii="Arial" w:eastAsia="Times New Roman" w:hAnsi="Arial" w:cs="Arial"/>
                <w:b/>
                <w:i/>
                <w:color w:val="000000"/>
                <w:lang w:eastAsia="ro-RO"/>
              </w:rPr>
            </w:pPr>
            <w:r w:rsidRPr="00BC348E">
              <w:rPr>
                <w:rFonts w:ascii="Arial" w:eastAsia="Times New Roman" w:hAnsi="Arial" w:cs="Arial"/>
                <w:b/>
                <w:i/>
                <w:color w:val="000000"/>
                <w:lang w:eastAsia="ro-RO"/>
              </w:rPr>
              <w:t>Monuron</w:t>
            </w:r>
          </w:p>
        </w:tc>
        <w:tc>
          <w:tcPr>
            <w:tcW w:w="2795" w:type="dxa"/>
            <w:tcBorders>
              <w:top w:val="nil"/>
              <w:left w:val="nil"/>
              <w:bottom w:val="single" w:sz="8" w:space="0" w:color="auto"/>
              <w:right w:val="single" w:sz="4" w:space="0" w:color="auto"/>
            </w:tcBorders>
            <w:shd w:val="clear" w:color="auto" w:fill="auto"/>
            <w:noWrap/>
            <w:vAlign w:val="center"/>
            <w:hideMark/>
          </w:tcPr>
          <w:p w14:paraId="0BBCA8C7" w14:textId="77777777" w:rsidR="00127ECA" w:rsidRPr="00BC348E" w:rsidRDefault="00127ECA" w:rsidP="00C74E50">
            <w:pPr>
              <w:spacing w:after="0" w:line="240" w:lineRule="auto"/>
              <w:jc w:val="center"/>
              <w:rPr>
                <w:rFonts w:ascii="Arial" w:eastAsia="Times New Roman" w:hAnsi="Arial" w:cs="Arial"/>
                <w:color w:val="000000"/>
                <w:lang w:eastAsia="ro-RO"/>
              </w:rPr>
            </w:pPr>
            <w:r>
              <w:rPr>
                <w:rFonts w:ascii="Arial" w:eastAsia="Times New Roman" w:hAnsi="Arial" w:cs="Arial"/>
                <w:color w:val="000000"/>
                <w:lang w:eastAsia="ro-RO"/>
              </w:rPr>
              <w:t>130</w:t>
            </w:r>
          </w:p>
        </w:tc>
        <w:tc>
          <w:tcPr>
            <w:tcW w:w="2610" w:type="dxa"/>
            <w:tcBorders>
              <w:top w:val="nil"/>
              <w:left w:val="nil"/>
              <w:bottom w:val="single" w:sz="8" w:space="0" w:color="auto"/>
              <w:right w:val="single" w:sz="8" w:space="0" w:color="auto"/>
            </w:tcBorders>
            <w:shd w:val="clear" w:color="auto" w:fill="auto"/>
            <w:noWrap/>
            <w:vAlign w:val="center"/>
            <w:hideMark/>
          </w:tcPr>
          <w:p w14:paraId="5FA39C61" w14:textId="77777777" w:rsidR="00127ECA" w:rsidRPr="00BC348E" w:rsidRDefault="00127ECA" w:rsidP="00C74E50">
            <w:pPr>
              <w:spacing w:after="0" w:line="240" w:lineRule="auto"/>
              <w:jc w:val="center"/>
              <w:rPr>
                <w:rFonts w:ascii="Arial" w:eastAsia="Times New Roman" w:hAnsi="Arial" w:cs="Arial"/>
                <w:color w:val="000000"/>
                <w:lang w:eastAsia="ro-RO"/>
              </w:rPr>
            </w:pPr>
            <w:r w:rsidRPr="00BC348E">
              <w:rPr>
                <w:rFonts w:ascii="Arial" w:eastAsia="Times New Roman" w:hAnsi="Arial" w:cs="Arial"/>
                <w:color w:val="000000"/>
                <w:lang w:eastAsia="ro-RO"/>
              </w:rPr>
              <w:t>0</w:t>
            </w:r>
          </w:p>
        </w:tc>
      </w:tr>
    </w:tbl>
    <w:p w14:paraId="4B86F63B" w14:textId="77777777" w:rsidR="00127ECA" w:rsidRPr="00505570" w:rsidRDefault="00127ECA" w:rsidP="00127ECA">
      <w:pPr>
        <w:spacing w:after="0"/>
        <w:ind w:left="900" w:hanging="900"/>
        <w:jc w:val="both"/>
        <w:rPr>
          <w:rFonts w:ascii="Arial" w:hAnsi="Arial" w:cs="Arial"/>
          <w:i/>
          <w:iCs/>
          <w:color w:val="FF0000"/>
          <w:sz w:val="20"/>
          <w:szCs w:val="20"/>
          <w:lang w:eastAsia="ro-RO"/>
        </w:rPr>
      </w:pPr>
      <w:r w:rsidRPr="00E36C00">
        <w:rPr>
          <w:rFonts w:ascii="Arial" w:hAnsi="Arial" w:cs="Arial"/>
          <w:i/>
          <w:iCs/>
          <w:sz w:val="20"/>
          <w:szCs w:val="20"/>
          <w:lang w:eastAsia="ro-RO"/>
        </w:rPr>
        <w:t>(Sursa: Administraţia Naţională “Apele Române”, Sinteza calităţii apelor din România în anul 2022</w:t>
      </w:r>
      <w:r w:rsidRPr="00052BA7">
        <w:rPr>
          <w:rFonts w:ascii="Arial" w:hAnsi="Arial" w:cs="Arial"/>
          <w:i/>
          <w:iCs/>
          <w:sz w:val="20"/>
          <w:szCs w:val="20"/>
          <w:lang w:eastAsia="ro-RO"/>
        </w:rPr>
        <w:t>)</w:t>
      </w:r>
    </w:p>
    <w:p w14:paraId="13A0FFFE" w14:textId="77777777" w:rsidR="00127ECA" w:rsidRPr="00363DED" w:rsidRDefault="00127ECA" w:rsidP="00127ECA">
      <w:pPr>
        <w:spacing w:after="0" w:line="240" w:lineRule="auto"/>
        <w:jc w:val="both"/>
        <w:rPr>
          <w:rFonts w:ascii="Arial" w:eastAsia="Times New Roman" w:hAnsi="Arial" w:cs="Arial"/>
          <w:b/>
          <w:i/>
          <w:sz w:val="20"/>
          <w:szCs w:val="16"/>
          <w:lang w:eastAsia="ro-RO"/>
        </w:rPr>
      </w:pPr>
    </w:p>
    <w:p w14:paraId="493CD8A7" w14:textId="77777777" w:rsidR="002C537F" w:rsidRPr="00D26E90" w:rsidRDefault="002C537F" w:rsidP="002C537F">
      <w:pPr>
        <w:tabs>
          <w:tab w:val="left" w:pos="2904"/>
        </w:tabs>
      </w:pPr>
    </w:p>
    <w:p w14:paraId="393204C0" w14:textId="77777777" w:rsidR="004B3AAB" w:rsidRDefault="004B3AAB" w:rsidP="004B3AAB">
      <w:pPr>
        <w:pStyle w:val="Default"/>
        <w:jc w:val="center"/>
      </w:pPr>
      <w:r w:rsidRPr="00CF5D74">
        <w:rPr>
          <w:noProof/>
          <w:lang w:val="it-IT" w:eastAsia="en-GB"/>
        </w:rPr>
        <w:t xml:space="preserve"> </w:t>
      </w:r>
    </w:p>
    <w:p w14:paraId="4EED11A4" w14:textId="77777777" w:rsidR="004B3AAB" w:rsidRDefault="004B3AAB" w:rsidP="004B3AAB">
      <w:pPr>
        <w:spacing w:before="120" w:after="120" w:line="240" w:lineRule="auto"/>
        <w:jc w:val="center"/>
        <w:rPr>
          <w:rFonts w:ascii="Arial" w:hAnsi="Arial" w:cs="Arial"/>
          <w:i/>
          <w:sz w:val="24"/>
          <w:szCs w:val="24"/>
        </w:rPr>
        <w:sectPr w:rsidR="004B3AAB" w:rsidSect="004B3AAB">
          <w:pgSz w:w="11906" w:h="16838"/>
          <w:pgMar w:top="851" w:right="1134" w:bottom="851" w:left="1418" w:header="709" w:footer="709" w:gutter="0"/>
          <w:cols w:space="708"/>
          <w:docGrid w:linePitch="360"/>
        </w:sectPr>
      </w:pPr>
    </w:p>
    <w:p w14:paraId="70C21650" w14:textId="405C5B81" w:rsidR="00900C06" w:rsidRDefault="00900C06" w:rsidP="00900C06">
      <w:pPr>
        <w:rPr>
          <w:rFonts w:ascii="Arial" w:hAnsi="Arial" w:cs="Arial"/>
          <w:b/>
          <w:iCs/>
          <w:sz w:val="24"/>
          <w:szCs w:val="24"/>
          <w:u w:val="single"/>
          <w:lang w:val="en-US"/>
        </w:rPr>
      </w:pPr>
      <w:r>
        <w:rPr>
          <w:rFonts w:ascii="Arial" w:hAnsi="Arial" w:cs="Arial"/>
          <w:b/>
          <w:iCs/>
          <w:sz w:val="24"/>
          <w:szCs w:val="24"/>
          <w:u w:val="single"/>
          <w:lang w:val="en-US"/>
        </w:rPr>
        <w:lastRenderedPageBreak/>
        <w:t>II.2.1.4</w:t>
      </w:r>
      <w:r w:rsidRPr="00B11BCF">
        <w:rPr>
          <w:rFonts w:ascii="Arial" w:hAnsi="Arial" w:cs="Arial"/>
          <w:b/>
          <w:iCs/>
          <w:sz w:val="24"/>
          <w:szCs w:val="24"/>
          <w:u w:val="single"/>
          <w:lang w:val="en-US"/>
        </w:rPr>
        <w:t xml:space="preserve">. Calitatea apelor </w:t>
      </w:r>
      <w:r>
        <w:rPr>
          <w:rFonts w:ascii="Arial" w:hAnsi="Arial" w:cs="Arial"/>
          <w:b/>
          <w:iCs/>
          <w:sz w:val="24"/>
          <w:szCs w:val="24"/>
          <w:u w:val="single"/>
          <w:lang w:val="en-US"/>
        </w:rPr>
        <w:t>de îmbăiere</w:t>
      </w:r>
    </w:p>
    <w:p w14:paraId="56625676" w14:textId="2E84E631" w:rsidR="00506953" w:rsidRPr="0015655E" w:rsidRDefault="00506953" w:rsidP="00506953">
      <w:pPr>
        <w:spacing w:after="0" w:line="240" w:lineRule="auto"/>
        <w:ind w:firstLine="708"/>
        <w:jc w:val="both"/>
        <w:rPr>
          <w:rFonts w:ascii="Arial" w:eastAsia="Times New Roman" w:hAnsi="Arial" w:cs="Arial"/>
          <w:bCs/>
          <w:sz w:val="24"/>
          <w:szCs w:val="24"/>
        </w:rPr>
      </w:pPr>
      <w:r>
        <w:rPr>
          <w:rFonts w:ascii="Arial" w:eastAsia="Times New Roman" w:hAnsi="Arial" w:cs="Arial"/>
          <w:bCs/>
          <w:sz w:val="24"/>
          <w:szCs w:val="24"/>
        </w:rPr>
        <w:t>În județul Gorj în perioada 2018-2022</w:t>
      </w:r>
      <w:r w:rsidRPr="0015655E">
        <w:rPr>
          <w:rFonts w:ascii="Arial" w:eastAsia="Times New Roman" w:hAnsi="Arial" w:cs="Arial"/>
          <w:bCs/>
          <w:sz w:val="24"/>
          <w:szCs w:val="24"/>
        </w:rPr>
        <w:t xml:space="preserve"> nu au fost</w:t>
      </w:r>
      <w:r>
        <w:rPr>
          <w:rFonts w:ascii="Arial" w:eastAsia="Times New Roman" w:hAnsi="Arial" w:cs="Arial"/>
          <w:bCs/>
          <w:sz w:val="24"/>
          <w:szCs w:val="24"/>
        </w:rPr>
        <w:t xml:space="preserve"> identificate zone naturale de îmbăiere</w:t>
      </w:r>
      <w:r w:rsidRPr="0015655E">
        <w:rPr>
          <w:rFonts w:ascii="Arial" w:eastAsia="Times New Roman" w:hAnsi="Arial" w:cs="Arial"/>
          <w:bCs/>
          <w:sz w:val="24"/>
          <w:szCs w:val="24"/>
        </w:rPr>
        <w:t>,</w:t>
      </w:r>
      <w:r>
        <w:rPr>
          <w:rFonts w:ascii="Arial" w:eastAsia="Times New Roman" w:hAnsi="Arial" w:cs="Arial"/>
          <w:bCs/>
          <w:sz w:val="24"/>
          <w:szCs w:val="24"/>
        </w:rPr>
        <w:t xml:space="preserve"> </w:t>
      </w:r>
      <w:r w:rsidRPr="0015655E">
        <w:rPr>
          <w:rFonts w:ascii="Arial" w:eastAsia="Times New Roman" w:hAnsi="Arial" w:cs="Arial"/>
          <w:bCs/>
          <w:sz w:val="24"/>
          <w:szCs w:val="24"/>
        </w:rPr>
        <w:t>cu caracteristicile stabili</w:t>
      </w:r>
      <w:r>
        <w:rPr>
          <w:rFonts w:ascii="Arial" w:eastAsia="Times New Roman" w:hAnsi="Arial" w:cs="Arial"/>
          <w:bCs/>
          <w:sz w:val="24"/>
          <w:szCs w:val="24"/>
        </w:rPr>
        <w:t>te prin  metodologia sintezei naționale,,Supravegherea calității apei de îmbăiere’’ și prin HGR nr.459/2002 ș</w:t>
      </w:r>
      <w:r w:rsidRPr="0015655E">
        <w:rPr>
          <w:rFonts w:ascii="Arial" w:eastAsia="Times New Roman" w:hAnsi="Arial" w:cs="Arial"/>
          <w:bCs/>
          <w:sz w:val="24"/>
          <w:szCs w:val="24"/>
        </w:rPr>
        <w:t>i HGR nr. 88/2004, pe</w:t>
      </w:r>
      <w:r>
        <w:rPr>
          <w:rFonts w:ascii="Arial" w:eastAsia="Times New Roman" w:hAnsi="Arial" w:cs="Arial"/>
          <w:bCs/>
          <w:sz w:val="24"/>
          <w:szCs w:val="24"/>
        </w:rPr>
        <w:t>ntru realizarea activității de supravegherea și de monitorizare a  calității apei.</w:t>
      </w:r>
    </w:p>
    <w:p w14:paraId="159BDC4A" w14:textId="77777777" w:rsidR="00506953" w:rsidRPr="0015655E" w:rsidRDefault="00506953" w:rsidP="00506953">
      <w:pPr>
        <w:spacing w:after="0" w:line="240" w:lineRule="auto"/>
        <w:ind w:firstLine="708"/>
        <w:jc w:val="both"/>
        <w:rPr>
          <w:rFonts w:ascii="Arial" w:eastAsia="Times New Roman" w:hAnsi="Arial" w:cs="Arial"/>
          <w:bCs/>
          <w:sz w:val="24"/>
          <w:szCs w:val="24"/>
        </w:rPr>
      </w:pPr>
      <w:r>
        <w:rPr>
          <w:rFonts w:ascii="Arial" w:eastAsia="Times New Roman" w:hAnsi="Arial" w:cs="Arial"/>
          <w:bCs/>
          <w:sz w:val="24"/>
          <w:szCs w:val="24"/>
        </w:rPr>
        <w:t>Din informaț</w:t>
      </w:r>
      <w:r w:rsidRPr="0015655E">
        <w:rPr>
          <w:rFonts w:ascii="Arial" w:eastAsia="Times New Roman" w:hAnsi="Arial" w:cs="Arial"/>
          <w:bCs/>
          <w:sz w:val="24"/>
          <w:szCs w:val="24"/>
        </w:rPr>
        <w:t>iile anuale fur</w:t>
      </w:r>
      <w:r>
        <w:rPr>
          <w:rFonts w:ascii="Arial" w:eastAsia="Times New Roman" w:hAnsi="Arial" w:cs="Arial"/>
          <w:bCs/>
          <w:sz w:val="24"/>
          <w:szCs w:val="24"/>
        </w:rPr>
        <w:t>nizate de SGA Gorj a rezultat că în urma monitorizării apelor de suprafață nu au fost depaș</w:t>
      </w:r>
      <w:r w:rsidRPr="0015655E">
        <w:rPr>
          <w:rFonts w:ascii="Arial" w:eastAsia="Times New Roman" w:hAnsi="Arial" w:cs="Arial"/>
          <w:bCs/>
          <w:sz w:val="24"/>
          <w:szCs w:val="24"/>
        </w:rPr>
        <w:t>it</w:t>
      </w:r>
      <w:r>
        <w:rPr>
          <w:rFonts w:ascii="Arial" w:eastAsia="Times New Roman" w:hAnsi="Arial" w:cs="Arial"/>
          <w:bCs/>
          <w:sz w:val="24"/>
          <w:szCs w:val="24"/>
        </w:rPr>
        <w:t>e limitele claselor de calitate, pentru această</w:t>
      </w:r>
      <w:r w:rsidRPr="0015655E">
        <w:rPr>
          <w:rFonts w:ascii="Arial" w:eastAsia="Times New Roman" w:hAnsi="Arial" w:cs="Arial"/>
          <w:bCs/>
          <w:sz w:val="24"/>
          <w:szCs w:val="24"/>
        </w:rPr>
        <w:t xml:space="preserve"> ca</w:t>
      </w:r>
      <w:r>
        <w:rPr>
          <w:rFonts w:ascii="Arial" w:eastAsia="Times New Roman" w:hAnsi="Arial" w:cs="Arial"/>
          <w:bCs/>
          <w:sz w:val="24"/>
          <w:szCs w:val="24"/>
        </w:rPr>
        <w:t>tegorie de apă</w:t>
      </w:r>
      <w:r w:rsidRPr="0015655E">
        <w:rPr>
          <w:rFonts w:ascii="Arial" w:eastAsia="Times New Roman" w:hAnsi="Arial" w:cs="Arial"/>
          <w:bCs/>
          <w:sz w:val="24"/>
          <w:szCs w:val="24"/>
        </w:rPr>
        <w:t>.</w:t>
      </w:r>
    </w:p>
    <w:p w14:paraId="5493A615" w14:textId="77777777" w:rsidR="00900C06" w:rsidRPr="000D318F" w:rsidRDefault="00900C06" w:rsidP="004B3AAB">
      <w:pPr>
        <w:spacing w:after="0" w:line="240" w:lineRule="auto"/>
        <w:ind w:firstLine="720"/>
        <w:jc w:val="both"/>
        <w:rPr>
          <w:rFonts w:ascii="Arial" w:hAnsi="Arial" w:cs="Arial"/>
          <w:b/>
          <w:sz w:val="24"/>
          <w:szCs w:val="24"/>
        </w:rPr>
      </w:pPr>
    </w:p>
    <w:p w14:paraId="5C403C34" w14:textId="481EC097" w:rsidR="000D318F" w:rsidRPr="000D318F" w:rsidRDefault="000D318F" w:rsidP="000D318F">
      <w:pPr>
        <w:spacing w:after="0" w:line="240" w:lineRule="auto"/>
        <w:jc w:val="both"/>
        <w:rPr>
          <w:rFonts w:ascii="Arial" w:hAnsi="Arial" w:cs="Arial"/>
          <w:b/>
          <w:sz w:val="24"/>
          <w:szCs w:val="24"/>
        </w:rPr>
      </w:pPr>
      <w:r w:rsidRPr="000D318F">
        <w:rPr>
          <w:rFonts w:ascii="Arial" w:hAnsi="Arial" w:cs="Arial"/>
          <w:b/>
          <w:sz w:val="24"/>
          <w:szCs w:val="24"/>
        </w:rPr>
        <w:t>II.2.2. Factorii determinanți și presiunile care afectează starea de calitate a apelor</w:t>
      </w:r>
    </w:p>
    <w:p w14:paraId="76F93A80" w14:textId="77777777" w:rsidR="000D318F" w:rsidRDefault="000D318F" w:rsidP="000D318F">
      <w:pPr>
        <w:spacing w:before="120" w:after="120" w:line="240" w:lineRule="auto"/>
        <w:rPr>
          <w:rFonts w:ascii="Arial" w:hAnsi="Arial" w:cs="Arial"/>
          <w:b/>
          <w:sz w:val="24"/>
          <w:szCs w:val="24"/>
        </w:rPr>
      </w:pPr>
      <w:r w:rsidRPr="005445F1">
        <w:rPr>
          <w:rFonts w:ascii="Arial" w:hAnsi="Arial" w:cs="Arial"/>
          <w:b/>
          <w:sz w:val="24"/>
          <w:szCs w:val="24"/>
          <w:lang w:val="fr-BE"/>
        </w:rPr>
        <w:t xml:space="preserve">II.2.2.1 Presiuni semnificative asupra resurselor de apă </w:t>
      </w:r>
      <w:r>
        <w:rPr>
          <w:rFonts w:ascii="Arial" w:hAnsi="Arial" w:cs="Arial"/>
          <w:b/>
          <w:sz w:val="24"/>
          <w:szCs w:val="24"/>
          <w:lang w:val="fr-BE"/>
        </w:rPr>
        <w:t>î</w:t>
      </w:r>
      <w:r w:rsidRPr="005445F1">
        <w:rPr>
          <w:rFonts w:ascii="Arial" w:hAnsi="Arial" w:cs="Arial"/>
          <w:b/>
          <w:sz w:val="24"/>
          <w:szCs w:val="24"/>
          <w:lang w:val="fr-BE"/>
        </w:rPr>
        <w:t>n Rom</w:t>
      </w:r>
      <w:r w:rsidRPr="002864EB">
        <w:rPr>
          <w:rFonts w:ascii="Arial" w:hAnsi="Arial" w:cs="Arial"/>
          <w:b/>
          <w:sz w:val="24"/>
          <w:szCs w:val="24"/>
        </w:rPr>
        <w:t>ânia</w:t>
      </w:r>
    </w:p>
    <w:p w14:paraId="52464160" w14:textId="77777777" w:rsidR="000D318F" w:rsidRDefault="000D318F" w:rsidP="000D318F">
      <w:pPr>
        <w:spacing w:before="120" w:after="120" w:line="240" w:lineRule="auto"/>
        <w:rPr>
          <w:rFonts w:ascii="Arial" w:hAnsi="Arial" w:cs="Arial"/>
          <w:b/>
          <w:sz w:val="24"/>
          <w:szCs w:val="24"/>
        </w:rPr>
      </w:pPr>
    </w:p>
    <w:p w14:paraId="6C46E9E5" w14:textId="77777777" w:rsidR="000D318F" w:rsidRPr="002864EB" w:rsidRDefault="000D318F" w:rsidP="000D318F">
      <w:pPr>
        <w:spacing w:before="120" w:after="120" w:line="240" w:lineRule="auto"/>
        <w:jc w:val="center"/>
        <w:rPr>
          <w:rFonts w:ascii="Arial" w:hAnsi="Arial" w:cs="Arial"/>
          <w:b/>
          <w:sz w:val="24"/>
          <w:szCs w:val="24"/>
        </w:rPr>
      </w:pPr>
      <w:r w:rsidRPr="00C420F1">
        <w:rPr>
          <w:rFonts w:ascii="Arial" w:hAnsi="Arial" w:cs="Arial"/>
          <w:b/>
          <w:sz w:val="24"/>
          <w:szCs w:val="24"/>
          <w:highlight w:val="green"/>
        </w:rPr>
        <w:t>Indicator CSI25. Balanța brută a nutrienților RO25</w:t>
      </w:r>
    </w:p>
    <w:p w14:paraId="7787F737" w14:textId="77777777" w:rsidR="000D318F" w:rsidRDefault="000D318F" w:rsidP="000D318F">
      <w:pPr>
        <w:spacing w:before="120" w:after="120" w:line="240" w:lineRule="auto"/>
        <w:ind w:firstLine="567"/>
        <w:jc w:val="both"/>
        <w:rPr>
          <w:rFonts w:ascii="Arial" w:hAnsi="Arial" w:cs="Arial"/>
          <w:sz w:val="24"/>
          <w:szCs w:val="24"/>
        </w:rPr>
      </w:pPr>
    </w:p>
    <w:p w14:paraId="3623F117" w14:textId="77777777" w:rsidR="000D318F" w:rsidRPr="00497FAC" w:rsidRDefault="000D318F" w:rsidP="000D318F">
      <w:pPr>
        <w:spacing w:before="120" w:after="120" w:line="240" w:lineRule="auto"/>
        <w:ind w:firstLine="567"/>
        <w:jc w:val="both"/>
        <w:rPr>
          <w:rFonts w:ascii="Arial" w:hAnsi="Arial" w:cs="Arial"/>
          <w:sz w:val="24"/>
          <w:szCs w:val="24"/>
        </w:rPr>
      </w:pPr>
      <w:r w:rsidRPr="00497FAC">
        <w:rPr>
          <w:rFonts w:ascii="Arial" w:hAnsi="Arial" w:cs="Arial"/>
          <w:sz w:val="24"/>
          <w:szCs w:val="24"/>
        </w:rPr>
        <w:t>În conformitate cu Directiva Cadru Apă</w:t>
      </w:r>
      <w:r>
        <w:rPr>
          <w:rFonts w:ascii="Arial" w:hAnsi="Arial" w:cs="Arial"/>
          <w:sz w:val="24"/>
          <w:szCs w:val="24"/>
        </w:rPr>
        <w:t xml:space="preserve"> 2000/60/CE</w:t>
      </w:r>
      <w:r w:rsidRPr="00497FAC">
        <w:rPr>
          <w:rFonts w:ascii="Arial" w:hAnsi="Arial" w:cs="Arial"/>
          <w:sz w:val="24"/>
          <w:szCs w:val="24"/>
        </w:rPr>
        <w:t xml:space="preserve">, în cadrul planurilor de management </w:t>
      </w:r>
      <w:r>
        <w:rPr>
          <w:rFonts w:ascii="Arial" w:hAnsi="Arial" w:cs="Arial"/>
          <w:sz w:val="24"/>
          <w:szCs w:val="24"/>
        </w:rPr>
        <w:t>al bazinelor/spațiilor hidrografice sunt</w:t>
      </w:r>
      <w:r w:rsidRPr="00497FAC">
        <w:rPr>
          <w:rFonts w:ascii="Arial" w:hAnsi="Arial" w:cs="Arial"/>
          <w:sz w:val="24"/>
          <w:szCs w:val="24"/>
        </w:rPr>
        <w:t xml:space="preserve"> considerate presiuni semnificative acelea care au ca rezultat neatingerea obiectivelor de mediu pentru corpul de apă. 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14:paraId="1BE4DFCA" w14:textId="77777777" w:rsidR="000D318F" w:rsidRDefault="000D318F" w:rsidP="000D318F">
      <w:pPr>
        <w:spacing w:before="120" w:after="120" w:line="240" w:lineRule="auto"/>
        <w:ind w:firstLine="567"/>
        <w:jc w:val="both"/>
        <w:rPr>
          <w:rFonts w:ascii="Arial" w:hAnsi="Arial" w:cs="Arial"/>
          <w:sz w:val="24"/>
          <w:szCs w:val="24"/>
        </w:rPr>
      </w:pPr>
      <w:r w:rsidRPr="00497FAC">
        <w:rPr>
          <w:rFonts w:ascii="Arial" w:hAnsi="Arial" w:cs="Arial"/>
          <w:sz w:val="24"/>
          <w:szCs w:val="24"/>
        </w:rPr>
        <w:t>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(Driver-Pressure-State-Impact-Response – Activitate Antropică-Presiune-Stare-Impact- Răspuns).</w:t>
      </w:r>
      <w:r>
        <w:rPr>
          <w:rFonts w:ascii="Arial" w:hAnsi="Arial" w:cs="Arial"/>
          <w:sz w:val="24"/>
          <w:szCs w:val="24"/>
        </w:rPr>
        <w:t xml:space="preserve"> </w:t>
      </w:r>
    </w:p>
    <w:p w14:paraId="366A1975" w14:textId="77777777" w:rsidR="000D318F" w:rsidRDefault="000D318F" w:rsidP="000D318F">
      <w:pPr>
        <w:spacing w:before="120" w:after="120" w:line="240" w:lineRule="auto"/>
        <w:ind w:firstLine="567"/>
        <w:jc w:val="both"/>
        <w:rPr>
          <w:rFonts w:ascii="Arial" w:hAnsi="Arial" w:cs="Arial"/>
          <w:sz w:val="24"/>
          <w:szCs w:val="24"/>
        </w:rPr>
      </w:pPr>
      <w:r w:rsidRPr="005C368D">
        <w:rPr>
          <w:rFonts w:ascii="Arial" w:hAnsi="Arial" w:cs="Arial"/>
          <w:sz w:val="24"/>
          <w:szCs w:val="24"/>
        </w:rPr>
        <w:t>Având în vedere noile cerințe ale Ghidului de raportare a Planului de management</w:t>
      </w:r>
      <w:r>
        <w:rPr>
          <w:rFonts w:ascii="Arial" w:hAnsi="Arial" w:cs="Arial"/>
          <w:sz w:val="24"/>
          <w:szCs w:val="24"/>
        </w:rPr>
        <w:t xml:space="preserve"> actualizat</w:t>
      </w:r>
      <w:r w:rsidRPr="005C368D">
        <w:rPr>
          <w:rFonts w:ascii="Arial" w:hAnsi="Arial" w:cs="Arial"/>
          <w:sz w:val="24"/>
          <w:szCs w:val="24"/>
        </w:rPr>
        <w:t xml:space="preserve">, elaborat în cadrul </w:t>
      </w:r>
      <w:r>
        <w:rPr>
          <w:rFonts w:ascii="Arial" w:hAnsi="Arial" w:cs="Arial"/>
          <w:sz w:val="24"/>
          <w:szCs w:val="24"/>
        </w:rPr>
        <w:t>Strategiei Comune de Implementare a Directivei Cadru Apă (</w:t>
      </w:r>
      <w:r w:rsidRPr="005C368D">
        <w:rPr>
          <w:rFonts w:ascii="Arial" w:hAnsi="Arial" w:cs="Arial"/>
          <w:sz w:val="24"/>
          <w:szCs w:val="24"/>
        </w:rPr>
        <w:t xml:space="preserve">CIS </w:t>
      </w:r>
      <w:r>
        <w:rPr>
          <w:rFonts w:ascii="Arial" w:hAnsi="Arial" w:cs="Arial"/>
          <w:sz w:val="24"/>
          <w:szCs w:val="24"/>
        </w:rPr>
        <w:t>–</w:t>
      </w:r>
      <w:r w:rsidRPr="005C368D">
        <w:rPr>
          <w:rFonts w:ascii="Arial" w:hAnsi="Arial" w:cs="Arial"/>
          <w:sz w:val="24"/>
          <w:szCs w:val="24"/>
        </w:rPr>
        <w:t xml:space="preserve"> DCA</w:t>
      </w:r>
      <w:r>
        <w:rPr>
          <w:rFonts w:ascii="Arial" w:hAnsi="Arial" w:cs="Arial"/>
          <w:sz w:val="24"/>
          <w:szCs w:val="24"/>
        </w:rPr>
        <w:t>)</w:t>
      </w:r>
      <w:r w:rsidRPr="005C368D">
        <w:rPr>
          <w:rFonts w:ascii="Arial" w:hAnsi="Arial" w:cs="Arial"/>
          <w:sz w:val="24"/>
          <w:szCs w:val="24"/>
        </w:rPr>
        <w:t>, s-a revizuit metodologia privind identificarea presiunilor semnificative şi evaluarea impactului asupra corpurilor de apă de suprafaţă</w:t>
      </w:r>
      <w:r>
        <w:rPr>
          <w:rFonts w:ascii="Arial" w:hAnsi="Arial" w:cs="Arial"/>
          <w:sz w:val="24"/>
          <w:szCs w:val="24"/>
        </w:rPr>
        <w:t xml:space="preserve"> </w:t>
      </w:r>
      <w:bookmarkStart w:id="41" w:name="_Hlk76481116"/>
      <w:r>
        <w:rPr>
          <w:rFonts w:ascii="Arial" w:hAnsi="Arial" w:cs="Arial"/>
          <w:sz w:val="24"/>
          <w:szCs w:val="24"/>
        </w:rPr>
        <w:t>pentru aplicare în cadrul  celui de-al treilea ciclu de planificare</w:t>
      </w:r>
      <w:bookmarkEnd w:id="41"/>
      <w:r w:rsidRPr="005C368D">
        <w:rPr>
          <w:rFonts w:ascii="Arial" w:hAnsi="Arial" w:cs="Arial"/>
          <w:sz w:val="24"/>
          <w:szCs w:val="24"/>
        </w:rPr>
        <w:t>.</w:t>
      </w:r>
      <w:r>
        <w:rPr>
          <w:rFonts w:ascii="Arial" w:hAnsi="Arial" w:cs="Arial"/>
          <w:sz w:val="24"/>
          <w:szCs w:val="24"/>
        </w:rPr>
        <w:t xml:space="preserve"> </w:t>
      </w:r>
      <w:r w:rsidRPr="005C368D">
        <w:rPr>
          <w:rFonts w:ascii="Arial" w:hAnsi="Arial" w:cs="Arial"/>
          <w:sz w:val="24"/>
          <w:szCs w:val="24"/>
        </w:rPr>
        <w:t>Pentru proiectul Planului de Management actualizat 2021</w:t>
      </w:r>
      <w:r>
        <w:rPr>
          <w:rFonts w:ascii="Arial" w:hAnsi="Arial" w:cs="Arial"/>
          <w:sz w:val="24"/>
          <w:szCs w:val="24"/>
        </w:rPr>
        <w:t>,</w:t>
      </w:r>
      <w:r w:rsidRPr="005C368D">
        <w:rPr>
          <w:rFonts w:ascii="Arial" w:hAnsi="Arial" w:cs="Arial"/>
          <w:sz w:val="24"/>
          <w:szCs w:val="24"/>
        </w:rPr>
        <w:t xml:space="preserve"> încadrarea presiunilor s-a realizat pe baza tipurilor de presiuni recomandate de Ghidul EU de raportare a Planului de Management actualizat 2021, respectiv: presiuni punctiforme, difuze, alterări hidromorfologice (inclusiv prelevări de apă), presiuni cantitative pentru apele subterane, alte presiuni antropice, presiuni necunoscute etc.</w:t>
      </w:r>
    </w:p>
    <w:p w14:paraId="1F5F6583" w14:textId="77777777" w:rsidR="000D318F" w:rsidRPr="00497FAC" w:rsidRDefault="000D318F" w:rsidP="000D318F">
      <w:pPr>
        <w:spacing w:before="120" w:after="120" w:line="240" w:lineRule="auto"/>
        <w:ind w:firstLine="567"/>
        <w:jc w:val="both"/>
        <w:rPr>
          <w:rFonts w:ascii="Arial" w:hAnsi="Arial" w:cs="Arial"/>
          <w:sz w:val="24"/>
          <w:szCs w:val="24"/>
        </w:rPr>
      </w:pPr>
      <w:r w:rsidRPr="00497FAC">
        <w:rPr>
          <w:rFonts w:ascii="Arial" w:hAnsi="Arial" w:cs="Arial"/>
          <w:sz w:val="24"/>
          <w:szCs w:val="24"/>
        </w:rPr>
        <w:t>Aplicarea setului de criterii a condus la identificarea presiunilor semnificative punctiforme, având în vedere evacuările de ape epurate sau neepurate în resursele de apă de suprafaţă:</w:t>
      </w:r>
    </w:p>
    <w:p w14:paraId="29C61B6C" w14:textId="77777777" w:rsidR="000D318F" w:rsidRPr="00E579A8" w:rsidRDefault="000D318F" w:rsidP="0054709F">
      <w:pPr>
        <w:numPr>
          <w:ilvl w:val="0"/>
          <w:numId w:val="19"/>
        </w:numPr>
        <w:spacing w:before="120" w:after="120" w:line="240" w:lineRule="auto"/>
        <w:jc w:val="both"/>
        <w:rPr>
          <w:rFonts w:ascii="Arial" w:hAnsi="Arial" w:cs="Arial"/>
          <w:bCs/>
          <w:sz w:val="24"/>
          <w:szCs w:val="24"/>
        </w:rPr>
      </w:pPr>
      <w:r w:rsidRPr="00E579A8">
        <w:rPr>
          <w:rFonts w:ascii="Arial" w:hAnsi="Arial" w:cs="Arial"/>
          <w:b/>
          <w:bCs/>
          <w:i/>
          <w:sz w:val="24"/>
          <w:szCs w:val="24"/>
        </w:rPr>
        <w:t>aglomerările umane</w:t>
      </w:r>
      <w:r w:rsidRPr="00E579A8">
        <w:rPr>
          <w:rFonts w:ascii="Arial" w:hAnsi="Arial" w:cs="Arial"/>
          <w:bCs/>
          <w:i/>
          <w:sz w:val="24"/>
          <w:szCs w:val="24"/>
        </w:rPr>
        <w:t xml:space="preserve"> (</w:t>
      </w:r>
      <w:r w:rsidRPr="00E579A8">
        <w:rPr>
          <w:rFonts w:ascii="Arial" w:hAnsi="Arial" w:cs="Arial"/>
          <w:bCs/>
          <w:sz w:val="24"/>
          <w:szCs w:val="24"/>
        </w:rPr>
        <w:t>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w:t>
      </w:r>
      <w:smartTag w:uri="urn:schemas-microsoft-com:office:smarttags" w:element="metricconverter">
        <w:smartTagPr>
          <w:attr w:name="ProductID" w:val="2000 l"/>
        </w:smartTagPr>
        <w:r w:rsidRPr="00E579A8">
          <w:rPr>
            <w:rFonts w:ascii="Arial" w:hAnsi="Arial" w:cs="Arial"/>
            <w:bCs/>
            <w:sz w:val="24"/>
            <w:szCs w:val="24"/>
          </w:rPr>
          <w:t>2000 l</w:t>
        </w:r>
      </w:smartTag>
      <w:r w:rsidRPr="00E579A8">
        <w:rPr>
          <w:rFonts w:ascii="Arial" w:hAnsi="Arial" w:cs="Arial"/>
          <w:bCs/>
          <w:sz w:val="24"/>
          <w:szCs w:val="24"/>
        </w:rPr>
        <w:t xml:space="preserve">.e. sunt considerate surse semnificative punctiforme dacă au sistem de canalizare centralizat; de asemenea, sunt considerate surse semnificative de poluare, </w:t>
      </w:r>
      <w:r w:rsidRPr="00E579A8">
        <w:rPr>
          <w:rFonts w:ascii="Arial" w:hAnsi="Arial" w:cs="Arial"/>
          <w:bCs/>
          <w:sz w:val="24"/>
          <w:szCs w:val="24"/>
        </w:rPr>
        <w:lastRenderedPageBreak/>
        <w:t xml:space="preserve">aglomerările umane cu sistem de canalizare unitar care nu au capacitatea de a colecta şi epura amestecul de ape uzate şi ape pluviale în perioadele cu ploi intense; </w:t>
      </w:r>
    </w:p>
    <w:p w14:paraId="3016C6FE" w14:textId="77777777" w:rsidR="000D318F" w:rsidRPr="00E579A8" w:rsidRDefault="000D318F" w:rsidP="0054709F">
      <w:pPr>
        <w:pStyle w:val="ListParagraph"/>
        <w:numPr>
          <w:ilvl w:val="0"/>
          <w:numId w:val="17"/>
        </w:numPr>
        <w:spacing w:before="120" w:after="120" w:line="240" w:lineRule="auto"/>
        <w:ind w:left="284" w:hanging="284"/>
        <w:jc w:val="both"/>
        <w:rPr>
          <w:rFonts w:ascii="Arial" w:hAnsi="Arial" w:cs="Arial"/>
          <w:b/>
          <w:i/>
          <w:sz w:val="24"/>
          <w:szCs w:val="24"/>
        </w:rPr>
      </w:pPr>
      <w:r w:rsidRPr="00E579A8">
        <w:rPr>
          <w:rFonts w:ascii="Arial" w:hAnsi="Arial" w:cs="Arial"/>
          <w:b/>
          <w:i/>
          <w:sz w:val="24"/>
          <w:szCs w:val="24"/>
        </w:rPr>
        <w:t xml:space="preserve">industria:  </w:t>
      </w:r>
    </w:p>
    <w:p w14:paraId="74DCC00F" w14:textId="77777777" w:rsidR="000D318F" w:rsidRPr="00E579A8" w:rsidRDefault="000D318F" w:rsidP="0054709F">
      <w:pPr>
        <w:pStyle w:val="ListParagraph"/>
        <w:numPr>
          <w:ilvl w:val="0"/>
          <w:numId w:val="20"/>
        </w:numPr>
        <w:spacing w:before="120" w:after="120" w:line="240" w:lineRule="auto"/>
        <w:ind w:left="567" w:hanging="283"/>
        <w:jc w:val="both"/>
        <w:rPr>
          <w:rFonts w:ascii="Arial" w:hAnsi="Arial" w:cs="Arial"/>
          <w:sz w:val="24"/>
          <w:szCs w:val="24"/>
        </w:rPr>
      </w:pPr>
      <w:r>
        <w:rPr>
          <w:rFonts w:ascii="Arial" w:hAnsi="Arial" w:cs="Arial"/>
          <w:sz w:val="24"/>
          <w:szCs w:val="24"/>
        </w:rPr>
        <w:t>i</w:t>
      </w:r>
      <w:r w:rsidRPr="00E579A8">
        <w:rPr>
          <w:rFonts w:ascii="Arial" w:hAnsi="Arial" w:cs="Arial"/>
          <w:sz w:val="24"/>
          <w:szCs w:val="24"/>
        </w:rPr>
        <w:t>nstalaţiile care intră sub incidenţa Directiva 2010/75/CEE privind emisiile industriale (Directiva IED)</w:t>
      </w:r>
      <w:r>
        <w:rPr>
          <w:rFonts w:ascii="Arial" w:hAnsi="Arial" w:cs="Arial"/>
          <w:sz w:val="24"/>
          <w:szCs w:val="24"/>
        </w:rPr>
        <w:t>,</w:t>
      </w:r>
      <w:r w:rsidRPr="00E579A8">
        <w:rPr>
          <w:rFonts w:ascii="Arial" w:hAnsi="Arial" w:cs="Arial"/>
          <w:sz w:val="24"/>
          <w:szCs w:val="24"/>
        </w:rPr>
        <w:t xml:space="preserve"> </w:t>
      </w:r>
      <w:r w:rsidRPr="005C368D">
        <w:rPr>
          <w:rFonts w:ascii="Arial" w:hAnsi="Arial" w:cs="Arial"/>
          <w:sz w:val="24"/>
          <w:szCs w:val="24"/>
        </w:rPr>
        <w:t xml:space="preserve">transpusă în legislația națională prin Legea nr. 278/2013 cu modificările și completările ulterioare </w:t>
      </w:r>
      <w:r w:rsidRPr="00E579A8">
        <w:rPr>
          <w:rFonts w:ascii="Arial" w:hAnsi="Arial" w:cs="Arial"/>
          <w:sz w:val="24"/>
          <w:szCs w:val="24"/>
        </w:rPr>
        <w:t>- inclusiv unităţile care sunt inventariate în Registrul Polunaţilor Emişi şi Transferaţi (E-PRTR), care sunt relevante pentru factorul de mediu apă;</w:t>
      </w:r>
    </w:p>
    <w:p w14:paraId="53C0EBB8" w14:textId="77777777" w:rsidR="000D318F" w:rsidRPr="00E579A8" w:rsidRDefault="000D318F" w:rsidP="0054709F">
      <w:pPr>
        <w:pStyle w:val="ListParagraph"/>
        <w:numPr>
          <w:ilvl w:val="0"/>
          <w:numId w:val="20"/>
        </w:numPr>
        <w:spacing w:before="120" w:after="120" w:line="240" w:lineRule="auto"/>
        <w:ind w:left="567" w:hanging="283"/>
        <w:jc w:val="both"/>
        <w:rPr>
          <w:rFonts w:ascii="Arial" w:hAnsi="Arial" w:cs="Arial"/>
          <w:sz w:val="24"/>
          <w:szCs w:val="24"/>
        </w:rPr>
      </w:pPr>
      <w:r>
        <w:rPr>
          <w:rFonts w:ascii="Arial" w:hAnsi="Arial" w:cs="Arial"/>
          <w:sz w:val="24"/>
          <w:szCs w:val="24"/>
        </w:rPr>
        <w:t>u</w:t>
      </w:r>
      <w:r w:rsidRPr="00E579A8">
        <w:rPr>
          <w:rFonts w:ascii="Arial" w:hAnsi="Arial" w:cs="Arial"/>
          <w:sz w:val="24"/>
          <w:szCs w:val="24"/>
        </w:rPr>
        <w:t xml:space="preserve">nităţile care evacuează substanţe </w:t>
      </w:r>
      <w:r w:rsidRPr="005C368D">
        <w:rPr>
          <w:rFonts w:ascii="Arial" w:hAnsi="Arial" w:cs="Arial"/>
          <w:sz w:val="24"/>
          <w:szCs w:val="24"/>
        </w:rPr>
        <w:t>prioritare/prioritar periculoase</w:t>
      </w:r>
      <w:r w:rsidRPr="00E579A8">
        <w:rPr>
          <w:rFonts w:ascii="Arial" w:hAnsi="Arial" w:cs="Arial"/>
          <w:sz w:val="24"/>
          <w:szCs w:val="24"/>
        </w:rPr>
        <w:t xml:space="preserve"> peste limitele legislaţiei în vigoare (în conformitate cu cerinţele </w:t>
      </w:r>
      <w:r w:rsidRPr="005C368D">
        <w:rPr>
          <w:rFonts w:ascii="Arial" w:hAnsi="Arial" w:cs="Arial"/>
          <w:sz w:val="24"/>
          <w:szCs w:val="24"/>
        </w:rPr>
        <w:t>Directivei 2008/105/CE modificată de Directiva 2013/39/UE, transpusă în legislația națională prin HG 570/2016 privind aprobarea Programului de eliminare treptată a evacuărilor, emisiilor şi pierderilor de substanţe prioritar periculoase şi alte măsuri pentru principalii poluanţi</w:t>
      </w:r>
      <w:r w:rsidRPr="00E579A8">
        <w:rPr>
          <w:rFonts w:ascii="Arial" w:hAnsi="Arial" w:cs="Arial"/>
          <w:sz w:val="24"/>
          <w:szCs w:val="24"/>
        </w:rPr>
        <w:t>)</w:t>
      </w:r>
      <w:r w:rsidRPr="0049004C">
        <w:rPr>
          <w:rFonts w:ascii="Arial" w:hAnsi="Arial" w:cs="Arial"/>
          <w:bCs/>
        </w:rPr>
        <w:t xml:space="preserve">, </w:t>
      </w:r>
      <w:r w:rsidRPr="005C368D">
        <w:rPr>
          <w:rFonts w:ascii="Arial" w:hAnsi="Arial" w:cs="Arial"/>
          <w:bCs/>
          <w:sz w:val="24"/>
          <w:szCs w:val="24"/>
        </w:rPr>
        <w:t>în mediul acvatic al Comunităţii</w:t>
      </w:r>
      <w:r w:rsidRPr="00E579A8">
        <w:rPr>
          <w:rFonts w:ascii="Arial" w:hAnsi="Arial" w:cs="Arial"/>
          <w:sz w:val="24"/>
          <w:szCs w:val="24"/>
        </w:rPr>
        <w:t>;</w:t>
      </w:r>
    </w:p>
    <w:p w14:paraId="2B1FDDD1" w14:textId="77777777" w:rsidR="000D318F" w:rsidRPr="00E579A8" w:rsidRDefault="000D318F" w:rsidP="0054709F">
      <w:pPr>
        <w:pStyle w:val="ListParagraph"/>
        <w:numPr>
          <w:ilvl w:val="0"/>
          <w:numId w:val="20"/>
        </w:numPr>
        <w:spacing w:before="120" w:after="120" w:line="240" w:lineRule="auto"/>
        <w:ind w:left="567" w:hanging="283"/>
        <w:jc w:val="both"/>
        <w:rPr>
          <w:rFonts w:ascii="Arial" w:hAnsi="Arial" w:cs="Arial"/>
          <w:i/>
          <w:sz w:val="24"/>
          <w:szCs w:val="24"/>
        </w:rPr>
      </w:pPr>
      <w:r w:rsidRPr="00E579A8">
        <w:rPr>
          <w:rFonts w:ascii="Arial" w:hAnsi="Arial" w:cs="Arial"/>
          <w:sz w:val="24"/>
          <w:szCs w:val="24"/>
        </w:rPr>
        <w:t>alte unităţi care evacuează în resursele de apă şi care nu se conformează legislaţiei în vigoare privind factorul de mediu apă;</w:t>
      </w:r>
    </w:p>
    <w:p w14:paraId="008D6AF4" w14:textId="77777777" w:rsidR="000D318F" w:rsidRPr="00E579A8" w:rsidRDefault="000D318F" w:rsidP="0054709F">
      <w:pPr>
        <w:pStyle w:val="ListParagraph"/>
        <w:numPr>
          <w:ilvl w:val="0"/>
          <w:numId w:val="17"/>
        </w:numPr>
        <w:spacing w:before="120" w:after="120" w:line="240" w:lineRule="auto"/>
        <w:ind w:left="284" w:hanging="284"/>
        <w:jc w:val="both"/>
        <w:rPr>
          <w:rFonts w:ascii="Arial" w:hAnsi="Arial" w:cs="Arial"/>
          <w:b/>
          <w:i/>
          <w:sz w:val="24"/>
          <w:szCs w:val="24"/>
        </w:rPr>
      </w:pPr>
      <w:r w:rsidRPr="00E579A8">
        <w:rPr>
          <w:rFonts w:ascii="Arial" w:hAnsi="Arial" w:cs="Arial"/>
          <w:b/>
          <w:i/>
          <w:sz w:val="24"/>
          <w:szCs w:val="24"/>
        </w:rPr>
        <w:t>agricultura:</w:t>
      </w:r>
    </w:p>
    <w:p w14:paraId="4C4CC5D1" w14:textId="77777777" w:rsidR="000D318F" w:rsidRPr="00E579A8" w:rsidRDefault="000D318F" w:rsidP="0054709F">
      <w:pPr>
        <w:numPr>
          <w:ilvl w:val="0"/>
          <w:numId w:val="21"/>
        </w:numPr>
        <w:spacing w:before="120" w:after="120" w:line="240" w:lineRule="auto"/>
        <w:jc w:val="both"/>
        <w:rPr>
          <w:rFonts w:ascii="Arial" w:hAnsi="Arial" w:cs="Arial"/>
          <w:sz w:val="24"/>
          <w:szCs w:val="24"/>
        </w:rPr>
      </w:pPr>
      <w:r>
        <w:rPr>
          <w:rFonts w:ascii="Arial" w:hAnsi="Arial" w:cs="Arial"/>
          <w:sz w:val="24"/>
          <w:szCs w:val="24"/>
        </w:rPr>
        <w:t>f</w:t>
      </w:r>
      <w:r w:rsidRPr="00E579A8">
        <w:rPr>
          <w:rFonts w:ascii="Arial" w:hAnsi="Arial" w:cs="Arial"/>
          <w:sz w:val="24"/>
          <w:szCs w:val="24"/>
        </w:rPr>
        <w:t>ermele zootehnice care intră sub incidenţa Directivei 2010/75/CEE privind emisiile industriale (Directiva IED)</w:t>
      </w:r>
      <w:r>
        <w:rPr>
          <w:rFonts w:ascii="Arial" w:hAnsi="Arial" w:cs="Arial"/>
          <w:sz w:val="24"/>
          <w:szCs w:val="24"/>
        </w:rPr>
        <w:t xml:space="preserve">, </w:t>
      </w:r>
      <w:r w:rsidRPr="00E579A8">
        <w:rPr>
          <w:rFonts w:ascii="Arial" w:hAnsi="Arial" w:cs="Arial"/>
          <w:sz w:val="24"/>
          <w:szCs w:val="24"/>
        </w:rPr>
        <w:t xml:space="preserve"> </w:t>
      </w:r>
      <w:r w:rsidRPr="005C368D">
        <w:rPr>
          <w:rFonts w:ascii="Arial" w:hAnsi="Arial" w:cs="Arial"/>
          <w:sz w:val="24"/>
          <w:szCs w:val="24"/>
        </w:rPr>
        <w:t xml:space="preserve">transpusă în legislația națională prin Legea nr. 278/2013, cu modificările și completările ulterioare </w:t>
      </w:r>
      <w:r w:rsidRPr="00E579A8">
        <w:rPr>
          <w:rFonts w:ascii="Arial" w:hAnsi="Arial" w:cs="Arial"/>
          <w:sz w:val="24"/>
          <w:szCs w:val="24"/>
        </w:rPr>
        <w:t>- inclusiv unităţile care sunt inventariate în Registrul Polunaţilor Emişi şi Transferaţi (E-PRTR), care sunt relevante pentru factorul de mediu apă;</w:t>
      </w:r>
    </w:p>
    <w:p w14:paraId="384DBF17" w14:textId="77777777" w:rsidR="000D318F" w:rsidRPr="00E579A8" w:rsidRDefault="000D318F" w:rsidP="0054709F">
      <w:pPr>
        <w:numPr>
          <w:ilvl w:val="0"/>
          <w:numId w:val="21"/>
        </w:numPr>
        <w:spacing w:before="120" w:after="120" w:line="240" w:lineRule="auto"/>
        <w:jc w:val="both"/>
        <w:rPr>
          <w:rFonts w:ascii="Arial" w:hAnsi="Arial" w:cs="Arial"/>
          <w:sz w:val="24"/>
          <w:szCs w:val="24"/>
        </w:rPr>
      </w:pPr>
      <w:r>
        <w:rPr>
          <w:rFonts w:ascii="Arial" w:hAnsi="Arial" w:cs="Arial"/>
          <w:sz w:val="24"/>
          <w:szCs w:val="24"/>
        </w:rPr>
        <w:t>f</w:t>
      </w:r>
      <w:r w:rsidRPr="00E579A8">
        <w:rPr>
          <w:rFonts w:ascii="Arial" w:hAnsi="Arial" w:cs="Arial"/>
          <w:sz w:val="24"/>
          <w:szCs w:val="24"/>
        </w:rPr>
        <w:t xml:space="preserve">ermele care evacuează substanţe </w:t>
      </w:r>
      <w:r w:rsidRPr="005C368D">
        <w:rPr>
          <w:rFonts w:ascii="Arial" w:hAnsi="Arial" w:cs="Arial"/>
          <w:sz w:val="24"/>
          <w:szCs w:val="24"/>
        </w:rPr>
        <w:t>prioritare/prioritar periculoase peste limitele legislaţiei în vigoare (în conformitate cu cerinţele Directivei 2008/105/CE modificată prin Directiva 2013/39/UE, transpusă în legislația națională prin HG 570/2016, privind aprobarea Programului de eliminare treptată a evacuărilor, emisiilor şi pierderilor de substanţe prioritar periculoase şi alte măsuri pentru principalii poluanţi)</w:t>
      </w:r>
      <w:r w:rsidRPr="00E579A8">
        <w:rPr>
          <w:rFonts w:ascii="Arial" w:hAnsi="Arial" w:cs="Arial"/>
          <w:sz w:val="24"/>
          <w:szCs w:val="24"/>
        </w:rPr>
        <w:t xml:space="preserve"> în mediul acvatic al Comunităţii);</w:t>
      </w:r>
    </w:p>
    <w:p w14:paraId="19A8A455" w14:textId="77777777" w:rsidR="000D318F" w:rsidRDefault="000D318F" w:rsidP="0054709F">
      <w:pPr>
        <w:numPr>
          <w:ilvl w:val="0"/>
          <w:numId w:val="21"/>
        </w:numPr>
        <w:spacing w:before="120" w:after="120" w:line="240" w:lineRule="auto"/>
        <w:jc w:val="both"/>
        <w:rPr>
          <w:rFonts w:ascii="Arial" w:hAnsi="Arial" w:cs="Arial"/>
          <w:sz w:val="24"/>
          <w:szCs w:val="24"/>
        </w:rPr>
      </w:pPr>
      <w:r w:rsidRPr="00E579A8">
        <w:rPr>
          <w:rFonts w:ascii="Arial" w:hAnsi="Arial" w:cs="Arial"/>
          <w:sz w:val="24"/>
          <w:szCs w:val="24"/>
        </w:rPr>
        <w:t>alte unităţi agricole cu evacuare punctiformă şi care nu se conformează legislaţiei în vigoare privind factorul de mediu apă;</w:t>
      </w:r>
    </w:p>
    <w:p w14:paraId="75B51596" w14:textId="77777777" w:rsidR="000D318F" w:rsidRDefault="000D318F" w:rsidP="000D318F">
      <w:pPr>
        <w:spacing w:after="0" w:line="240" w:lineRule="auto"/>
        <w:ind w:firstLine="567"/>
        <w:jc w:val="both"/>
        <w:rPr>
          <w:rFonts w:ascii="Arial" w:hAnsi="Arial" w:cs="Arial"/>
          <w:b/>
          <w:sz w:val="24"/>
          <w:szCs w:val="24"/>
        </w:rPr>
      </w:pPr>
      <w:r>
        <w:rPr>
          <w:rFonts w:ascii="Arial" w:hAnsi="Arial" w:cs="Arial"/>
          <w:sz w:val="24"/>
          <w:szCs w:val="24"/>
        </w:rPr>
        <w:t>Î</w:t>
      </w:r>
      <w:r w:rsidRPr="00497FAC">
        <w:rPr>
          <w:rFonts w:ascii="Arial" w:hAnsi="Arial" w:cs="Arial"/>
          <w:sz w:val="24"/>
          <w:szCs w:val="24"/>
        </w:rPr>
        <w:t xml:space="preserve">n </w:t>
      </w:r>
      <w:r w:rsidRPr="00D147EF">
        <w:rPr>
          <w:rFonts w:ascii="Arial" w:hAnsi="Arial" w:cs="Arial"/>
          <w:sz w:val="24"/>
          <w:szCs w:val="24"/>
        </w:rPr>
        <w:t>Planul naţional de management actualizat aferent porţiunii din bazinul hidrografic internaţional al fluviului Dunărea care este cuprinsă în teritoriul României (denumit în continuare Plan Național de management actualizat) – Sinteza Planurilor de management actualizate șla nivel de bazine/spații hidrografice, aprobat prin HG nr. 392/2023</w:t>
      </w:r>
      <w:r>
        <w:rPr>
          <w:rFonts w:ascii="Arial" w:hAnsi="Arial" w:cs="Arial"/>
          <w:sz w:val="24"/>
          <w:szCs w:val="24"/>
        </w:rPr>
        <w:t>,</w:t>
      </w:r>
      <w:r w:rsidRPr="00D147EF">
        <w:rPr>
          <w:rFonts w:ascii="Arial" w:hAnsi="Arial" w:cs="Arial"/>
          <w:sz w:val="24"/>
          <w:szCs w:val="24"/>
        </w:rPr>
        <w:t xml:space="preserve"> </w:t>
      </w:r>
      <w:r>
        <w:rPr>
          <w:rFonts w:ascii="Arial" w:hAnsi="Arial" w:cs="Arial"/>
          <w:sz w:val="24"/>
          <w:szCs w:val="24"/>
        </w:rPr>
        <w:t>au fost inventariate l</w:t>
      </w:r>
      <w:r w:rsidRPr="00E579A8">
        <w:rPr>
          <w:rFonts w:ascii="Arial" w:hAnsi="Arial" w:cs="Arial"/>
          <w:sz w:val="24"/>
          <w:szCs w:val="24"/>
        </w:rPr>
        <w:t xml:space="preserve">a nivel naţional un număr </w:t>
      </w:r>
      <w:r>
        <w:rPr>
          <w:rFonts w:ascii="Arial" w:hAnsi="Arial" w:cs="Arial"/>
          <w:sz w:val="24"/>
          <w:szCs w:val="24"/>
        </w:rPr>
        <w:t xml:space="preserve">total </w:t>
      </w:r>
      <w:r w:rsidRPr="00E579A8">
        <w:rPr>
          <w:rFonts w:ascii="Arial" w:hAnsi="Arial" w:cs="Arial"/>
          <w:sz w:val="24"/>
          <w:szCs w:val="24"/>
        </w:rPr>
        <w:t xml:space="preserve">de </w:t>
      </w:r>
      <w:r w:rsidRPr="00C95C65">
        <w:rPr>
          <w:rFonts w:ascii="Arial" w:hAnsi="Arial" w:cs="Arial"/>
          <w:b/>
          <w:bCs/>
          <w:sz w:val="24"/>
          <w:szCs w:val="24"/>
        </w:rPr>
        <w:t>3.99</w:t>
      </w:r>
      <w:r>
        <w:rPr>
          <w:rFonts w:ascii="Arial" w:hAnsi="Arial" w:cs="Arial"/>
          <w:b/>
          <w:bCs/>
          <w:sz w:val="24"/>
          <w:szCs w:val="24"/>
        </w:rPr>
        <w:t>6</w:t>
      </w:r>
      <w:r w:rsidRPr="00281EE9">
        <w:rPr>
          <w:rFonts w:ascii="Arial" w:hAnsi="Arial" w:cs="Arial"/>
          <w:sz w:val="24"/>
          <w:szCs w:val="24"/>
        </w:rPr>
        <w:t xml:space="preserve"> </w:t>
      </w:r>
      <w:r w:rsidRPr="00E579A8">
        <w:rPr>
          <w:rFonts w:ascii="Arial" w:hAnsi="Arial" w:cs="Arial"/>
          <w:sz w:val="24"/>
          <w:szCs w:val="24"/>
        </w:rPr>
        <w:t xml:space="preserve"> utilizatori de apă care folosesc resursele de apă de suprafaţă ca receptor al apelor evacuate</w:t>
      </w:r>
      <w:r>
        <w:rPr>
          <w:rFonts w:ascii="Arial" w:hAnsi="Arial" w:cs="Arial"/>
          <w:sz w:val="24"/>
          <w:szCs w:val="24"/>
        </w:rPr>
        <w:t>, din care, ți</w:t>
      </w:r>
      <w:r w:rsidRPr="00E579A8">
        <w:rPr>
          <w:rFonts w:ascii="Arial" w:hAnsi="Arial" w:cs="Arial"/>
          <w:sz w:val="24"/>
          <w:szCs w:val="24"/>
        </w:rPr>
        <w:t xml:space="preserve">nând seama de criteriile menţionate mai sus, au rezultat un număr total de </w:t>
      </w:r>
      <w:r w:rsidRPr="00281EE9">
        <w:rPr>
          <w:rFonts w:ascii="Arial" w:hAnsi="Arial" w:cs="Arial"/>
          <w:b/>
          <w:sz w:val="24"/>
          <w:szCs w:val="24"/>
        </w:rPr>
        <w:t>2.</w:t>
      </w:r>
      <w:r>
        <w:rPr>
          <w:rFonts w:ascii="Arial" w:hAnsi="Arial" w:cs="Arial"/>
          <w:b/>
          <w:sz w:val="24"/>
          <w:szCs w:val="24"/>
        </w:rPr>
        <w:t>294</w:t>
      </w:r>
      <w:r w:rsidRPr="00281EE9">
        <w:rPr>
          <w:rFonts w:ascii="Arial" w:hAnsi="Arial" w:cs="Arial"/>
          <w:b/>
          <w:sz w:val="24"/>
          <w:szCs w:val="24"/>
        </w:rPr>
        <w:t xml:space="preserve"> </w:t>
      </w:r>
      <w:r w:rsidRPr="002E19F4">
        <w:rPr>
          <w:rFonts w:ascii="Arial" w:hAnsi="Arial" w:cs="Arial"/>
          <w:b/>
          <w:sz w:val="24"/>
          <w:szCs w:val="24"/>
        </w:rPr>
        <w:t>surse puncti</w:t>
      </w:r>
      <w:r>
        <w:rPr>
          <w:rFonts w:ascii="Arial" w:hAnsi="Arial" w:cs="Arial"/>
          <w:b/>
          <w:sz w:val="24"/>
          <w:szCs w:val="24"/>
        </w:rPr>
        <w:t>forme potențial semnificative (</w:t>
      </w:r>
      <w:r w:rsidRPr="00E34FC9">
        <w:rPr>
          <w:rFonts w:ascii="Arial" w:hAnsi="Arial" w:cs="Arial"/>
          <w:b/>
          <w:sz w:val="24"/>
          <w:szCs w:val="24"/>
        </w:rPr>
        <w:t>1</w:t>
      </w:r>
      <w:r>
        <w:rPr>
          <w:rFonts w:ascii="Arial" w:hAnsi="Arial" w:cs="Arial"/>
          <w:b/>
          <w:sz w:val="24"/>
          <w:szCs w:val="24"/>
        </w:rPr>
        <w:t>.</w:t>
      </w:r>
      <w:r w:rsidRPr="00E34FC9">
        <w:rPr>
          <w:rFonts w:ascii="Arial" w:hAnsi="Arial" w:cs="Arial"/>
          <w:b/>
          <w:sz w:val="24"/>
          <w:szCs w:val="24"/>
        </w:rPr>
        <w:t xml:space="preserve">065 </w:t>
      </w:r>
      <w:r w:rsidRPr="002E19F4">
        <w:rPr>
          <w:rFonts w:ascii="Arial" w:hAnsi="Arial" w:cs="Arial"/>
          <w:b/>
          <w:sz w:val="24"/>
          <w:szCs w:val="24"/>
        </w:rPr>
        <w:t xml:space="preserve">urbane, </w:t>
      </w:r>
      <w:r>
        <w:rPr>
          <w:rFonts w:ascii="Arial" w:hAnsi="Arial" w:cs="Arial"/>
          <w:b/>
          <w:sz w:val="24"/>
          <w:szCs w:val="24"/>
        </w:rPr>
        <w:t>815</w:t>
      </w:r>
      <w:r w:rsidRPr="002E19F4">
        <w:rPr>
          <w:rFonts w:ascii="Arial" w:hAnsi="Arial" w:cs="Arial"/>
          <w:b/>
          <w:sz w:val="24"/>
          <w:szCs w:val="24"/>
        </w:rPr>
        <w:t xml:space="preserve"> industriale, </w:t>
      </w:r>
      <w:r>
        <w:rPr>
          <w:rFonts w:ascii="Arial" w:hAnsi="Arial" w:cs="Arial"/>
          <w:b/>
          <w:sz w:val="24"/>
          <w:szCs w:val="24"/>
        </w:rPr>
        <w:t>24</w:t>
      </w:r>
      <w:r w:rsidRPr="002E19F4">
        <w:rPr>
          <w:rFonts w:ascii="Arial" w:hAnsi="Arial" w:cs="Arial"/>
          <w:b/>
          <w:sz w:val="24"/>
          <w:szCs w:val="24"/>
        </w:rPr>
        <w:t xml:space="preserve"> agricole</w:t>
      </w:r>
      <w:r>
        <w:rPr>
          <w:rFonts w:ascii="Arial" w:hAnsi="Arial" w:cs="Arial"/>
          <w:b/>
          <w:sz w:val="24"/>
          <w:szCs w:val="24"/>
        </w:rPr>
        <w:t>, 200 acvacultură</w:t>
      </w:r>
      <w:r w:rsidRPr="002E19F4">
        <w:rPr>
          <w:rFonts w:ascii="Arial" w:hAnsi="Arial" w:cs="Arial"/>
          <w:b/>
          <w:sz w:val="24"/>
          <w:szCs w:val="24"/>
        </w:rPr>
        <w:t xml:space="preserve"> și </w:t>
      </w:r>
      <w:r>
        <w:rPr>
          <w:rFonts w:ascii="Arial" w:hAnsi="Arial" w:cs="Arial"/>
          <w:b/>
          <w:sz w:val="24"/>
          <w:szCs w:val="24"/>
        </w:rPr>
        <w:t>190</w:t>
      </w:r>
      <w:r w:rsidRPr="002E19F4">
        <w:rPr>
          <w:rFonts w:ascii="Arial" w:hAnsi="Arial" w:cs="Arial"/>
          <w:b/>
          <w:sz w:val="24"/>
          <w:szCs w:val="24"/>
        </w:rPr>
        <w:t xml:space="preserve"> alte presiuni</w:t>
      </w:r>
      <w:r>
        <w:rPr>
          <w:rFonts w:ascii="Arial" w:hAnsi="Arial" w:cs="Arial"/>
          <w:b/>
          <w:sz w:val="24"/>
          <w:szCs w:val="24"/>
        </w:rPr>
        <w:t xml:space="preserve"> de tipul exploatărilor forestiere, etc.</w:t>
      </w:r>
      <w:r w:rsidRPr="002E19F4">
        <w:rPr>
          <w:rFonts w:ascii="Arial" w:hAnsi="Arial" w:cs="Arial"/>
          <w:b/>
          <w:sz w:val="24"/>
          <w:szCs w:val="24"/>
        </w:rPr>
        <w:t>).</w:t>
      </w:r>
    </w:p>
    <w:p w14:paraId="3F0A0AFC" w14:textId="77777777" w:rsidR="000D318F" w:rsidRDefault="000D318F" w:rsidP="000D318F">
      <w:pPr>
        <w:spacing w:after="0" w:line="240" w:lineRule="auto"/>
        <w:ind w:firstLine="567"/>
        <w:jc w:val="both"/>
        <w:rPr>
          <w:rFonts w:ascii="Arial" w:hAnsi="Arial" w:cs="Arial"/>
          <w:b/>
          <w:sz w:val="24"/>
          <w:szCs w:val="24"/>
        </w:rPr>
      </w:pPr>
    </w:p>
    <w:p w14:paraId="7F544A2C" w14:textId="77777777" w:rsidR="000D318F" w:rsidRDefault="000D318F" w:rsidP="000D318F">
      <w:pPr>
        <w:spacing w:before="120" w:after="120" w:line="240" w:lineRule="auto"/>
        <w:rPr>
          <w:rFonts w:ascii="Arial" w:hAnsi="Arial" w:cs="Arial"/>
          <w:b/>
          <w:sz w:val="24"/>
          <w:szCs w:val="24"/>
        </w:rPr>
      </w:pPr>
      <w:r w:rsidRPr="001E17F9">
        <w:rPr>
          <w:rFonts w:ascii="Arial" w:hAnsi="Arial" w:cs="Arial"/>
          <w:b/>
          <w:sz w:val="24"/>
          <w:szCs w:val="24"/>
        </w:rPr>
        <w:t>Figura II.2.2.1</w:t>
      </w:r>
      <w:r>
        <w:rPr>
          <w:rFonts w:ascii="Arial" w:hAnsi="Arial" w:cs="Arial"/>
          <w:b/>
          <w:sz w:val="24"/>
          <w:szCs w:val="24"/>
        </w:rPr>
        <w:t xml:space="preserve">.1 </w:t>
      </w:r>
      <w:r w:rsidRPr="002E19F4">
        <w:rPr>
          <w:rFonts w:ascii="Arial" w:hAnsi="Arial" w:cs="Arial"/>
          <w:b/>
          <w:sz w:val="24"/>
          <w:szCs w:val="24"/>
        </w:rPr>
        <w:t>Ponderea presiunilor puncti</w:t>
      </w:r>
      <w:r>
        <w:rPr>
          <w:rFonts w:ascii="Arial" w:hAnsi="Arial" w:cs="Arial"/>
          <w:b/>
          <w:sz w:val="24"/>
          <w:szCs w:val="24"/>
        </w:rPr>
        <w:t>forme</w:t>
      </w:r>
      <w:r w:rsidRPr="002E19F4">
        <w:rPr>
          <w:rFonts w:ascii="Arial" w:hAnsi="Arial" w:cs="Arial"/>
          <w:b/>
          <w:sz w:val="24"/>
          <w:szCs w:val="24"/>
        </w:rPr>
        <w:t xml:space="preserve"> potențial semnificative </w:t>
      </w:r>
    </w:p>
    <w:p w14:paraId="5FAE7803" w14:textId="22E6EAE5" w:rsidR="000D318F" w:rsidRDefault="000D318F" w:rsidP="000D318F">
      <w:pPr>
        <w:spacing w:after="0" w:line="240" w:lineRule="auto"/>
        <w:jc w:val="center"/>
        <w:rPr>
          <w:rFonts w:ascii="Arial" w:hAnsi="Arial" w:cs="Arial"/>
          <w:b/>
          <w:sz w:val="24"/>
          <w:szCs w:val="24"/>
        </w:rPr>
      </w:pPr>
      <w:r w:rsidRPr="00B943FA">
        <w:rPr>
          <w:noProof/>
          <w:lang w:val="en-GB" w:eastAsia="en-GB"/>
        </w:rPr>
        <w:lastRenderedPageBreak/>
        <w:drawing>
          <wp:inline distT="0" distB="0" distL="0" distR="0" wp14:anchorId="74C86A61" wp14:editId="4ECCD3D1">
            <wp:extent cx="3429000" cy="2125345"/>
            <wp:effectExtent l="0" t="0" r="0" b="8255"/>
            <wp:docPr id="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33EF903" w14:textId="77777777" w:rsidR="000D318F" w:rsidRPr="007B053A" w:rsidRDefault="000D318F" w:rsidP="000D318F">
      <w:pPr>
        <w:spacing w:after="0" w:line="240" w:lineRule="auto"/>
        <w:jc w:val="both"/>
        <w:rPr>
          <w:rFonts w:ascii="Arial" w:hAnsi="Arial" w:cs="Arial"/>
          <w:i/>
          <w:sz w:val="20"/>
          <w:szCs w:val="20"/>
        </w:rPr>
      </w:pPr>
      <w:r w:rsidRPr="007B053A">
        <w:rPr>
          <w:rFonts w:ascii="Arial" w:hAnsi="Arial" w:cs="Arial"/>
          <w:i/>
          <w:sz w:val="20"/>
          <w:szCs w:val="20"/>
        </w:rPr>
        <w:t>(Sursa datelor: Administrația Națională „Apele Române”, Planul Național de Management actualizat)</w:t>
      </w:r>
    </w:p>
    <w:p w14:paraId="61E3AD79" w14:textId="77777777" w:rsidR="000D318F" w:rsidRPr="002E19F4" w:rsidRDefault="000D318F" w:rsidP="000D318F">
      <w:pPr>
        <w:spacing w:before="120" w:after="120" w:line="240" w:lineRule="auto"/>
        <w:ind w:firstLine="567"/>
        <w:jc w:val="both"/>
        <w:rPr>
          <w:rFonts w:ascii="Arial" w:hAnsi="Arial" w:cs="Arial"/>
          <w:sz w:val="24"/>
          <w:szCs w:val="24"/>
        </w:rPr>
      </w:pPr>
      <w:r w:rsidRPr="002E19F4">
        <w:rPr>
          <w:rFonts w:ascii="Arial" w:hAnsi="Arial" w:cs="Arial"/>
          <w:sz w:val="24"/>
          <w:szCs w:val="24"/>
        </w:rPr>
        <w:t xml:space="preserve">Se constată că ponderea cea mai mare a presiunilor </w:t>
      </w:r>
      <w:r>
        <w:rPr>
          <w:rFonts w:ascii="Arial" w:hAnsi="Arial" w:cs="Arial"/>
          <w:sz w:val="24"/>
          <w:szCs w:val="24"/>
        </w:rPr>
        <w:t xml:space="preserve">punctiforme </w:t>
      </w:r>
      <w:r w:rsidRPr="002E19F4">
        <w:rPr>
          <w:rFonts w:ascii="Arial" w:hAnsi="Arial" w:cs="Arial"/>
          <w:sz w:val="24"/>
          <w:szCs w:val="24"/>
        </w:rPr>
        <w:t>este reprezentată de aglomerări umane</w:t>
      </w:r>
      <w:r>
        <w:rPr>
          <w:rFonts w:ascii="Arial" w:hAnsi="Arial" w:cs="Arial"/>
          <w:sz w:val="24"/>
          <w:szCs w:val="24"/>
        </w:rPr>
        <w:t>, cu cca. 46%, respectiv</w:t>
      </w:r>
      <w:r w:rsidRPr="002E19F4">
        <w:rPr>
          <w:rFonts w:ascii="Arial" w:hAnsi="Arial" w:cs="Arial"/>
          <w:sz w:val="24"/>
          <w:szCs w:val="24"/>
        </w:rPr>
        <w:t xml:space="preserve"> ape</w:t>
      </w:r>
      <w:r>
        <w:rPr>
          <w:rFonts w:ascii="Arial" w:hAnsi="Arial" w:cs="Arial"/>
          <w:sz w:val="24"/>
          <w:szCs w:val="24"/>
        </w:rPr>
        <w:t>le</w:t>
      </w:r>
      <w:r w:rsidRPr="002E19F4">
        <w:rPr>
          <w:rFonts w:ascii="Arial" w:hAnsi="Arial" w:cs="Arial"/>
          <w:sz w:val="24"/>
          <w:szCs w:val="24"/>
        </w:rPr>
        <w:t xml:space="preserve"> uzate evacuate de la sistemele de colectare și epurare a aglomerărilor</w:t>
      </w:r>
      <w:r>
        <w:rPr>
          <w:rFonts w:ascii="Arial" w:hAnsi="Arial" w:cs="Arial"/>
          <w:sz w:val="24"/>
          <w:szCs w:val="24"/>
        </w:rPr>
        <w:t xml:space="preserve"> urbane</w:t>
      </w:r>
      <w:r w:rsidRPr="002E19F4">
        <w:rPr>
          <w:rFonts w:ascii="Arial" w:hAnsi="Arial" w:cs="Arial"/>
          <w:sz w:val="24"/>
          <w:szCs w:val="24"/>
        </w:rPr>
        <w:t>.</w:t>
      </w:r>
    </w:p>
    <w:p w14:paraId="7682DC70" w14:textId="77777777" w:rsidR="000D318F" w:rsidRPr="00497FAC" w:rsidRDefault="000D318F" w:rsidP="000D318F">
      <w:pPr>
        <w:spacing w:before="120" w:after="0" w:line="240" w:lineRule="auto"/>
        <w:ind w:firstLine="567"/>
        <w:jc w:val="both"/>
        <w:rPr>
          <w:rFonts w:ascii="Arial" w:hAnsi="Arial" w:cs="Arial"/>
          <w:sz w:val="24"/>
          <w:szCs w:val="24"/>
        </w:rPr>
      </w:pPr>
      <w:r w:rsidRPr="00497FAC">
        <w:rPr>
          <w:rFonts w:ascii="Arial" w:hAnsi="Arial" w:cs="Arial"/>
          <w:sz w:val="24"/>
          <w:szCs w:val="24"/>
        </w:rPr>
        <w:t xml:space="preserve">În ceea ce priveşte </w:t>
      </w:r>
      <w:r w:rsidRPr="00497FAC">
        <w:rPr>
          <w:rFonts w:ascii="Arial" w:hAnsi="Arial" w:cs="Arial"/>
          <w:b/>
          <w:i/>
          <w:sz w:val="24"/>
          <w:szCs w:val="24"/>
        </w:rPr>
        <w:t>sursele difuze de poluare semnificativă</w:t>
      </w:r>
      <w:r w:rsidRPr="00497FAC">
        <w:rPr>
          <w:rFonts w:ascii="Arial" w:hAnsi="Arial" w:cs="Arial"/>
          <w:sz w:val="24"/>
          <w:szCs w:val="24"/>
        </w:rPr>
        <w:t>, identificate cu referire la modul de utilizare al terenului, se pot menţiona:</w:t>
      </w:r>
    </w:p>
    <w:p w14:paraId="154F9A98" w14:textId="77777777" w:rsidR="000D318F" w:rsidRPr="00497FAC" w:rsidRDefault="000D318F" w:rsidP="0054709F">
      <w:pPr>
        <w:pStyle w:val="ListParagraph"/>
        <w:numPr>
          <w:ilvl w:val="0"/>
          <w:numId w:val="18"/>
        </w:numPr>
        <w:spacing w:after="0" w:line="240" w:lineRule="auto"/>
        <w:ind w:left="288" w:hanging="288"/>
        <w:jc w:val="both"/>
        <w:rPr>
          <w:rFonts w:ascii="Arial" w:hAnsi="Arial" w:cs="Arial"/>
          <w:sz w:val="24"/>
          <w:szCs w:val="24"/>
        </w:rPr>
      </w:pPr>
      <w:r w:rsidRPr="00497FAC">
        <w:rPr>
          <w:rFonts w:ascii="Arial" w:hAnsi="Arial" w:cs="Arial"/>
          <w:sz w:val="24"/>
          <w:szCs w:val="24"/>
        </w:rPr>
        <w:t>aglomerările umane/localităţile care nu au sisteme de colectare a apelor uzate sau sisteme corespunzătoare de colectare şi eliminare a nămolului din staţiile de epurare, precum şi localităţile care au depozite de deşeuri menajere neconforme;</w:t>
      </w:r>
    </w:p>
    <w:p w14:paraId="29EA6DE5" w14:textId="77777777" w:rsidR="000D318F" w:rsidRPr="00497FAC" w:rsidRDefault="000D318F" w:rsidP="0054709F">
      <w:pPr>
        <w:pStyle w:val="ListParagraph"/>
        <w:numPr>
          <w:ilvl w:val="0"/>
          <w:numId w:val="18"/>
        </w:numPr>
        <w:spacing w:before="120" w:after="120" w:line="240" w:lineRule="auto"/>
        <w:ind w:left="284" w:hanging="284"/>
        <w:jc w:val="both"/>
        <w:rPr>
          <w:rFonts w:ascii="Arial" w:hAnsi="Arial" w:cs="Arial"/>
          <w:sz w:val="24"/>
          <w:szCs w:val="24"/>
        </w:rPr>
      </w:pPr>
      <w:r w:rsidRPr="00497FAC">
        <w:rPr>
          <w:rFonts w:ascii="Arial" w:hAnsi="Arial" w:cs="Arial"/>
          <w:sz w:val="24"/>
          <w:szCs w:val="24"/>
        </w:rPr>
        <w:t>fermele agro</w:t>
      </w:r>
      <w:r>
        <w:rPr>
          <w:rFonts w:ascii="Arial" w:hAnsi="Arial" w:cs="Arial"/>
          <w:sz w:val="24"/>
          <w:szCs w:val="24"/>
        </w:rPr>
        <w:t>-</w:t>
      </w:r>
      <w:r w:rsidRPr="00497FAC">
        <w:rPr>
          <w:rFonts w:ascii="Arial" w:hAnsi="Arial" w:cs="Arial"/>
          <w:sz w:val="24"/>
          <w:szCs w:val="24"/>
        </w:rPr>
        <w:t>zootehnice care nu au sisteme corespunzătoare de stocare/utilizare a dejecţiilor, localităţile identificate ca fiind zone vulnerabile la poluarea cu nitraţi din surse agricole, unităţi care utilizează pesticide şi nu se conformează legislaţiei în vigoare, alte unităţi/activităţi agricole care pot conduce la emisii difuze semnificative;</w:t>
      </w:r>
    </w:p>
    <w:p w14:paraId="2186B845" w14:textId="77777777" w:rsidR="000D318F" w:rsidRDefault="000D318F" w:rsidP="0054709F">
      <w:pPr>
        <w:pStyle w:val="ListParagraph"/>
        <w:numPr>
          <w:ilvl w:val="0"/>
          <w:numId w:val="18"/>
        </w:numPr>
        <w:spacing w:after="0" w:line="240" w:lineRule="auto"/>
        <w:ind w:left="284" w:hanging="284"/>
        <w:jc w:val="both"/>
        <w:rPr>
          <w:rFonts w:ascii="Arial" w:hAnsi="Arial" w:cs="Arial"/>
          <w:sz w:val="24"/>
          <w:szCs w:val="24"/>
        </w:rPr>
      </w:pPr>
      <w:r w:rsidRPr="00497FAC">
        <w:rPr>
          <w:rFonts w:ascii="Arial" w:hAnsi="Arial" w:cs="Arial"/>
          <w:sz w:val="24"/>
          <w:szCs w:val="24"/>
        </w:rPr>
        <w:t>depozitele de materii prime, produse finite, produse auxiliare, stocare de deşeuri neconforme, unităţi ce produc poluări accidentale difuze, situri industriale abandonate.</w:t>
      </w:r>
    </w:p>
    <w:p w14:paraId="4857ECE2" w14:textId="77777777" w:rsidR="000D318F" w:rsidRPr="00DD2B00" w:rsidRDefault="000D318F" w:rsidP="000D318F">
      <w:pPr>
        <w:spacing w:after="0" w:line="240" w:lineRule="auto"/>
        <w:ind w:firstLine="567"/>
        <w:jc w:val="both"/>
        <w:rPr>
          <w:rFonts w:ascii="Arial" w:hAnsi="Arial" w:cs="Arial"/>
          <w:sz w:val="24"/>
          <w:szCs w:val="24"/>
        </w:rPr>
      </w:pPr>
      <w:r w:rsidRPr="00DD2B00">
        <w:rPr>
          <w:rFonts w:ascii="Arial" w:hAnsi="Arial" w:cs="Arial"/>
          <w:sz w:val="24"/>
          <w:szCs w:val="24"/>
        </w:rPr>
        <w:t>Presiunile difuze provenite din activităţile agricole sunt dificil de cuantificat. Totuşi, cantităţile de poluanţi emise de sursele difuze de poluare pot fi estimate prin aplicarea unor modele matematice. De exemplu, modelul MONERIS (</w:t>
      </w:r>
      <w:r w:rsidRPr="00DD2B00">
        <w:rPr>
          <w:rFonts w:ascii="Arial" w:hAnsi="Arial" w:cs="Arial"/>
          <w:i/>
          <w:iCs/>
          <w:sz w:val="24"/>
          <w:szCs w:val="24"/>
        </w:rPr>
        <w:t>Modelling Nutrient Emissions in River Systems</w:t>
      </w:r>
      <w:r w:rsidRPr="00DD2B00">
        <w:rPr>
          <w:rFonts w:ascii="Arial" w:hAnsi="Arial" w:cs="Arial"/>
          <w:sz w:val="24"/>
          <w:szCs w:val="24"/>
        </w:rPr>
        <w:t>) permite estimarea emisiilor de nutrienţi (azot şi fosfor) luând în consideraţie şase căi de producere a poluării difuze: scurgerea pe suprafaţă, scurgerea din reţele de drenaje, scurgerea subterană, scurgerea din zone impermeabile orăşeneşti, depuneri din atmosferă şi eroziunea solului.</w:t>
      </w:r>
    </w:p>
    <w:p w14:paraId="70276E51" w14:textId="77777777" w:rsidR="000D318F" w:rsidRDefault="000D318F" w:rsidP="000D318F">
      <w:pPr>
        <w:spacing w:before="120" w:after="0" w:line="240" w:lineRule="auto"/>
        <w:jc w:val="both"/>
        <w:rPr>
          <w:rFonts w:ascii="Arial" w:hAnsi="Arial" w:cs="Arial"/>
          <w:sz w:val="24"/>
          <w:szCs w:val="24"/>
        </w:rPr>
      </w:pPr>
      <w:r>
        <w:rPr>
          <w:rFonts w:ascii="Arial" w:hAnsi="Arial" w:cs="Arial"/>
          <w:sz w:val="24"/>
          <w:szCs w:val="24"/>
        </w:rPr>
        <w:t xml:space="preserve">Aplicarea modelului MONERIS se realizează la elaborarea fiecarui plan de management, ultimele informații fiind disponibile </w:t>
      </w:r>
      <w:r w:rsidRPr="00E34FC9">
        <w:rPr>
          <w:rFonts w:ascii="Arial" w:hAnsi="Arial" w:cs="Arial"/>
          <w:sz w:val="24"/>
          <w:szCs w:val="24"/>
        </w:rPr>
        <w:t>din  perioada de referință (2015-2018)</w:t>
      </w:r>
      <w:r>
        <w:rPr>
          <w:rFonts w:ascii="Arial" w:hAnsi="Arial" w:cs="Arial"/>
          <w:sz w:val="24"/>
          <w:szCs w:val="24"/>
        </w:rPr>
        <w:t xml:space="preserve">. </w:t>
      </w:r>
      <w:r w:rsidRPr="00DD2B00">
        <w:rPr>
          <w:rFonts w:ascii="Arial" w:hAnsi="Arial" w:cs="Arial"/>
          <w:sz w:val="24"/>
          <w:szCs w:val="24"/>
        </w:rPr>
        <w:t xml:space="preserve">Se precizează că aceste date </w:t>
      </w:r>
      <w:r>
        <w:rPr>
          <w:rFonts w:ascii="Arial" w:hAnsi="Arial" w:cs="Arial"/>
          <w:sz w:val="24"/>
          <w:szCs w:val="24"/>
        </w:rPr>
        <w:t xml:space="preserve">au fost actualizate pentru al treilea plan de management cu valori din </w:t>
      </w:r>
      <w:r w:rsidRPr="00E34FC9">
        <w:rPr>
          <w:rFonts w:ascii="Arial" w:hAnsi="Arial" w:cs="Arial"/>
          <w:sz w:val="24"/>
          <w:szCs w:val="24"/>
        </w:rPr>
        <w:t>perioada 2015-2018</w:t>
      </w:r>
      <w:r>
        <w:rPr>
          <w:rFonts w:ascii="Arial" w:hAnsi="Arial" w:cs="Arial"/>
          <w:sz w:val="24"/>
          <w:szCs w:val="24"/>
        </w:rPr>
        <w:t>, pe baza</w:t>
      </w:r>
      <w:r w:rsidRPr="00DD2B00">
        <w:rPr>
          <w:rFonts w:ascii="Arial" w:hAnsi="Arial" w:cs="Arial"/>
          <w:sz w:val="24"/>
          <w:szCs w:val="24"/>
        </w:rPr>
        <w:t xml:space="preserve"> finaliz</w:t>
      </w:r>
      <w:r>
        <w:rPr>
          <w:rFonts w:ascii="Arial" w:hAnsi="Arial" w:cs="Arial"/>
          <w:sz w:val="24"/>
          <w:szCs w:val="24"/>
        </w:rPr>
        <w:t>ării</w:t>
      </w:r>
      <w:r w:rsidRPr="00DD2B00">
        <w:rPr>
          <w:rFonts w:ascii="Arial" w:hAnsi="Arial" w:cs="Arial"/>
          <w:sz w:val="24"/>
          <w:szCs w:val="24"/>
        </w:rPr>
        <w:t xml:space="preserve"> aplicării modelului MONERIS la nivel naţional (</w:t>
      </w:r>
      <w:r w:rsidRPr="00E34FC9">
        <w:rPr>
          <w:rFonts w:ascii="Arial" w:hAnsi="Arial" w:cs="Arial"/>
          <w:sz w:val="24"/>
          <w:szCs w:val="24"/>
        </w:rPr>
        <w:t>în cadrul Districtului internaţional al Dunării), cât şi la nivel de sub-bazine internaţionale (Tisa).</w:t>
      </w:r>
    </w:p>
    <w:p w14:paraId="33C01FEC" w14:textId="77777777" w:rsidR="000D318F" w:rsidRDefault="000D318F" w:rsidP="000D318F">
      <w:pPr>
        <w:spacing w:before="120" w:after="120" w:line="240" w:lineRule="auto"/>
        <w:ind w:firstLine="567"/>
        <w:jc w:val="both"/>
        <w:rPr>
          <w:rFonts w:ascii="Arial" w:hAnsi="Arial" w:cs="Arial"/>
          <w:sz w:val="24"/>
          <w:szCs w:val="24"/>
        </w:rPr>
      </w:pPr>
      <w:r w:rsidRPr="00DD2B00">
        <w:rPr>
          <w:rFonts w:ascii="Arial" w:hAnsi="Arial" w:cs="Arial"/>
          <w:sz w:val="24"/>
          <w:szCs w:val="24"/>
        </w:rPr>
        <w:t xml:space="preserve">În </w:t>
      </w:r>
      <w:r w:rsidRPr="00DD2B00">
        <w:rPr>
          <w:rFonts w:ascii="Arial" w:hAnsi="Arial" w:cs="Arial"/>
          <w:i/>
          <w:sz w:val="24"/>
          <w:szCs w:val="24"/>
        </w:rPr>
        <w:t>Figurile II.2.2.</w:t>
      </w:r>
      <w:r>
        <w:rPr>
          <w:rFonts w:ascii="Arial" w:hAnsi="Arial" w:cs="Arial"/>
          <w:i/>
          <w:sz w:val="24"/>
          <w:szCs w:val="24"/>
        </w:rPr>
        <w:t>1.2</w:t>
      </w:r>
      <w:r w:rsidRPr="00DD2B00">
        <w:rPr>
          <w:rFonts w:ascii="Arial" w:hAnsi="Arial" w:cs="Arial"/>
          <w:i/>
          <w:sz w:val="24"/>
          <w:szCs w:val="24"/>
        </w:rPr>
        <w:t xml:space="preserve"> şi II.2.2.</w:t>
      </w:r>
      <w:r>
        <w:rPr>
          <w:rFonts w:ascii="Arial" w:hAnsi="Arial" w:cs="Arial"/>
          <w:i/>
          <w:sz w:val="24"/>
          <w:szCs w:val="24"/>
        </w:rPr>
        <w:t>1.3</w:t>
      </w:r>
      <w:r w:rsidRPr="00DD2B00">
        <w:rPr>
          <w:rFonts w:ascii="Arial" w:hAnsi="Arial" w:cs="Arial"/>
          <w:sz w:val="24"/>
          <w:szCs w:val="24"/>
        </w:rPr>
        <w:t xml:space="preserve"> se prezintă contribuţia modurilor de producere a poluării difuze cu azot şi fosfor</w:t>
      </w:r>
      <w:r>
        <w:rPr>
          <w:rFonts w:ascii="Arial" w:hAnsi="Arial" w:cs="Arial"/>
          <w:sz w:val="24"/>
          <w:szCs w:val="24"/>
        </w:rPr>
        <w:t xml:space="preserve"> din</w:t>
      </w:r>
      <w:r w:rsidRPr="00DD2B00">
        <w:rPr>
          <w:rFonts w:ascii="Arial" w:hAnsi="Arial" w:cs="Arial"/>
          <w:sz w:val="24"/>
          <w:szCs w:val="24"/>
        </w:rPr>
        <w:t xml:space="preserve"> </w:t>
      </w:r>
      <w:r w:rsidRPr="00E34FC9">
        <w:rPr>
          <w:rFonts w:ascii="Arial" w:hAnsi="Arial" w:cs="Arial"/>
          <w:sz w:val="24"/>
          <w:szCs w:val="24"/>
        </w:rPr>
        <w:t>perioada de referință</w:t>
      </w:r>
      <w:r>
        <w:rPr>
          <w:rFonts w:ascii="Arial" w:hAnsi="Arial" w:cs="Arial"/>
          <w:sz w:val="24"/>
          <w:szCs w:val="24"/>
        </w:rPr>
        <w:t xml:space="preserve"> </w:t>
      </w:r>
      <w:r w:rsidRPr="00E34FC9">
        <w:rPr>
          <w:rFonts w:ascii="Arial" w:hAnsi="Arial" w:cs="Arial"/>
          <w:sz w:val="24"/>
          <w:szCs w:val="24"/>
        </w:rPr>
        <w:t>2015-2018</w:t>
      </w:r>
      <w:r w:rsidRPr="00DD2B00">
        <w:rPr>
          <w:rFonts w:ascii="Arial" w:hAnsi="Arial" w:cs="Arial"/>
          <w:sz w:val="24"/>
          <w:szCs w:val="24"/>
        </w:rPr>
        <w:t xml:space="preserve">, având în vedere căile prezentate mai sus. </w:t>
      </w:r>
    </w:p>
    <w:p w14:paraId="6C957C5F" w14:textId="77777777" w:rsidR="000D318F" w:rsidRDefault="000D318F" w:rsidP="000D318F">
      <w:pPr>
        <w:spacing w:after="0" w:line="240" w:lineRule="auto"/>
        <w:rPr>
          <w:rFonts w:ascii="Arial" w:hAnsi="Arial" w:cs="Arial"/>
          <w:b/>
          <w:sz w:val="24"/>
          <w:szCs w:val="24"/>
        </w:rPr>
      </w:pPr>
    </w:p>
    <w:p w14:paraId="3DD127F9" w14:textId="77777777" w:rsidR="000D318F" w:rsidRDefault="000D318F" w:rsidP="000D318F">
      <w:pPr>
        <w:spacing w:after="0" w:line="240" w:lineRule="auto"/>
        <w:rPr>
          <w:rFonts w:ascii="Arial" w:hAnsi="Arial" w:cs="Arial"/>
          <w:b/>
          <w:i/>
          <w:sz w:val="24"/>
          <w:szCs w:val="24"/>
        </w:rPr>
      </w:pPr>
      <w:r w:rsidRPr="000F3880">
        <w:rPr>
          <w:rFonts w:ascii="Arial" w:hAnsi="Arial" w:cs="Arial"/>
          <w:b/>
          <w:sz w:val="24"/>
          <w:szCs w:val="24"/>
        </w:rPr>
        <w:t>Figura II.2.2.</w:t>
      </w:r>
      <w:r>
        <w:rPr>
          <w:rFonts w:ascii="Arial" w:hAnsi="Arial" w:cs="Arial"/>
          <w:b/>
          <w:sz w:val="24"/>
          <w:szCs w:val="24"/>
        </w:rPr>
        <w:t>1.</w:t>
      </w:r>
      <w:r w:rsidRPr="000F3880">
        <w:rPr>
          <w:rFonts w:ascii="Arial" w:hAnsi="Arial" w:cs="Arial"/>
          <w:b/>
          <w:sz w:val="24"/>
          <w:szCs w:val="24"/>
        </w:rPr>
        <w:t>2</w:t>
      </w:r>
      <w:r>
        <w:rPr>
          <w:rFonts w:ascii="Arial" w:hAnsi="Arial" w:cs="Arial"/>
          <w:b/>
          <w:sz w:val="24"/>
          <w:szCs w:val="24"/>
        </w:rPr>
        <w:t xml:space="preserve"> </w:t>
      </w:r>
      <w:r w:rsidRPr="00DD2B00">
        <w:rPr>
          <w:rFonts w:ascii="Arial" w:hAnsi="Arial" w:cs="Arial"/>
          <w:b/>
          <w:i/>
          <w:sz w:val="24"/>
          <w:szCs w:val="24"/>
        </w:rPr>
        <w:t>Moduri (căi) de producere a poluării difuze cu azot</w:t>
      </w:r>
    </w:p>
    <w:p w14:paraId="1BF73ED2" w14:textId="72D10633" w:rsidR="000D318F" w:rsidRDefault="000D318F" w:rsidP="000D318F">
      <w:pPr>
        <w:spacing w:before="120" w:after="120" w:line="240" w:lineRule="auto"/>
        <w:jc w:val="center"/>
        <w:rPr>
          <w:rFonts w:ascii="Arial" w:hAnsi="Arial" w:cs="Arial"/>
          <w:b/>
          <w:i/>
          <w:sz w:val="24"/>
          <w:szCs w:val="24"/>
        </w:rPr>
      </w:pPr>
      <w:r>
        <w:rPr>
          <w:rFonts w:ascii="Arial" w:hAnsi="Arial" w:cs="Arial"/>
          <w:b/>
          <w:i/>
          <w:noProof/>
          <w:sz w:val="24"/>
          <w:szCs w:val="24"/>
          <w:lang w:val="en-GB" w:eastAsia="en-GB"/>
        </w:rPr>
        <w:lastRenderedPageBreak/>
        <w:drawing>
          <wp:inline distT="0" distB="0" distL="0" distR="0" wp14:anchorId="034308FE" wp14:editId="5D99DD70">
            <wp:extent cx="3246120" cy="2138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6120" cy="2138680"/>
                    </a:xfrm>
                    <a:prstGeom prst="rect">
                      <a:avLst/>
                    </a:prstGeom>
                    <a:noFill/>
                  </pic:spPr>
                </pic:pic>
              </a:graphicData>
            </a:graphic>
          </wp:inline>
        </w:drawing>
      </w:r>
    </w:p>
    <w:p w14:paraId="7731BD13" w14:textId="77777777" w:rsidR="000D318F" w:rsidRPr="007B053A" w:rsidRDefault="000D318F" w:rsidP="000D318F">
      <w:pPr>
        <w:spacing w:after="0" w:line="240" w:lineRule="auto"/>
        <w:jc w:val="both"/>
        <w:rPr>
          <w:rFonts w:ascii="Arial" w:hAnsi="Arial" w:cs="Arial"/>
          <w:i/>
          <w:sz w:val="20"/>
          <w:szCs w:val="20"/>
        </w:rPr>
      </w:pPr>
      <w:r w:rsidRPr="007B053A">
        <w:rPr>
          <w:rFonts w:ascii="Arial" w:hAnsi="Arial" w:cs="Arial"/>
          <w:i/>
          <w:sz w:val="20"/>
          <w:szCs w:val="20"/>
        </w:rPr>
        <w:t>(Sursa datelor: Administrația Națională „Apele Române”,  Planul naţional de management actualizat)</w:t>
      </w:r>
    </w:p>
    <w:p w14:paraId="4A2F8A59" w14:textId="77777777" w:rsidR="000D318F" w:rsidRDefault="000D318F" w:rsidP="000D318F">
      <w:pPr>
        <w:spacing w:before="120" w:after="120" w:line="240" w:lineRule="auto"/>
        <w:jc w:val="both"/>
        <w:rPr>
          <w:rFonts w:ascii="Arial" w:hAnsi="Arial" w:cs="Arial"/>
          <w:i/>
        </w:rPr>
      </w:pPr>
    </w:p>
    <w:p w14:paraId="1CDB4955" w14:textId="77777777" w:rsidR="000D318F" w:rsidRDefault="000D318F" w:rsidP="000D318F">
      <w:pPr>
        <w:spacing w:before="120" w:after="120" w:line="240" w:lineRule="auto"/>
        <w:rPr>
          <w:rFonts w:ascii="Arial" w:hAnsi="Arial" w:cs="Arial"/>
          <w:b/>
          <w:sz w:val="24"/>
          <w:szCs w:val="24"/>
        </w:rPr>
      </w:pPr>
    </w:p>
    <w:p w14:paraId="239902EB" w14:textId="77777777" w:rsidR="000D318F" w:rsidRDefault="000D318F" w:rsidP="000D318F">
      <w:pPr>
        <w:spacing w:after="0" w:line="240" w:lineRule="auto"/>
        <w:rPr>
          <w:rFonts w:ascii="Arial" w:hAnsi="Arial" w:cs="Arial"/>
          <w:b/>
          <w:i/>
          <w:sz w:val="24"/>
          <w:szCs w:val="24"/>
        </w:rPr>
      </w:pPr>
      <w:r w:rsidRPr="000F3880">
        <w:rPr>
          <w:rFonts w:ascii="Arial" w:hAnsi="Arial" w:cs="Arial"/>
          <w:b/>
          <w:sz w:val="24"/>
          <w:szCs w:val="24"/>
        </w:rPr>
        <w:t>Figura II.2.2.</w:t>
      </w:r>
      <w:r>
        <w:rPr>
          <w:rFonts w:ascii="Arial" w:hAnsi="Arial" w:cs="Arial"/>
          <w:b/>
          <w:sz w:val="24"/>
          <w:szCs w:val="24"/>
        </w:rPr>
        <w:t xml:space="preserve">1.3 </w:t>
      </w:r>
      <w:r w:rsidRPr="00DD2B00">
        <w:rPr>
          <w:rFonts w:ascii="Arial" w:hAnsi="Arial" w:cs="Arial"/>
          <w:b/>
          <w:i/>
          <w:sz w:val="24"/>
          <w:szCs w:val="24"/>
        </w:rPr>
        <w:t xml:space="preserve">Moduri (căi) de producere a poluării difuze cu </w:t>
      </w:r>
      <w:r>
        <w:rPr>
          <w:rFonts w:ascii="Arial" w:hAnsi="Arial" w:cs="Arial"/>
          <w:b/>
          <w:i/>
          <w:sz w:val="24"/>
          <w:szCs w:val="24"/>
        </w:rPr>
        <w:t>fosfor</w:t>
      </w:r>
    </w:p>
    <w:p w14:paraId="4011BE53" w14:textId="04C29ECF" w:rsidR="000D318F" w:rsidRDefault="000D318F" w:rsidP="000D318F">
      <w:pPr>
        <w:spacing w:after="0" w:line="240" w:lineRule="auto"/>
        <w:jc w:val="center"/>
        <w:rPr>
          <w:rFonts w:ascii="Times New Roman" w:eastAsia="Times New Roman" w:hAnsi="Times New Roman"/>
          <w:noProof/>
          <w:sz w:val="24"/>
          <w:szCs w:val="24"/>
          <w:lang w:val="en-GB" w:eastAsia="en-GB"/>
        </w:rPr>
      </w:pPr>
      <w:r>
        <w:rPr>
          <w:rFonts w:ascii="Arial" w:hAnsi="Arial" w:cs="Arial"/>
          <w:b/>
          <w:i/>
          <w:noProof/>
          <w:sz w:val="24"/>
          <w:szCs w:val="24"/>
          <w:lang w:val="en-GB" w:eastAsia="en-GB"/>
        </w:rPr>
        <w:drawing>
          <wp:inline distT="0" distB="0" distL="0" distR="0" wp14:anchorId="3DBCBCE9" wp14:editId="15194040">
            <wp:extent cx="3318510" cy="21583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8510" cy="2158365"/>
                    </a:xfrm>
                    <a:prstGeom prst="rect">
                      <a:avLst/>
                    </a:prstGeom>
                    <a:noFill/>
                  </pic:spPr>
                </pic:pic>
              </a:graphicData>
            </a:graphic>
          </wp:inline>
        </w:drawing>
      </w:r>
    </w:p>
    <w:p w14:paraId="03BF3E89" w14:textId="77777777" w:rsidR="000D318F" w:rsidRPr="007B053A" w:rsidRDefault="000D318F" w:rsidP="000D318F">
      <w:pPr>
        <w:spacing w:after="0" w:line="240" w:lineRule="auto"/>
        <w:jc w:val="both"/>
        <w:rPr>
          <w:rFonts w:ascii="Arial" w:hAnsi="Arial" w:cs="Arial"/>
          <w:i/>
          <w:sz w:val="20"/>
          <w:szCs w:val="20"/>
        </w:rPr>
      </w:pPr>
      <w:r w:rsidRPr="007B053A">
        <w:rPr>
          <w:rFonts w:ascii="Arial" w:hAnsi="Arial" w:cs="Arial"/>
          <w:i/>
          <w:sz w:val="20"/>
          <w:szCs w:val="20"/>
        </w:rPr>
        <w:t>(Sursa datelor: Administrația Națională „Apele Române”, Planul naţional de management actualizat)</w:t>
      </w:r>
    </w:p>
    <w:p w14:paraId="5ACED314" w14:textId="77777777" w:rsidR="000D318F" w:rsidRDefault="000D318F" w:rsidP="000D318F">
      <w:pPr>
        <w:pStyle w:val="BodyText"/>
        <w:ind w:right="-2" w:firstLine="720"/>
        <w:jc w:val="both"/>
        <w:rPr>
          <w:rFonts w:ascii="Arial" w:hAnsi="Arial" w:cs="Arial"/>
          <w:szCs w:val="24"/>
        </w:rPr>
      </w:pPr>
    </w:p>
    <w:p w14:paraId="4B8480C7" w14:textId="77777777" w:rsidR="000D318F" w:rsidRPr="000F3880" w:rsidRDefault="000D318F" w:rsidP="000D318F">
      <w:pPr>
        <w:pStyle w:val="BodyText"/>
        <w:spacing w:before="120"/>
        <w:ind w:right="-2" w:firstLine="720"/>
        <w:jc w:val="both"/>
        <w:rPr>
          <w:rFonts w:ascii="Arial" w:hAnsi="Arial" w:cs="Arial"/>
          <w:szCs w:val="24"/>
        </w:rPr>
      </w:pPr>
      <w:r w:rsidRPr="000F3880">
        <w:rPr>
          <w:rFonts w:ascii="Arial" w:hAnsi="Arial" w:cs="Arial"/>
          <w:szCs w:val="24"/>
        </w:rPr>
        <w:t>De asemenea, modelul MONERIS cuantifică contribuţia diverselor categorii de surse de poluare la emisia totală de nutrienţi. Astfel pentru sursele difuze de poluare, aceste categorii de surse sunt reprezentate de: agricultură, localităţi (aşezări umane), alte surse (ex. depunerea oxizilor de azot din atmosferă), precum şi fondul natural. De subliniat este faptul că, modelul MONERIS ia în considerare toate sursele de poluare şi nu numai pe acelea identificate ca fiind semnificative.</w:t>
      </w:r>
    </w:p>
    <w:p w14:paraId="354D3C51" w14:textId="77777777" w:rsidR="000D318F" w:rsidRDefault="000D318F" w:rsidP="000D318F">
      <w:pPr>
        <w:pStyle w:val="BodyText"/>
        <w:ind w:right="-177" w:firstLine="720"/>
        <w:jc w:val="both"/>
        <w:rPr>
          <w:rFonts w:ascii="Arial" w:hAnsi="Arial" w:cs="Arial"/>
          <w:szCs w:val="24"/>
        </w:rPr>
      </w:pPr>
      <w:r w:rsidRPr="000F3880">
        <w:rPr>
          <w:rFonts w:ascii="Arial" w:hAnsi="Arial" w:cs="Arial"/>
          <w:szCs w:val="24"/>
        </w:rPr>
        <w:t xml:space="preserve">În </w:t>
      </w:r>
      <w:r w:rsidRPr="00245C51">
        <w:rPr>
          <w:rFonts w:ascii="Arial" w:hAnsi="Arial" w:cs="Arial"/>
          <w:i/>
          <w:szCs w:val="24"/>
        </w:rPr>
        <w:t>Tabelul II.2.2.1</w:t>
      </w:r>
      <w:r>
        <w:rPr>
          <w:rFonts w:ascii="Arial" w:hAnsi="Arial" w:cs="Arial"/>
          <w:i/>
          <w:szCs w:val="24"/>
        </w:rPr>
        <w:t>.1</w:t>
      </w:r>
      <w:r w:rsidRPr="000F3880">
        <w:rPr>
          <w:rFonts w:ascii="Arial" w:hAnsi="Arial" w:cs="Arial"/>
          <w:szCs w:val="24"/>
        </w:rPr>
        <w:t xml:space="preserve"> se prezintă emisiile de azot şi fosfor din surse difuze de poluare, având în vedere aportul fiecărei categorii de surse de poluare. </w:t>
      </w:r>
    </w:p>
    <w:p w14:paraId="6F0FCA16" w14:textId="77777777" w:rsidR="000D318F" w:rsidRDefault="000D318F" w:rsidP="000D318F">
      <w:pPr>
        <w:pStyle w:val="BodyText"/>
        <w:ind w:right="-177" w:firstLine="720"/>
        <w:jc w:val="both"/>
        <w:rPr>
          <w:rFonts w:ascii="Arial" w:hAnsi="Arial" w:cs="Arial"/>
          <w:szCs w:val="24"/>
        </w:rPr>
      </w:pPr>
    </w:p>
    <w:p w14:paraId="4BC8A5F4" w14:textId="77777777" w:rsidR="000D318F" w:rsidRDefault="000D318F" w:rsidP="000D318F">
      <w:pPr>
        <w:pStyle w:val="BodyText"/>
        <w:ind w:right="-177"/>
        <w:jc w:val="both"/>
        <w:rPr>
          <w:rFonts w:ascii="Arial" w:hAnsi="Arial" w:cs="Arial"/>
          <w:b/>
          <w:szCs w:val="24"/>
          <w:vertAlign w:val="superscript"/>
        </w:rPr>
      </w:pPr>
      <w:r w:rsidRPr="002864EB">
        <w:rPr>
          <w:rFonts w:ascii="Arial" w:hAnsi="Arial" w:cs="Arial"/>
          <w:b/>
          <w:szCs w:val="24"/>
        </w:rPr>
        <w:t>Tabelul II.2.2.1</w:t>
      </w:r>
      <w:r>
        <w:rPr>
          <w:rFonts w:ascii="Arial" w:hAnsi="Arial" w:cs="Arial"/>
          <w:b/>
          <w:szCs w:val="24"/>
        </w:rPr>
        <w:t xml:space="preserve">.1 </w:t>
      </w:r>
      <w:r w:rsidRPr="000F3880">
        <w:rPr>
          <w:rFonts w:ascii="Arial" w:hAnsi="Arial" w:cs="Arial"/>
          <w:b/>
          <w:szCs w:val="24"/>
        </w:rPr>
        <w:t>Emisii de azot şi fosfor din diferite surse difuze, pentr</w:t>
      </w:r>
      <w:r>
        <w:rPr>
          <w:rFonts w:ascii="Arial" w:hAnsi="Arial" w:cs="Arial"/>
          <w:b/>
          <w:szCs w:val="24"/>
        </w:rPr>
        <w:t>u</w:t>
      </w:r>
      <w:r w:rsidRPr="000F3880">
        <w:rPr>
          <w:rFonts w:ascii="Arial" w:hAnsi="Arial" w:cs="Arial"/>
          <w:b/>
          <w:szCs w:val="24"/>
        </w:rPr>
        <w:t xml:space="preserve"> </w:t>
      </w:r>
      <w:r>
        <w:rPr>
          <w:rFonts w:ascii="Arial" w:hAnsi="Arial" w:cs="Arial"/>
          <w:b/>
          <w:szCs w:val="24"/>
        </w:rPr>
        <w:t>perioada de referință 2015-2018</w:t>
      </w: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1775"/>
        <w:gridCol w:w="1178"/>
        <w:gridCol w:w="1799"/>
        <w:gridCol w:w="1146"/>
      </w:tblGrid>
      <w:tr w:rsidR="000D318F" w:rsidRPr="00D80D2F" w14:paraId="76B06921" w14:textId="77777777" w:rsidTr="00C74E50">
        <w:trPr>
          <w:jc w:val="center"/>
        </w:trPr>
        <w:tc>
          <w:tcPr>
            <w:tcW w:w="3319" w:type="dxa"/>
            <w:vMerge w:val="restart"/>
            <w:shd w:val="clear" w:color="auto" w:fill="9CC2E5"/>
            <w:vAlign w:val="center"/>
          </w:tcPr>
          <w:p w14:paraId="6B935422" w14:textId="77777777" w:rsidR="000D318F" w:rsidRPr="007B053A" w:rsidRDefault="000D318F" w:rsidP="00C74E50">
            <w:pPr>
              <w:pStyle w:val="BodyText"/>
              <w:ind w:right="176"/>
              <w:jc w:val="center"/>
              <w:rPr>
                <w:rFonts w:ascii="Arial" w:hAnsi="Arial" w:cs="Arial"/>
                <w:b/>
                <w:sz w:val="20"/>
              </w:rPr>
            </w:pPr>
            <w:r w:rsidRPr="007B053A">
              <w:rPr>
                <w:rFonts w:ascii="Arial" w:hAnsi="Arial" w:cs="Arial"/>
                <w:b/>
                <w:sz w:val="20"/>
              </w:rPr>
              <w:t>Surse difuze de poluare</w:t>
            </w:r>
          </w:p>
        </w:tc>
        <w:tc>
          <w:tcPr>
            <w:tcW w:w="2953" w:type="dxa"/>
            <w:gridSpan w:val="2"/>
            <w:shd w:val="clear" w:color="auto" w:fill="9CC2E5"/>
            <w:vAlign w:val="center"/>
          </w:tcPr>
          <w:p w14:paraId="0E0F9C08" w14:textId="77777777" w:rsidR="000D318F" w:rsidRPr="007B053A" w:rsidRDefault="000D318F" w:rsidP="00C74E50">
            <w:pPr>
              <w:spacing w:after="0" w:line="240" w:lineRule="auto"/>
              <w:jc w:val="center"/>
              <w:rPr>
                <w:rFonts w:ascii="Arial" w:hAnsi="Arial" w:cs="Arial"/>
                <w:b/>
                <w:sz w:val="20"/>
                <w:szCs w:val="20"/>
              </w:rPr>
            </w:pPr>
            <w:r w:rsidRPr="007B053A">
              <w:rPr>
                <w:rFonts w:ascii="Arial" w:hAnsi="Arial" w:cs="Arial"/>
                <w:b/>
                <w:sz w:val="20"/>
              </w:rPr>
              <w:t>Emisii de azot</w:t>
            </w:r>
          </w:p>
        </w:tc>
        <w:tc>
          <w:tcPr>
            <w:tcW w:w="2945" w:type="dxa"/>
            <w:gridSpan w:val="2"/>
            <w:shd w:val="clear" w:color="auto" w:fill="9CC2E5"/>
            <w:vAlign w:val="center"/>
          </w:tcPr>
          <w:p w14:paraId="07E1A62B" w14:textId="77777777" w:rsidR="000D318F" w:rsidRPr="007B053A" w:rsidRDefault="000D318F" w:rsidP="00C74E50">
            <w:pPr>
              <w:spacing w:after="0" w:line="240" w:lineRule="auto"/>
              <w:jc w:val="center"/>
              <w:rPr>
                <w:rFonts w:ascii="Arial" w:hAnsi="Arial" w:cs="Arial"/>
                <w:b/>
                <w:sz w:val="20"/>
                <w:szCs w:val="20"/>
              </w:rPr>
            </w:pPr>
            <w:r w:rsidRPr="007B053A">
              <w:rPr>
                <w:rFonts w:ascii="Arial" w:hAnsi="Arial" w:cs="Arial"/>
                <w:b/>
                <w:sz w:val="20"/>
              </w:rPr>
              <w:t>Emisii de fosfor</w:t>
            </w:r>
          </w:p>
        </w:tc>
      </w:tr>
      <w:tr w:rsidR="000D318F" w:rsidRPr="00D80D2F" w14:paraId="6D689883" w14:textId="77777777" w:rsidTr="00C74E50">
        <w:trPr>
          <w:jc w:val="center"/>
        </w:trPr>
        <w:tc>
          <w:tcPr>
            <w:tcW w:w="3319" w:type="dxa"/>
            <w:vMerge/>
            <w:shd w:val="clear" w:color="auto" w:fill="9CC2E5"/>
            <w:vAlign w:val="center"/>
          </w:tcPr>
          <w:p w14:paraId="68BE08F4" w14:textId="77777777" w:rsidR="000D318F" w:rsidRPr="007B053A" w:rsidRDefault="000D318F" w:rsidP="00C74E50">
            <w:pPr>
              <w:pStyle w:val="BodyText"/>
              <w:ind w:right="176"/>
              <w:jc w:val="center"/>
              <w:rPr>
                <w:rFonts w:ascii="Arial" w:hAnsi="Arial" w:cs="Arial"/>
                <w:b/>
                <w:sz w:val="20"/>
              </w:rPr>
            </w:pPr>
          </w:p>
        </w:tc>
        <w:tc>
          <w:tcPr>
            <w:tcW w:w="1775" w:type="dxa"/>
            <w:shd w:val="clear" w:color="auto" w:fill="9CC2E5"/>
            <w:vAlign w:val="center"/>
          </w:tcPr>
          <w:p w14:paraId="5D6A5D1E" w14:textId="77777777" w:rsidR="000D318F" w:rsidRPr="007B053A" w:rsidRDefault="000D318F" w:rsidP="00C74E50">
            <w:pPr>
              <w:spacing w:after="0" w:line="240" w:lineRule="auto"/>
              <w:jc w:val="center"/>
              <w:rPr>
                <w:rFonts w:ascii="Arial" w:hAnsi="Arial" w:cs="Arial"/>
                <w:b/>
                <w:sz w:val="20"/>
                <w:szCs w:val="20"/>
              </w:rPr>
            </w:pPr>
            <w:r w:rsidRPr="007B053A">
              <w:rPr>
                <w:rFonts w:ascii="Arial" w:hAnsi="Arial" w:cs="Arial"/>
                <w:b/>
                <w:sz w:val="20"/>
                <w:szCs w:val="20"/>
              </w:rPr>
              <w:t>Tone</w:t>
            </w:r>
          </w:p>
        </w:tc>
        <w:tc>
          <w:tcPr>
            <w:tcW w:w="1178" w:type="dxa"/>
            <w:shd w:val="clear" w:color="auto" w:fill="9CC2E5"/>
            <w:vAlign w:val="center"/>
          </w:tcPr>
          <w:p w14:paraId="548337FD" w14:textId="77777777" w:rsidR="000D318F" w:rsidRPr="007B053A" w:rsidRDefault="000D318F" w:rsidP="00C74E50">
            <w:pPr>
              <w:spacing w:after="0" w:line="240" w:lineRule="auto"/>
              <w:jc w:val="center"/>
              <w:rPr>
                <w:rFonts w:ascii="Arial" w:hAnsi="Arial" w:cs="Arial"/>
                <w:b/>
                <w:sz w:val="20"/>
                <w:szCs w:val="20"/>
              </w:rPr>
            </w:pPr>
            <w:r w:rsidRPr="007B053A">
              <w:rPr>
                <w:rFonts w:ascii="Arial" w:hAnsi="Arial" w:cs="Arial"/>
                <w:b/>
                <w:sz w:val="20"/>
                <w:szCs w:val="20"/>
              </w:rPr>
              <w:t>%</w:t>
            </w:r>
          </w:p>
        </w:tc>
        <w:tc>
          <w:tcPr>
            <w:tcW w:w="1799" w:type="dxa"/>
            <w:shd w:val="clear" w:color="auto" w:fill="9CC2E5"/>
            <w:vAlign w:val="center"/>
          </w:tcPr>
          <w:p w14:paraId="4907DAEC" w14:textId="77777777" w:rsidR="000D318F" w:rsidRPr="007B053A" w:rsidRDefault="000D318F" w:rsidP="00C74E50">
            <w:pPr>
              <w:spacing w:after="0" w:line="240" w:lineRule="auto"/>
              <w:jc w:val="center"/>
              <w:rPr>
                <w:rFonts w:ascii="Arial" w:hAnsi="Arial" w:cs="Arial"/>
                <w:b/>
                <w:sz w:val="20"/>
                <w:szCs w:val="20"/>
              </w:rPr>
            </w:pPr>
            <w:r w:rsidRPr="007B053A">
              <w:rPr>
                <w:rFonts w:ascii="Arial" w:hAnsi="Arial" w:cs="Arial"/>
                <w:b/>
                <w:sz w:val="20"/>
                <w:szCs w:val="20"/>
              </w:rPr>
              <w:t>Tone</w:t>
            </w:r>
          </w:p>
        </w:tc>
        <w:tc>
          <w:tcPr>
            <w:tcW w:w="1146" w:type="dxa"/>
            <w:shd w:val="clear" w:color="auto" w:fill="9CC2E5"/>
            <w:vAlign w:val="center"/>
          </w:tcPr>
          <w:p w14:paraId="4D666CCB" w14:textId="77777777" w:rsidR="000D318F" w:rsidRPr="007B053A" w:rsidRDefault="000D318F" w:rsidP="00C74E50">
            <w:pPr>
              <w:spacing w:after="0" w:line="240" w:lineRule="auto"/>
              <w:jc w:val="center"/>
              <w:rPr>
                <w:rFonts w:ascii="Arial" w:hAnsi="Arial" w:cs="Arial"/>
                <w:b/>
                <w:sz w:val="20"/>
                <w:szCs w:val="20"/>
              </w:rPr>
            </w:pPr>
            <w:r w:rsidRPr="007B053A">
              <w:rPr>
                <w:rFonts w:ascii="Arial" w:hAnsi="Arial" w:cs="Arial"/>
                <w:b/>
                <w:sz w:val="20"/>
                <w:szCs w:val="20"/>
              </w:rPr>
              <w:t>%</w:t>
            </w:r>
          </w:p>
        </w:tc>
      </w:tr>
      <w:tr w:rsidR="000D318F" w:rsidRPr="00D80D2F" w14:paraId="3E0D3F29" w14:textId="77777777" w:rsidTr="00C74E50">
        <w:trPr>
          <w:jc w:val="center"/>
        </w:trPr>
        <w:tc>
          <w:tcPr>
            <w:tcW w:w="3319" w:type="dxa"/>
            <w:shd w:val="clear" w:color="auto" w:fill="auto"/>
            <w:vAlign w:val="center"/>
          </w:tcPr>
          <w:p w14:paraId="60AFC197" w14:textId="77777777" w:rsidR="000D318F" w:rsidRPr="00D80D2F" w:rsidRDefault="000D318F" w:rsidP="00C74E50">
            <w:pPr>
              <w:pStyle w:val="BodyText"/>
              <w:ind w:right="176"/>
              <w:jc w:val="both"/>
              <w:rPr>
                <w:rFonts w:ascii="Arial" w:hAnsi="Arial" w:cs="Arial"/>
                <w:sz w:val="20"/>
              </w:rPr>
            </w:pPr>
            <w:r w:rsidRPr="00D80D2F">
              <w:rPr>
                <w:rFonts w:ascii="Arial" w:hAnsi="Arial" w:cs="Arial"/>
                <w:sz w:val="20"/>
              </w:rPr>
              <w:t>Agricultură</w:t>
            </w:r>
          </w:p>
        </w:tc>
        <w:tc>
          <w:tcPr>
            <w:tcW w:w="1775" w:type="dxa"/>
            <w:shd w:val="clear" w:color="auto" w:fill="auto"/>
            <w:vAlign w:val="center"/>
          </w:tcPr>
          <w:p w14:paraId="51A29C30" w14:textId="77777777" w:rsidR="000D318F" w:rsidRPr="00D80D2F" w:rsidRDefault="000D318F" w:rsidP="00C74E50">
            <w:pPr>
              <w:spacing w:after="0" w:line="240" w:lineRule="auto"/>
              <w:jc w:val="center"/>
              <w:rPr>
                <w:rFonts w:ascii="Arial" w:hAnsi="Arial" w:cs="Arial"/>
                <w:sz w:val="20"/>
                <w:szCs w:val="20"/>
              </w:rPr>
            </w:pPr>
            <w:r w:rsidRPr="00D80D2F">
              <w:rPr>
                <w:rFonts w:ascii="Arial" w:hAnsi="Arial" w:cs="Arial"/>
                <w:sz w:val="20"/>
                <w:szCs w:val="20"/>
              </w:rPr>
              <w:t>31</w:t>
            </w:r>
            <w:r>
              <w:rPr>
                <w:rFonts w:ascii="Arial" w:hAnsi="Arial" w:cs="Arial"/>
                <w:sz w:val="20"/>
                <w:szCs w:val="20"/>
              </w:rPr>
              <w:t>.</w:t>
            </w:r>
            <w:r w:rsidRPr="00D80D2F">
              <w:rPr>
                <w:rFonts w:ascii="Arial" w:hAnsi="Arial" w:cs="Arial"/>
                <w:sz w:val="20"/>
                <w:szCs w:val="20"/>
              </w:rPr>
              <w:t xml:space="preserve">192,1 </w:t>
            </w:r>
          </w:p>
        </w:tc>
        <w:tc>
          <w:tcPr>
            <w:tcW w:w="1178" w:type="dxa"/>
            <w:shd w:val="clear" w:color="auto" w:fill="auto"/>
            <w:vAlign w:val="center"/>
          </w:tcPr>
          <w:p w14:paraId="664ED193" w14:textId="77777777" w:rsidR="000D318F" w:rsidRPr="00D80D2F" w:rsidRDefault="000D318F" w:rsidP="00C74E50">
            <w:pPr>
              <w:spacing w:after="0" w:line="240" w:lineRule="auto"/>
              <w:jc w:val="center"/>
              <w:rPr>
                <w:rFonts w:ascii="Arial" w:hAnsi="Arial" w:cs="Arial"/>
                <w:sz w:val="20"/>
                <w:szCs w:val="20"/>
              </w:rPr>
            </w:pPr>
            <w:r w:rsidRPr="00D80D2F">
              <w:rPr>
                <w:rFonts w:ascii="Arial" w:hAnsi="Arial" w:cs="Arial"/>
                <w:sz w:val="20"/>
                <w:szCs w:val="20"/>
              </w:rPr>
              <w:t xml:space="preserve">35,0 </w:t>
            </w:r>
          </w:p>
        </w:tc>
        <w:tc>
          <w:tcPr>
            <w:tcW w:w="1799" w:type="dxa"/>
            <w:shd w:val="clear" w:color="auto" w:fill="auto"/>
            <w:vAlign w:val="center"/>
          </w:tcPr>
          <w:p w14:paraId="78CAE311" w14:textId="77777777" w:rsidR="000D318F" w:rsidRPr="00673DF3" w:rsidRDefault="000D318F" w:rsidP="00C74E50">
            <w:pPr>
              <w:spacing w:after="0" w:line="240" w:lineRule="auto"/>
              <w:jc w:val="center"/>
              <w:rPr>
                <w:rFonts w:ascii="Arial" w:eastAsia="Times New Roman" w:hAnsi="Arial" w:cs="Arial"/>
                <w:sz w:val="20"/>
                <w:szCs w:val="20"/>
                <w:lang w:val="en-US"/>
              </w:rPr>
            </w:pPr>
            <w:r w:rsidRPr="00673DF3">
              <w:rPr>
                <w:rFonts w:ascii="Arial" w:eastAsia="Times New Roman" w:hAnsi="Arial" w:cs="Arial"/>
                <w:sz w:val="20"/>
                <w:szCs w:val="20"/>
                <w:lang w:val="en-US"/>
              </w:rPr>
              <w:t>3036,</w:t>
            </w:r>
            <w:r>
              <w:rPr>
                <w:rFonts w:ascii="Arial" w:eastAsia="Times New Roman" w:hAnsi="Arial" w:cs="Arial"/>
                <w:sz w:val="20"/>
                <w:szCs w:val="20"/>
                <w:lang w:val="en-US"/>
              </w:rPr>
              <w:t>0</w:t>
            </w:r>
          </w:p>
        </w:tc>
        <w:tc>
          <w:tcPr>
            <w:tcW w:w="1146" w:type="dxa"/>
            <w:shd w:val="clear" w:color="auto" w:fill="auto"/>
            <w:vAlign w:val="center"/>
          </w:tcPr>
          <w:p w14:paraId="1A760E3F" w14:textId="77777777" w:rsidR="000D318F" w:rsidRPr="00673DF3" w:rsidRDefault="000D318F" w:rsidP="00C74E50">
            <w:pPr>
              <w:spacing w:after="0" w:line="240" w:lineRule="auto"/>
              <w:jc w:val="center"/>
              <w:rPr>
                <w:rFonts w:ascii="Arial" w:eastAsia="Times New Roman" w:hAnsi="Arial" w:cs="Arial"/>
                <w:sz w:val="20"/>
                <w:szCs w:val="20"/>
                <w:lang w:val="en-US"/>
              </w:rPr>
            </w:pPr>
            <w:r w:rsidRPr="00673DF3">
              <w:rPr>
                <w:rFonts w:ascii="Arial" w:eastAsia="Times New Roman" w:hAnsi="Arial" w:cs="Arial"/>
                <w:sz w:val="20"/>
                <w:szCs w:val="20"/>
                <w:lang w:val="en-US"/>
              </w:rPr>
              <w:t>46,3</w:t>
            </w:r>
          </w:p>
        </w:tc>
      </w:tr>
      <w:tr w:rsidR="000D318F" w:rsidRPr="00D80D2F" w14:paraId="2E0A555D" w14:textId="77777777" w:rsidTr="00C74E50">
        <w:trPr>
          <w:trHeight w:val="251"/>
          <w:jc w:val="center"/>
        </w:trPr>
        <w:tc>
          <w:tcPr>
            <w:tcW w:w="3319" w:type="dxa"/>
            <w:shd w:val="clear" w:color="auto" w:fill="auto"/>
            <w:vAlign w:val="center"/>
          </w:tcPr>
          <w:p w14:paraId="1D3CCB2F" w14:textId="77777777" w:rsidR="000D318F" w:rsidRPr="00D80D2F" w:rsidRDefault="000D318F" w:rsidP="00C74E50">
            <w:pPr>
              <w:pStyle w:val="BodyText"/>
              <w:ind w:right="176"/>
              <w:jc w:val="both"/>
              <w:rPr>
                <w:rFonts w:ascii="Arial" w:hAnsi="Arial" w:cs="Arial"/>
                <w:sz w:val="20"/>
              </w:rPr>
            </w:pPr>
            <w:r w:rsidRPr="00D80D2F">
              <w:rPr>
                <w:rFonts w:ascii="Arial" w:hAnsi="Arial" w:cs="Arial"/>
                <w:sz w:val="20"/>
              </w:rPr>
              <w:t>Aglomerări umane</w:t>
            </w:r>
          </w:p>
        </w:tc>
        <w:tc>
          <w:tcPr>
            <w:tcW w:w="1775" w:type="dxa"/>
            <w:shd w:val="clear" w:color="auto" w:fill="auto"/>
            <w:vAlign w:val="center"/>
          </w:tcPr>
          <w:p w14:paraId="404B81E5" w14:textId="77777777" w:rsidR="000D318F" w:rsidRPr="00D80D2F" w:rsidRDefault="000D318F" w:rsidP="00C74E50">
            <w:pPr>
              <w:spacing w:after="0" w:line="240" w:lineRule="auto"/>
              <w:jc w:val="center"/>
              <w:rPr>
                <w:rFonts w:ascii="Arial" w:hAnsi="Arial" w:cs="Arial"/>
                <w:sz w:val="20"/>
                <w:szCs w:val="20"/>
              </w:rPr>
            </w:pPr>
            <w:r w:rsidRPr="00D80D2F">
              <w:rPr>
                <w:rFonts w:ascii="Arial" w:hAnsi="Arial" w:cs="Arial"/>
                <w:sz w:val="20"/>
                <w:szCs w:val="20"/>
              </w:rPr>
              <w:t>32</w:t>
            </w:r>
            <w:r>
              <w:rPr>
                <w:rFonts w:ascii="Arial" w:hAnsi="Arial" w:cs="Arial"/>
                <w:sz w:val="20"/>
                <w:szCs w:val="20"/>
              </w:rPr>
              <w:t>.</w:t>
            </w:r>
            <w:r w:rsidRPr="00D80D2F">
              <w:rPr>
                <w:rFonts w:ascii="Arial" w:hAnsi="Arial" w:cs="Arial"/>
                <w:sz w:val="20"/>
                <w:szCs w:val="20"/>
              </w:rPr>
              <w:t>133,8</w:t>
            </w:r>
          </w:p>
        </w:tc>
        <w:tc>
          <w:tcPr>
            <w:tcW w:w="1178" w:type="dxa"/>
            <w:shd w:val="clear" w:color="auto" w:fill="auto"/>
            <w:vAlign w:val="center"/>
          </w:tcPr>
          <w:p w14:paraId="2BC31465" w14:textId="77777777" w:rsidR="000D318F" w:rsidRPr="00D80D2F" w:rsidRDefault="000D318F" w:rsidP="00C74E50">
            <w:pPr>
              <w:spacing w:after="0" w:line="240" w:lineRule="auto"/>
              <w:jc w:val="center"/>
              <w:rPr>
                <w:rFonts w:ascii="Arial" w:hAnsi="Arial" w:cs="Arial"/>
                <w:sz w:val="20"/>
                <w:szCs w:val="20"/>
              </w:rPr>
            </w:pPr>
            <w:r>
              <w:rPr>
                <w:rFonts w:ascii="Arial" w:hAnsi="Arial" w:cs="Arial"/>
                <w:sz w:val="20"/>
                <w:szCs w:val="20"/>
              </w:rPr>
              <w:t>36,1</w:t>
            </w:r>
          </w:p>
        </w:tc>
        <w:tc>
          <w:tcPr>
            <w:tcW w:w="1799" w:type="dxa"/>
            <w:shd w:val="clear" w:color="auto" w:fill="auto"/>
            <w:vAlign w:val="center"/>
          </w:tcPr>
          <w:p w14:paraId="75F2373D" w14:textId="77777777" w:rsidR="000D318F" w:rsidRPr="00D80D2F" w:rsidRDefault="000D318F" w:rsidP="00C74E50">
            <w:pPr>
              <w:spacing w:after="0" w:line="240" w:lineRule="auto"/>
              <w:jc w:val="center"/>
              <w:rPr>
                <w:rFonts w:ascii="Arial" w:hAnsi="Arial" w:cs="Arial"/>
                <w:sz w:val="20"/>
                <w:szCs w:val="20"/>
              </w:rPr>
            </w:pPr>
            <w:r w:rsidRPr="009648E2">
              <w:rPr>
                <w:rFonts w:ascii="Arial" w:eastAsia="Times New Roman" w:hAnsi="Arial" w:cs="Arial"/>
                <w:sz w:val="20"/>
                <w:szCs w:val="20"/>
                <w:lang w:val="en-US"/>
              </w:rPr>
              <w:t>2</w:t>
            </w:r>
            <w:r>
              <w:rPr>
                <w:rFonts w:ascii="Arial" w:eastAsia="Times New Roman" w:hAnsi="Arial" w:cs="Arial"/>
                <w:sz w:val="20"/>
                <w:szCs w:val="20"/>
                <w:lang w:val="en-US"/>
              </w:rPr>
              <w:t>.</w:t>
            </w:r>
            <w:r w:rsidRPr="009648E2">
              <w:rPr>
                <w:rFonts w:ascii="Arial" w:eastAsia="Times New Roman" w:hAnsi="Arial" w:cs="Arial"/>
                <w:sz w:val="20"/>
                <w:szCs w:val="20"/>
                <w:lang w:val="en-US"/>
              </w:rPr>
              <w:t>863,1</w:t>
            </w:r>
          </w:p>
        </w:tc>
        <w:tc>
          <w:tcPr>
            <w:tcW w:w="1146" w:type="dxa"/>
            <w:shd w:val="clear" w:color="auto" w:fill="auto"/>
            <w:vAlign w:val="center"/>
          </w:tcPr>
          <w:p w14:paraId="683E031D" w14:textId="77777777" w:rsidR="000D318F" w:rsidRPr="00D80D2F" w:rsidRDefault="000D318F" w:rsidP="00C74E50">
            <w:pPr>
              <w:spacing w:after="0" w:line="240" w:lineRule="auto"/>
              <w:jc w:val="center"/>
              <w:rPr>
                <w:rFonts w:ascii="Arial" w:hAnsi="Arial" w:cs="Arial"/>
                <w:sz w:val="20"/>
                <w:szCs w:val="20"/>
              </w:rPr>
            </w:pPr>
            <w:r w:rsidRPr="009648E2">
              <w:rPr>
                <w:rFonts w:ascii="Arial" w:eastAsia="Times New Roman" w:hAnsi="Arial" w:cs="Arial"/>
                <w:sz w:val="20"/>
                <w:szCs w:val="20"/>
                <w:lang w:val="en-US"/>
              </w:rPr>
              <w:t>43,6</w:t>
            </w:r>
          </w:p>
        </w:tc>
      </w:tr>
      <w:tr w:rsidR="000D318F" w:rsidRPr="00D80D2F" w14:paraId="124A4B56" w14:textId="77777777" w:rsidTr="00C74E50">
        <w:trPr>
          <w:jc w:val="center"/>
        </w:trPr>
        <w:tc>
          <w:tcPr>
            <w:tcW w:w="3319" w:type="dxa"/>
            <w:shd w:val="clear" w:color="auto" w:fill="auto"/>
            <w:vAlign w:val="center"/>
          </w:tcPr>
          <w:p w14:paraId="5D79A4DA" w14:textId="77777777" w:rsidR="000D318F" w:rsidRPr="00D80D2F" w:rsidRDefault="000D318F" w:rsidP="00C74E50">
            <w:pPr>
              <w:pStyle w:val="BodyText"/>
              <w:ind w:right="176"/>
              <w:jc w:val="both"/>
              <w:rPr>
                <w:rFonts w:ascii="Arial" w:hAnsi="Arial" w:cs="Arial"/>
                <w:sz w:val="20"/>
              </w:rPr>
            </w:pPr>
            <w:r w:rsidRPr="009648E2">
              <w:rPr>
                <w:rFonts w:ascii="Arial" w:hAnsi="Arial" w:cs="Arial"/>
                <w:color w:val="000000"/>
                <w:sz w:val="20"/>
                <w:lang w:val="en-US"/>
              </w:rPr>
              <w:t>Zone naturale</w:t>
            </w:r>
          </w:p>
        </w:tc>
        <w:tc>
          <w:tcPr>
            <w:tcW w:w="1775" w:type="dxa"/>
            <w:shd w:val="clear" w:color="auto" w:fill="auto"/>
            <w:vAlign w:val="center"/>
          </w:tcPr>
          <w:p w14:paraId="1EB637C2" w14:textId="77777777" w:rsidR="000D318F" w:rsidRPr="00D80D2F" w:rsidRDefault="000D318F" w:rsidP="00C74E50">
            <w:pPr>
              <w:spacing w:after="0" w:line="240" w:lineRule="auto"/>
              <w:jc w:val="center"/>
              <w:rPr>
                <w:rFonts w:ascii="Arial" w:hAnsi="Arial" w:cs="Arial"/>
                <w:sz w:val="20"/>
                <w:szCs w:val="20"/>
              </w:rPr>
            </w:pPr>
            <w:r w:rsidRPr="009648E2">
              <w:rPr>
                <w:rFonts w:ascii="Arial" w:hAnsi="Arial" w:cs="Arial"/>
                <w:sz w:val="20"/>
                <w:szCs w:val="20"/>
              </w:rPr>
              <w:t>21</w:t>
            </w:r>
            <w:r>
              <w:rPr>
                <w:rFonts w:ascii="Arial" w:hAnsi="Arial" w:cs="Arial"/>
                <w:sz w:val="20"/>
                <w:szCs w:val="20"/>
              </w:rPr>
              <w:t>.</w:t>
            </w:r>
            <w:r w:rsidRPr="009648E2">
              <w:rPr>
                <w:rFonts w:ascii="Arial" w:hAnsi="Arial" w:cs="Arial"/>
                <w:sz w:val="20"/>
                <w:szCs w:val="20"/>
              </w:rPr>
              <w:t xml:space="preserve">356,6 </w:t>
            </w:r>
            <w:r w:rsidRPr="00D80D2F">
              <w:rPr>
                <w:rFonts w:ascii="Arial" w:hAnsi="Arial" w:cs="Arial"/>
                <w:sz w:val="20"/>
                <w:szCs w:val="20"/>
              </w:rPr>
              <w:t xml:space="preserve"> </w:t>
            </w:r>
          </w:p>
        </w:tc>
        <w:tc>
          <w:tcPr>
            <w:tcW w:w="1178" w:type="dxa"/>
            <w:shd w:val="clear" w:color="auto" w:fill="auto"/>
            <w:vAlign w:val="center"/>
          </w:tcPr>
          <w:p w14:paraId="4F85CAEB" w14:textId="77777777" w:rsidR="000D318F" w:rsidRPr="00D80D2F" w:rsidRDefault="000D318F" w:rsidP="00C74E50">
            <w:pPr>
              <w:spacing w:after="0" w:line="240" w:lineRule="auto"/>
              <w:jc w:val="center"/>
              <w:rPr>
                <w:rFonts w:ascii="Arial" w:hAnsi="Arial" w:cs="Arial"/>
                <w:sz w:val="20"/>
                <w:szCs w:val="20"/>
              </w:rPr>
            </w:pPr>
            <w:r>
              <w:rPr>
                <w:rFonts w:ascii="Arial" w:hAnsi="Arial" w:cs="Arial"/>
                <w:sz w:val="20"/>
                <w:szCs w:val="20"/>
              </w:rPr>
              <w:t>24,0</w:t>
            </w:r>
          </w:p>
        </w:tc>
        <w:tc>
          <w:tcPr>
            <w:tcW w:w="1799" w:type="dxa"/>
            <w:shd w:val="clear" w:color="auto" w:fill="auto"/>
            <w:vAlign w:val="center"/>
          </w:tcPr>
          <w:p w14:paraId="5AC6711C" w14:textId="77777777" w:rsidR="000D318F" w:rsidRPr="00D80D2F" w:rsidRDefault="000D318F" w:rsidP="00C74E50">
            <w:pPr>
              <w:spacing w:after="0" w:line="240" w:lineRule="auto"/>
              <w:jc w:val="center"/>
              <w:rPr>
                <w:rFonts w:ascii="Arial" w:hAnsi="Arial" w:cs="Arial"/>
                <w:sz w:val="20"/>
                <w:szCs w:val="20"/>
              </w:rPr>
            </w:pPr>
            <w:r w:rsidRPr="009648E2">
              <w:rPr>
                <w:rFonts w:ascii="Arial" w:eastAsia="Times New Roman" w:hAnsi="Arial" w:cs="Arial"/>
                <w:sz w:val="20"/>
                <w:szCs w:val="20"/>
                <w:lang w:val="en-US"/>
              </w:rPr>
              <w:t>543,4</w:t>
            </w:r>
          </w:p>
        </w:tc>
        <w:tc>
          <w:tcPr>
            <w:tcW w:w="1146" w:type="dxa"/>
            <w:shd w:val="clear" w:color="auto" w:fill="auto"/>
            <w:vAlign w:val="center"/>
          </w:tcPr>
          <w:p w14:paraId="09EE33EA" w14:textId="77777777" w:rsidR="000D318F" w:rsidRPr="00D80D2F" w:rsidRDefault="000D318F" w:rsidP="00C74E50">
            <w:pPr>
              <w:spacing w:after="0" w:line="240" w:lineRule="auto"/>
              <w:jc w:val="center"/>
              <w:rPr>
                <w:rFonts w:ascii="Arial" w:hAnsi="Arial" w:cs="Arial"/>
                <w:sz w:val="20"/>
                <w:szCs w:val="20"/>
              </w:rPr>
            </w:pPr>
            <w:r>
              <w:rPr>
                <w:rFonts w:ascii="Arial" w:hAnsi="Arial" w:cs="Arial"/>
                <w:sz w:val="20"/>
                <w:szCs w:val="20"/>
              </w:rPr>
              <w:t>8,3</w:t>
            </w:r>
          </w:p>
        </w:tc>
      </w:tr>
      <w:tr w:rsidR="000D318F" w:rsidRPr="00D80D2F" w14:paraId="40387AD4" w14:textId="77777777" w:rsidTr="00C74E50">
        <w:trPr>
          <w:trHeight w:val="341"/>
          <w:jc w:val="center"/>
        </w:trPr>
        <w:tc>
          <w:tcPr>
            <w:tcW w:w="3319" w:type="dxa"/>
            <w:shd w:val="clear" w:color="auto" w:fill="auto"/>
            <w:vAlign w:val="center"/>
          </w:tcPr>
          <w:p w14:paraId="4738E5FA" w14:textId="77777777" w:rsidR="000D318F" w:rsidRPr="00D80D2F" w:rsidRDefault="000D318F" w:rsidP="00C74E50">
            <w:pPr>
              <w:pStyle w:val="BodyText"/>
              <w:ind w:right="176"/>
              <w:jc w:val="both"/>
              <w:rPr>
                <w:rFonts w:ascii="Arial" w:hAnsi="Arial" w:cs="Arial"/>
                <w:sz w:val="20"/>
              </w:rPr>
            </w:pPr>
            <w:r w:rsidRPr="009648E2">
              <w:rPr>
                <w:rFonts w:ascii="Arial" w:hAnsi="Arial" w:cs="Arial"/>
                <w:color w:val="000000"/>
                <w:sz w:val="20"/>
                <w:lang w:val="en-US"/>
              </w:rPr>
              <w:t>Zone deschise</w:t>
            </w:r>
          </w:p>
        </w:tc>
        <w:tc>
          <w:tcPr>
            <w:tcW w:w="1775" w:type="dxa"/>
            <w:shd w:val="clear" w:color="auto" w:fill="auto"/>
            <w:vAlign w:val="center"/>
          </w:tcPr>
          <w:p w14:paraId="6CDB8973" w14:textId="77777777" w:rsidR="000D318F" w:rsidRPr="00D80D2F" w:rsidRDefault="000D318F" w:rsidP="00C74E50">
            <w:pPr>
              <w:spacing w:after="0" w:line="240" w:lineRule="auto"/>
              <w:jc w:val="center"/>
              <w:rPr>
                <w:rFonts w:ascii="Arial" w:hAnsi="Arial" w:cs="Arial"/>
                <w:sz w:val="20"/>
                <w:szCs w:val="20"/>
              </w:rPr>
            </w:pPr>
            <w:r w:rsidRPr="00D80D2F">
              <w:rPr>
                <w:rFonts w:ascii="Arial" w:hAnsi="Arial" w:cs="Arial"/>
                <w:sz w:val="20"/>
                <w:szCs w:val="20"/>
              </w:rPr>
              <w:t xml:space="preserve">116,6 </w:t>
            </w:r>
          </w:p>
        </w:tc>
        <w:tc>
          <w:tcPr>
            <w:tcW w:w="1178" w:type="dxa"/>
            <w:shd w:val="clear" w:color="auto" w:fill="auto"/>
            <w:vAlign w:val="center"/>
          </w:tcPr>
          <w:p w14:paraId="3D34F49E" w14:textId="77777777" w:rsidR="000D318F" w:rsidRPr="00D80D2F" w:rsidRDefault="000D318F" w:rsidP="00C74E50">
            <w:pPr>
              <w:spacing w:after="0" w:line="240" w:lineRule="auto"/>
              <w:jc w:val="center"/>
              <w:rPr>
                <w:rFonts w:ascii="Arial" w:hAnsi="Arial" w:cs="Arial"/>
                <w:sz w:val="20"/>
                <w:szCs w:val="20"/>
              </w:rPr>
            </w:pPr>
            <w:r>
              <w:rPr>
                <w:rFonts w:ascii="Arial" w:hAnsi="Arial" w:cs="Arial"/>
                <w:sz w:val="20"/>
                <w:szCs w:val="20"/>
              </w:rPr>
              <w:t>0,1</w:t>
            </w:r>
          </w:p>
        </w:tc>
        <w:tc>
          <w:tcPr>
            <w:tcW w:w="1799" w:type="dxa"/>
            <w:shd w:val="clear" w:color="auto" w:fill="auto"/>
            <w:vAlign w:val="center"/>
          </w:tcPr>
          <w:p w14:paraId="33992458" w14:textId="77777777" w:rsidR="000D318F" w:rsidRPr="00D80D2F" w:rsidRDefault="000D318F" w:rsidP="00C74E50">
            <w:pPr>
              <w:spacing w:after="0" w:line="240" w:lineRule="auto"/>
              <w:jc w:val="center"/>
              <w:rPr>
                <w:rFonts w:ascii="Arial" w:hAnsi="Arial" w:cs="Arial"/>
                <w:sz w:val="20"/>
                <w:szCs w:val="20"/>
              </w:rPr>
            </w:pPr>
            <w:r>
              <w:rPr>
                <w:rFonts w:ascii="Arial" w:hAnsi="Arial" w:cs="Arial"/>
                <w:sz w:val="20"/>
                <w:szCs w:val="20"/>
              </w:rPr>
              <w:t>3,5</w:t>
            </w:r>
          </w:p>
        </w:tc>
        <w:tc>
          <w:tcPr>
            <w:tcW w:w="1146" w:type="dxa"/>
            <w:shd w:val="clear" w:color="auto" w:fill="auto"/>
            <w:vAlign w:val="center"/>
          </w:tcPr>
          <w:p w14:paraId="151420BC" w14:textId="77777777" w:rsidR="000D318F" w:rsidRPr="00D80D2F" w:rsidRDefault="000D318F" w:rsidP="00C74E50">
            <w:pPr>
              <w:spacing w:after="0" w:line="240" w:lineRule="auto"/>
              <w:jc w:val="center"/>
              <w:rPr>
                <w:rFonts w:ascii="Arial" w:hAnsi="Arial" w:cs="Arial"/>
                <w:sz w:val="20"/>
                <w:szCs w:val="20"/>
              </w:rPr>
            </w:pPr>
            <w:r>
              <w:rPr>
                <w:rFonts w:ascii="Arial" w:hAnsi="Arial" w:cs="Arial"/>
                <w:sz w:val="20"/>
                <w:szCs w:val="20"/>
              </w:rPr>
              <w:t>0,1</w:t>
            </w:r>
          </w:p>
        </w:tc>
      </w:tr>
      <w:tr w:rsidR="000D318F" w:rsidRPr="00D80D2F" w14:paraId="47AFB842" w14:textId="77777777" w:rsidTr="00C74E50">
        <w:trPr>
          <w:trHeight w:val="341"/>
          <w:jc w:val="center"/>
        </w:trPr>
        <w:tc>
          <w:tcPr>
            <w:tcW w:w="3319" w:type="dxa"/>
            <w:shd w:val="clear" w:color="auto" w:fill="auto"/>
            <w:vAlign w:val="center"/>
          </w:tcPr>
          <w:p w14:paraId="51CCE923" w14:textId="77777777" w:rsidR="000D318F" w:rsidRPr="00C420F1" w:rsidRDefault="000D318F" w:rsidP="00C74E50">
            <w:pPr>
              <w:pStyle w:val="BodyText"/>
              <w:ind w:right="176"/>
              <w:jc w:val="both"/>
              <w:rPr>
                <w:rFonts w:ascii="Arial" w:hAnsi="Arial" w:cs="Arial"/>
                <w:color w:val="000000"/>
                <w:sz w:val="20"/>
                <w:lang w:val="fr-FR"/>
              </w:rPr>
            </w:pPr>
            <w:r w:rsidRPr="00C420F1">
              <w:rPr>
                <w:rFonts w:ascii="Arial" w:hAnsi="Arial" w:cs="Arial"/>
                <w:color w:val="000000"/>
                <w:sz w:val="20"/>
                <w:lang w:val="fr-FR"/>
              </w:rPr>
              <w:t>Zone umede și ape de suprafață</w:t>
            </w:r>
          </w:p>
        </w:tc>
        <w:tc>
          <w:tcPr>
            <w:tcW w:w="1775" w:type="dxa"/>
            <w:shd w:val="clear" w:color="auto" w:fill="auto"/>
            <w:vAlign w:val="center"/>
          </w:tcPr>
          <w:p w14:paraId="3D18C08D" w14:textId="77777777" w:rsidR="000D318F" w:rsidRPr="00D80D2F" w:rsidRDefault="000D318F" w:rsidP="00C74E50">
            <w:pPr>
              <w:spacing w:after="0" w:line="240" w:lineRule="auto"/>
              <w:jc w:val="center"/>
              <w:rPr>
                <w:rFonts w:ascii="Arial" w:hAnsi="Arial" w:cs="Arial"/>
                <w:sz w:val="20"/>
                <w:szCs w:val="20"/>
              </w:rPr>
            </w:pPr>
            <w:r w:rsidRPr="009648E2">
              <w:rPr>
                <w:rFonts w:ascii="Arial" w:hAnsi="Arial" w:cs="Arial"/>
                <w:sz w:val="20"/>
                <w:szCs w:val="20"/>
              </w:rPr>
              <w:t>4</w:t>
            </w:r>
            <w:r>
              <w:rPr>
                <w:rFonts w:ascii="Arial" w:hAnsi="Arial" w:cs="Arial"/>
                <w:sz w:val="20"/>
                <w:szCs w:val="20"/>
              </w:rPr>
              <w:t>.</w:t>
            </w:r>
            <w:r w:rsidRPr="009648E2">
              <w:rPr>
                <w:rFonts w:ascii="Arial" w:hAnsi="Arial" w:cs="Arial"/>
                <w:sz w:val="20"/>
                <w:szCs w:val="20"/>
              </w:rPr>
              <w:t>240,7</w:t>
            </w:r>
          </w:p>
        </w:tc>
        <w:tc>
          <w:tcPr>
            <w:tcW w:w="1178" w:type="dxa"/>
            <w:shd w:val="clear" w:color="auto" w:fill="auto"/>
            <w:vAlign w:val="center"/>
          </w:tcPr>
          <w:p w14:paraId="799FBD15" w14:textId="77777777" w:rsidR="000D318F" w:rsidRPr="00D80D2F" w:rsidRDefault="000D318F" w:rsidP="00C74E50">
            <w:pPr>
              <w:spacing w:after="0" w:line="240" w:lineRule="auto"/>
              <w:jc w:val="center"/>
              <w:rPr>
                <w:rFonts w:ascii="Arial" w:hAnsi="Arial" w:cs="Arial"/>
                <w:sz w:val="20"/>
                <w:szCs w:val="20"/>
              </w:rPr>
            </w:pPr>
            <w:r w:rsidRPr="009648E2">
              <w:rPr>
                <w:rFonts w:ascii="Arial" w:hAnsi="Arial" w:cs="Arial"/>
                <w:sz w:val="20"/>
                <w:szCs w:val="20"/>
              </w:rPr>
              <w:t>4,8</w:t>
            </w:r>
          </w:p>
        </w:tc>
        <w:tc>
          <w:tcPr>
            <w:tcW w:w="1799" w:type="dxa"/>
            <w:shd w:val="clear" w:color="auto" w:fill="auto"/>
            <w:vAlign w:val="center"/>
          </w:tcPr>
          <w:p w14:paraId="0025C2FF" w14:textId="77777777" w:rsidR="000D318F" w:rsidRPr="00D80D2F" w:rsidRDefault="000D318F" w:rsidP="00C74E50">
            <w:pPr>
              <w:spacing w:after="0" w:line="240" w:lineRule="auto"/>
              <w:jc w:val="right"/>
              <w:rPr>
                <w:rFonts w:ascii="Arial" w:hAnsi="Arial" w:cs="Arial"/>
                <w:sz w:val="20"/>
                <w:szCs w:val="20"/>
              </w:rPr>
            </w:pPr>
          </w:p>
        </w:tc>
        <w:tc>
          <w:tcPr>
            <w:tcW w:w="1146" w:type="dxa"/>
            <w:shd w:val="clear" w:color="auto" w:fill="auto"/>
            <w:vAlign w:val="center"/>
          </w:tcPr>
          <w:p w14:paraId="43B6678F" w14:textId="77777777" w:rsidR="000D318F" w:rsidRPr="00D80D2F" w:rsidRDefault="000D318F" w:rsidP="00C74E50">
            <w:pPr>
              <w:spacing w:after="0" w:line="240" w:lineRule="auto"/>
              <w:jc w:val="right"/>
              <w:rPr>
                <w:rFonts w:ascii="Arial" w:hAnsi="Arial" w:cs="Arial"/>
                <w:sz w:val="20"/>
                <w:szCs w:val="20"/>
              </w:rPr>
            </w:pPr>
          </w:p>
        </w:tc>
      </w:tr>
      <w:tr w:rsidR="000D318F" w:rsidRPr="00D80D2F" w14:paraId="2DCE9749" w14:textId="77777777" w:rsidTr="00C74E50">
        <w:trPr>
          <w:trHeight w:val="341"/>
          <w:jc w:val="center"/>
        </w:trPr>
        <w:tc>
          <w:tcPr>
            <w:tcW w:w="3319" w:type="dxa"/>
            <w:shd w:val="clear" w:color="auto" w:fill="9CC2E5"/>
            <w:vAlign w:val="center"/>
          </w:tcPr>
          <w:p w14:paraId="3B3CA600" w14:textId="77777777" w:rsidR="000D318F" w:rsidRPr="009648E2" w:rsidRDefault="000D318F" w:rsidP="00C74E50">
            <w:pPr>
              <w:pStyle w:val="BodyText"/>
              <w:ind w:right="176"/>
              <w:jc w:val="both"/>
              <w:rPr>
                <w:rFonts w:ascii="Arial" w:hAnsi="Arial" w:cs="Arial"/>
                <w:color w:val="000000"/>
                <w:sz w:val="20"/>
                <w:lang w:val="en-US"/>
              </w:rPr>
            </w:pPr>
            <w:r w:rsidRPr="00D80D2F">
              <w:rPr>
                <w:rFonts w:ascii="Arial" w:hAnsi="Arial" w:cs="Arial"/>
                <w:b/>
                <w:sz w:val="20"/>
              </w:rPr>
              <w:lastRenderedPageBreak/>
              <w:t>Total surse difuze</w:t>
            </w:r>
          </w:p>
        </w:tc>
        <w:tc>
          <w:tcPr>
            <w:tcW w:w="1775" w:type="dxa"/>
            <w:shd w:val="clear" w:color="auto" w:fill="9CC2E5"/>
            <w:vAlign w:val="center"/>
          </w:tcPr>
          <w:p w14:paraId="20B928AA" w14:textId="77777777" w:rsidR="000D318F" w:rsidRPr="00D80D2F" w:rsidRDefault="000D318F" w:rsidP="00C74E50">
            <w:pPr>
              <w:spacing w:after="0" w:line="240" w:lineRule="auto"/>
              <w:jc w:val="center"/>
              <w:rPr>
                <w:rFonts w:ascii="Arial" w:hAnsi="Arial" w:cs="Arial"/>
                <w:sz w:val="20"/>
                <w:szCs w:val="20"/>
              </w:rPr>
            </w:pPr>
            <w:r w:rsidRPr="009648E2">
              <w:rPr>
                <w:rFonts w:ascii="Arial" w:hAnsi="Arial" w:cs="Arial"/>
                <w:b/>
                <w:sz w:val="20"/>
                <w:szCs w:val="20"/>
              </w:rPr>
              <w:t>89</w:t>
            </w:r>
            <w:r>
              <w:rPr>
                <w:rFonts w:ascii="Arial" w:hAnsi="Arial" w:cs="Arial"/>
                <w:b/>
                <w:sz w:val="20"/>
                <w:szCs w:val="20"/>
              </w:rPr>
              <w:t>.</w:t>
            </w:r>
            <w:r w:rsidRPr="009648E2">
              <w:rPr>
                <w:rFonts w:ascii="Arial" w:hAnsi="Arial" w:cs="Arial"/>
                <w:b/>
                <w:sz w:val="20"/>
                <w:szCs w:val="20"/>
              </w:rPr>
              <w:t>039,9</w:t>
            </w:r>
          </w:p>
        </w:tc>
        <w:tc>
          <w:tcPr>
            <w:tcW w:w="1178" w:type="dxa"/>
            <w:shd w:val="clear" w:color="auto" w:fill="9CC2E5"/>
            <w:vAlign w:val="center"/>
          </w:tcPr>
          <w:p w14:paraId="7A59D35A" w14:textId="77777777" w:rsidR="000D318F" w:rsidRPr="00D80D2F" w:rsidRDefault="000D318F" w:rsidP="00C74E50">
            <w:pPr>
              <w:spacing w:after="0" w:line="240" w:lineRule="auto"/>
              <w:jc w:val="center"/>
              <w:rPr>
                <w:rFonts w:ascii="Arial" w:hAnsi="Arial" w:cs="Arial"/>
                <w:sz w:val="20"/>
                <w:szCs w:val="20"/>
              </w:rPr>
            </w:pPr>
            <w:r w:rsidRPr="00D80D2F">
              <w:rPr>
                <w:rFonts w:ascii="Arial" w:hAnsi="Arial" w:cs="Arial"/>
                <w:b/>
                <w:sz w:val="20"/>
                <w:szCs w:val="20"/>
              </w:rPr>
              <w:t>100</w:t>
            </w:r>
          </w:p>
        </w:tc>
        <w:tc>
          <w:tcPr>
            <w:tcW w:w="1799" w:type="dxa"/>
            <w:shd w:val="clear" w:color="auto" w:fill="9CC2E5"/>
            <w:vAlign w:val="center"/>
          </w:tcPr>
          <w:p w14:paraId="630E1C7A" w14:textId="77777777" w:rsidR="000D318F" w:rsidRPr="00D80D2F" w:rsidRDefault="000D318F" w:rsidP="00C74E50">
            <w:pPr>
              <w:spacing w:after="0" w:line="240" w:lineRule="auto"/>
              <w:jc w:val="center"/>
              <w:rPr>
                <w:rFonts w:ascii="Arial" w:hAnsi="Arial" w:cs="Arial"/>
                <w:sz w:val="20"/>
                <w:szCs w:val="20"/>
              </w:rPr>
            </w:pPr>
            <w:r w:rsidRPr="009648E2">
              <w:rPr>
                <w:rFonts w:ascii="Arial" w:eastAsia="Times New Roman" w:hAnsi="Arial" w:cs="Arial"/>
                <w:b/>
                <w:bCs/>
                <w:sz w:val="20"/>
                <w:szCs w:val="20"/>
                <w:lang w:val="en-US"/>
              </w:rPr>
              <w:t>6563,0</w:t>
            </w:r>
          </w:p>
        </w:tc>
        <w:tc>
          <w:tcPr>
            <w:tcW w:w="1146" w:type="dxa"/>
            <w:shd w:val="clear" w:color="auto" w:fill="9CC2E5"/>
            <w:vAlign w:val="center"/>
          </w:tcPr>
          <w:p w14:paraId="2F676D08" w14:textId="77777777" w:rsidR="000D318F" w:rsidRPr="00D80D2F" w:rsidRDefault="000D318F" w:rsidP="00C74E50">
            <w:pPr>
              <w:spacing w:after="0" w:line="240" w:lineRule="auto"/>
              <w:jc w:val="center"/>
              <w:rPr>
                <w:rFonts w:ascii="Arial" w:hAnsi="Arial" w:cs="Arial"/>
                <w:sz w:val="20"/>
                <w:szCs w:val="20"/>
              </w:rPr>
            </w:pPr>
            <w:r w:rsidRPr="00D80D2F">
              <w:rPr>
                <w:rFonts w:ascii="Arial" w:hAnsi="Arial" w:cs="Arial"/>
                <w:b/>
                <w:sz w:val="20"/>
                <w:szCs w:val="20"/>
              </w:rPr>
              <w:t>100</w:t>
            </w:r>
          </w:p>
        </w:tc>
      </w:tr>
      <w:tr w:rsidR="000D318F" w:rsidRPr="00D80D2F" w14:paraId="2AD71A6B" w14:textId="77777777" w:rsidTr="00C74E50">
        <w:trPr>
          <w:trHeight w:val="575"/>
          <w:jc w:val="center"/>
        </w:trPr>
        <w:tc>
          <w:tcPr>
            <w:tcW w:w="3319" w:type="dxa"/>
            <w:shd w:val="clear" w:color="auto" w:fill="auto"/>
            <w:vAlign w:val="center"/>
          </w:tcPr>
          <w:p w14:paraId="698E9B04" w14:textId="77777777" w:rsidR="000D318F" w:rsidRPr="00D80D2F" w:rsidRDefault="000D318F" w:rsidP="00C74E50">
            <w:pPr>
              <w:pStyle w:val="BodyText"/>
              <w:ind w:right="176"/>
              <w:jc w:val="both"/>
              <w:rPr>
                <w:rFonts w:ascii="Arial" w:hAnsi="Arial" w:cs="Arial"/>
                <w:sz w:val="20"/>
              </w:rPr>
            </w:pPr>
            <w:r w:rsidRPr="00D80D2F">
              <w:rPr>
                <w:rFonts w:ascii="Arial" w:hAnsi="Arial" w:cs="Arial"/>
                <w:sz w:val="20"/>
              </w:rPr>
              <w:t>Emisia difuză medie specifică pe suprafața totală</w:t>
            </w:r>
          </w:p>
        </w:tc>
        <w:tc>
          <w:tcPr>
            <w:tcW w:w="2953" w:type="dxa"/>
            <w:gridSpan w:val="2"/>
            <w:shd w:val="clear" w:color="auto" w:fill="auto"/>
            <w:vAlign w:val="center"/>
          </w:tcPr>
          <w:p w14:paraId="1EDDDDF1" w14:textId="77777777" w:rsidR="000D318F" w:rsidRPr="00D80D2F" w:rsidRDefault="000D318F" w:rsidP="00C74E50">
            <w:pPr>
              <w:pStyle w:val="BodyText"/>
              <w:ind w:right="-177"/>
              <w:jc w:val="center"/>
              <w:rPr>
                <w:rFonts w:ascii="Arial" w:hAnsi="Arial" w:cs="Arial"/>
                <w:sz w:val="20"/>
              </w:rPr>
            </w:pPr>
            <w:r w:rsidRPr="00D80D2F">
              <w:rPr>
                <w:rFonts w:ascii="Arial" w:hAnsi="Arial" w:cs="Arial"/>
                <w:sz w:val="20"/>
              </w:rPr>
              <w:t>3,73 kg N/ha</w:t>
            </w:r>
          </w:p>
        </w:tc>
        <w:tc>
          <w:tcPr>
            <w:tcW w:w="2945" w:type="dxa"/>
            <w:gridSpan w:val="2"/>
            <w:shd w:val="clear" w:color="auto" w:fill="auto"/>
            <w:vAlign w:val="center"/>
          </w:tcPr>
          <w:p w14:paraId="40983932" w14:textId="77777777" w:rsidR="000D318F" w:rsidRPr="00D80D2F" w:rsidRDefault="000D318F" w:rsidP="00C74E50">
            <w:pPr>
              <w:pStyle w:val="BodyText"/>
              <w:ind w:right="-177"/>
              <w:jc w:val="center"/>
              <w:rPr>
                <w:rFonts w:ascii="Arial" w:hAnsi="Arial" w:cs="Arial"/>
                <w:sz w:val="20"/>
              </w:rPr>
            </w:pPr>
            <w:r w:rsidRPr="00D80D2F">
              <w:rPr>
                <w:rFonts w:ascii="Arial" w:hAnsi="Arial" w:cs="Arial"/>
                <w:sz w:val="20"/>
              </w:rPr>
              <w:t>0,2</w:t>
            </w:r>
            <w:r>
              <w:rPr>
                <w:rFonts w:ascii="Arial" w:hAnsi="Arial" w:cs="Arial"/>
                <w:sz w:val="20"/>
              </w:rPr>
              <w:t>75</w:t>
            </w:r>
            <w:r w:rsidRPr="00D80D2F">
              <w:rPr>
                <w:rFonts w:ascii="Arial" w:hAnsi="Arial" w:cs="Arial"/>
                <w:sz w:val="20"/>
              </w:rPr>
              <w:t xml:space="preserve"> kg P/ha</w:t>
            </w:r>
          </w:p>
        </w:tc>
      </w:tr>
      <w:tr w:rsidR="000D318F" w:rsidRPr="00D80D2F" w14:paraId="7B37EA90" w14:textId="77777777" w:rsidTr="00C74E50">
        <w:trPr>
          <w:trHeight w:val="555"/>
          <w:jc w:val="center"/>
        </w:trPr>
        <w:tc>
          <w:tcPr>
            <w:tcW w:w="3319" w:type="dxa"/>
            <w:shd w:val="clear" w:color="auto" w:fill="auto"/>
            <w:vAlign w:val="center"/>
          </w:tcPr>
          <w:p w14:paraId="191D39E3" w14:textId="77777777" w:rsidR="000D318F" w:rsidRPr="00D80D2F" w:rsidRDefault="000D318F" w:rsidP="00C74E50">
            <w:pPr>
              <w:pStyle w:val="BodyText"/>
              <w:ind w:right="176"/>
              <w:jc w:val="both"/>
              <w:rPr>
                <w:rFonts w:ascii="Arial" w:hAnsi="Arial" w:cs="Arial"/>
                <w:sz w:val="20"/>
              </w:rPr>
            </w:pPr>
            <w:r w:rsidRPr="00D80D2F">
              <w:rPr>
                <w:rFonts w:ascii="Arial" w:hAnsi="Arial" w:cs="Arial"/>
                <w:sz w:val="20"/>
              </w:rPr>
              <w:t>Emisia difuză medie specifică din agricultură pe suprafața agricolă</w:t>
            </w:r>
          </w:p>
        </w:tc>
        <w:tc>
          <w:tcPr>
            <w:tcW w:w="2953" w:type="dxa"/>
            <w:gridSpan w:val="2"/>
            <w:shd w:val="clear" w:color="auto" w:fill="auto"/>
            <w:vAlign w:val="center"/>
          </w:tcPr>
          <w:p w14:paraId="11428A17" w14:textId="77777777" w:rsidR="000D318F" w:rsidRPr="00D80D2F" w:rsidRDefault="000D318F" w:rsidP="00C74E50">
            <w:pPr>
              <w:pStyle w:val="BodyText"/>
              <w:ind w:right="-177"/>
              <w:jc w:val="center"/>
              <w:rPr>
                <w:rFonts w:ascii="Arial" w:hAnsi="Arial" w:cs="Arial"/>
                <w:sz w:val="20"/>
              </w:rPr>
            </w:pPr>
            <w:r>
              <w:rPr>
                <w:rFonts w:ascii="Arial" w:hAnsi="Arial" w:cs="Arial"/>
                <w:sz w:val="20"/>
              </w:rPr>
              <w:t xml:space="preserve">2,15 </w:t>
            </w:r>
            <w:r w:rsidRPr="00D80D2F">
              <w:rPr>
                <w:rFonts w:ascii="Arial" w:hAnsi="Arial" w:cs="Arial"/>
                <w:sz w:val="20"/>
              </w:rPr>
              <w:t>kgN/ha</w:t>
            </w:r>
          </w:p>
        </w:tc>
        <w:tc>
          <w:tcPr>
            <w:tcW w:w="2945" w:type="dxa"/>
            <w:gridSpan w:val="2"/>
            <w:shd w:val="clear" w:color="auto" w:fill="auto"/>
            <w:vAlign w:val="center"/>
          </w:tcPr>
          <w:p w14:paraId="40B858EA" w14:textId="77777777" w:rsidR="000D318F" w:rsidRPr="00D80D2F" w:rsidRDefault="000D318F" w:rsidP="00C74E50">
            <w:pPr>
              <w:pStyle w:val="BodyText"/>
              <w:ind w:right="-177"/>
              <w:jc w:val="center"/>
              <w:rPr>
                <w:rFonts w:ascii="Arial" w:hAnsi="Arial" w:cs="Arial"/>
                <w:sz w:val="20"/>
              </w:rPr>
            </w:pPr>
            <w:r w:rsidRPr="00D80D2F">
              <w:rPr>
                <w:rFonts w:ascii="Arial" w:hAnsi="Arial" w:cs="Arial"/>
                <w:sz w:val="20"/>
              </w:rPr>
              <w:t>0,21 kg P/ha</w:t>
            </w:r>
          </w:p>
        </w:tc>
      </w:tr>
    </w:tbl>
    <w:p w14:paraId="2B2E832F" w14:textId="77777777" w:rsidR="000D318F" w:rsidRPr="007B053A" w:rsidRDefault="000D318F" w:rsidP="000D318F">
      <w:pPr>
        <w:spacing w:after="0" w:line="240" w:lineRule="auto"/>
        <w:jc w:val="both"/>
        <w:rPr>
          <w:rFonts w:ascii="Arial" w:hAnsi="Arial" w:cs="Arial"/>
          <w:i/>
          <w:sz w:val="20"/>
          <w:szCs w:val="20"/>
        </w:rPr>
      </w:pPr>
      <w:r w:rsidRPr="007B053A">
        <w:rPr>
          <w:rFonts w:ascii="Arial" w:hAnsi="Arial" w:cs="Arial"/>
          <w:i/>
          <w:sz w:val="20"/>
          <w:szCs w:val="20"/>
        </w:rPr>
        <w:t>(Sursa datelor: Administrația Națională „Apele Române”, Planul naţional de management actualizat)</w:t>
      </w:r>
    </w:p>
    <w:p w14:paraId="326B7911" w14:textId="77777777" w:rsidR="000D318F" w:rsidRDefault="000D318F" w:rsidP="000D318F">
      <w:pPr>
        <w:pStyle w:val="BodyText"/>
        <w:ind w:right="-177" w:firstLine="567"/>
        <w:jc w:val="both"/>
        <w:rPr>
          <w:rFonts w:ascii="Arial" w:hAnsi="Arial" w:cs="Arial"/>
          <w:szCs w:val="24"/>
        </w:rPr>
      </w:pPr>
      <w:r w:rsidRPr="004C4607">
        <w:rPr>
          <w:rFonts w:ascii="Arial" w:hAnsi="Arial" w:cs="Arial"/>
          <w:i/>
          <w:szCs w:val="24"/>
        </w:rPr>
        <w:t xml:space="preserve"> </w:t>
      </w:r>
    </w:p>
    <w:p w14:paraId="60105698" w14:textId="77777777" w:rsidR="000D318F" w:rsidRDefault="000D318F" w:rsidP="000D318F">
      <w:pPr>
        <w:pStyle w:val="BodyText"/>
        <w:ind w:right="-177" w:firstLine="567"/>
        <w:jc w:val="both"/>
        <w:rPr>
          <w:rFonts w:ascii="Arial" w:hAnsi="Arial" w:cs="Arial"/>
          <w:szCs w:val="24"/>
        </w:rPr>
      </w:pPr>
      <w:r w:rsidRPr="004D683A">
        <w:rPr>
          <w:rFonts w:ascii="Arial" w:hAnsi="Arial" w:cs="Arial"/>
          <w:szCs w:val="24"/>
        </w:rPr>
        <w:t xml:space="preserve">Se observă că cca. </w:t>
      </w:r>
      <w:r>
        <w:rPr>
          <w:rFonts w:ascii="Arial" w:hAnsi="Arial" w:cs="Arial"/>
          <w:szCs w:val="24"/>
        </w:rPr>
        <w:t>35</w:t>
      </w:r>
      <w:r w:rsidRPr="004D683A">
        <w:rPr>
          <w:rFonts w:ascii="Arial" w:hAnsi="Arial" w:cs="Arial"/>
          <w:szCs w:val="24"/>
        </w:rPr>
        <w:t>% din cantitatea de azot emisă de sursele difuze se datorează activităţilor agricole</w:t>
      </w:r>
      <w:r>
        <w:rPr>
          <w:rFonts w:ascii="Arial" w:hAnsi="Arial" w:cs="Arial"/>
          <w:szCs w:val="24"/>
        </w:rPr>
        <w:t xml:space="preserve"> și</w:t>
      </w:r>
      <w:r w:rsidRPr="004D683A">
        <w:rPr>
          <w:rFonts w:ascii="Arial" w:hAnsi="Arial" w:cs="Arial"/>
          <w:szCs w:val="24"/>
        </w:rPr>
        <w:t xml:space="preserve"> aproximativ </w:t>
      </w:r>
      <w:r w:rsidRPr="00116A04">
        <w:rPr>
          <w:rFonts w:ascii="Arial" w:hAnsi="Arial" w:cs="Arial"/>
          <w:szCs w:val="24"/>
        </w:rPr>
        <w:t>43,6</w:t>
      </w:r>
      <w:r w:rsidRPr="004D683A">
        <w:rPr>
          <w:rFonts w:ascii="Arial" w:hAnsi="Arial" w:cs="Arial"/>
          <w:szCs w:val="24"/>
        </w:rPr>
        <w:t>% din emisia totală difuză de fosfor se datorează localităţilor/aglomerărilor umane.</w:t>
      </w:r>
    </w:p>
    <w:p w14:paraId="6DD6E1C1" w14:textId="77777777" w:rsidR="000D318F" w:rsidRPr="00B96767" w:rsidRDefault="000D318F" w:rsidP="000D318F">
      <w:pPr>
        <w:pStyle w:val="BodyText"/>
        <w:ind w:right="-177" w:firstLine="567"/>
        <w:jc w:val="both"/>
        <w:rPr>
          <w:rFonts w:ascii="Arial" w:hAnsi="Arial" w:cs="Arial"/>
          <w:szCs w:val="24"/>
        </w:rPr>
      </w:pPr>
      <w:r w:rsidRPr="00116A04">
        <w:rPr>
          <w:rFonts w:ascii="Arial" w:hAnsi="Arial" w:cs="Arial"/>
          <w:szCs w:val="24"/>
        </w:rPr>
        <w:t xml:space="preserve">Comparativ cu emisiile totale din surse difuze de poluare evaluate în </w:t>
      </w:r>
      <w:r>
        <w:rPr>
          <w:rFonts w:ascii="Arial" w:hAnsi="Arial" w:cs="Arial"/>
          <w:szCs w:val="24"/>
        </w:rPr>
        <w:t>al doilea</w:t>
      </w:r>
      <w:r w:rsidRPr="00116A04">
        <w:rPr>
          <w:rFonts w:ascii="Arial" w:hAnsi="Arial" w:cs="Arial"/>
          <w:szCs w:val="24"/>
        </w:rPr>
        <w:t xml:space="preserve"> Plan Național de management</w:t>
      </w:r>
      <w:r>
        <w:rPr>
          <w:rFonts w:ascii="Arial" w:hAnsi="Arial" w:cs="Arial"/>
          <w:szCs w:val="24"/>
        </w:rPr>
        <w:t xml:space="preserve"> actualizat </w:t>
      </w:r>
      <w:r w:rsidRPr="00116A04">
        <w:rPr>
          <w:rFonts w:ascii="Arial" w:hAnsi="Arial" w:cs="Arial"/>
          <w:szCs w:val="24"/>
        </w:rPr>
        <w:t>(date din anul 20</w:t>
      </w:r>
      <w:r>
        <w:rPr>
          <w:rFonts w:ascii="Arial" w:hAnsi="Arial" w:cs="Arial"/>
          <w:szCs w:val="24"/>
        </w:rPr>
        <w:t>12</w:t>
      </w:r>
      <w:r w:rsidRPr="00116A04">
        <w:rPr>
          <w:rFonts w:ascii="Arial" w:hAnsi="Arial" w:cs="Arial"/>
          <w:szCs w:val="24"/>
        </w:rPr>
        <w:t xml:space="preserve">), </w:t>
      </w:r>
      <w:r>
        <w:rPr>
          <w:rFonts w:ascii="Arial" w:hAnsi="Arial" w:cs="Arial"/>
          <w:szCs w:val="24"/>
        </w:rPr>
        <w:t xml:space="preserve">în evaluările celui de-al treilea Plan national de management actualizat </w:t>
      </w:r>
      <w:r w:rsidRPr="00116A04">
        <w:rPr>
          <w:rFonts w:ascii="Arial" w:hAnsi="Arial" w:cs="Arial"/>
          <w:szCs w:val="24"/>
        </w:rPr>
        <w:t xml:space="preserve">se </w:t>
      </w:r>
      <w:r>
        <w:rPr>
          <w:rFonts w:ascii="Arial" w:hAnsi="Arial" w:cs="Arial"/>
          <w:szCs w:val="24"/>
        </w:rPr>
        <w:t>estimează că</w:t>
      </w:r>
      <w:r w:rsidRPr="00116A04">
        <w:rPr>
          <w:rFonts w:ascii="Arial" w:hAnsi="Arial" w:cs="Arial"/>
          <w:szCs w:val="24"/>
        </w:rPr>
        <w:t xml:space="preserve"> </w:t>
      </w:r>
      <w:r>
        <w:rPr>
          <w:rFonts w:ascii="Arial" w:hAnsi="Arial" w:cs="Arial"/>
          <w:szCs w:val="24"/>
        </w:rPr>
        <w:t xml:space="preserve">până în anul 2027 se va realiza </w:t>
      </w:r>
      <w:r w:rsidRPr="00116A04">
        <w:rPr>
          <w:rFonts w:ascii="Arial" w:hAnsi="Arial" w:cs="Arial"/>
          <w:szCs w:val="24"/>
        </w:rPr>
        <w:t xml:space="preserve">o reducere a emisiilor totale de  azot (cu cca. </w:t>
      </w:r>
      <w:r>
        <w:rPr>
          <w:rFonts w:ascii="Arial" w:hAnsi="Arial" w:cs="Arial"/>
          <w:szCs w:val="24"/>
        </w:rPr>
        <w:t>14</w:t>
      </w:r>
      <w:r w:rsidRPr="00116A04">
        <w:rPr>
          <w:rFonts w:ascii="Arial" w:hAnsi="Arial" w:cs="Arial"/>
          <w:szCs w:val="24"/>
        </w:rPr>
        <w:t xml:space="preserve">)  şi fosfor (cu cca. </w:t>
      </w:r>
      <w:r>
        <w:rPr>
          <w:rFonts w:ascii="Arial" w:hAnsi="Arial" w:cs="Arial"/>
          <w:szCs w:val="24"/>
        </w:rPr>
        <w:t>6</w:t>
      </w:r>
      <w:r w:rsidRPr="00116A04">
        <w:rPr>
          <w:rFonts w:ascii="Arial" w:hAnsi="Arial" w:cs="Arial"/>
          <w:szCs w:val="24"/>
        </w:rPr>
        <w:t>%), urmare a aplicării în principal de măsuri eficiente și reducerii / închiderii unor activități economice. Astfel, în</w:t>
      </w:r>
      <w:r>
        <w:rPr>
          <w:rFonts w:ascii="Arial" w:hAnsi="Arial" w:cs="Arial"/>
          <w:szCs w:val="24"/>
        </w:rPr>
        <w:t>cepând cu</w:t>
      </w:r>
      <w:r w:rsidRPr="00116A04">
        <w:rPr>
          <w:rFonts w:ascii="Arial" w:hAnsi="Arial" w:cs="Arial"/>
          <w:szCs w:val="24"/>
        </w:rPr>
        <w:t xml:space="preserve"> perioada 20</w:t>
      </w:r>
      <w:r>
        <w:rPr>
          <w:rFonts w:ascii="Arial" w:hAnsi="Arial" w:cs="Arial"/>
          <w:szCs w:val="24"/>
        </w:rPr>
        <w:t>15</w:t>
      </w:r>
      <w:r w:rsidRPr="00116A04">
        <w:rPr>
          <w:rFonts w:ascii="Arial" w:hAnsi="Arial" w:cs="Arial"/>
          <w:szCs w:val="24"/>
        </w:rPr>
        <w:t xml:space="preserve"> </w:t>
      </w:r>
      <w:r>
        <w:rPr>
          <w:rFonts w:ascii="Arial" w:hAnsi="Arial" w:cs="Arial"/>
          <w:szCs w:val="24"/>
        </w:rPr>
        <w:t>–</w:t>
      </w:r>
      <w:r w:rsidRPr="00116A04">
        <w:rPr>
          <w:rFonts w:ascii="Arial" w:hAnsi="Arial" w:cs="Arial"/>
          <w:szCs w:val="24"/>
        </w:rPr>
        <w:t xml:space="preserve"> 201</w:t>
      </w:r>
      <w:r>
        <w:rPr>
          <w:rFonts w:ascii="Arial" w:hAnsi="Arial" w:cs="Arial"/>
          <w:szCs w:val="24"/>
        </w:rPr>
        <w:t>8 și până în anul 2027 se reduce</w:t>
      </w:r>
      <w:r w:rsidRPr="00FC11E6">
        <w:rPr>
          <w:rFonts w:ascii="Arial" w:hAnsi="Arial" w:cs="Arial"/>
          <w:szCs w:val="24"/>
        </w:rPr>
        <w:t xml:space="preserve"> numărul de aglomerări umane fără sisteme de canalizare prin construirea de noi rețele de canalizare și cre</w:t>
      </w:r>
      <w:r>
        <w:rPr>
          <w:rFonts w:ascii="Arial" w:hAnsi="Arial" w:cs="Arial"/>
          <w:szCs w:val="24"/>
        </w:rPr>
        <w:t>ște</w:t>
      </w:r>
      <w:r w:rsidRPr="00FC11E6">
        <w:rPr>
          <w:rFonts w:ascii="Arial" w:hAnsi="Arial" w:cs="Arial"/>
          <w:szCs w:val="24"/>
        </w:rPr>
        <w:t xml:space="preserve"> nivelul de conectare la acestea, iar în agricultură s</w:t>
      </w:r>
      <w:r>
        <w:rPr>
          <w:rFonts w:ascii="Arial" w:hAnsi="Arial" w:cs="Arial"/>
          <w:szCs w:val="24"/>
        </w:rPr>
        <w:t>e</w:t>
      </w:r>
      <w:r w:rsidRPr="00FC11E6">
        <w:rPr>
          <w:rFonts w:ascii="Arial" w:hAnsi="Arial" w:cs="Arial"/>
          <w:szCs w:val="24"/>
        </w:rPr>
        <w:t xml:space="preserve"> aplic</w:t>
      </w:r>
      <w:r>
        <w:rPr>
          <w:rFonts w:ascii="Arial" w:hAnsi="Arial" w:cs="Arial"/>
          <w:szCs w:val="24"/>
        </w:rPr>
        <w:t>ă</w:t>
      </w:r>
      <w:r w:rsidRPr="00FC11E6">
        <w:rPr>
          <w:rFonts w:ascii="Arial" w:hAnsi="Arial" w:cs="Arial"/>
          <w:szCs w:val="24"/>
        </w:rPr>
        <w:t xml:space="preserve"> prevederile Programelor de acțiune pentru protecţia apelor împotriva poluării cu nitraţi din surse agricole și </w:t>
      </w:r>
      <w:r w:rsidRPr="002B5A4C">
        <w:rPr>
          <w:rFonts w:ascii="Arial" w:hAnsi="Arial" w:cs="Arial"/>
          <w:szCs w:val="24"/>
        </w:rPr>
        <w:t xml:space="preserve">implementarea voluntară a </w:t>
      </w:r>
      <w:r w:rsidRPr="00FC11E6">
        <w:rPr>
          <w:rFonts w:ascii="Arial" w:hAnsi="Arial" w:cs="Arial"/>
          <w:szCs w:val="24"/>
        </w:rPr>
        <w:t>Codului de bune practici agricole</w:t>
      </w:r>
      <w:r w:rsidRPr="002B5A4C">
        <w:rPr>
          <w:rFonts w:ascii="Arial" w:hAnsi="Arial" w:cs="Arial"/>
          <w:szCs w:val="24"/>
        </w:rPr>
        <w:t>,</w:t>
      </w:r>
      <w:r>
        <w:rPr>
          <w:rFonts w:ascii="Arial" w:hAnsi="Arial" w:cs="Arial"/>
          <w:szCs w:val="24"/>
        </w:rPr>
        <w:t xml:space="preserve"> </w:t>
      </w:r>
      <w:r w:rsidRPr="002B5A4C">
        <w:rPr>
          <w:rFonts w:ascii="Arial" w:hAnsi="Arial" w:cs="Arial"/>
          <w:szCs w:val="24"/>
        </w:rPr>
        <w:t>respectiv aplicarea măsurilor de tip agro-mediu pentru reducerea emisiilor de nutrienți</w:t>
      </w:r>
      <w:r>
        <w:rPr>
          <w:rFonts w:ascii="Arial" w:hAnsi="Arial" w:cs="Arial"/>
          <w:szCs w:val="24"/>
        </w:rPr>
        <w:t xml:space="preserve"> </w:t>
      </w:r>
      <w:r w:rsidRPr="002B5A4C">
        <w:rPr>
          <w:rFonts w:ascii="Arial" w:hAnsi="Arial" w:cs="Arial"/>
          <w:szCs w:val="24"/>
        </w:rPr>
        <w:t>sprijinite prin programele de dezvoltare rurală ale Politicii Agricole Comune post 2020, e</w:t>
      </w:r>
      <w:r w:rsidRPr="00FC11E6">
        <w:rPr>
          <w:rFonts w:ascii="Arial" w:hAnsi="Arial" w:cs="Arial"/>
          <w:szCs w:val="24"/>
        </w:rPr>
        <w:t>.</w:t>
      </w:r>
    </w:p>
    <w:p w14:paraId="679F8F77" w14:textId="77777777" w:rsidR="000D318F" w:rsidRPr="00C420F1" w:rsidRDefault="000D318F" w:rsidP="000D318F">
      <w:pPr>
        <w:spacing w:after="0"/>
        <w:ind w:firstLine="720"/>
        <w:jc w:val="both"/>
        <w:rPr>
          <w:rFonts w:ascii="Arial" w:hAnsi="Arial" w:cs="Arial"/>
          <w:i/>
          <w:sz w:val="24"/>
          <w:szCs w:val="24"/>
        </w:rPr>
      </w:pPr>
      <w:r w:rsidRPr="00C420F1">
        <w:rPr>
          <w:rFonts w:ascii="Arial" w:hAnsi="Arial" w:cs="Arial"/>
          <w:sz w:val="24"/>
          <w:szCs w:val="24"/>
        </w:rPr>
        <w:t xml:space="preserve">Rezultatele aplicării modelului îmbunătățit la nivelul districtului internaţional al Dunării, utilizând date actualizate pentru perioada 2015 - 2018, au fost incluse în </w:t>
      </w:r>
      <w:r w:rsidRPr="00C420F1">
        <w:rPr>
          <w:rFonts w:ascii="Arial" w:hAnsi="Arial" w:cs="Arial"/>
          <w:i/>
          <w:sz w:val="24"/>
          <w:szCs w:val="24"/>
        </w:rPr>
        <w:t xml:space="preserve">Planul de Management al Districtului Hidrografic Internațional al Fluviului Dunărea – actualizat </w:t>
      </w:r>
      <w:r w:rsidRPr="00C420F1">
        <w:rPr>
          <w:rFonts w:ascii="Arial" w:hAnsi="Arial" w:cs="Arial"/>
          <w:sz w:val="24"/>
          <w:szCs w:val="24"/>
        </w:rPr>
        <w:t xml:space="preserve"> </w:t>
      </w:r>
      <w:r w:rsidRPr="00C420F1">
        <w:rPr>
          <w:rFonts w:ascii="Arial" w:hAnsi="Arial" w:cs="Arial"/>
          <w:i/>
          <w:sz w:val="24"/>
          <w:szCs w:val="24"/>
        </w:rPr>
        <w:t>2021</w:t>
      </w:r>
      <w:r w:rsidRPr="00C420F1">
        <w:rPr>
          <w:rFonts w:ascii="Arial" w:hAnsi="Arial" w:cs="Arial"/>
          <w:iCs/>
          <w:sz w:val="24"/>
          <w:szCs w:val="24"/>
        </w:rPr>
        <w:t xml:space="preserve">).  </w:t>
      </w:r>
    </w:p>
    <w:p w14:paraId="6F4FA6DD" w14:textId="77777777" w:rsidR="000D318F" w:rsidRPr="00A10E81" w:rsidRDefault="000D318F" w:rsidP="000D318F">
      <w:pPr>
        <w:spacing w:after="0" w:line="240" w:lineRule="auto"/>
        <w:ind w:firstLine="567"/>
        <w:jc w:val="both"/>
        <w:rPr>
          <w:rFonts w:ascii="Arial" w:hAnsi="Arial" w:cs="Arial"/>
          <w:sz w:val="24"/>
          <w:szCs w:val="24"/>
        </w:rPr>
      </w:pPr>
      <w:r w:rsidRPr="00A10E81">
        <w:rPr>
          <w:rFonts w:ascii="Arial" w:hAnsi="Arial" w:cs="Arial"/>
          <w:sz w:val="24"/>
          <w:szCs w:val="24"/>
        </w:rPr>
        <w:t>La poluarea difuză contribuie un număr total de</w:t>
      </w:r>
      <w:r w:rsidRPr="00A10E81">
        <w:rPr>
          <w:rFonts w:ascii="Arial" w:hAnsi="Arial" w:cs="Arial"/>
          <w:b/>
          <w:sz w:val="24"/>
          <w:szCs w:val="24"/>
        </w:rPr>
        <w:t xml:space="preserve"> </w:t>
      </w:r>
      <w:r>
        <w:rPr>
          <w:rFonts w:ascii="Arial" w:hAnsi="Arial" w:cs="Arial"/>
          <w:b/>
          <w:sz w:val="24"/>
          <w:szCs w:val="24"/>
        </w:rPr>
        <w:t>12.010</w:t>
      </w:r>
      <w:r w:rsidRPr="00A10E81">
        <w:rPr>
          <w:rFonts w:ascii="Arial" w:hAnsi="Arial" w:cs="Arial"/>
          <w:b/>
          <w:sz w:val="24"/>
          <w:szCs w:val="24"/>
        </w:rPr>
        <w:t xml:space="preserve"> presiuni potențial semnificative difuze</w:t>
      </w:r>
      <w:r w:rsidRPr="00A10E81">
        <w:rPr>
          <w:rFonts w:ascii="Arial" w:hAnsi="Arial" w:cs="Arial"/>
          <w:sz w:val="24"/>
          <w:szCs w:val="24"/>
        </w:rPr>
        <w:t xml:space="preserve"> pentru corpurile de apă care nu ating obiectivele de mediu, din care:</w:t>
      </w:r>
    </w:p>
    <w:p w14:paraId="5DC155EF" w14:textId="77777777" w:rsidR="000D318F" w:rsidRPr="00A10E81" w:rsidRDefault="000D318F" w:rsidP="0054709F">
      <w:pPr>
        <w:numPr>
          <w:ilvl w:val="0"/>
          <w:numId w:val="22"/>
        </w:numPr>
        <w:spacing w:after="0" w:line="240" w:lineRule="auto"/>
        <w:ind w:left="284" w:hanging="284"/>
        <w:jc w:val="both"/>
        <w:rPr>
          <w:rFonts w:ascii="Arial" w:hAnsi="Arial" w:cs="Arial"/>
          <w:sz w:val="24"/>
          <w:szCs w:val="24"/>
        </w:rPr>
      </w:pPr>
      <w:r>
        <w:rPr>
          <w:rFonts w:ascii="Arial" w:hAnsi="Arial" w:cs="Arial"/>
          <w:sz w:val="24"/>
          <w:szCs w:val="24"/>
        </w:rPr>
        <w:t xml:space="preserve">6.512 </w:t>
      </w:r>
      <w:r w:rsidRPr="00A10E81">
        <w:rPr>
          <w:rFonts w:ascii="Arial" w:hAnsi="Arial" w:cs="Arial"/>
          <w:sz w:val="24"/>
          <w:szCs w:val="24"/>
        </w:rPr>
        <w:t>aglomerări care nu sunt dotate cu sisteme de colectare a apelor uzate;</w:t>
      </w:r>
    </w:p>
    <w:p w14:paraId="5D0A9028" w14:textId="77777777" w:rsidR="000D318F" w:rsidRPr="00F615BA" w:rsidRDefault="000D318F" w:rsidP="0054709F">
      <w:pPr>
        <w:numPr>
          <w:ilvl w:val="0"/>
          <w:numId w:val="22"/>
        </w:numPr>
        <w:spacing w:after="0" w:line="240" w:lineRule="auto"/>
        <w:ind w:left="284" w:hanging="284"/>
        <w:jc w:val="both"/>
        <w:rPr>
          <w:rFonts w:ascii="Arial" w:hAnsi="Arial" w:cs="Arial"/>
          <w:sz w:val="24"/>
          <w:szCs w:val="24"/>
        </w:rPr>
      </w:pPr>
      <w:r w:rsidRPr="00F615BA">
        <w:rPr>
          <w:rFonts w:ascii="Arial" w:hAnsi="Arial" w:cs="Arial"/>
          <w:sz w:val="24"/>
          <w:szCs w:val="24"/>
        </w:rPr>
        <w:t>4.844  presiuni difuze agricole;</w:t>
      </w:r>
    </w:p>
    <w:p w14:paraId="794942AB" w14:textId="77777777" w:rsidR="000D318F" w:rsidRPr="006D6D2A" w:rsidRDefault="000D318F" w:rsidP="0054709F">
      <w:pPr>
        <w:numPr>
          <w:ilvl w:val="0"/>
          <w:numId w:val="22"/>
        </w:numPr>
        <w:spacing w:after="0" w:line="240" w:lineRule="auto"/>
        <w:jc w:val="both"/>
        <w:rPr>
          <w:rFonts w:ascii="Arial" w:hAnsi="Arial" w:cs="Arial"/>
          <w:sz w:val="24"/>
          <w:szCs w:val="24"/>
        </w:rPr>
      </w:pPr>
      <w:r w:rsidRPr="006D6D2A">
        <w:rPr>
          <w:rFonts w:ascii="Arial" w:hAnsi="Arial" w:cs="Arial"/>
          <w:sz w:val="24"/>
          <w:szCs w:val="24"/>
        </w:rPr>
        <w:t>428  unități industriale</w:t>
      </w:r>
      <w:r>
        <w:rPr>
          <w:rFonts w:ascii="Arial" w:hAnsi="Arial" w:cs="Arial"/>
          <w:sz w:val="24"/>
          <w:szCs w:val="24"/>
        </w:rPr>
        <w:t xml:space="preserve"> </w:t>
      </w:r>
      <w:r w:rsidRPr="006D6D2A">
        <w:rPr>
          <w:rFonts w:ascii="Arial" w:hAnsi="Arial" w:cs="Arial"/>
          <w:sz w:val="24"/>
          <w:szCs w:val="24"/>
        </w:rPr>
        <w:t xml:space="preserve">și </w:t>
      </w:r>
    </w:p>
    <w:p w14:paraId="0A8F88CB" w14:textId="77777777" w:rsidR="000D318F" w:rsidRPr="00A10E81" w:rsidRDefault="000D318F" w:rsidP="0054709F">
      <w:pPr>
        <w:numPr>
          <w:ilvl w:val="0"/>
          <w:numId w:val="22"/>
        </w:numPr>
        <w:spacing w:after="0" w:line="240" w:lineRule="auto"/>
        <w:ind w:left="284" w:hanging="284"/>
        <w:jc w:val="both"/>
        <w:rPr>
          <w:rFonts w:ascii="Arial" w:hAnsi="Arial" w:cs="Arial"/>
          <w:sz w:val="24"/>
          <w:szCs w:val="24"/>
        </w:rPr>
      </w:pPr>
      <w:r w:rsidRPr="00A10E81">
        <w:rPr>
          <w:rFonts w:ascii="Arial" w:hAnsi="Arial" w:cs="Arial"/>
          <w:sz w:val="24"/>
          <w:szCs w:val="24"/>
        </w:rPr>
        <w:t xml:space="preserve"> </w:t>
      </w:r>
      <w:r>
        <w:rPr>
          <w:rFonts w:ascii="Arial" w:hAnsi="Arial" w:cs="Arial"/>
          <w:sz w:val="24"/>
          <w:szCs w:val="24"/>
        </w:rPr>
        <w:t>226</w:t>
      </w:r>
      <w:r w:rsidRPr="00A10E81">
        <w:rPr>
          <w:rFonts w:ascii="Arial" w:hAnsi="Arial" w:cs="Arial"/>
          <w:sz w:val="24"/>
          <w:szCs w:val="24"/>
        </w:rPr>
        <w:t xml:space="preserve"> altele (activități piscicole, etc.).</w:t>
      </w:r>
    </w:p>
    <w:p w14:paraId="3F7F9229" w14:textId="77777777" w:rsidR="000D318F" w:rsidRPr="00A10E81" w:rsidRDefault="000D318F" w:rsidP="000D318F">
      <w:pPr>
        <w:spacing w:after="0" w:line="240" w:lineRule="auto"/>
        <w:ind w:firstLine="567"/>
        <w:jc w:val="both"/>
        <w:rPr>
          <w:rFonts w:ascii="Arial" w:hAnsi="Arial" w:cs="Arial"/>
          <w:noProof/>
          <w:sz w:val="24"/>
          <w:szCs w:val="24"/>
        </w:rPr>
      </w:pPr>
      <w:r w:rsidRPr="00A10E81">
        <w:rPr>
          <w:rFonts w:ascii="Arial" w:hAnsi="Arial" w:cs="Arial"/>
          <w:sz w:val="24"/>
          <w:szCs w:val="24"/>
        </w:rPr>
        <w:t xml:space="preserve">În urmă aplicării procesului de validare a presiunilor potențial semnificative difuze cu atingerea obiectivelor de mediu (starea/potenţialul ecologic şi starea chimică a corpurilor de apă), s-a identificat un număr de </w:t>
      </w:r>
      <w:r>
        <w:rPr>
          <w:rFonts w:ascii="Arial" w:hAnsi="Arial" w:cs="Arial"/>
          <w:sz w:val="24"/>
          <w:szCs w:val="24"/>
        </w:rPr>
        <w:t>3.449</w:t>
      </w:r>
      <w:r w:rsidRPr="00A10E81">
        <w:rPr>
          <w:rFonts w:ascii="Arial" w:hAnsi="Arial" w:cs="Arial"/>
          <w:sz w:val="24"/>
          <w:szCs w:val="24"/>
        </w:rPr>
        <w:t xml:space="preserve"> </w:t>
      </w:r>
      <w:r w:rsidRPr="00A10E81">
        <w:rPr>
          <w:rFonts w:ascii="Arial" w:hAnsi="Arial" w:cs="Arial"/>
          <w:b/>
          <w:sz w:val="24"/>
          <w:szCs w:val="24"/>
        </w:rPr>
        <w:t xml:space="preserve"> presiuni semnificative difuze</w:t>
      </w:r>
      <w:r w:rsidRPr="00A10E81">
        <w:rPr>
          <w:rFonts w:ascii="Arial" w:hAnsi="Arial" w:cs="Arial"/>
          <w:sz w:val="24"/>
          <w:szCs w:val="24"/>
        </w:rPr>
        <w:t xml:space="preserve"> (</w:t>
      </w:r>
      <w:r w:rsidRPr="00C02DDA">
        <w:rPr>
          <w:rFonts w:ascii="Arial" w:hAnsi="Arial" w:cs="Arial"/>
          <w:noProof/>
          <w:sz w:val="24"/>
          <w:szCs w:val="24"/>
        </w:rPr>
        <w:t>2981</w:t>
      </w:r>
      <w:r w:rsidRPr="00386D1D">
        <w:rPr>
          <w:rFonts w:ascii="Arial" w:hAnsi="Arial" w:cs="Arial"/>
          <w:noProof/>
          <w:sz w:val="24"/>
          <w:szCs w:val="24"/>
        </w:rPr>
        <w:t xml:space="preserve"> </w:t>
      </w:r>
      <w:r w:rsidRPr="00A10E81">
        <w:rPr>
          <w:rFonts w:ascii="Arial" w:hAnsi="Arial" w:cs="Arial"/>
          <w:sz w:val="24"/>
          <w:szCs w:val="24"/>
        </w:rPr>
        <w:t xml:space="preserve">urbane, </w:t>
      </w:r>
      <w:r>
        <w:rPr>
          <w:rFonts w:ascii="Arial" w:hAnsi="Arial" w:cs="Arial"/>
          <w:sz w:val="24"/>
          <w:szCs w:val="24"/>
        </w:rPr>
        <w:t>539</w:t>
      </w:r>
      <w:r w:rsidRPr="00A10E81">
        <w:rPr>
          <w:rFonts w:ascii="Arial" w:hAnsi="Arial" w:cs="Arial"/>
          <w:sz w:val="24"/>
          <w:szCs w:val="24"/>
        </w:rPr>
        <w:t xml:space="preserve"> agricole, </w:t>
      </w:r>
      <w:r>
        <w:rPr>
          <w:rFonts w:ascii="Arial" w:hAnsi="Arial" w:cs="Arial"/>
          <w:sz w:val="24"/>
          <w:szCs w:val="24"/>
        </w:rPr>
        <w:t>44</w:t>
      </w:r>
      <w:r w:rsidRPr="00A10E81">
        <w:rPr>
          <w:rFonts w:ascii="Arial" w:hAnsi="Arial" w:cs="Arial"/>
          <w:sz w:val="24"/>
          <w:szCs w:val="24"/>
        </w:rPr>
        <w:t xml:space="preserve"> industriale</w:t>
      </w:r>
      <w:r>
        <w:rPr>
          <w:rFonts w:ascii="Arial" w:hAnsi="Arial" w:cs="Arial"/>
          <w:sz w:val="24"/>
          <w:szCs w:val="24"/>
        </w:rPr>
        <w:t xml:space="preserve"> și 57 din  a</w:t>
      </w:r>
      <w:r w:rsidRPr="002677BC">
        <w:rPr>
          <w:rFonts w:ascii="Arial" w:hAnsi="Arial" w:cs="Arial"/>
          <w:sz w:val="24"/>
          <w:szCs w:val="24"/>
        </w:rPr>
        <w:t>ctivităţi de pescuit</w:t>
      </w:r>
      <w:r>
        <w:rPr>
          <w:rFonts w:ascii="Arial" w:hAnsi="Arial" w:cs="Arial"/>
          <w:sz w:val="24"/>
          <w:szCs w:val="24"/>
        </w:rPr>
        <w:t xml:space="preserve"> și acvacultură</w:t>
      </w:r>
      <w:r w:rsidRPr="00A10E81">
        <w:rPr>
          <w:rFonts w:ascii="Arial" w:hAnsi="Arial" w:cs="Arial"/>
          <w:sz w:val="24"/>
          <w:szCs w:val="24"/>
        </w:rPr>
        <w:t xml:space="preserve">). </w:t>
      </w:r>
    </w:p>
    <w:p w14:paraId="1C171480" w14:textId="77777777" w:rsidR="000D318F" w:rsidRDefault="000D318F" w:rsidP="000D318F">
      <w:pPr>
        <w:spacing w:after="0" w:line="240" w:lineRule="auto"/>
        <w:ind w:firstLine="567"/>
        <w:jc w:val="both"/>
        <w:rPr>
          <w:rFonts w:ascii="Arial" w:hAnsi="Arial" w:cs="Arial"/>
          <w:sz w:val="24"/>
          <w:szCs w:val="24"/>
        </w:rPr>
      </w:pPr>
      <w:r w:rsidRPr="00A10E81">
        <w:rPr>
          <w:rFonts w:ascii="Arial" w:hAnsi="Arial" w:cs="Arial"/>
          <w:sz w:val="24"/>
          <w:szCs w:val="24"/>
        </w:rPr>
        <w:t xml:space="preserve"> O altă categorie importantă de presiuni semnificative este cea legată de </w:t>
      </w:r>
      <w:r w:rsidRPr="00A10E81">
        <w:rPr>
          <w:rFonts w:ascii="Arial" w:hAnsi="Arial" w:cs="Arial"/>
          <w:b/>
          <w:i/>
          <w:sz w:val="24"/>
          <w:szCs w:val="24"/>
        </w:rPr>
        <w:t>presiunile hidromorfologice semnificative</w:t>
      </w:r>
      <w:r w:rsidRPr="00A10E81">
        <w:rPr>
          <w:rFonts w:ascii="Arial" w:hAnsi="Arial" w:cs="Arial"/>
          <w:sz w:val="24"/>
          <w:szCs w:val="24"/>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p>
    <w:p w14:paraId="3C7A31AA" w14:textId="77777777" w:rsidR="000D318F" w:rsidRPr="00A10E81" w:rsidRDefault="000D318F" w:rsidP="000D318F">
      <w:pPr>
        <w:spacing w:after="0" w:line="240" w:lineRule="auto"/>
        <w:ind w:firstLine="567"/>
        <w:jc w:val="both"/>
        <w:rPr>
          <w:rFonts w:ascii="Arial" w:hAnsi="Arial" w:cs="Arial"/>
          <w:b/>
          <w:sz w:val="24"/>
          <w:szCs w:val="24"/>
        </w:rPr>
      </w:pPr>
      <w:r>
        <w:rPr>
          <w:rFonts w:ascii="Arial" w:hAnsi="Arial" w:cs="Arial"/>
          <w:sz w:val="24"/>
          <w:szCs w:val="24"/>
        </w:rPr>
        <w:t>Î</w:t>
      </w:r>
      <w:r w:rsidRPr="00A10E81">
        <w:rPr>
          <w:rFonts w:ascii="Arial" w:hAnsi="Arial" w:cs="Arial"/>
          <w:sz w:val="24"/>
          <w:szCs w:val="24"/>
        </w:rPr>
        <w:t>n anul 20</w:t>
      </w:r>
      <w:r>
        <w:rPr>
          <w:rFonts w:ascii="Arial" w:hAnsi="Arial" w:cs="Arial"/>
          <w:sz w:val="24"/>
          <w:szCs w:val="24"/>
        </w:rPr>
        <w:t>21</w:t>
      </w:r>
      <w:r w:rsidRPr="00A10E81">
        <w:rPr>
          <w:rFonts w:ascii="Arial" w:hAnsi="Arial" w:cs="Arial"/>
          <w:sz w:val="24"/>
          <w:szCs w:val="24"/>
        </w:rPr>
        <w:t xml:space="preserve">, la nivel naţional s-a identificat un număr de </w:t>
      </w:r>
      <w:r w:rsidRPr="00386D1D">
        <w:rPr>
          <w:rFonts w:ascii="Arial" w:hAnsi="Arial" w:cs="Arial"/>
          <w:sz w:val="24"/>
          <w:szCs w:val="24"/>
        </w:rPr>
        <w:t>5.3</w:t>
      </w:r>
      <w:r>
        <w:rPr>
          <w:rFonts w:ascii="Arial" w:hAnsi="Arial" w:cs="Arial"/>
          <w:sz w:val="24"/>
          <w:szCs w:val="24"/>
        </w:rPr>
        <w:t xml:space="preserve">94 </w:t>
      </w:r>
      <w:r w:rsidRPr="00A10E81">
        <w:rPr>
          <w:rFonts w:ascii="Arial" w:hAnsi="Arial" w:cs="Arial"/>
          <w:b/>
          <w:sz w:val="24"/>
          <w:szCs w:val="24"/>
        </w:rPr>
        <w:t>presiuni hidromorfologice potențial semnificative</w:t>
      </w:r>
      <w:r w:rsidRPr="00A10E81">
        <w:rPr>
          <w:rFonts w:ascii="Arial" w:hAnsi="Arial" w:cs="Arial"/>
          <w:sz w:val="24"/>
          <w:szCs w:val="24"/>
        </w:rPr>
        <w:t xml:space="preserve">. În urma aplicării procesului de validare a presiunilor potențial semnificative – alterări hidromorfologice cu atingerea obiectivelor de mediu de către corpurile de apă de suprafață, la nivel naţional s-a identificat un număr de </w:t>
      </w:r>
      <w:r>
        <w:rPr>
          <w:rFonts w:ascii="Arial" w:hAnsi="Arial" w:cs="Arial"/>
          <w:sz w:val="24"/>
          <w:szCs w:val="24"/>
        </w:rPr>
        <w:t>402</w:t>
      </w:r>
      <w:r w:rsidRPr="00A10E81">
        <w:rPr>
          <w:rFonts w:ascii="Arial" w:hAnsi="Arial" w:cs="Arial"/>
          <w:sz w:val="24"/>
          <w:szCs w:val="24"/>
        </w:rPr>
        <w:t xml:space="preserve"> </w:t>
      </w:r>
      <w:r w:rsidRPr="00A10E81">
        <w:rPr>
          <w:rFonts w:ascii="Arial" w:hAnsi="Arial" w:cs="Arial"/>
          <w:b/>
          <w:sz w:val="24"/>
          <w:szCs w:val="24"/>
        </w:rPr>
        <w:t xml:space="preserve"> presiuni hidromorfologice semnificative. </w:t>
      </w:r>
    </w:p>
    <w:p w14:paraId="36D02551" w14:textId="77777777" w:rsidR="000D318F" w:rsidRDefault="000D318F" w:rsidP="000D318F">
      <w:pPr>
        <w:spacing w:after="0" w:line="240" w:lineRule="auto"/>
        <w:ind w:firstLine="567"/>
        <w:jc w:val="both"/>
        <w:rPr>
          <w:rFonts w:ascii="Arial" w:hAnsi="Arial" w:cs="Arial"/>
          <w:sz w:val="24"/>
          <w:szCs w:val="24"/>
        </w:rPr>
      </w:pPr>
      <w:r w:rsidRPr="00A10E81">
        <w:rPr>
          <w:rFonts w:ascii="Arial" w:hAnsi="Arial" w:cs="Arial"/>
          <w:sz w:val="24"/>
          <w:szCs w:val="24"/>
        </w:rPr>
        <w:t>Concluzionând, în anul 20</w:t>
      </w:r>
      <w:r>
        <w:rPr>
          <w:rFonts w:ascii="Arial" w:hAnsi="Arial" w:cs="Arial"/>
          <w:sz w:val="24"/>
          <w:szCs w:val="24"/>
        </w:rPr>
        <w:t>21</w:t>
      </w:r>
      <w:r w:rsidRPr="00A10E81">
        <w:rPr>
          <w:rFonts w:ascii="Arial" w:hAnsi="Arial" w:cs="Arial"/>
          <w:sz w:val="24"/>
          <w:szCs w:val="24"/>
        </w:rPr>
        <w:t xml:space="preserve"> s-a identificat un număr total de </w:t>
      </w:r>
      <w:r w:rsidRPr="00386D1D">
        <w:rPr>
          <w:rFonts w:ascii="Arial" w:hAnsi="Arial" w:cs="Arial"/>
          <w:b/>
          <w:sz w:val="24"/>
          <w:szCs w:val="24"/>
        </w:rPr>
        <w:t>20.</w:t>
      </w:r>
      <w:r>
        <w:rPr>
          <w:rFonts w:ascii="Arial" w:hAnsi="Arial" w:cs="Arial"/>
          <w:b/>
          <w:sz w:val="24"/>
          <w:szCs w:val="24"/>
        </w:rPr>
        <w:t>202</w:t>
      </w:r>
      <w:r w:rsidRPr="00386D1D">
        <w:rPr>
          <w:rFonts w:ascii="Arial" w:hAnsi="Arial" w:cs="Arial"/>
          <w:b/>
          <w:sz w:val="24"/>
          <w:szCs w:val="24"/>
        </w:rPr>
        <w:t xml:space="preserve"> </w:t>
      </w:r>
      <w:r w:rsidRPr="00A10E81">
        <w:rPr>
          <w:rFonts w:ascii="Arial" w:hAnsi="Arial" w:cs="Arial"/>
          <w:b/>
          <w:sz w:val="24"/>
          <w:szCs w:val="24"/>
        </w:rPr>
        <w:t xml:space="preserve">  presiuni potențial semnificative,</w:t>
      </w:r>
      <w:r w:rsidRPr="00A10E81">
        <w:rPr>
          <w:rFonts w:ascii="Arial" w:hAnsi="Arial" w:cs="Arial"/>
          <w:sz w:val="24"/>
          <w:szCs w:val="24"/>
        </w:rPr>
        <w:t xml:space="preserve"> tipul și ponderea acestora fiind prezentate în </w:t>
      </w:r>
      <w:r w:rsidRPr="00A10E81">
        <w:rPr>
          <w:rFonts w:ascii="Arial" w:hAnsi="Arial" w:cs="Arial"/>
          <w:i/>
          <w:sz w:val="24"/>
          <w:szCs w:val="24"/>
        </w:rPr>
        <w:t>Figura II.2.2.1.4</w:t>
      </w:r>
      <w:r w:rsidRPr="00A10E81">
        <w:rPr>
          <w:rFonts w:ascii="Arial" w:hAnsi="Arial" w:cs="Arial"/>
          <w:sz w:val="24"/>
          <w:szCs w:val="24"/>
        </w:rPr>
        <w:t>. Se constată că ponderea cea mai mare a presiunilor potențial semnificative este reprezentată de presiunile difuze - aglomerări umane fără sisteme de colectare și agricultură, precum și de presiunile hidromorfologice.</w:t>
      </w:r>
      <w:r>
        <w:rPr>
          <w:rFonts w:ascii="Arial" w:hAnsi="Arial" w:cs="Arial"/>
          <w:sz w:val="24"/>
          <w:szCs w:val="24"/>
        </w:rPr>
        <w:t xml:space="preserve"> </w:t>
      </w:r>
    </w:p>
    <w:p w14:paraId="6A34771B" w14:textId="77777777" w:rsidR="000D318F" w:rsidRDefault="000D318F" w:rsidP="000D318F">
      <w:pPr>
        <w:spacing w:after="0" w:line="240" w:lineRule="auto"/>
        <w:ind w:firstLine="567"/>
        <w:jc w:val="both"/>
        <w:rPr>
          <w:rFonts w:ascii="Arial" w:hAnsi="Arial" w:cs="Arial"/>
          <w:sz w:val="24"/>
          <w:szCs w:val="24"/>
        </w:rPr>
      </w:pPr>
    </w:p>
    <w:p w14:paraId="79CA291C" w14:textId="77777777" w:rsidR="000D318F" w:rsidRDefault="000D318F" w:rsidP="000D318F">
      <w:pPr>
        <w:spacing w:after="0" w:line="240" w:lineRule="auto"/>
        <w:ind w:firstLine="567"/>
        <w:jc w:val="both"/>
        <w:rPr>
          <w:rFonts w:ascii="Arial" w:hAnsi="Arial" w:cs="Arial"/>
          <w:sz w:val="24"/>
          <w:szCs w:val="24"/>
        </w:rPr>
      </w:pPr>
    </w:p>
    <w:p w14:paraId="5B98235D" w14:textId="77777777" w:rsidR="000D318F" w:rsidRDefault="000D318F" w:rsidP="000D318F">
      <w:pPr>
        <w:spacing w:after="0" w:line="240" w:lineRule="auto"/>
        <w:ind w:firstLine="567"/>
        <w:jc w:val="both"/>
        <w:rPr>
          <w:rFonts w:ascii="Arial" w:hAnsi="Arial" w:cs="Arial"/>
          <w:sz w:val="24"/>
          <w:szCs w:val="24"/>
        </w:rPr>
      </w:pPr>
    </w:p>
    <w:p w14:paraId="76917AED" w14:textId="77777777" w:rsidR="000D318F" w:rsidRDefault="000D318F" w:rsidP="000D318F">
      <w:pPr>
        <w:spacing w:after="0" w:line="240" w:lineRule="auto"/>
        <w:ind w:firstLine="567"/>
        <w:jc w:val="both"/>
        <w:rPr>
          <w:rFonts w:ascii="Arial" w:hAnsi="Arial" w:cs="Arial"/>
          <w:sz w:val="24"/>
          <w:szCs w:val="24"/>
        </w:rPr>
      </w:pPr>
    </w:p>
    <w:p w14:paraId="4625D5A0" w14:textId="77777777" w:rsidR="000D318F" w:rsidRDefault="000D318F" w:rsidP="000D318F">
      <w:pPr>
        <w:spacing w:after="0" w:line="240" w:lineRule="auto"/>
        <w:ind w:firstLine="567"/>
        <w:jc w:val="both"/>
        <w:rPr>
          <w:rFonts w:ascii="Arial" w:hAnsi="Arial" w:cs="Arial"/>
          <w:sz w:val="24"/>
          <w:szCs w:val="24"/>
        </w:rPr>
      </w:pPr>
    </w:p>
    <w:p w14:paraId="34813AF6" w14:textId="77777777" w:rsidR="000D318F" w:rsidRDefault="000D318F" w:rsidP="000D318F">
      <w:pPr>
        <w:spacing w:after="0" w:line="240" w:lineRule="auto"/>
        <w:ind w:firstLine="567"/>
        <w:jc w:val="both"/>
        <w:rPr>
          <w:rFonts w:ascii="Arial" w:hAnsi="Arial" w:cs="Arial"/>
          <w:sz w:val="24"/>
          <w:szCs w:val="24"/>
        </w:rPr>
      </w:pPr>
    </w:p>
    <w:p w14:paraId="5CBFAF0E" w14:textId="77777777" w:rsidR="000D318F" w:rsidRDefault="000D318F" w:rsidP="000D318F">
      <w:pPr>
        <w:spacing w:after="0" w:line="240" w:lineRule="auto"/>
        <w:ind w:firstLine="567"/>
        <w:jc w:val="both"/>
        <w:rPr>
          <w:rFonts w:ascii="Arial" w:hAnsi="Arial" w:cs="Arial"/>
          <w:sz w:val="24"/>
          <w:szCs w:val="24"/>
        </w:rPr>
      </w:pPr>
    </w:p>
    <w:p w14:paraId="40AB9510" w14:textId="77777777" w:rsidR="000D318F" w:rsidRDefault="000D318F" w:rsidP="000D318F">
      <w:pPr>
        <w:spacing w:after="0" w:line="240" w:lineRule="auto"/>
        <w:ind w:firstLine="567"/>
        <w:jc w:val="both"/>
        <w:rPr>
          <w:rFonts w:ascii="Arial" w:hAnsi="Arial" w:cs="Arial"/>
          <w:sz w:val="24"/>
          <w:szCs w:val="24"/>
        </w:rPr>
      </w:pPr>
    </w:p>
    <w:p w14:paraId="11824CA6" w14:textId="77777777" w:rsidR="000D318F" w:rsidRDefault="000D318F" w:rsidP="000D318F">
      <w:pPr>
        <w:spacing w:after="0" w:line="240" w:lineRule="auto"/>
        <w:ind w:firstLine="567"/>
        <w:jc w:val="both"/>
        <w:rPr>
          <w:rFonts w:ascii="Arial" w:hAnsi="Arial" w:cs="Arial"/>
          <w:sz w:val="24"/>
          <w:szCs w:val="24"/>
        </w:rPr>
      </w:pPr>
    </w:p>
    <w:p w14:paraId="4EC33ADF" w14:textId="77777777" w:rsidR="000D318F" w:rsidRDefault="000D318F" w:rsidP="000D318F">
      <w:pPr>
        <w:spacing w:after="0" w:line="240" w:lineRule="auto"/>
        <w:ind w:firstLine="567"/>
        <w:jc w:val="both"/>
        <w:rPr>
          <w:rFonts w:ascii="Arial" w:hAnsi="Arial" w:cs="Arial"/>
          <w:sz w:val="24"/>
          <w:szCs w:val="24"/>
        </w:rPr>
      </w:pPr>
    </w:p>
    <w:p w14:paraId="32B64A30" w14:textId="77777777" w:rsidR="000D318F" w:rsidRDefault="000D318F" w:rsidP="000D318F">
      <w:pPr>
        <w:spacing w:after="0" w:line="240" w:lineRule="auto"/>
        <w:ind w:firstLine="567"/>
        <w:jc w:val="both"/>
        <w:rPr>
          <w:rFonts w:ascii="Arial" w:hAnsi="Arial" w:cs="Arial"/>
          <w:sz w:val="24"/>
          <w:szCs w:val="24"/>
        </w:rPr>
      </w:pPr>
    </w:p>
    <w:p w14:paraId="1648F0BA" w14:textId="77777777" w:rsidR="000D318F" w:rsidRDefault="000D318F" w:rsidP="000D318F">
      <w:pPr>
        <w:spacing w:after="0" w:line="240" w:lineRule="auto"/>
        <w:ind w:firstLine="567"/>
        <w:jc w:val="both"/>
        <w:rPr>
          <w:rFonts w:ascii="Arial" w:hAnsi="Arial" w:cs="Arial"/>
          <w:sz w:val="24"/>
          <w:szCs w:val="24"/>
        </w:rPr>
      </w:pPr>
    </w:p>
    <w:p w14:paraId="0747C885" w14:textId="77777777" w:rsidR="000D318F" w:rsidRDefault="000D318F" w:rsidP="000D318F">
      <w:pPr>
        <w:spacing w:after="0" w:line="240" w:lineRule="auto"/>
        <w:ind w:firstLine="567"/>
        <w:jc w:val="both"/>
        <w:rPr>
          <w:rFonts w:ascii="Arial" w:hAnsi="Arial" w:cs="Arial"/>
          <w:sz w:val="24"/>
          <w:szCs w:val="24"/>
        </w:rPr>
      </w:pPr>
    </w:p>
    <w:p w14:paraId="67E44B97" w14:textId="77777777" w:rsidR="000D318F" w:rsidRDefault="000D318F" w:rsidP="000D318F">
      <w:pPr>
        <w:spacing w:after="0" w:line="240" w:lineRule="auto"/>
        <w:ind w:firstLine="567"/>
        <w:jc w:val="both"/>
        <w:rPr>
          <w:rFonts w:ascii="Arial" w:hAnsi="Arial" w:cs="Arial"/>
          <w:sz w:val="24"/>
          <w:szCs w:val="24"/>
        </w:rPr>
      </w:pPr>
    </w:p>
    <w:p w14:paraId="3C34BF51" w14:textId="77777777" w:rsidR="000D318F" w:rsidRDefault="000D318F" w:rsidP="000D318F">
      <w:pPr>
        <w:spacing w:after="0" w:line="240" w:lineRule="auto"/>
        <w:ind w:firstLine="567"/>
        <w:jc w:val="both"/>
        <w:rPr>
          <w:rFonts w:ascii="Arial" w:hAnsi="Arial" w:cs="Arial"/>
          <w:sz w:val="24"/>
          <w:szCs w:val="24"/>
        </w:rPr>
      </w:pPr>
    </w:p>
    <w:p w14:paraId="4E9C49A3" w14:textId="77777777" w:rsidR="000D318F" w:rsidRDefault="000D318F" w:rsidP="000D318F">
      <w:pPr>
        <w:spacing w:after="0" w:line="240" w:lineRule="auto"/>
        <w:ind w:firstLine="567"/>
        <w:jc w:val="both"/>
        <w:rPr>
          <w:rFonts w:ascii="Arial" w:hAnsi="Arial" w:cs="Arial"/>
          <w:sz w:val="24"/>
          <w:szCs w:val="24"/>
        </w:rPr>
      </w:pPr>
    </w:p>
    <w:p w14:paraId="5CC1C96E" w14:textId="77777777" w:rsidR="000D318F" w:rsidRDefault="000D318F" w:rsidP="000D318F">
      <w:pPr>
        <w:spacing w:after="0" w:line="240" w:lineRule="auto"/>
        <w:ind w:firstLine="567"/>
        <w:jc w:val="both"/>
        <w:rPr>
          <w:rFonts w:ascii="Arial" w:hAnsi="Arial" w:cs="Arial"/>
          <w:sz w:val="24"/>
          <w:szCs w:val="24"/>
        </w:rPr>
      </w:pPr>
      <w:r w:rsidRPr="002E19F4">
        <w:rPr>
          <w:rFonts w:ascii="Arial" w:hAnsi="Arial" w:cs="Arial"/>
          <w:b/>
          <w:sz w:val="24"/>
          <w:szCs w:val="24"/>
        </w:rPr>
        <w:t>Figura II.2.2.</w:t>
      </w:r>
      <w:r>
        <w:rPr>
          <w:rFonts w:ascii="Arial" w:hAnsi="Arial" w:cs="Arial"/>
          <w:b/>
          <w:sz w:val="24"/>
          <w:szCs w:val="24"/>
        </w:rPr>
        <w:t xml:space="preserve">1.4 </w:t>
      </w:r>
      <w:r w:rsidRPr="002E19F4">
        <w:rPr>
          <w:rFonts w:ascii="Arial" w:hAnsi="Arial" w:cs="Arial"/>
          <w:b/>
          <w:sz w:val="24"/>
          <w:szCs w:val="24"/>
        </w:rPr>
        <w:t>Ponderea presiunilor potențial semnificative identificate</w:t>
      </w:r>
    </w:p>
    <w:p w14:paraId="11596B4A" w14:textId="0A28F723" w:rsidR="000D318F" w:rsidRDefault="000D318F" w:rsidP="000D318F">
      <w:pPr>
        <w:spacing w:after="0" w:line="240" w:lineRule="auto"/>
        <w:ind w:firstLine="1080"/>
        <w:jc w:val="both"/>
        <w:rPr>
          <w:rFonts w:ascii="Arial" w:hAnsi="Arial" w:cs="Arial"/>
          <w:b/>
          <w:sz w:val="24"/>
          <w:szCs w:val="24"/>
        </w:rPr>
      </w:pPr>
      <w:r>
        <w:rPr>
          <w:rFonts w:ascii="Arial" w:hAnsi="Arial" w:cs="Arial"/>
          <w:b/>
          <w:noProof/>
          <w:sz w:val="24"/>
          <w:szCs w:val="24"/>
          <w:lang w:val="en-GB" w:eastAsia="en-GB"/>
        </w:rPr>
        <w:drawing>
          <wp:inline distT="0" distB="0" distL="0" distR="0" wp14:anchorId="0CA7F8D0" wp14:editId="5DD331C3">
            <wp:extent cx="4498975" cy="28568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98975" cy="2856865"/>
                    </a:xfrm>
                    <a:prstGeom prst="rect">
                      <a:avLst/>
                    </a:prstGeom>
                    <a:noFill/>
                  </pic:spPr>
                </pic:pic>
              </a:graphicData>
            </a:graphic>
          </wp:inline>
        </w:drawing>
      </w:r>
    </w:p>
    <w:p w14:paraId="2E759FB2" w14:textId="77777777" w:rsidR="000D318F" w:rsidRPr="00813E19" w:rsidRDefault="000D318F" w:rsidP="000D318F">
      <w:pPr>
        <w:spacing w:after="0" w:line="240" w:lineRule="auto"/>
        <w:jc w:val="both"/>
        <w:rPr>
          <w:rFonts w:ascii="Arial" w:hAnsi="Arial" w:cs="Arial"/>
          <w:i/>
          <w:sz w:val="20"/>
          <w:szCs w:val="20"/>
        </w:rPr>
      </w:pPr>
      <w:r w:rsidRPr="00813E19">
        <w:rPr>
          <w:rFonts w:ascii="Arial" w:hAnsi="Arial" w:cs="Arial"/>
          <w:i/>
          <w:sz w:val="20"/>
          <w:szCs w:val="20"/>
        </w:rPr>
        <w:t>(Sursa datelor: Administrația Națională „Apele Române”, Planul Național de Management actualizat)</w:t>
      </w:r>
    </w:p>
    <w:p w14:paraId="717C30C6" w14:textId="77777777" w:rsidR="000D318F" w:rsidRDefault="000D318F" w:rsidP="000D318F">
      <w:pPr>
        <w:spacing w:after="0" w:line="240" w:lineRule="auto"/>
        <w:ind w:firstLine="567"/>
        <w:jc w:val="both"/>
        <w:rPr>
          <w:rFonts w:ascii="Arial" w:hAnsi="Arial" w:cs="Arial"/>
          <w:sz w:val="24"/>
          <w:szCs w:val="24"/>
        </w:rPr>
      </w:pPr>
    </w:p>
    <w:p w14:paraId="44681636" w14:textId="77777777" w:rsidR="000D318F" w:rsidRDefault="000D318F" w:rsidP="000D318F">
      <w:pPr>
        <w:ind w:firstLine="540"/>
        <w:jc w:val="both"/>
        <w:rPr>
          <w:rFonts w:ascii="Arial" w:hAnsi="Arial" w:cs="Arial"/>
          <w:sz w:val="24"/>
          <w:szCs w:val="24"/>
        </w:rPr>
      </w:pPr>
      <w:r w:rsidRPr="00421E86">
        <w:rPr>
          <w:rFonts w:ascii="Arial" w:hAnsi="Arial" w:cs="Arial"/>
          <w:sz w:val="24"/>
          <w:szCs w:val="24"/>
        </w:rPr>
        <w:t xml:space="preserve">În ceea ce privește presiunile semnificative </w:t>
      </w:r>
      <w:r>
        <w:rPr>
          <w:rFonts w:ascii="Arial" w:hAnsi="Arial" w:cs="Arial"/>
          <w:sz w:val="24"/>
          <w:szCs w:val="24"/>
        </w:rPr>
        <w:t xml:space="preserve">la nivel național </w:t>
      </w:r>
      <w:r w:rsidRPr="00421E86">
        <w:rPr>
          <w:rFonts w:ascii="Arial" w:hAnsi="Arial" w:cs="Arial"/>
          <w:sz w:val="24"/>
          <w:szCs w:val="24"/>
        </w:rPr>
        <w:t>a fost identificat un număr total de 4.</w:t>
      </w:r>
      <w:r>
        <w:rPr>
          <w:rFonts w:ascii="Arial" w:hAnsi="Arial" w:cs="Arial"/>
          <w:sz w:val="24"/>
          <w:szCs w:val="24"/>
        </w:rPr>
        <w:t>563</w:t>
      </w:r>
      <w:r w:rsidRPr="00421E86">
        <w:rPr>
          <w:rFonts w:ascii="Arial" w:hAnsi="Arial" w:cs="Arial"/>
          <w:sz w:val="24"/>
          <w:szCs w:val="24"/>
        </w:rPr>
        <w:t xml:space="preserve"> presiuni semnificative, tipul acestora fiind prezentat în Figura II.2.2.1.</w:t>
      </w:r>
      <w:r>
        <w:rPr>
          <w:rFonts w:ascii="Arial" w:hAnsi="Arial" w:cs="Arial"/>
          <w:sz w:val="24"/>
          <w:szCs w:val="24"/>
        </w:rPr>
        <w:t>5</w:t>
      </w:r>
      <w:r w:rsidRPr="00421E86">
        <w:rPr>
          <w:rFonts w:ascii="Arial" w:hAnsi="Arial" w:cs="Arial"/>
          <w:sz w:val="24"/>
          <w:szCs w:val="24"/>
        </w:rPr>
        <w:t>.  Se constată că ponderea cea mai mare</w:t>
      </w:r>
      <w:r>
        <w:rPr>
          <w:rFonts w:ascii="Arial" w:hAnsi="Arial" w:cs="Arial"/>
          <w:sz w:val="24"/>
          <w:szCs w:val="24"/>
        </w:rPr>
        <w:t xml:space="preserve"> </w:t>
      </w:r>
      <w:r w:rsidRPr="00421E86">
        <w:rPr>
          <w:rFonts w:ascii="Arial" w:hAnsi="Arial" w:cs="Arial"/>
          <w:sz w:val="24"/>
          <w:szCs w:val="24"/>
        </w:rPr>
        <w:t>a presiunilor este reprezentată de presiunile difuze provenite, ca și în cazul presiunilor potențial semnificative, de la aglomerări umane fără sisteme de colectare și din agricultură.</w:t>
      </w:r>
    </w:p>
    <w:p w14:paraId="6829003D" w14:textId="77777777" w:rsidR="000D318F" w:rsidRDefault="000D318F" w:rsidP="000D318F">
      <w:pPr>
        <w:spacing w:before="120" w:after="120" w:line="240" w:lineRule="auto"/>
        <w:rPr>
          <w:rFonts w:ascii="Arial" w:hAnsi="Arial" w:cs="Arial"/>
          <w:sz w:val="24"/>
          <w:szCs w:val="24"/>
        </w:rPr>
      </w:pPr>
      <w:r w:rsidRPr="002E19F4">
        <w:rPr>
          <w:rFonts w:ascii="Arial" w:hAnsi="Arial" w:cs="Arial"/>
          <w:b/>
          <w:sz w:val="24"/>
          <w:szCs w:val="24"/>
        </w:rPr>
        <w:t>Figura II.2.2.</w:t>
      </w:r>
      <w:r>
        <w:rPr>
          <w:rFonts w:ascii="Arial" w:hAnsi="Arial" w:cs="Arial"/>
          <w:b/>
          <w:sz w:val="24"/>
          <w:szCs w:val="24"/>
        </w:rPr>
        <w:t xml:space="preserve">1.5 </w:t>
      </w:r>
      <w:r w:rsidRPr="00421E86">
        <w:rPr>
          <w:rFonts w:ascii="Arial" w:hAnsi="Arial" w:cs="Arial"/>
          <w:b/>
          <w:bCs/>
          <w:i/>
          <w:sz w:val="24"/>
          <w:szCs w:val="24"/>
          <w:lang w:val="fr-BE"/>
        </w:rPr>
        <w:t>Ponderea presiunilor semnificative la nivel național</w:t>
      </w:r>
    </w:p>
    <w:p w14:paraId="07FB1036" w14:textId="364DC009" w:rsidR="000D318F" w:rsidRPr="00813E19" w:rsidRDefault="000D318F" w:rsidP="000D318F">
      <w:pPr>
        <w:spacing w:after="0"/>
        <w:ind w:firstLine="540"/>
        <w:jc w:val="center"/>
        <w:rPr>
          <w:rFonts w:ascii="Arial" w:hAnsi="Arial" w:cs="Arial"/>
          <w:b/>
          <w:bCs/>
          <w:i/>
          <w:sz w:val="20"/>
          <w:szCs w:val="20"/>
          <w:lang w:val="fr-BE"/>
        </w:rPr>
      </w:pPr>
      <w:r w:rsidRPr="00813E19">
        <w:rPr>
          <w:rFonts w:ascii="Arial" w:hAnsi="Arial" w:cs="Arial"/>
          <w:noProof/>
          <w:sz w:val="20"/>
          <w:szCs w:val="20"/>
          <w:lang w:val="en-GB" w:eastAsia="en-GB"/>
        </w:rPr>
        <w:lastRenderedPageBreak/>
        <w:drawing>
          <wp:inline distT="0" distB="0" distL="0" distR="0" wp14:anchorId="2300F697" wp14:editId="3D45B56C">
            <wp:extent cx="4182110" cy="246126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82110" cy="2461260"/>
                    </a:xfrm>
                    <a:prstGeom prst="rect">
                      <a:avLst/>
                    </a:prstGeom>
                    <a:noFill/>
                  </pic:spPr>
                </pic:pic>
              </a:graphicData>
            </a:graphic>
          </wp:inline>
        </w:drawing>
      </w:r>
    </w:p>
    <w:p w14:paraId="45A9983F" w14:textId="77777777" w:rsidR="000D318F" w:rsidRPr="00813E19" w:rsidRDefault="000D318F" w:rsidP="000D318F">
      <w:pPr>
        <w:spacing w:after="0" w:line="240" w:lineRule="auto"/>
        <w:jc w:val="both"/>
        <w:rPr>
          <w:rFonts w:ascii="Arial" w:hAnsi="Arial" w:cs="Arial"/>
          <w:i/>
          <w:sz w:val="20"/>
          <w:szCs w:val="20"/>
        </w:rPr>
      </w:pPr>
      <w:r w:rsidRPr="00813E19">
        <w:rPr>
          <w:rFonts w:ascii="Arial" w:hAnsi="Arial" w:cs="Arial"/>
          <w:i/>
          <w:sz w:val="20"/>
          <w:szCs w:val="20"/>
        </w:rPr>
        <w:t>(Sursa datelor: Administrația Națională „Apele Române”, Planuli Național de Management actualizat)</w:t>
      </w:r>
    </w:p>
    <w:p w14:paraId="16427E4F" w14:textId="77777777" w:rsidR="000D318F" w:rsidRDefault="000D318F" w:rsidP="000D318F">
      <w:pPr>
        <w:spacing w:after="0" w:line="240" w:lineRule="auto"/>
        <w:ind w:firstLine="567"/>
        <w:jc w:val="both"/>
        <w:rPr>
          <w:rFonts w:ascii="Arial" w:hAnsi="Arial" w:cs="Arial"/>
          <w:b/>
          <w:bCs/>
          <w:sz w:val="24"/>
          <w:szCs w:val="24"/>
        </w:rPr>
      </w:pPr>
    </w:p>
    <w:p w14:paraId="0FF452E0" w14:textId="77777777" w:rsidR="000D318F" w:rsidRPr="00421E86" w:rsidRDefault="000D318F" w:rsidP="000D318F">
      <w:pPr>
        <w:spacing w:before="120" w:after="120" w:line="240" w:lineRule="auto"/>
        <w:ind w:firstLine="567"/>
        <w:jc w:val="both"/>
        <w:rPr>
          <w:rFonts w:ascii="Arial" w:hAnsi="Arial" w:cs="Arial"/>
          <w:sz w:val="24"/>
          <w:szCs w:val="24"/>
        </w:rPr>
      </w:pPr>
      <w:r w:rsidRPr="00421E86">
        <w:rPr>
          <w:rFonts w:ascii="Arial" w:hAnsi="Arial" w:cs="Arial"/>
          <w:b/>
          <w:bCs/>
          <w:sz w:val="24"/>
          <w:szCs w:val="24"/>
        </w:rPr>
        <w:t>Riscul neatingerii obiectivelor de mediu pentru corpurile de apă de suprafaţă</w:t>
      </w:r>
      <w:r w:rsidRPr="00421E86">
        <w:rPr>
          <w:rFonts w:ascii="Arial" w:hAnsi="Arial" w:cs="Arial"/>
          <w:sz w:val="24"/>
          <w:szCs w:val="24"/>
        </w:rPr>
        <w:t xml:space="preserve"> a fost evaluat având în vedere informațiile privind corpurile de apă, actualizarea informaţiilor privind presiunile semnificative şi impactul acestora asupra apelor, precum şi identificarea măsurilor de bază şi suplimentare care, aplicate pe o perioadă de 6 ani, ar putea conduce la atingerea obiectivelor de mediu în anul 2027. </w:t>
      </w:r>
    </w:p>
    <w:p w14:paraId="2B1C1B5E" w14:textId="77777777" w:rsidR="000D318F" w:rsidRPr="00421E86" w:rsidRDefault="000D318F" w:rsidP="000D318F">
      <w:pPr>
        <w:spacing w:before="120" w:after="120" w:line="240" w:lineRule="auto"/>
        <w:ind w:firstLine="567"/>
        <w:jc w:val="both"/>
        <w:rPr>
          <w:rFonts w:ascii="Arial" w:hAnsi="Arial" w:cs="Arial"/>
          <w:sz w:val="24"/>
          <w:szCs w:val="24"/>
        </w:rPr>
      </w:pPr>
      <w:r w:rsidRPr="00421E86">
        <w:rPr>
          <w:rFonts w:ascii="Arial" w:hAnsi="Arial" w:cs="Arial"/>
          <w:sz w:val="24"/>
          <w:szCs w:val="24"/>
        </w:rPr>
        <w:t>În procesul de evaluare a riscului s-a ţinut cont de presiunile potențial semnificative identificate şi de evaluarea impactului, respectiv de starea / potenţialul ecologic şi starea chimică şi s-au luat în considerare următoarele categorii de risc: poluarea cu substanţe organice, poluarea cu nutrienţi, poluarea cu substanţe periculoase şi alterările hidromorfologice, având în vedere că aceste 4 categorii de presiuni au fost identificate, atât la nivelul Districtului Internaţional al Dunării, cât şi la nivel naţional, ca fiind probleme importante de gospodărirea apelor.</w:t>
      </w:r>
    </w:p>
    <w:p w14:paraId="70529D44" w14:textId="77777777" w:rsidR="000D318F" w:rsidRDefault="000D318F" w:rsidP="000D318F">
      <w:pPr>
        <w:spacing w:before="120" w:after="120" w:line="240" w:lineRule="auto"/>
        <w:ind w:firstLine="567"/>
        <w:jc w:val="both"/>
        <w:rPr>
          <w:rFonts w:ascii="Arial" w:hAnsi="Arial" w:cs="Arial"/>
          <w:sz w:val="24"/>
          <w:szCs w:val="24"/>
        </w:rPr>
      </w:pPr>
      <w:r w:rsidRPr="00421E86">
        <w:rPr>
          <w:rFonts w:ascii="Arial" w:hAnsi="Arial" w:cs="Arial"/>
          <w:sz w:val="24"/>
          <w:szCs w:val="24"/>
        </w:rPr>
        <w:t>Riscul total este compus din riscul ecologic şi riscul chimic, iar evaluarea este dată de cea mai proastă situaţie regăsită la cele 2 categorii de risc.</w:t>
      </w:r>
    </w:p>
    <w:p w14:paraId="2C683BC8" w14:textId="77777777" w:rsidR="000D318F" w:rsidRDefault="000D318F" w:rsidP="000D318F">
      <w:pPr>
        <w:spacing w:before="120" w:after="120" w:line="240" w:lineRule="auto"/>
        <w:ind w:firstLine="567"/>
        <w:jc w:val="both"/>
        <w:rPr>
          <w:rFonts w:ascii="Arial" w:hAnsi="Arial" w:cs="Arial"/>
          <w:sz w:val="24"/>
          <w:szCs w:val="24"/>
        </w:rPr>
      </w:pPr>
      <w:r w:rsidRPr="00421E86">
        <w:rPr>
          <w:rFonts w:ascii="Arial" w:hAnsi="Arial" w:cs="Arial"/>
          <w:sz w:val="24"/>
          <w:szCs w:val="24"/>
        </w:rPr>
        <w:t xml:space="preserve">Din analiza efectuată rezultă că la nivel național,  dintr-un total de 3.025 corpuri de apă, au fost identificate ca fiind la risc în anul 2021 </w:t>
      </w:r>
      <w:r w:rsidRPr="00EF1795">
        <w:rPr>
          <w:rFonts w:ascii="Arial" w:hAnsi="Arial" w:cs="Arial"/>
          <w:sz w:val="24"/>
          <w:szCs w:val="24"/>
        </w:rPr>
        <w:t>(în relație cu starea</w:t>
      </w:r>
      <w:r>
        <w:rPr>
          <w:rFonts w:ascii="Arial" w:hAnsi="Arial" w:cs="Arial"/>
          <w:sz w:val="24"/>
          <w:szCs w:val="24"/>
        </w:rPr>
        <w:t xml:space="preserve"> </w:t>
      </w:r>
      <w:r w:rsidRPr="00EF1795">
        <w:rPr>
          <w:rFonts w:ascii="Arial" w:hAnsi="Arial" w:cs="Arial"/>
          <w:sz w:val="24"/>
          <w:szCs w:val="24"/>
        </w:rPr>
        <w:t>ecologică/potențialul ecologic)</w:t>
      </w:r>
      <w:r>
        <w:rPr>
          <w:rFonts w:ascii="Arial" w:hAnsi="Arial" w:cs="Arial"/>
          <w:sz w:val="24"/>
          <w:szCs w:val="24"/>
        </w:rPr>
        <w:t xml:space="preserve"> </w:t>
      </w:r>
      <w:r w:rsidRPr="00421E86">
        <w:rPr>
          <w:rFonts w:ascii="Arial" w:hAnsi="Arial" w:cs="Arial"/>
          <w:sz w:val="24"/>
          <w:szCs w:val="24"/>
        </w:rPr>
        <w:t>un număr total de 1.0</w:t>
      </w:r>
      <w:r>
        <w:rPr>
          <w:rFonts w:ascii="Arial" w:hAnsi="Arial" w:cs="Arial"/>
          <w:sz w:val="24"/>
          <w:szCs w:val="24"/>
        </w:rPr>
        <w:t>12</w:t>
      </w:r>
      <w:r w:rsidRPr="00421E86">
        <w:rPr>
          <w:rFonts w:ascii="Arial" w:hAnsi="Arial" w:cs="Arial"/>
          <w:sz w:val="24"/>
          <w:szCs w:val="24"/>
        </w:rPr>
        <w:t xml:space="preserve"> corpuri de apă. </w:t>
      </w:r>
      <w:r w:rsidRPr="00EF1795">
        <w:rPr>
          <w:rFonts w:ascii="Arial" w:hAnsi="Arial" w:cs="Arial"/>
          <w:sz w:val="24"/>
          <w:szCs w:val="24"/>
        </w:rPr>
        <w:t>În ceea ce priveşte riscul neatingerii obiectivelor de mediu pentru anul 2027,</w:t>
      </w:r>
      <w:r>
        <w:rPr>
          <w:rFonts w:ascii="Arial" w:hAnsi="Arial" w:cs="Arial"/>
          <w:sz w:val="24"/>
          <w:szCs w:val="24"/>
        </w:rPr>
        <w:t xml:space="preserve"> </w:t>
      </w:r>
      <w:r w:rsidRPr="00EF1795">
        <w:rPr>
          <w:rFonts w:ascii="Arial" w:hAnsi="Arial" w:cs="Arial"/>
          <w:sz w:val="24"/>
          <w:szCs w:val="24"/>
        </w:rPr>
        <w:t>rămân la risc un număr total de 371 corpuri de apă de suprafață care nu vor atinge</w:t>
      </w:r>
      <w:r>
        <w:rPr>
          <w:rFonts w:ascii="Arial" w:hAnsi="Arial" w:cs="Arial"/>
          <w:sz w:val="24"/>
          <w:szCs w:val="24"/>
        </w:rPr>
        <w:t xml:space="preserve"> </w:t>
      </w:r>
      <w:r w:rsidRPr="00EF1795">
        <w:rPr>
          <w:rFonts w:ascii="Arial" w:hAnsi="Arial" w:cs="Arial"/>
          <w:sz w:val="24"/>
          <w:szCs w:val="24"/>
        </w:rPr>
        <w:t xml:space="preserve">starea ecologică bună/potențialul ecologic bun. </w:t>
      </w:r>
    </w:p>
    <w:p w14:paraId="35CA27B9" w14:textId="77777777" w:rsidR="000D318F" w:rsidRDefault="000D318F" w:rsidP="000D318F">
      <w:pPr>
        <w:spacing w:before="120" w:after="120" w:line="240" w:lineRule="auto"/>
        <w:ind w:firstLine="567"/>
        <w:jc w:val="both"/>
        <w:rPr>
          <w:rFonts w:ascii="Arial" w:hAnsi="Arial" w:cs="Arial"/>
          <w:sz w:val="24"/>
          <w:szCs w:val="24"/>
        </w:rPr>
      </w:pPr>
      <w:r>
        <w:rPr>
          <w:rFonts w:ascii="Arial" w:hAnsi="Arial" w:cs="Arial"/>
          <w:sz w:val="24"/>
          <w:szCs w:val="24"/>
        </w:rPr>
        <w:t>De asemenea, d</w:t>
      </w:r>
      <w:r w:rsidRPr="00EF1795">
        <w:rPr>
          <w:rFonts w:ascii="Arial" w:hAnsi="Arial" w:cs="Arial"/>
          <w:sz w:val="24"/>
          <w:szCs w:val="24"/>
        </w:rPr>
        <w:t>in cele 3025 corpuri de apă, 71 corpuri de apă sunt evaluate la risc de neatingere</w:t>
      </w:r>
      <w:r>
        <w:rPr>
          <w:rFonts w:ascii="Arial" w:hAnsi="Arial" w:cs="Arial"/>
          <w:sz w:val="24"/>
          <w:szCs w:val="24"/>
        </w:rPr>
        <w:t xml:space="preserve"> </w:t>
      </w:r>
      <w:r w:rsidRPr="00EF1795">
        <w:rPr>
          <w:rFonts w:ascii="Arial" w:hAnsi="Arial" w:cs="Arial"/>
          <w:sz w:val="24"/>
          <w:szCs w:val="24"/>
        </w:rPr>
        <w:t>a obiectivului de stare chimică bună la nivelul anului 2021. Este de precizat ca 11 corpuri</w:t>
      </w:r>
      <w:r>
        <w:rPr>
          <w:rFonts w:ascii="Arial" w:hAnsi="Arial" w:cs="Arial"/>
          <w:sz w:val="24"/>
          <w:szCs w:val="24"/>
        </w:rPr>
        <w:t xml:space="preserve"> </w:t>
      </w:r>
      <w:r w:rsidRPr="00EF1795">
        <w:rPr>
          <w:rFonts w:ascii="Arial" w:hAnsi="Arial" w:cs="Arial"/>
          <w:sz w:val="24"/>
          <w:szCs w:val="24"/>
        </w:rPr>
        <w:t>de apă vor atinge starea chimică bună în intervalul 2022-2027, astfel încât la nivelul anului</w:t>
      </w:r>
      <w:r>
        <w:rPr>
          <w:rFonts w:ascii="Arial" w:hAnsi="Arial" w:cs="Arial"/>
          <w:sz w:val="24"/>
          <w:szCs w:val="24"/>
        </w:rPr>
        <w:t xml:space="preserve"> </w:t>
      </w:r>
      <w:r w:rsidRPr="00EF1795">
        <w:rPr>
          <w:rFonts w:ascii="Arial" w:hAnsi="Arial" w:cs="Arial"/>
          <w:sz w:val="24"/>
          <w:szCs w:val="24"/>
        </w:rPr>
        <w:t>2027 ramân 60 corpuri de apă care nu ating starea chimică bună</w:t>
      </w:r>
      <w:r>
        <w:rPr>
          <w:rFonts w:ascii="Arial" w:hAnsi="Arial" w:cs="Arial"/>
          <w:sz w:val="24"/>
          <w:szCs w:val="24"/>
        </w:rPr>
        <w:t>.</w:t>
      </w:r>
    </w:p>
    <w:p w14:paraId="2762A34C" w14:textId="77777777" w:rsidR="000D318F" w:rsidRDefault="000D318F" w:rsidP="000D318F">
      <w:pPr>
        <w:spacing w:before="120" w:after="120" w:line="240" w:lineRule="auto"/>
        <w:ind w:firstLine="567"/>
        <w:jc w:val="both"/>
        <w:rPr>
          <w:rFonts w:ascii="Arial" w:hAnsi="Arial" w:cs="Arial"/>
          <w:sz w:val="24"/>
          <w:szCs w:val="24"/>
        </w:rPr>
      </w:pPr>
      <w:r w:rsidRPr="00421E86">
        <w:rPr>
          <w:rFonts w:ascii="Arial" w:hAnsi="Arial" w:cs="Arial"/>
          <w:sz w:val="24"/>
          <w:szCs w:val="24"/>
        </w:rPr>
        <w:t>Urmare a acestei analize, faţă de numărul corpurilor de apă care au fost identificate în Planul Național de Management actualizat</w:t>
      </w:r>
      <w:r>
        <w:rPr>
          <w:rFonts w:ascii="Arial" w:hAnsi="Arial" w:cs="Arial"/>
          <w:sz w:val="24"/>
          <w:szCs w:val="24"/>
        </w:rPr>
        <w:t xml:space="preserve"> 2021</w:t>
      </w:r>
      <w:r w:rsidRPr="00421E86">
        <w:rPr>
          <w:rFonts w:ascii="Arial" w:hAnsi="Arial" w:cs="Arial"/>
          <w:sz w:val="24"/>
          <w:szCs w:val="24"/>
        </w:rPr>
        <w:t xml:space="preserve">,  ca fiind la risc de neatingere a obiectivelor de mediu în anul 2021, respectiv </w:t>
      </w:r>
      <w:r>
        <w:rPr>
          <w:rFonts w:ascii="Arial" w:hAnsi="Arial" w:cs="Arial"/>
          <w:sz w:val="24"/>
          <w:szCs w:val="24"/>
        </w:rPr>
        <w:t>1012 (</w:t>
      </w:r>
      <w:r w:rsidRPr="00EF1795">
        <w:rPr>
          <w:rFonts w:ascii="Arial" w:hAnsi="Arial" w:cs="Arial"/>
          <w:sz w:val="24"/>
          <w:szCs w:val="24"/>
        </w:rPr>
        <w:t>33,45</w:t>
      </w:r>
      <w:r>
        <w:rPr>
          <w:rFonts w:ascii="Arial" w:hAnsi="Arial" w:cs="Arial"/>
          <w:sz w:val="24"/>
          <w:szCs w:val="24"/>
        </w:rPr>
        <w:t>%)</w:t>
      </w:r>
      <w:r w:rsidRPr="00421E86">
        <w:rPr>
          <w:rFonts w:ascii="Arial" w:hAnsi="Arial" w:cs="Arial"/>
          <w:sz w:val="24"/>
          <w:szCs w:val="24"/>
        </w:rPr>
        <w:t xml:space="preserve">, în proiectul Planul Național de Management actualizat au fost identificate </w:t>
      </w:r>
      <w:r>
        <w:rPr>
          <w:rFonts w:ascii="Arial" w:hAnsi="Arial" w:cs="Arial"/>
          <w:sz w:val="24"/>
          <w:szCs w:val="24"/>
        </w:rPr>
        <w:t>371</w:t>
      </w:r>
      <w:r w:rsidRPr="00421E86">
        <w:rPr>
          <w:rFonts w:ascii="Arial" w:hAnsi="Arial" w:cs="Arial"/>
          <w:sz w:val="24"/>
          <w:szCs w:val="24"/>
        </w:rPr>
        <w:t xml:space="preserve"> (</w:t>
      </w:r>
      <w:r>
        <w:rPr>
          <w:rFonts w:ascii="Arial" w:hAnsi="Arial" w:cs="Arial"/>
          <w:sz w:val="24"/>
          <w:szCs w:val="24"/>
        </w:rPr>
        <w:t xml:space="preserve">12,26%) </w:t>
      </w:r>
      <w:r w:rsidRPr="00421E86">
        <w:rPr>
          <w:rFonts w:ascii="Arial" w:hAnsi="Arial" w:cs="Arial"/>
          <w:sz w:val="24"/>
          <w:szCs w:val="24"/>
        </w:rPr>
        <w:t>corpuri de apă la risc pentru anul 2027.</w:t>
      </w:r>
    </w:p>
    <w:p w14:paraId="0E1F7234" w14:textId="77777777" w:rsidR="000D318F" w:rsidRDefault="000D318F" w:rsidP="000D318F">
      <w:pPr>
        <w:spacing w:before="120" w:after="120" w:line="240" w:lineRule="auto"/>
        <w:rPr>
          <w:rFonts w:ascii="Arial" w:hAnsi="Arial" w:cs="Arial"/>
          <w:b/>
          <w:sz w:val="24"/>
          <w:szCs w:val="24"/>
        </w:rPr>
      </w:pPr>
    </w:p>
    <w:p w14:paraId="676CF554" w14:textId="77777777" w:rsidR="000D318F" w:rsidRDefault="000D318F" w:rsidP="000D318F">
      <w:pPr>
        <w:spacing w:after="0" w:line="240" w:lineRule="auto"/>
        <w:jc w:val="both"/>
        <w:rPr>
          <w:rFonts w:ascii="Arial" w:hAnsi="Arial" w:cs="Arial"/>
          <w:b/>
          <w:bCs/>
          <w:iCs/>
          <w:sz w:val="24"/>
          <w:szCs w:val="24"/>
        </w:rPr>
      </w:pPr>
      <w:r w:rsidRPr="002E19F4">
        <w:rPr>
          <w:rFonts w:ascii="Arial" w:hAnsi="Arial" w:cs="Arial"/>
          <w:b/>
          <w:sz w:val="24"/>
          <w:szCs w:val="24"/>
        </w:rPr>
        <w:t>Figura II.2.2.</w:t>
      </w:r>
      <w:r>
        <w:rPr>
          <w:rFonts w:ascii="Arial" w:hAnsi="Arial" w:cs="Arial"/>
          <w:b/>
          <w:sz w:val="24"/>
          <w:szCs w:val="24"/>
        </w:rPr>
        <w:t xml:space="preserve">1.5 </w:t>
      </w:r>
      <w:r w:rsidRPr="00421E86">
        <w:rPr>
          <w:rFonts w:ascii="Arial" w:hAnsi="Arial" w:cs="Arial"/>
          <w:b/>
          <w:bCs/>
          <w:iCs/>
          <w:sz w:val="24"/>
          <w:szCs w:val="24"/>
        </w:rPr>
        <w:t>Numărul corpurilor de apă la risc datorită presiunilor semnificative</w:t>
      </w:r>
    </w:p>
    <w:p w14:paraId="5A0C7972" w14:textId="45B2EC13" w:rsidR="000D318F" w:rsidRPr="00813E19" w:rsidRDefault="000D318F" w:rsidP="000D318F">
      <w:pPr>
        <w:spacing w:after="0"/>
        <w:jc w:val="center"/>
        <w:rPr>
          <w:rFonts w:ascii="Arial" w:hAnsi="Arial" w:cs="Arial"/>
          <w:b/>
          <w:bCs/>
          <w:sz w:val="20"/>
          <w:szCs w:val="20"/>
        </w:rPr>
      </w:pPr>
      <w:r w:rsidRPr="00813E19">
        <w:rPr>
          <w:rFonts w:ascii="Arial" w:hAnsi="Arial" w:cs="Arial"/>
          <w:b/>
          <w:bCs/>
          <w:iCs/>
          <w:noProof/>
          <w:sz w:val="20"/>
          <w:szCs w:val="20"/>
          <w:lang w:val="en-GB" w:eastAsia="en-GB"/>
        </w:rPr>
        <w:lastRenderedPageBreak/>
        <w:drawing>
          <wp:inline distT="0" distB="0" distL="0" distR="0" wp14:anchorId="7700CD14" wp14:editId="6E6221AD">
            <wp:extent cx="3825875" cy="236791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25875" cy="2367915"/>
                    </a:xfrm>
                    <a:prstGeom prst="rect">
                      <a:avLst/>
                    </a:prstGeom>
                    <a:noFill/>
                  </pic:spPr>
                </pic:pic>
              </a:graphicData>
            </a:graphic>
          </wp:inline>
        </w:drawing>
      </w:r>
    </w:p>
    <w:p w14:paraId="2B9BF3C4" w14:textId="77777777" w:rsidR="000D318F" w:rsidRPr="00813E19" w:rsidRDefault="000D318F" w:rsidP="000D318F">
      <w:pPr>
        <w:spacing w:after="0" w:line="240" w:lineRule="auto"/>
        <w:jc w:val="both"/>
        <w:rPr>
          <w:rFonts w:ascii="Arial" w:hAnsi="Arial" w:cs="Arial"/>
          <w:i/>
          <w:sz w:val="20"/>
          <w:szCs w:val="20"/>
        </w:rPr>
      </w:pPr>
      <w:r w:rsidRPr="00813E19">
        <w:rPr>
          <w:rFonts w:ascii="Arial" w:hAnsi="Arial" w:cs="Arial"/>
          <w:i/>
          <w:sz w:val="20"/>
          <w:szCs w:val="20"/>
        </w:rPr>
        <w:t>(Sursa datelor: Administrația Națională „Apele Române”, Planului Național de Management actualizat)</w:t>
      </w:r>
    </w:p>
    <w:p w14:paraId="18E36884" w14:textId="77777777" w:rsidR="000D318F" w:rsidRDefault="000D318F" w:rsidP="000D318F">
      <w:pPr>
        <w:spacing w:after="0" w:line="240" w:lineRule="auto"/>
        <w:ind w:firstLine="567"/>
        <w:jc w:val="both"/>
        <w:rPr>
          <w:rFonts w:ascii="Arial" w:hAnsi="Arial" w:cs="Arial"/>
          <w:sz w:val="24"/>
          <w:szCs w:val="24"/>
        </w:rPr>
      </w:pPr>
    </w:p>
    <w:p w14:paraId="672D6046" w14:textId="77777777" w:rsidR="000D318F" w:rsidRPr="0005719C" w:rsidRDefault="000D318F" w:rsidP="000D318F">
      <w:pPr>
        <w:spacing w:before="120" w:after="120" w:line="240" w:lineRule="auto"/>
        <w:ind w:firstLine="567"/>
        <w:jc w:val="both"/>
        <w:rPr>
          <w:rFonts w:ascii="Arial" w:hAnsi="Arial" w:cs="Arial"/>
          <w:sz w:val="24"/>
          <w:szCs w:val="24"/>
        </w:rPr>
      </w:pPr>
      <w:r w:rsidRPr="0005719C">
        <w:rPr>
          <w:rFonts w:ascii="Arial" w:hAnsi="Arial" w:cs="Arial"/>
          <w:sz w:val="24"/>
          <w:szCs w:val="24"/>
        </w:rPr>
        <w:t xml:space="preserve">Potrivit Sintezei Calității Apei elaborată de Administrația Națională „Apele Române”, la nivel naţional s-a identificat un număr de </w:t>
      </w:r>
      <w:r w:rsidRPr="0005719C">
        <w:rPr>
          <w:rFonts w:ascii="Arial" w:hAnsi="Arial" w:cs="Arial"/>
          <w:b/>
          <w:sz w:val="24"/>
          <w:szCs w:val="24"/>
        </w:rPr>
        <w:t>3111 utilizatori de apă ce pot produce poluări accidentale</w:t>
      </w:r>
      <w:r w:rsidRPr="0005719C">
        <w:rPr>
          <w:rFonts w:ascii="Arial" w:hAnsi="Arial" w:cs="Arial"/>
          <w:sz w:val="24"/>
          <w:szCs w:val="24"/>
        </w:rPr>
        <w:t xml:space="preserve"> şi care şi-au elaborat Planuri proprii de prevenire şi combatere a poluărilor accidentale. În anul 2022, s-au înregistrat </w:t>
      </w:r>
      <w:r w:rsidRPr="0005719C">
        <w:rPr>
          <w:rFonts w:ascii="Arial" w:hAnsi="Arial" w:cs="Arial"/>
          <w:b/>
          <w:bCs/>
          <w:sz w:val="24"/>
          <w:szCs w:val="24"/>
        </w:rPr>
        <w:t>53</w:t>
      </w:r>
      <w:r w:rsidRPr="0005719C">
        <w:rPr>
          <w:rFonts w:ascii="Arial" w:hAnsi="Arial" w:cs="Arial"/>
          <w:sz w:val="24"/>
          <w:szCs w:val="24"/>
        </w:rPr>
        <w:t xml:space="preserve"> </w:t>
      </w:r>
      <w:r w:rsidRPr="0005719C">
        <w:rPr>
          <w:rFonts w:ascii="Arial" w:hAnsi="Arial" w:cs="Arial"/>
          <w:b/>
          <w:sz w:val="24"/>
          <w:szCs w:val="24"/>
        </w:rPr>
        <w:t>poluări accidentale</w:t>
      </w:r>
      <w:r w:rsidRPr="0005719C">
        <w:rPr>
          <w:rFonts w:ascii="Arial" w:hAnsi="Arial" w:cs="Arial"/>
          <w:sz w:val="24"/>
          <w:szCs w:val="24"/>
        </w:rPr>
        <w:t xml:space="preserve"> ale cursurilor de apă de suprafaţă, preponderent pe râurile interioare, cu: </w:t>
      </w:r>
    </w:p>
    <w:p w14:paraId="52D352D7" w14:textId="77777777" w:rsidR="000D318F" w:rsidRPr="0005719C" w:rsidRDefault="000D318F" w:rsidP="0054709F">
      <w:pPr>
        <w:pStyle w:val="ListParagraph"/>
        <w:numPr>
          <w:ilvl w:val="0"/>
          <w:numId w:val="26"/>
        </w:numPr>
        <w:spacing w:before="120" w:after="0" w:line="240" w:lineRule="auto"/>
        <w:jc w:val="both"/>
        <w:rPr>
          <w:rFonts w:ascii="Arial" w:hAnsi="Arial" w:cs="Arial"/>
          <w:sz w:val="24"/>
          <w:szCs w:val="24"/>
        </w:rPr>
      </w:pPr>
      <w:r w:rsidRPr="0005719C">
        <w:rPr>
          <w:rFonts w:ascii="Arial" w:hAnsi="Arial" w:cs="Arial"/>
          <w:sz w:val="24"/>
          <w:szCs w:val="24"/>
        </w:rPr>
        <w:t>ape uzate neepurate (menajere și/sau tehnologice);</w:t>
      </w:r>
    </w:p>
    <w:p w14:paraId="101DF426" w14:textId="77777777" w:rsidR="000D318F" w:rsidRPr="0005719C" w:rsidRDefault="000D318F" w:rsidP="0054709F">
      <w:pPr>
        <w:pStyle w:val="ListParagraph"/>
        <w:numPr>
          <w:ilvl w:val="0"/>
          <w:numId w:val="26"/>
        </w:numPr>
        <w:spacing w:after="0" w:line="240" w:lineRule="auto"/>
        <w:jc w:val="both"/>
        <w:rPr>
          <w:rFonts w:ascii="Arial" w:hAnsi="Arial" w:cs="Arial"/>
          <w:sz w:val="24"/>
          <w:szCs w:val="24"/>
        </w:rPr>
      </w:pPr>
      <w:r w:rsidRPr="0005719C">
        <w:rPr>
          <w:rFonts w:ascii="Arial" w:hAnsi="Arial" w:cs="Arial"/>
          <w:sz w:val="24"/>
          <w:szCs w:val="24"/>
        </w:rPr>
        <w:t>produs petrolier și alte hidrocarburi;</w:t>
      </w:r>
    </w:p>
    <w:p w14:paraId="682C1AD0" w14:textId="77777777" w:rsidR="000D318F" w:rsidRPr="0005719C" w:rsidRDefault="000D318F" w:rsidP="0054709F">
      <w:pPr>
        <w:pStyle w:val="ListParagraph"/>
        <w:numPr>
          <w:ilvl w:val="0"/>
          <w:numId w:val="26"/>
        </w:numPr>
        <w:spacing w:after="0" w:line="240" w:lineRule="auto"/>
        <w:jc w:val="both"/>
        <w:rPr>
          <w:rFonts w:ascii="Arial" w:hAnsi="Arial" w:cs="Arial"/>
          <w:sz w:val="24"/>
          <w:szCs w:val="24"/>
        </w:rPr>
      </w:pPr>
      <w:r w:rsidRPr="0005719C">
        <w:rPr>
          <w:rFonts w:ascii="Arial" w:hAnsi="Arial" w:cs="Arial"/>
          <w:sz w:val="24"/>
          <w:szCs w:val="24"/>
        </w:rPr>
        <w:t>deşeu semisolid/solid;</w:t>
      </w:r>
    </w:p>
    <w:p w14:paraId="7F0D8290" w14:textId="77777777" w:rsidR="000D318F" w:rsidRPr="0005719C" w:rsidRDefault="000D318F" w:rsidP="0054709F">
      <w:pPr>
        <w:pStyle w:val="ListParagraph"/>
        <w:numPr>
          <w:ilvl w:val="0"/>
          <w:numId w:val="26"/>
        </w:numPr>
        <w:spacing w:after="0" w:line="240" w:lineRule="auto"/>
        <w:jc w:val="both"/>
        <w:rPr>
          <w:rFonts w:ascii="Arial" w:hAnsi="Arial" w:cs="Arial"/>
          <w:sz w:val="24"/>
          <w:szCs w:val="24"/>
        </w:rPr>
      </w:pPr>
      <w:r w:rsidRPr="0005719C">
        <w:rPr>
          <w:rFonts w:ascii="Arial" w:hAnsi="Arial" w:cs="Arial"/>
          <w:sz w:val="24"/>
          <w:szCs w:val="24"/>
        </w:rPr>
        <w:t>altă natură (substanţe chimice organice şi anorganice) dar și substanțe neidentificate;</w:t>
      </w:r>
    </w:p>
    <w:p w14:paraId="4456C8D2" w14:textId="77777777" w:rsidR="000D318F" w:rsidRPr="0005719C" w:rsidRDefault="000D318F" w:rsidP="0054709F">
      <w:pPr>
        <w:pStyle w:val="ListParagraph"/>
        <w:numPr>
          <w:ilvl w:val="0"/>
          <w:numId w:val="26"/>
        </w:numPr>
        <w:spacing w:after="0" w:line="240" w:lineRule="auto"/>
        <w:jc w:val="both"/>
        <w:rPr>
          <w:rFonts w:ascii="Arial" w:hAnsi="Arial" w:cs="Arial"/>
          <w:sz w:val="24"/>
          <w:szCs w:val="24"/>
        </w:rPr>
      </w:pPr>
      <w:r w:rsidRPr="0005719C">
        <w:rPr>
          <w:rFonts w:ascii="Arial" w:hAnsi="Arial" w:cs="Arial"/>
          <w:sz w:val="24"/>
          <w:szCs w:val="24"/>
        </w:rPr>
        <w:t xml:space="preserve">ape de mină. </w:t>
      </w:r>
    </w:p>
    <w:p w14:paraId="5062F987" w14:textId="77777777" w:rsidR="000D318F" w:rsidRDefault="000D318F" w:rsidP="000D318F">
      <w:pPr>
        <w:spacing w:after="0" w:line="240" w:lineRule="auto"/>
        <w:ind w:firstLine="720"/>
        <w:jc w:val="both"/>
        <w:rPr>
          <w:rFonts w:ascii="Arial" w:hAnsi="Arial" w:cs="Arial"/>
          <w:sz w:val="24"/>
          <w:szCs w:val="24"/>
        </w:rPr>
      </w:pPr>
    </w:p>
    <w:p w14:paraId="000B96B3" w14:textId="77777777" w:rsidR="000D318F" w:rsidRPr="0005719C" w:rsidRDefault="000D318F" w:rsidP="000D318F">
      <w:pPr>
        <w:spacing w:after="0" w:line="240" w:lineRule="auto"/>
        <w:ind w:firstLine="720"/>
        <w:jc w:val="both"/>
        <w:rPr>
          <w:rFonts w:ascii="Arial" w:hAnsi="Arial" w:cs="Arial"/>
          <w:sz w:val="24"/>
          <w:szCs w:val="24"/>
        </w:rPr>
      </w:pPr>
      <w:r w:rsidRPr="0005719C">
        <w:rPr>
          <w:rFonts w:ascii="Arial" w:hAnsi="Arial" w:cs="Arial"/>
          <w:sz w:val="24"/>
          <w:szCs w:val="24"/>
        </w:rPr>
        <w:t>Se menționează că au fost înregistrate și poluări accidentale cu ape uzate menajere neepurate descărcate ilegal în resursele de apă sau pe sol, cu impact asupra stării apelor de suprafață iar în unele situații și cu efecte de mortalitate pisciolă.</w:t>
      </w:r>
    </w:p>
    <w:p w14:paraId="57A0FEA8" w14:textId="77777777" w:rsidR="000D318F" w:rsidRPr="00D43EDE" w:rsidRDefault="000D318F" w:rsidP="000D318F">
      <w:pPr>
        <w:spacing w:after="0" w:line="240" w:lineRule="auto"/>
        <w:ind w:firstLine="720"/>
        <w:jc w:val="both"/>
        <w:rPr>
          <w:rFonts w:ascii="Arial" w:hAnsi="Arial" w:cs="Arial"/>
          <w:sz w:val="24"/>
          <w:szCs w:val="24"/>
        </w:rPr>
      </w:pPr>
      <w:r w:rsidRPr="0005719C">
        <w:rPr>
          <w:rFonts w:ascii="Arial" w:hAnsi="Arial" w:cs="Arial"/>
          <w:sz w:val="24"/>
          <w:szCs w:val="24"/>
        </w:rPr>
        <w:t>Prin respectarea fluxului informațional - decizional, asigurarea suportului logistic și acționarea în timp util, conform Regulamentului SAPA-ROM și a Planurilor de prevenire și combatere a poluărilor accidentale la nivel de bazin hidrografic cât și celor proprii folosințelor de apă, s-a asigurat diminuarea posibilelor efecte nefavorabile asupra mediului și a sănătății populației, fenomenele având impact local/bazinal, fără ca pe termen lung acestea să inducă o modificare semnificativă a biodiversităţii acvatice.</w:t>
      </w:r>
    </w:p>
    <w:p w14:paraId="5656649F" w14:textId="77777777" w:rsidR="000D318F" w:rsidRDefault="000D318F" w:rsidP="000D318F">
      <w:pPr>
        <w:spacing w:after="0" w:line="240" w:lineRule="auto"/>
        <w:jc w:val="both"/>
        <w:rPr>
          <w:rFonts w:ascii="Arial" w:hAnsi="Arial" w:cs="Arial"/>
          <w:sz w:val="24"/>
          <w:szCs w:val="24"/>
        </w:rPr>
      </w:pPr>
    </w:p>
    <w:p w14:paraId="4B5F1D53" w14:textId="77777777" w:rsidR="000D318F" w:rsidRDefault="000D318F" w:rsidP="000D318F">
      <w:pPr>
        <w:spacing w:after="0" w:line="240" w:lineRule="auto"/>
        <w:ind w:firstLine="720"/>
        <w:jc w:val="both"/>
        <w:rPr>
          <w:rFonts w:ascii="Arial" w:hAnsi="Arial" w:cs="Arial"/>
          <w:sz w:val="24"/>
          <w:szCs w:val="24"/>
        </w:rPr>
      </w:pPr>
      <w:r>
        <w:rPr>
          <w:rFonts w:ascii="Arial" w:hAnsi="Arial" w:cs="Arial"/>
          <w:sz w:val="24"/>
          <w:szCs w:val="24"/>
        </w:rPr>
        <w:t xml:space="preserve">În ceea ce privește </w:t>
      </w:r>
      <w:r w:rsidRPr="00560422">
        <w:rPr>
          <w:rFonts w:ascii="Arial" w:hAnsi="Arial" w:cs="Arial"/>
          <w:sz w:val="24"/>
          <w:szCs w:val="24"/>
        </w:rPr>
        <w:t xml:space="preserve">tipul şi mărimea presiunilor antropice </w:t>
      </w:r>
      <w:r w:rsidRPr="00C81179">
        <w:rPr>
          <w:rFonts w:ascii="Arial" w:hAnsi="Arial" w:cs="Arial"/>
          <w:sz w:val="24"/>
          <w:szCs w:val="24"/>
        </w:rPr>
        <w:t xml:space="preserve">care pot afecta </w:t>
      </w:r>
      <w:r w:rsidRPr="00C81179">
        <w:rPr>
          <w:rFonts w:ascii="Arial" w:hAnsi="Arial" w:cs="Arial"/>
          <w:b/>
          <w:sz w:val="24"/>
          <w:szCs w:val="24"/>
        </w:rPr>
        <w:t>corpurile de apă subterană</w:t>
      </w:r>
      <w:r w:rsidRPr="00560422">
        <w:rPr>
          <w:rFonts w:ascii="Arial" w:hAnsi="Arial" w:cs="Arial"/>
          <w:sz w:val="24"/>
          <w:szCs w:val="24"/>
        </w:rPr>
        <w:t xml:space="preserve"> (</w:t>
      </w:r>
      <w:r>
        <w:rPr>
          <w:rFonts w:ascii="Arial" w:hAnsi="Arial" w:cs="Arial"/>
          <w:sz w:val="24"/>
          <w:szCs w:val="24"/>
        </w:rPr>
        <w:t xml:space="preserve">conform </w:t>
      </w:r>
      <w:r w:rsidRPr="00560422">
        <w:rPr>
          <w:rFonts w:ascii="Arial" w:hAnsi="Arial" w:cs="Arial"/>
          <w:sz w:val="24"/>
          <w:szCs w:val="24"/>
        </w:rPr>
        <w:t>Directiv</w:t>
      </w:r>
      <w:r>
        <w:rPr>
          <w:rFonts w:ascii="Arial" w:hAnsi="Arial" w:cs="Arial"/>
          <w:sz w:val="24"/>
          <w:szCs w:val="24"/>
        </w:rPr>
        <w:t>ei</w:t>
      </w:r>
      <w:r w:rsidRPr="00560422">
        <w:rPr>
          <w:rFonts w:ascii="Arial" w:hAnsi="Arial" w:cs="Arial"/>
          <w:sz w:val="24"/>
          <w:szCs w:val="24"/>
        </w:rPr>
        <w:t xml:space="preserve"> Cadru 2000/60/EC – anexa II – 2.1), </w:t>
      </w:r>
      <w:r>
        <w:rPr>
          <w:rFonts w:ascii="Arial" w:hAnsi="Arial" w:cs="Arial"/>
          <w:sz w:val="24"/>
          <w:szCs w:val="24"/>
        </w:rPr>
        <w:t>se au în vedere:</w:t>
      </w:r>
    </w:p>
    <w:p w14:paraId="1AF4D2C5" w14:textId="77777777" w:rsidR="000D318F" w:rsidRPr="00C81179" w:rsidRDefault="000D318F" w:rsidP="0054709F">
      <w:pPr>
        <w:numPr>
          <w:ilvl w:val="0"/>
          <w:numId w:val="23"/>
        </w:numPr>
        <w:spacing w:after="0" w:line="240" w:lineRule="auto"/>
        <w:ind w:left="284" w:hanging="284"/>
        <w:jc w:val="both"/>
        <w:rPr>
          <w:rFonts w:ascii="Arial" w:hAnsi="Arial" w:cs="Arial"/>
          <w:i/>
          <w:sz w:val="24"/>
          <w:szCs w:val="24"/>
        </w:rPr>
      </w:pPr>
      <w:r w:rsidRPr="00C81179">
        <w:rPr>
          <w:rFonts w:ascii="Arial" w:hAnsi="Arial" w:cs="Arial"/>
          <w:i/>
          <w:sz w:val="24"/>
          <w:szCs w:val="24"/>
        </w:rPr>
        <w:t>surse de poluare punctiforme și difuze:</w:t>
      </w:r>
    </w:p>
    <w:p w14:paraId="3D468C55" w14:textId="77777777" w:rsidR="000D318F" w:rsidRPr="00E13D07" w:rsidRDefault="000D318F" w:rsidP="0054709F">
      <w:pPr>
        <w:numPr>
          <w:ilvl w:val="0"/>
          <w:numId w:val="24"/>
        </w:numPr>
        <w:spacing w:after="0" w:line="240" w:lineRule="auto"/>
        <w:jc w:val="both"/>
        <w:rPr>
          <w:rFonts w:ascii="Arial" w:hAnsi="Arial" w:cs="Arial"/>
          <w:sz w:val="24"/>
          <w:szCs w:val="24"/>
        </w:rPr>
      </w:pPr>
      <w:r w:rsidRPr="00E13D07">
        <w:rPr>
          <w:rFonts w:ascii="Arial" w:hAnsi="Arial" w:cs="Arial"/>
          <w:sz w:val="24"/>
          <w:szCs w:val="24"/>
        </w:rPr>
        <w:t>sursele de poluare datorate aglomerărilor umane fără sisteme de colectare şi epurare a apele uzate (menajere, industriale, agricole, etc.) sau fără sisteme corespunzătoare de colectare a deşeurilor;</w:t>
      </w:r>
    </w:p>
    <w:p w14:paraId="56827EA1" w14:textId="77777777" w:rsidR="000D318F" w:rsidRDefault="000D318F" w:rsidP="0054709F">
      <w:pPr>
        <w:numPr>
          <w:ilvl w:val="0"/>
          <w:numId w:val="24"/>
        </w:numPr>
        <w:spacing w:after="0" w:line="240" w:lineRule="auto"/>
        <w:jc w:val="both"/>
        <w:rPr>
          <w:rFonts w:ascii="Arial" w:hAnsi="Arial" w:cs="Arial"/>
          <w:sz w:val="24"/>
          <w:szCs w:val="24"/>
        </w:rPr>
      </w:pPr>
      <w:r w:rsidRPr="00E13D07">
        <w:rPr>
          <w:rFonts w:ascii="Arial" w:hAnsi="Arial" w:cs="Arial"/>
          <w:sz w:val="24"/>
          <w:szCs w:val="24"/>
        </w:rPr>
        <w:tab/>
        <w:t>surse de poluare difuză determinate de activităţile agricole (ferme agrozootehnice care nu au sisteme corespunzătoare de stocare a gunoiului de grajd, etc) şi activităţile industriale prin depozitele de deşeuri neconforme (deşeuri industriale, menajere, din construcţii, etc);</w:t>
      </w:r>
    </w:p>
    <w:p w14:paraId="6740D9F3" w14:textId="77777777" w:rsidR="000D318F" w:rsidRPr="005E6A61" w:rsidRDefault="000D318F" w:rsidP="0054709F">
      <w:pPr>
        <w:numPr>
          <w:ilvl w:val="0"/>
          <w:numId w:val="24"/>
        </w:numPr>
        <w:spacing w:after="0" w:line="240" w:lineRule="auto"/>
        <w:jc w:val="both"/>
        <w:rPr>
          <w:rFonts w:ascii="Arial" w:hAnsi="Arial" w:cs="Arial"/>
          <w:sz w:val="24"/>
          <w:szCs w:val="24"/>
        </w:rPr>
      </w:pPr>
      <w:r w:rsidRPr="005E6A61">
        <w:rPr>
          <w:rFonts w:ascii="Arial" w:hAnsi="Arial" w:cs="Arial"/>
          <w:sz w:val="24"/>
          <w:szCs w:val="24"/>
        </w:rPr>
        <w:t xml:space="preserve">surse de poluare punctiformă determinate de activităţile industriale, prin evacuarea de poluanţi specifici tipului de activitate desfăşurată, depozite de deşeuri etc.; </w:t>
      </w:r>
    </w:p>
    <w:p w14:paraId="3DF63BF5" w14:textId="77777777" w:rsidR="000D318F" w:rsidRDefault="000D318F" w:rsidP="0054709F">
      <w:pPr>
        <w:numPr>
          <w:ilvl w:val="0"/>
          <w:numId w:val="24"/>
        </w:numPr>
        <w:spacing w:after="0" w:line="240" w:lineRule="auto"/>
        <w:jc w:val="both"/>
        <w:rPr>
          <w:rFonts w:ascii="Arial" w:hAnsi="Arial" w:cs="Arial"/>
          <w:sz w:val="24"/>
          <w:szCs w:val="24"/>
        </w:rPr>
      </w:pPr>
      <w:r w:rsidRPr="00C81179">
        <w:rPr>
          <w:rFonts w:ascii="Arial" w:hAnsi="Arial" w:cs="Arial"/>
          <w:sz w:val="24"/>
          <w:szCs w:val="24"/>
        </w:rPr>
        <w:tab/>
        <w:t>alte activităţi antropice potenţial poluatoare</w:t>
      </w:r>
      <w:r>
        <w:rPr>
          <w:rFonts w:ascii="Arial" w:hAnsi="Arial" w:cs="Arial"/>
          <w:sz w:val="24"/>
          <w:szCs w:val="24"/>
        </w:rPr>
        <w:t>.</w:t>
      </w:r>
    </w:p>
    <w:p w14:paraId="2A67096F" w14:textId="77777777" w:rsidR="000D318F" w:rsidRDefault="000D318F" w:rsidP="000D318F">
      <w:pPr>
        <w:spacing w:after="0" w:line="240" w:lineRule="auto"/>
        <w:ind w:left="360"/>
        <w:jc w:val="both"/>
        <w:rPr>
          <w:rFonts w:ascii="Arial" w:hAnsi="Arial" w:cs="Arial"/>
          <w:sz w:val="24"/>
          <w:szCs w:val="24"/>
        </w:rPr>
      </w:pPr>
      <w:r w:rsidRPr="005E6A61">
        <w:rPr>
          <w:rFonts w:ascii="Arial" w:hAnsi="Arial" w:cs="Arial"/>
          <w:sz w:val="24"/>
          <w:szCs w:val="24"/>
        </w:rPr>
        <w:t>Cele mai frecvente surse de poluare care pot conduce la deteriorarea apelor subterane din punct de vedere calitativ, sunt sursele de poluare difuză</w:t>
      </w:r>
      <w:r w:rsidRPr="005E6A61">
        <w:t xml:space="preserve"> </w:t>
      </w:r>
      <w:r w:rsidRPr="005E6A61">
        <w:rPr>
          <w:rFonts w:ascii="Arial" w:hAnsi="Arial" w:cs="Arial"/>
          <w:sz w:val="24"/>
          <w:szCs w:val="24"/>
        </w:rPr>
        <w:t xml:space="preserve">datorate </w:t>
      </w:r>
      <w:r w:rsidRPr="005E6A61">
        <w:rPr>
          <w:rFonts w:ascii="Arial" w:hAnsi="Arial" w:cs="Arial"/>
          <w:sz w:val="24"/>
          <w:szCs w:val="24"/>
        </w:rPr>
        <w:lastRenderedPageBreak/>
        <w:t>aglomerărilor umane fără sisteme de colectare şi epurare a apelor uzate</w:t>
      </w:r>
      <w:r>
        <w:rPr>
          <w:rFonts w:ascii="Arial" w:hAnsi="Arial" w:cs="Arial"/>
          <w:sz w:val="24"/>
          <w:szCs w:val="24"/>
        </w:rPr>
        <w:t>,</w:t>
      </w:r>
      <w:r w:rsidRPr="005E6A61">
        <w:rPr>
          <w:rFonts w:ascii="Arial" w:hAnsi="Arial" w:cs="Arial"/>
          <w:sz w:val="24"/>
          <w:szCs w:val="24"/>
        </w:rPr>
        <w:t xml:space="preserve"> precum şi presiunilor difuze cauzate de activităţile agricole. De asemenea, trebuie avut în vedere faptul că dinamica apelor subterane este mult mai lentă decât cea a apelor de suprafață, astfel încât efectul oricăror măsuri se face resimțit după o perioadă mai lungă de timp.</w:t>
      </w:r>
    </w:p>
    <w:p w14:paraId="4DE1C296" w14:textId="77777777" w:rsidR="000D318F" w:rsidRPr="00C81179" w:rsidRDefault="000D318F" w:rsidP="000D318F">
      <w:pPr>
        <w:spacing w:after="0" w:line="240" w:lineRule="auto"/>
        <w:ind w:left="360"/>
        <w:jc w:val="both"/>
        <w:rPr>
          <w:rFonts w:ascii="Arial" w:hAnsi="Arial" w:cs="Arial"/>
          <w:sz w:val="24"/>
          <w:szCs w:val="24"/>
        </w:rPr>
      </w:pPr>
      <w:r w:rsidRPr="00C81179">
        <w:rPr>
          <w:rFonts w:ascii="Arial" w:hAnsi="Arial" w:cs="Arial"/>
          <w:sz w:val="24"/>
          <w:szCs w:val="24"/>
        </w:rPr>
        <w:t>Din punct de vedere al impactului asupra stării cantitative a corpurilor de apă subterane, presiunile cantitative sunt considerate captările de apă semnificative, care pot depăşi rata naturală de reînc</w:t>
      </w:r>
      <w:r>
        <w:rPr>
          <w:rFonts w:ascii="Arial" w:hAnsi="Arial" w:cs="Arial"/>
          <w:sz w:val="24"/>
          <w:szCs w:val="24"/>
        </w:rPr>
        <w:t>ă</w:t>
      </w:r>
      <w:r w:rsidRPr="00C81179">
        <w:rPr>
          <w:rFonts w:ascii="Arial" w:hAnsi="Arial" w:cs="Arial"/>
          <w:sz w:val="24"/>
          <w:szCs w:val="24"/>
        </w:rPr>
        <w:t xml:space="preserve">rcare a acviferului. </w:t>
      </w:r>
    </w:p>
    <w:p w14:paraId="68F2D778" w14:textId="77777777" w:rsidR="000D318F" w:rsidRPr="00C81179" w:rsidRDefault="000D318F" w:rsidP="0054709F">
      <w:pPr>
        <w:numPr>
          <w:ilvl w:val="0"/>
          <w:numId w:val="23"/>
        </w:numPr>
        <w:spacing w:after="0" w:line="240" w:lineRule="auto"/>
        <w:ind w:left="284" w:hanging="284"/>
        <w:jc w:val="both"/>
        <w:rPr>
          <w:rFonts w:ascii="Arial" w:hAnsi="Arial" w:cs="Arial"/>
          <w:i/>
          <w:sz w:val="24"/>
          <w:szCs w:val="24"/>
        </w:rPr>
      </w:pPr>
      <w:r w:rsidRPr="00C81179">
        <w:rPr>
          <w:rFonts w:ascii="Arial" w:hAnsi="Arial" w:cs="Arial"/>
          <w:i/>
          <w:sz w:val="24"/>
          <w:szCs w:val="24"/>
        </w:rPr>
        <w:t>prelevări de apă şi reîncărcarea corpurilor de apă subterană</w:t>
      </w:r>
      <w:r>
        <w:rPr>
          <w:rFonts w:ascii="Arial" w:hAnsi="Arial" w:cs="Arial"/>
          <w:i/>
          <w:sz w:val="24"/>
          <w:szCs w:val="24"/>
        </w:rPr>
        <w:t>:</w:t>
      </w:r>
    </w:p>
    <w:p w14:paraId="474114C6" w14:textId="77777777" w:rsidR="000D318F" w:rsidRDefault="000D318F" w:rsidP="000D318F">
      <w:pPr>
        <w:spacing w:after="0" w:line="240" w:lineRule="auto"/>
        <w:ind w:left="284"/>
        <w:jc w:val="both"/>
        <w:rPr>
          <w:rFonts w:ascii="Arial" w:hAnsi="Arial" w:cs="Arial"/>
          <w:sz w:val="24"/>
          <w:szCs w:val="24"/>
        </w:rPr>
      </w:pPr>
      <w:r w:rsidRPr="00E13D07">
        <w:rPr>
          <w:rFonts w:ascii="Arial" w:hAnsi="Arial" w:cs="Arial"/>
          <w:sz w:val="24"/>
          <w:szCs w:val="24"/>
        </w:rPr>
        <w:t>Conform prevederilor DCA, Anexa II – 2.3, criteriile de selecţie a captărilor de apă sunt considerate cele care au în vedere prelevările de apă &gt;10 m</w:t>
      </w:r>
      <w:r w:rsidRPr="00C81179">
        <w:rPr>
          <w:rFonts w:ascii="Arial" w:hAnsi="Arial" w:cs="Arial"/>
          <w:sz w:val="24"/>
          <w:szCs w:val="24"/>
          <w:vertAlign w:val="superscript"/>
        </w:rPr>
        <w:t>3</w:t>
      </w:r>
      <w:r w:rsidRPr="00E13D07">
        <w:rPr>
          <w:rFonts w:ascii="Arial" w:hAnsi="Arial" w:cs="Arial"/>
          <w:sz w:val="24"/>
          <w:szCs w:val="24"/>
        </w:rPr>
        <w:t>/ zi. În România, apa subterană este folosită în general în scopul alimentării cu apă a populaţiei</w:t>
      </w:r>
      <w:r>
        <w:rPr>
          <w:rFonts w:ascii="Arial" w:hAnsi="Arial" w:cs="Arial"/>
          <w:sz w:val="24"/>
          <w:szCs w:val="24"/>
        </w:rPr>
        <w:t>,</w:t>
      </w:r>
      <w:r w:rsidRPr="00E13D07">
        <w:rPr>
          <w:rFonts w:ascii="Arial" w:hAnsi="Arial" w:cs="Arial"/>
          <w:sz w:val="24"/>
          <w:szCs w:val="24"/>
        </w:rPr>
        <w:t xml:space="preserve"> cât şi în scop industrial, agricol, etc.</w:t>
      </w:r>
      <w:r>
        <w:rPr>
          <w:rFonts w:ascii="Arial" w:hAnsi="Arial" w:cs="Arial"/>
          <w:sz w:val="24"/>
          <w:szCs w:val="24"/>
        </w:rPr>
        <w:t xml:space="preserve"> </w:t>
      </w:r>
      <w:r w:rsidRPr="001C538F">
        <w:rPr>
          <w:rFonts w:ascii="Arial" w:hAnsi="Arial" w:cs="Arial"/>
          <w:sz w:val="24"/>
          <w:szCs w:val="24"/>
        </w:rPr>
        <w:t>În anul 201</w:t>
      </w:r>
      <w:r>
        <w:rPr>
          <w:rFonts w:ascii="Arial" w:hAnsi="Arial" w:cs="Arial"/>
          <w:sz w:val="24"/>
          <w:szCs w:val="24"/>
        </w:rPr>
        <w:t>9</w:t>
      </w:r>
      <w:r w:rsidRPr="001C538F">
        <w:rPr>
          <w:rFonts w:ascii="Arial" w:hAnsi="Arial" w:cs="Arial"/>
          <w:sz w:val="24"/>
          <w:szCs w:val="24"/>
        </w:rPr>
        <w:t xml:space="preserve"> la nivel naţional </w:t>
      </w:r>
      <w:r w:rsidRPr="00AA00F7">
        <w:rPr>
          <w:rFonts w:ascii="Arial" w:hAnsi="Arial" w:cs="Arial"/>
          <w:sz w:val="24"/>
          <w:szCs w:val="24"/>
        </w:rPr>
        <w:t>exist</w:t>
      </w:r>
      <w:r>
        <w:rPr>
          <w:rFonts w:ascii="Arial" w:hAnsi="Arial" w:cs="Arial"/>
          <w:sz w:val="24"/>
          <w:szCs w:val="24"/>
        </w:rPr>
        <w:t>a</w:t>
      </w:r>
      <w:r w:rsidRPr="00AA00F7">
        <w:rPr>
          <w:rFonts w:ascii="Arial" w:hAnsi="Arial" w:cs="Arial"/>
          <w:sz w:val="24"/>
          <w:szCs w:val="24"/>
        </w:rPr>
        <w:t xml:space="preserve"> un număr de 7.415 captări (foraje, fronturi de</w:t>
      </w:r>
      <w:r>
        <w:rPr>
          <w:rFonts w:ascii="Arial" w:hAnsi="Arial" w:cs="Arial"/>
          <w:sz w:val="24"/>
          <w:szCs w:val="24"/>
        </w:rPr>
        <w:t xml:space="preserve"> </w:t>
      </w:r>
      <w:r w:rsidRPr="00AA00F7">
        <w:rPr>
          <w:rFonts w:ascii="Arial" w:hAnsi="Arial" w:cs="Arial"/>
          <w:sz w:val="24"/>
          <w:szCs w:val="24"/>
        </w:rPr>
        <w:t>captare, izvoare, drenuri etc</w:t>
      </w:r>
      <w:r>
        <w:rPr>
          <w:rFonts w:ascii="Arial" w:hAnsi="Arial" w:cs="Arial"/>
          <w:sz w:val="24"/>
          <w:szCs w:val="24"/>
        </w:rPr>
        <w:t xml:space="preserve">.) din care </w:t>
      </w:r>
      <w:r w:rsidRPr="001C538F">
        <w:rPr>
          <w:rFonts w:ascii="Arial" w:hAnsi="Arial" w:cs="Arial"/>
          <w:sz w:val="24"/>
          <w:szCs w:val="24"/>
        </w:rPr>
        <w:t xml:space="preserve">au fost identificate </w:t>
      </w:r>
      <w:r>
        <w:rPr>
          <w:rFonts w:ascii="Arial" w:hAnsi="Arial" w:cs="Arial"/>
          <w:b/>
          <w:sz w:val="24"/>
          <w:szCs w:val="24"/>
        </w:rPr>
        <w:t>26</w:t>
      </w:r>
      <w:r w:rsidRPr="001C538F">
        <w:rPr>
          <w:rFonts w:ascii="Arial" w:hAnsi="Arial" w:cs="Arial"/>
          <w:b/>
          <w:sz w:val="24"/>
          <w:szCs w:val="24"/>
        </w:rPr>
        <w:t xml:space="preserve"> exploatări semnificative de ape subterane</w:t>
      </w:r>
      <w:r w:rsidRPr="001C538F">
        <w:rPr>
          <w:rFonts w:ascii="Arial" w:hAnsi="Arial" w:cs="Arial"/>
          <w:sz w:val="24"/>
          <w:szCs w:val="24"/>
        </w:rPr>
        <w:t>, respectiv captări cu debite mai mari sau egale cu 1500 mii m</w:t>
      </w:r>
      <w:r w:rsidRPr="001C538F">
        <w:rPr>
          <w:rFonts w:ascii="Arial" w:hAnsi="Arial" w:cs="Arial"/>
          <w:sz w:val="24"/>
          <w:szCs w:val="24"/>
          <w:vertAlign w:val="superscript"/>
        </w:rPr>
        <w:t>3</w:t>
      </w:r>
      <w:r w:rsidRPr="001C538F">
        <w:rPr>
          <w:rFonts w:ascii="Arial" w:hAnsi="Arial" w:cs="Arial"/>
          <w:sz w:val="24"/>
          <w:szCs w:val="24"/>
        </w:rPr>
        <w:t>/an.</w:t>
      </w:r>
      <w:r>
        <w:rPr>
          <w:rFonts w:ascii="Arial" w:hAnsi="Arial" w:cs="Arial"/>
          <w:sz w:val="24"/>
          <w:szCs w:val="24"/>
        </w:rPr>
        <w:t xml:space="preserve"> </w:t>
      </w:r>
    </w:p>
    <w:p w14:paraId="26C6C546" w14:textId="77777777" w:rsidR="000D318F" w:rsidRDefault="000D318F" w:rsidP="000D318F">
      <w:pPr>
        <w:spacing w:after="0" w:line="240" w:lineRule="auto"/>
        <w:ind w:left="284"/>
        <w:jc w:val="both"/>
        <w:rPr>
          <w:rFonts w:ascii="Arial" w:hAnsi="Arial" w:cs="Arial"/>
          <w:sz w:val="24"/>
          <w:szCs w:val="24"/>
        </w:rPr>
      </w:pPr>
    </w:p>
    <w:p w14:paraId="328AE400" w14:textId="77777777" w:rsidR="000D318F" w:rsidRDefault="000D318F" w:rsidP="000D318F">
      <w:pPr>
        <w:autoSpaceDE w:val="0"/>
        <w:autoSpaceDN w:val="0"/>
        <w:adjustRightInd w:val="0"/>
        <w:jc w:val="center"/>
        <w:rPr>
          <w:rFonts w:ascii="Arial" w:hAnsi="Arial" w:cs="Arial"/>
          <w:b/>
          <w:bCs/>
          <w:i/>
          <w:iCs/>
        </w:rPr>
      </w:pPr>
    </w:p>
    <w:p w14:paraId="1559981D" w14:textId="77777777" w:rsidR="000D318F" w:rsidRDefault="000D318F" w:rsidP="000D318F">
      <w:pPr>
        <w:autoSpaceDE w:val="0"/>
        <w:autoSpaceDN w:val="0"/>
        <w:adjustRightInd w:val="0"/>
        <w:jc w:val="center"/>
        <w:rPr>
          <w:rFonts w:ascii="Arial" w:hAnsi="Arial" w:cs="Arial"/>
          <w:b/>
          <w:bCs/>
          <w:i/>
          <w:iCs/>
        </w:rPr>
      </w:pPr>
    </w:p>
    <w:p w14:paraId="292D4849" w14:textId="77777777" w:rsidR="000D318F" w:rsidRPr="00813E19" w:rsidRDefault="000D318F" w:rsidP="000D318F">
      <w:pPr>
        <w:autoSpaceDE w:val="0"/>
        <w:autoSpaceDN w:val="0"/>
        <w:adjustRightInd w:val="0"/>
        <w:spacing w:after="0" w:line="240" w:lineRule="auto"/>
        <w:jc w:val="both"/>
        <w:rPr>
          <w:rFonts w:ascii="Arial" w:hAnsi="Arial" w:cs="Arial"/>
          <w:b/>
          <w:bCs/>
          <w:i/>
          <w:iCs/>
          <w:sz w:val="24"/>
          <w:szCs w:val="24"/>
        </w:rPr>
      </w:pPr>
      <w:r w:rsidRPr="00813E19">
        <w:rPr>
          <w:rFonts w:ascii="Arial" w:hAnsi="Arial" w:cs="Arial"/>
          <w:b/>
          <w:sz w:val="24"/>
          <w:szCs w:val="24"/>
        </w:rPr>
        <w:t xml:space="preserve">Figura II.2.2.1.6 </w:t>
      </w:r>
      <w:r w:rsidRPr="00813E19">
        <w:rPr>
          <w:rFonts w:ascii="Arial" w:hAnsi="Arial" w:cs="Arial"/>
          <w:b/>
          <w:bCs/>
          <w:i/>
          <w:iCs/>
          <w:sz w:val="24"/>
          <w:szCs w:val="24"/>
        </w:rPr>
        <w:t>Reprezentarea grafică a tipurilor de utilizări ale apei subterane (mii mc/an)</w:t>
      </w:r>
    </w:p>
    <w:p w14:paraId="493AD164" w14:textId="7EA7342D" w:rsidR="000D318F" w:rsidRDefault="000D318F" w:rsidP="000D318F">
      <w:pPr>
        <w:autoSpaceDE w:val="0"/>
        <w:autoSpaceDN w:val="0"/>
        <w:adjustRightInd w:val="0"/>
        <w:spacing w:after="0" w:line="240" w:lineRule="auto"/>
        <w:jc w:val="center"/>
        <w:rPr>
          <w:rFonts w:ascii="Arial" w:hAnsi="Arial" w:cs="Arial"/>
          <w:i/>
          <w:noProof/>
          <w:lang w:bidi="si-LK"/>
        </w:rPr>
      </w:pPr>
      <w:r w:rsidRPr="005E6A61">
        <w:rPr>
          <w:rFonts w:ascii="Arial" w:hAnsi="Arial" w:cs="Arial"/>
          <w:i/>
          <w:noProof/>
          <w:lang w:val="en-GB" w:eastAsia="en-GB"/>
        </w:rPr>
        <w:drawing>
          <wp:inline distT="0" distB="0" distL="0" distR="0" wp14:anchorId="176A4934" wp14:editId="12270994">
            <wp:extent cx="4648200" cy="2800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8200" cy="2800350"/>
                    </a:xfrm>
                    <a:prstGeom prst="rect">
                      <a:avLst/>
                    </a:prstGeom>
                    <a:noFill/>
                    <a:ln>
                      <a:noFill/>
                    </a:ln>
                  </pic:spPr>
                </pic:pic>
              </a:graphicData>
            </a:graphic>
          </wp:inline>
        </w:drawing>
      </w:r>
    </w:p>
    <w:p w14:paraId="707FBDFF" w14:textId="77777777" w:rsidR="000D318F" w:rsidRPr="00813E19" w:rsidRDefault="000D318F" w:rsidP="000D318F">
      <w:pPr>
        <w:autoSpaceDE w:val="0"/>
        <w:autoSpaceDN w:val="0"/>
        <w:adjustRightInd w:val="0"/>
        <w:spacing w:after="0"/>
        <w:jc w:val="both"/>
        <w:rPr>
          <w:rFonts w:ascii="Arial" w:hAnsi="Arial" w:cs="Arial"/>
          <w:i/>
          <w:sz w:val="20"/>
          <w:szCs w:val="20"/>
        </w:rPr>
      </w:pPr>
      <w:r w:rsidRPr="00813E19">
        <w:rPr>
          <w:rFonts w:ascii="Arial" w:hAnsi="Arial" w:cs="Arial"/>
          <w:i/>
          <w:sz w:val="20"/>
          <w:szCs w:val="20"/>
        </w:rPr>
        <w:t>(Sursa datelor: Administrația Națională „Apele Române”, Planul Național de Management actualizat)</w:t>
      </w:r>
    </w:p>
    <w:p w14:paraId="6FA8C337" w14:textId="77777777" w:rsidR="000D318F" w:rsidRDefault="000D318F" w:rsidP="000D318F">
      <w:pPr>
        <w:spacing w:after="0" w:line="240" w:lineRule="auto"/>
        <w:ind w:firstLine="720"/>
        <w:jc w:val="both"/>
        <w:rPr>
          <w:rFonts w:ascii="Arial" w:hAnsi="Arial" w:cs="Arial"/>
          <w:sz w:val="24"/>
          <w:szCs w:val="24"/>
        </w:rPr>
      </w:pPr>
    </w:p>
    <w:p w14:paraId="3855FE41" w14:textId="77777777" w:rsidR="000D318F" w:rsidRPr="005E6A61" w:rsidRDefault="000D318F" w:rsidP="000D318F">
      <w:pPr>
        <w:spacing w:after="0" w:line="240" w:lineRule="auto"/>
        <w:ind w:firstLine="720"/>
        <w:jc w:val="both"/>
        <w:rPr>
          <w:rFonts w:ascii="Arial" w:hAnsi="Arial" w:cs="Arial"/>
          <w:sz w:val="24"/>
          <w:szCs w:val="24"/>
        </w:rPr>
      </w:pPr>
      <w:r w:rsidRPr="005E6A61">
        <w:rPr>
          <w:rFonts w:ascii="Arial" w:hAnsi="Arial" w:cs="Arial"/>
          <w:sz w:val="24"/>
          <w:szCs w:val="24"/>
        </w:rPr>
        <w:t>Tendinţa generală de creştere a volumelor de apă subterană captată în ultimii ani poate fi pusă pe seama următoarelor cauze:</w:t>
      </w:r>
    </w:p>
    <w:p w14:paraId="5607E565" w14:textId="77777777" w:rsidR="000D318F" w:rsidRPr="005E6A61" w:rsidRDefault="000D318F" w:rsidP="0054709F">
      <w:pPr>
        <w:pStyle w:val="ListParagraph"/>
        <w:numPr>
          <w:ilvl w:val="0"/>
          <w:numId w:val="25"/>
        </w:numPr>
        <w:spacing w:after="0" w:line="240" w:lineRule="auto"/>
        <w:ind w:left="270" w:hanging="270"/>
        <w:jc w:val="both"/>
        <w:rPr>
          <w:rFonts w:ascii="Arial" w:hAnsi="Arial" w:cs="Arial"/>
          <w:sz w:val="24"/>
          <w:szCs w:val="24"/>
        </w:rPr>
      </w:pPr>
      <w:r w:rsidRPr="005E6A61">
        <w:rPr>
          <w:rFonts w:ascii="Arial" w:hAnsi="Arial" w:cs="Arial"/>
          <w:sz w:val="24"/>
          <w:szCs w:val="24"/>
        </w:rPr>
        <w:t>utilizarea capacităţii fronturilor de captare (atât de către unii agenţi economici, dar în special pentru asigurarea apei în reţeaua de distribuţie orăşenească);</w:t>
      </w:r>
    </w:p>
    <w:p w14:paraId="07F82F1C" w14:textId="77777777" w:rsidR="000D318F" w:rsidRPr="005E6A61" w:rsidRDefault="000D318F" w:rsidP="0054709F">
      <w:pPr>
        <w:pStyle w:val="ListParagraph"/>
        <w:numPr>
          <w:ilvl w:val="0"/>
          <w:numId w:val="25"/>
        </w:numPr>
        <w:spacing w:after="0" w:line="240" w:lineRule="auto"/>
        <w:ind w:left="270" w:hanging="270"/>
        <w:jc w:val="both"/>
        <w:rPr>
          <w:rFonts w:ascii="Arial" w:hAnsi="Arial" w:cs="Arial"/>
          <w:sz w:val="24"/>
          <w:szCs w:val="24"/>
        </w:rPr>
      </w:pPr>
      <w:r w:rsidRPr="005E6A61">
        <w:rPr>
          <w:rFonts w:ascii="Arial" w:hAnsi="Arial" w:cs="Arial"/>
          <w:sz w:val="24"/>
          <w:szCs w:val="24"/>
        </w:rPr>
        <w:t>creşterea numărului de utilizatori şi schimbarea profilului acestora, respectiv renunţarea la unele activităţi industriale şi orientarea spre diferite tipuri de activităţi agricole;</w:t>
      </w:r>
    </w:p>
    <w:p w14:paraId="5733E95C" w14:textId="77777777" w:rsidR="000D318F" w:rsidRPr="005E6A61" w:rsidRDefault="000D318F" w:rsidP="0054709F">
      <w:pPr>
        <w:pStyle w:val="ListParagraph"/>
        <w:numPr>
          <w:ilvl w:val="0"/>
          <w:numId w:val="25"/>
        </w:numPr>
        <w:spacing w:after="0" w:line="240" w:lineRule="auto"/>
        <w:ind w:left="270" w:hanging="270"/>
        <w:jc w:val="both"/>
        <w:rPr>
          <w:rFonts w:ascii="Arial" w:hAnsi="Arial" w:cs="Arial"/>
          <w:sz w:val="24"/>
          <w:szCs w:val="24"/>
        </w:rPr>
      </w:pPr>
      <w:r w:rsidRPr="005E6A61">
        <w:rPr>
          <w:rFonts w:ascii="Arial" w:hAnsi="Arial" w:cs="Arial"/>
          <w:sz w:val="24"/>
          <w:szCs w:val="24"/>
        </w:rPr>
        <w:t>creşterea numărului de localităţi dotate cu reţele de distribuţie a apei potabile și cu captări din surse subterane.</w:t>
      </w:r>
    </w:p>
    <w:p w14:paraId="7D8C645B" w14:textId="77777777" w:rsidR="000D318F" w:rsidRPr="005E6A61" w:rsidRDefault="000D318F" w:rsidP="000D318F">
      <w:pPr>
        <w:spacing w:after="0" w:line="240" w:lineRule="auto"/>
        <w:jc w:val="both"/>
        <w:rPr>
          <w:rFonts w:ascii="Arial" w:hAnsi="Arial" w:cs="Arial"/>
          <w:bCs/>
          <w:sz w:val="24"/>
          <w:szCs w:val="24"/>
        </w:rPr>
      </w:pPr>
      <w:r w:rsidRPr="005E6A61">
        <w:rPr>
          <w:rFonts w:ascii="Arial" w:hAnsi="Arial" w:cs="Arial"/>
          <w:bCs/>
          <w:sz w:val="24"/>
          <w:szCs w:val="24"/>
        </w:rPr>
        <w:t>Reîncărcarea acviferelor în România se realizează prin infiltrarea apelor de suprafaţă şi meteorice.</w:t>
      </w:r>
    </w:p>
    <w:p w14:paraId="0DF2F385" w14:textId="77777777" w:rsidR="000D318F" w:rsidRDefault="000D318F" w:rsidP="000D318F">
      <w:pPr>
        <w:spacing w:before="120" w:after="120" w:line="240" w:lineRule="auto"/>
        <w:ind w:firstLine="562"/>
        <w:jc w:val="both"/>
        <w:rPr>
          <w:rFonts w:ascii="Arial" w:hAnsi="Arial" w:cs="Arial"/>
          <w:sz w:val="24"/>
          <w:szCs w:val="24"/>
        </w:rPr>
      </w:pPr>
      <w:r w:rsidRPr="00C81179">
        <w:rPr>
          <w:rFonts w:ascii="Arial" w:hAnsi="Arial" w:cs="Arial"/>
          <w:sz w:val="24"/>
          <w:szCs w:val="24"/>
        </w:rPr>
        <w:t>În ceea ce priveşte balanţa prelevări/reîncarcare, care conduce la evaluarea corpului de apă subterană din punct de vedere cantitativ, nu se semnalează probleme deosebite, prelevările fiind inferioare ratei naturale de realimentare.</w:t>
      </w:r>
    </w:p>
    <w:p w14:paraId="3C74DD8E" w14:textId="77777777" w:rsidR="000D318F" w:rsidRDefault="000D318F" w:rsidP="000D318F">
      <w:pPr>
        <w:spacing w:before="120" w:after="120" w:line="240" w:lineRule="auto"/>
        <w:ind w:firstLine="540"/>
        <w:jc w:val="both"/>
        <w:rPr>
          <w:rFonts w:ascii="Arial" w:hAnsi="Arial" w:cs="Arial"/>
          <w:sz w:val="24"/>
          <w:szCs w:val="24"/>
        </w:rPr>
      </w:pPr>
      <w:r w:rsidRPr="00AA00F7">
        <w:rPr>
          <w:rFonts w:ascii="Arial" w:hAnsi="Arial" w:cs="Arial"/>
          <w:sz w:val="24"/>
          <w:szCs w:val="24"/>
        </w:rPr>
        <w:lastRenderedPageBreak/>
        <w:t>Întrucât, în România nu toate localitățile sunt racordate la sistemele centralizate de</w:t>
      </w:r>
      <w:r>
        <w:rPr>
          <w:rFonts w:ascii="Arial" w:hAnsi="Arial" w:cs="Arial"/>
          <w:sz w:val="24"/>
          <w:szCs w:val="24"/>
        </w:rPr>
        <w:t xml:space="preserve"> </w:t>
      </w:r>
      <w:r w:rsidRPr="00AA00F7">
        <w:rPr>
          <w:rFonts w:ascii="Arial" w:hAnsi="Arial" w:cs="Arial"/>
          <w:sz w:val="24"/>
          <w:szCs w:val="24"/>
        </w:rPr>
        <w:t>apă potabilă, în Legea Apelor nr. 107/1996 cu modificările și completările ulterioare se</w:t>
      </w:r>
      <w:r>
        <w:rPr>
          <w:rFonts w:ascii="Arial" w:hAnsi="Arial" w:cs="Arial"/>
          <w:sz w:val="24"/>
          <w:szCs w:val="24"/>
        </w:rPr>
        <w:t xml:space="preserve"> </w:t>
      </w:r>
      <w:r w:rsidRPr="00AA00F7">
        <w:rPr>
          <w:rFonts w:ascii="Arial" w:hAnsi="Arial" w:cs="Arial"/>
          <w:sz w:val="24"/>
          <w:szCs w:val="24"/>
        </w:rPr>
        <w:t>stabilește din punct de vedere legal posibilitatea satisfacerii necesităţilor gospodăriilor</w:t>
      </w:r>
      <w:r>
        <w:rPr>
          <w:rFonts w:ascii="Arial" w:hAnsi="Arial" w:cs="Arial"/>
          <w:sz w:val="24"/>
          <w:szCs w:val="24"/>
        </w:rPr>
        <w:t xml:space="preserve"> </w:t>
      </w:r>
      <w:r w:rsidRPr="00AA00F7">
        <w:rPr>
          <w:rFonts w:ascii="Arial" w:hAnsi="Arial" w:cs="Arial"/>
          <w:sz w:val="24"/>
          <w:szCs w:val="24"/>
        </w:rPr>
        <w:t>proprii (acces liber pentru băut, adăpat, udat, spălat, îmbăiat şi alte trebuinţe gospodăreşti)</w:t>
      </w:r>
      <w:r>
        <w:rPr>
          <w:rFonts w:ascii="Arial" w:hAnsi="Arial" w:cs="Arial"/>
          <w:sz w:val="24"/>
          <w:szCs w:val="24"/>
        </w:rPr>
        <w:t xml:space="preserve"> </w:t>
      </w:r>
      <w:r w:rsidRPr="00AA00F7">
        <w:rPr>
          <w:rFonts w:ascii="Arial" w:hAnsi="Arial" w:cs="Arial"/>
          <w:sz w:val="24"/>
          <w:szCs w:val="24"/>
        </w:rPr>
        <w:t>cu respectarea normelor sanitare şi de protecţie a calităţii apelor, dacă pentru aceasta nu</w:t>
      </w:r>
      <w:r>
        <w:rPr>
          <w:rFonts w:ascii="Arial" w:hAnsi="Arial" w:cs="Arial"/>
          <w:sz w:val="24"/>
          <w:szCs w:val="24"/>
        </w:rPr>
        <w:t xml:space="preserve"> </w:t>
      </w:r>
      <w:r w:rsidRPr="00AA00F7">
        <w:rPr>
          <w:rFonts w:ascii="Arial" w:hAnsi="Arial" w:cs="Arial"/>
          <w:sz w:val="24"/>
          <w:szCs w:val="24"/>
        </w:rPr>
        <w:t>se folosesc instalaţii sau se folosesc instalaţii de capacitate mică de până la 0,2</w:t>
      </w:r>
      <w:r>
        <w:rPr>
          <w:rFonts w:ascii="Arial" w:hAnsi="Arial" w:cs="Arial"/>
          <w:sz w:val="24"/>
          <w:szCs w:val="24"/>
        </w:rPr>
        <w:t xml:space="preserve"> </w:t>
      </w:r>
      <w:r w:rsidRPr="00AA00F7">
        <w:rPr>
          <w:rFonts w:ascii="Arial" w:hAnsi="Arial" w:cs="Arial"/>
          <w:sz w:val="24"/>
          <w:szCs w:val="24"/>
        </w:rPr>
        <w:t>litri/secunda. Potrivit Institutului Național de Statistică, din totalul populației la nivelul anului</w:t>
      </w:r>
      <w:r>
        <w:rPr>
          <w:rFonts w:ascii="Arial" w:hAnsi="Arial" w:cs="Arial"/>
          <w:sz w:val="24"/>
          <w:szCs w:val="24"/>
        </w:rPr>
        <w:t xml:space="preserve"> </w:t>
      </w:r>
      <w:r w:rsidRPr="00AA00F7">
        <w:rPr>
          <w:rFonts w:ascii="Arial" w:hAnsi="Arial" w:cs="Arial"/>
          <w:sz w:val="24"/>
          <w:szCs w:val="24"/>
        </w:rPr>
        <w:t>2020, 72,4 % se alimentează cu apă din sistemul centralizat, restul populației (27,6%)</w:t>
      </w:r>
      <w:r>
        <w:rPr>
          <w:rFonts w:ascii="Arial" w:hAnsi="Arial" w:cs="Arial"/>
          <w:sz w:val="24"/>
          <w:szCs w:val="24"/>
        </w:rPr>
        <w:t xml:space="preserve"> </w:t>
      </w:r>
      <w:r w:rsidRPr="00AA00F7">
        <w:rPr>
          <w:rFonts w:ascii="Arial" w:hAnsi="Arial" w:cs="Arial"/>
          <w:sz w:val="24"/>
          <w:szCs w:val="24"/>
        </w:rPr>
        <w:t>alimentându-se prin sisteme individuale, în principal din apa subterană.</w:t>
      </w:r>
    </w:p>
    <w:p w14:paraId="6A6458D1" w14:textId="77777777" w:rsidR="000D318F" w:rsidRDefault="000D318F" w:rsidP="000D318F">
      <w:pPr>
        <w:spacing w:before="120" w:after="120" w:line="240" w:lineRule="auto"/>
        <w:ind w:firstLine="540"/>
        <w:jc w:val="both"/>
        <w:rPr>
          <w:rFonts w:ascii="Arial" w:hAnsi="Arial" w:cs="Arial"/>
          <w:sz w:val="24"/>
          <w:szCs w:val="24"/>
        </w:rPr>
      </w:pPr>
      <w:r w:rsidRPr="00AA00F7">
        <w:rPr>
          <w:rFonts w:ascii="Arial" w:hAnsi="Arial" w:cs="Arial"/>
          <w:sz w:val="24"/>
          <w:szCs w:val="24"/>
        </w:rPr>
        <w:t xml:space="preserve">Urmare a analizei presiunilor și impactului din cadrul Planurilor de management actualizate în care s-a avut în vedere și această evaluare (inclusiv captările mici pentru necesități gospodărești), s-a concluzionat că aceste prelevări de apă sunt nesemnificative, starea cantitativă a corpurilor de apă subterană nu este afectată de aceste captări mici pentru necesitățile gospodărești, în special ale populației neracordate la sistemele de aprovizionare cu apă. </w:t>
      </w:r>
    </w:p>
    <w:p w14:paraId="26B027AA" w14:textId="77777777" w:rsidR="000D318F" w:rsidRDefault="000D318F" w:rsidP="000D318F">
      <w:pPr>
        <w:spacing w:before="120" w:after="120" w:line="240" w:lineRule="auto"/>
        <w:ind w:firstLine="540"/>
        <w:jc w:val="both"/>
        <w:rPr>
          <w:rFonts w:ascii="Arial" w:hAnsi="Arial" w:cs="Arial"/>
          <w:sz w:val="24"/>
          <w:szCs w:val="24"/>
        </w:rPr>
      </w:pPr>
      <w:r w:rsidRPr="00AA00F7">
        <w:rPr>
          <w:rFonts w:ascii="Arial" w:hAnsi="Arial" w:cs="Arial"/>
          <w:sz w:val="24"/>
          <w:szCs w:val="24"/>
        </w:rPr>
        <w:t>Este de menționat faptul că numărul populației neracordate la sistemul centralizat de alimentare cu apă va scădea treptat în viitor, prin proiectele în curs de implementare/planificate/în curs de planificare care au ca scop conectarea populației la infrastructura centralizată de apă potabilă, așa cum este prevăzut în programul de măsuri din Planurile de management actualizate.</w:t>
      </w:r>
      <w:r>
        <w:rPr>
          <w:rFonts w:ascii="Arial" w:hAnsi="Arial" w:cs="Arial"/>
          <w:sz w:val="24"/>
          <w:szCs w:val="24"/>
        </w:rPr>
        <w:t xml:space="preserve"> În concluzie, d</w:t>
      </w:r>
      <w:r w:rsidRPr="00421E86">
        <w:rPr>
          <w:rFonts w:ascii="Arial" w:hAnsi="Arial" w:cs="Arial"/>
          <w:sz w:val="24"/>
          <w:szCs w:val="24"/>
        </w:rPr>
        <w:t>in punct de vedere al impactului cantitativ, nu s-au semnalat presiuni semnificative care să conducă la degradarea stării cantitative bune</w:t>
      </w:r>
      <w:r>
        <w:rPr>
          <w:rFonts w:ascii="Arial" w:hAnsi="Arial" w:cs="Arial"/>
          <w:sz w:val="24"/>
          <w:szCs w:val="24"/>
        </w:rPr>
        <w:t xml:space="preserve">, respectiv </w:t>
      </w:r>
      <w:r w:rsidRPr="00421E86">
        <w:rPr>
          <w:rFonts w:ascii="Arial" w:hAnsi="Arial" w:cs="Arial"/>
          <w:sz w:val="24"/>
          <w:szCs w:val="24"/>
        </w:rPr>
        <w:t>toate corpurile de apă subterană fiind în stare cantitativă bună</w:t>
      </w:r>
      <w:r>
        <w:rPr>
          <w:rFonts w:ascii="Arial" w:hAnsi="Arial" w:cs="Arial"/>
          <w:sz w:val="24"/>
          <w:szCs w:val="24"/>
        </w:rPr>
        <w:t xml:space="preserve"> (Figura </w:t>
      </w:r>
      <w:r w:rsidRPr="00421E86">
        <w:rPr>
          <w:rFonts w:ascii="Arial" w:hAnsi="Arial" w:cs="Arial"/>
          <w:sz w:val="24"/>
          <w:szCs w:val="24"/>
        </w:rPr>
        <w:t>II.2.2.1.</w:t>
      </w:r>
      <w:r>
        <w:rPr>
          <w:rFonts w:ascii="Arial" w:hAnsi="Arial" w:cs="Arial"/>
          <w:sz w:val="24"/>
          <w:szCs w:val="24"/>
        </w:rPr>
        <w:t>7</w:t>
      </w:r>
      <w:r w:rsidRPr="00421E86">
        <w:rPr>
          <w:rFonts w:ascii="Arial" w:hAnsi="Arial" w:cs="Arial"/>
          <w:sz w:val="24"/>
          <w:szCs w:val="24"/>
        </w:rPr>
        <w:t>).</w:t>
      </w:r>
    </w:p>
    <w:p w14:paraId="4EEE6126" w14:textId="77777777" w:rsidR="000D318F" w:rsidRDefault="000D318F" w:rsidP="000D318F">
      <w:pPr>
        <w:spacing w:after="0" w:line="240" w:lineRule="auto"/>
        <w:ind w:firstLine="540"/>
        <w:jc w:val="both"/>
        <w:rPr>
          <w:rFonts w:ascii="Arial" w:hAnsi="Arial" w:cs="Arial"/>
          <w:sz w:val="24"/>
          <w:szCs w:val="24"/>
        </w:rPr>
      </w:pPr>
    </w:p>
    <w:p w14:paraId="2A11D815" w14:textId="77777777" w:rsidR="000D318F" w:rsidRPr="006A311E" w:rsidRDefault="000D318F" w:rsidP="000D318F">
      <w:pPr>
        <w:spacing w:after="0" w:line="240" w:lineRule="auto"/>
        <w:rPr>
          <w:rFonts w:ascii="Arial" w:hAnsi="Arial" w:cs="Arial"/>
          <w:b/>
          <w:bCs/>
          <w:sz w:val="24"/>
          <w:szCs w:val="24"/>
        </w:rPr>
      </w:pPr>
      <w:r w:rsidRPr="00421E86">
        <w:rPr>
          <w:rFonts w:ascii="Arial" w:hAnsi="Arial" w:cs="Arial"/>
          <w:b/>
          <w:bCs/>
          <w:sz w:val="24"/>
          <w:szCs w:val="24"/>
        </w:rPr>
        <w:t>Figura II.2.2.1.</w:t>
      </w:r>
      <w:r>
        <w:rPr>
          <w:rFonts w:ascii="Arial" w:hAnsi="Arial" w:cs="Arial"/>
          <w:b/>
          <w:bCs/>
          <w:sz w:val="24"/>
          <w:szCs w:val="24"/>
        </w:rPr>
        <w:t xml:space="preserve">7 </w:t>
      </w:r>
      <w:r w:rsidRPr="006A311E">
        <w:rPr>
          <w:rFonts w:ascii="Arial" w:hAnsi="Arial" w:cs="Arial"/>
          <w:b/>
          <w:bCs/>
          <w:sz w:val="24"/>
          <w:szCs w:val="24"/>
        </w:rPr>
        <w:t>Corpurile de apă subterană la risc cantitativ</w:t>
      </w:r>
    </w:p>
    <w:p w14:paraId="099B58FA" w14:textId="45528C35" w:rsidR="000D318F" w:rsidRDefault="000D318F" w:rsidP="000D318F">
      <w:pPr>
        <w:spacing w:after="0" w:line="240" w:lineRule="auto"/>
        <w:jc w:val="center"/>
        <w:rPr>
          <w:rFonts w:ascii="Arial" w:hAnsi="Arial" w:cs="Arial"/>
          <w:sz w:val="24"/>
          <w:szCs w:val="24"/>
        </w:rPr>
      </w:pPr>
      <w:r w:rsidRPr="006A311E">
        <w:rPr>
          <w:rFonts w:ascii="Arial" w:hAnsi="Arial" w:cs="Arial"/>
          <w:noProof/>
          <w:sz w:val="24"/>
          <w:szCs w:val="24"/>
          <w:lang w:val="en-GB" w:eastAsia="en-GB"/>
        </w:rPr>
        <w:drawing>
          <wp:inline distT="0" distB="0" distL="0" distR="0" wp14:anchorId="63871CD7" wp14:editId="47CAACC3">
            <wp:extent cx="5848350" cy="4533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8350" cy="4533900"/>
                    </a:xfrm>
                    <a:prstGeom prst="rect">
                      <a:avLst/>
                    </a:prstGeom>
                    <a:noFill/>
                    <a:ln>
                      <a:noFill/>
                    </a:ln>
                  </pic:spPr>
                </pic:pic>
              </a:graphicData>
            </a:graphic>
          </wp:inline>
        </w:drawing>
      </w:r>
    </w:p>
    <w:p w14:paraId="27B11CE7" w14:textId="77777777" w:rsidR="000D318F" w:rsidRPr="00813E19" w:rsidRDefault="000D318F" w:rsidP="000D318F">
      <w:pPr>
        <w:autoSpaceDE w:val="0"/>
        <w:autoSpaceDN w:val="0"/>
        <w:adjustRightInd w:val="0"/>
        <w:spacing w:after="0"/>
        <w:rPr>
          <w:rFonts w:ascii="Arial" w:hAnsi="Arial" w:cs="Arial"/>
          <w:b/>
          <w:bCs/>
          <w:sz w:val="20"/>
          <w:szCs w:val="20"/>
        </w:rPr>
      </w:pPr>
      <w:r w:rsidRPr="00813E19">
        <w:rPr>
          <w:rFonts w:ascii="Arial" w:hAnsi="Arial" w:cs="Arial"/>
          <w:i/>
          <w:sz w:val="20"/>
          <w:szCs w:val="20"/>
        </w:rPr>
        <w:t>(Sursa datelor: Administrația Națională „Apele Române”, Planul Național de Management actualizat)</w:t>
      </w:r>
    </w:p>
    <w:p w14:paraId="50AE9898" w14:textId="77777777" w:rsidR="000D318F" w:rsidRDefault="000D318F" w:rsidP="000D318F">
      <w:pPr>
        <w:spacing w:before="120" w:after="120" w:line="240" w:lineRule="auto"/>
        <w:ind w:firstLine="567"/>
        <w:jc w:val="both"/>
        <w:rPr>
          <w:rFonts w:ascii="Arial" w:hAnsi="Arial" w:cs="Arial"/>
          <w:sz w:val="24"/>
          <w:szCs w:val="24"/>
        </w:rPr>
      </w:pPr>
    </w:p>
    <w:p w14:paraId="5520CE6B" w14:textId="77777777" w:rsidR="000D318F" w:rsidRDefault="000D318F" w:rsidP="000D318F">
      <w:pPr>
        <w:spacing w:before="120" w:after="120" w:line="240" w:lineRule="auto"/>
        <w:ind w:firstLine="567"/>
        <w:jc w:val="both"/>
        <w:rPr>
          <w:rFonts w:ascii="Arial" w:hAnsi="Arial" w:cs="Arial"/>
          <w:sz w:val="24"/>
          <w:szCs w:val="24"/>
        </w:rPr>
      </w:pPr>
      <w:r w:rsidRPr="00CC1AB7">
        <w:rPr>
          <w:rFonts w:ascii="Arial" w:hAnsi="Arial" w:cs="Arial"/>
          <w:sz w:val="24"/>
          <w:szCs w:val="24"/>
        </w:rPr>
        <w:t>În Plan</w:t>
      </w:r>
      <w:r>
        <w:rPr>
          <w:rFonts w:ascii="Arial" w:hAnsi="Arial" w:cs="Arial"/>
          <w:sz w:val="24"/>
          <w:szCs w:val="24"/>
        </w:rPr>
        <w:t>ul</w:t>
      </w:r>
      <w:r w:rsidRPr="00CC1AB7">
        <w:rPr>
          <w:rFonts w:ascii="Arial" w:hAnsi="Arial" w:cs="Arial"/>
          <w:sz w:val="24"/>
          <w:szCs w:val="24"/>
        </w:rPr>
        <w:t xml:space="preserve"> Național de Management </w:t>
      </w:r>
      <w:r w:rsidRPr="005E6A61">
        <w:rPr>
          <w:rFonts w:ascii="Arial" w:hAnsi="Arial" w:cs="Arial"/>
          <w:sz w:val="24"/>
          <w:szCs w:val="24"/>
        </w:rPr>
        <w:t xml:space="preserve">actualizat 2016-2021 aprobat prin HG 859/2016 </w:t>
      </w:r>
      <w:r w:rsidRPr="00CC1AB7">
        <w:rPr>
          <w:rFonts w:ascii="Arial" w:hAnsi="Arial" w:cs="Arial"/>
          <w:sz w:val="24"/>
          <w:szCs w:val="24"/>
        </w:rPr>
        <w:t>au fost identificate 1</w:t>
      </w:r>
      <w:r>
        <w:rPr>
          <w:rFonts w:ascii="Arial" w:hAnsi="Arial" w:cs="Arial"/>
          <w:sz w:val="24"/>
          <w:szCs w:val="24"/>
        </w:rPr>
        <w:t>5</w:t>
      </w:r>
      <w:r w:rsidRPr="00CC1AB7">
        <w:rPr>
          <w:rFonts w:ascii="Arial" w:hAnsi="Arial" w:cs="Arial"/>
          <w:sz w:val="24"/>
          <w:szCs w:val="24"/>
        </w:rPr>
        <w:t xml:space="preserve"> corpuri de apă subterană care nu atingeau starea chimică bună datorită următorilor parametri: azotaţi şi amoniu, pentru care au fost prevăzute excepţii de la atingerea obiectivelor până în 2027. Datorită măsurilor luate în primul ciclu de implementare </w:t>
      </w:r>
      <w:r>
        <w:rPr>
          <w:rFonts w:ascii="Arial" w:hAnsi="Arial" w:cs="Arial"/>
          <w:sz w:val="24"/>
          <w:szCs w:val="24"/>
        </w:rPr>
        <w:t xml:space="preserve">(2010-2015) </w:t>
      </w:r>
      <w:r w:rsidRPr="00CC1AB7">
        <w:rPr>
          <w:rFonts w:ascii="Arial" w:hAnsi="Arial" w:cs="Arial"/>
          <w:sz w:val="24"/>
          <w:szCs w:val="24"/>
        </w:rPr>
        <w:t>și urmare a evaluării actuale a stării chimice</w:t>
      </w:r>
      <w:r>
        <w:rPr>
          <w:rFonts w:ascii="Arial" w:hAnsi="Arial" w:cs="Arial"/>
          <w:sz w:val="24"/>
          <w:szCs w:val="24"/>
        </w:rPr>
        <w:t xml:space="preserve"> (anul 2017-2019)</w:t>
      </w:r>
      <w:r w:rsidRPr="00CC1AB7">
        <w:rPr>
          <w:rFonts w:ascii="Arial" w:hAnsi="Arial" w:cs="Arial"/>
          <w:sz w:val="24"/>
          <w:szCs w:val="24"/>
        </w:rPr>
        <w:t xml:space="preserve">, </w:t>
      </w:r>
      <w:r>
        <w:rPr>
          <w:rFonts w:ascii="Arial" w:hAnsi="Arial" w:cs="Arial"/>
          <w:sz w:val="24"/>
          <w:szCs w:val="24"/>
        </w:rPr>
        <w:t>131</w:t>
      </w:r>
      <w:r w:rsidRPr="00CC1AB7">
        <w:rPr>
          <w:rFonts w:ascii="Arial" w:hAnsi="Arial" w:cs="Arial"/>
          <w:sz w:val="24"/>
          <w:szCs w:val="24"/>
        </w:rPr>
        <w:t xml:space="preserve"> corpuri de apă subte</w:t>
      </w:r>
      <w:r>
        <w:rPr>
          <w:rFonts w:ascii="Arial" w:hAnsi="Arial" w:cs="Arial"/>
          <w:sz w:val="24"/>
          <w:szCs w:val="24"/>
        </w:rPr>
        <w:t>rană sunt în stare chimică bună și</w:t>
      </w:r>
      <w:r w:rsidRPr="00CC1AB7">
        <w:rPr>
          <w:rFonts w:ascii="Arial" w:hAnsi="Arial" w:cs="Arial"/>
          <w:sz w:val="24"/>
          <w:szCs w:val="24"/>
        </w:rPr>
        <w:t xml:space="preserve"> </w:t>
      </w:r>
      <w:r>
        <w:rPr>
          <w:rFonts w:ascii="Arial" w:hAnsi="Arial" w:cs="Arial"/>
          <w:sz w:val="24"/>
          <w:szCs w:val="24"/>
        </w:rPr>
        <w:t xml:space="preserve">12 </w:t>
      </w:r>
      <w:r w:rsidRPr="00CC1AB7">
        <w:rPr>
          <w:rFonts w:ascii="Arial" w:hAnsi="Arial" w:cs="Arial"/>
          <w:sz w:val="24"/>
          <w:szCs w:val="24"/>
        </w:rPr>
        <w:t>sunt în stare chimică slabă.</w:t>
      </w:r>
    </w:p>
    <w:p w14:paraId="669BB87C" w14:textId="77777777" w:rsidR="000D318F" w:rsidRPr="00421E86" w:rsidRDefault="000D318F" w:rsidP="000D318F">
      <w:pPr>
        <w:spacing w:before="120" w:after="120" w:line="240" w:lineRule="auto"/>
        <w:ind w:firstLine="567"/>
        <w:jc w:val="both"/>
        <w:rPr>
          <w:rFonts w:ascii="Arial" w:hAnsi="Arial" w:cs="Arial"/>
          <w:sz w:val="24"/>
          <w:szCs w:val="24"/>
        </w:rPr>
      </w:pPr>
      <w:r w:rsidRPr="00421E86">
        <w:rPr>
          <w:rFonts w:ascii="Arial" w:hAnsi="Arial" w:cs="Arial"/>
          <w:sz w:val="24"/>
          <w:szCs w:val="24"/>
        </w:rPr>
        <w:t xml:space="preserve">Pentru determinarea </w:t>
      </w:r>
      <w:r w:rsidRPr="000E178F">
        <w:rPr>
          <w:rFonts w:ascii="Arial" w:hAnsi="Arial" w:cs="Arial"/>
          <w:b/>
          <w:bCs/>
          <w:sz w:val="24"/>
          <w:szCs w:val="24"/>
        </w:rPr>
        <w:t>riscului din punct de vedere chimic</w:t>
      </w:r>
      <w:r w:rsidRPr="00421E86">
        <w:rPr>
          <w:rFonts w:ascii="Arial" w:hAnsi="Arial" w:cs="Arial"/>
          <w:sz w:val="24"/>
          <w:szCs w:val="24"/>
        </w:rPr>
        <w:t xml:space="preserve"> s-au avut în vedere următoarele:</w:t>
      </w:r>
    </w:p>
    <w:p w14:paraId="7F01502C" w14:textId="77777777" w:rsidR="000D318F" w:rsidRPr="00421E86" w:rsidRDefault="000D318F" w:rsidP="0054709F">
      <w:pPr>
        <w:numPr>
          <w:ilvl w:val="2"/>
          <w:numId w:val="17"/>
        </w:numPr>
        <w:spacing w:before="120" w:after="120" w:line="240" w:lineRule="auto"/>
        <w:ind w:left="270" w:hanging="270"/>
        <w:jc w:val="both"/>
        <w:rPr>
          <w:rFonts w:ascii="Arial" w:hAnsi="Arial" w:cs="Arial"/>
          <w:sz w:val="24"/>
          <w:szCs w:val="24"/>
        </w:rPr>
      </w:pPr>
      <w:r w:rsidRPr="00421E86">
        <w:rPr>
          <w:rFonts w:ascii="Arial" w:hAnsi="Arial" w:cs="Arial"/>
          <w:sz w:val="24"/>
          <w:szCs w:val="24"/>
        </w:rPr>
        <w:t>corpul de apă subterană este considerat la risc dacă are depăşiri ale valorilor prag pe cel puţin 20 % din suprafaţa corpului de apă, cu condiţia să fie respectat indicele minim de reprezentativitate;</w:t>
      </w:r>
    </w:p>
    <w:p w14:paraId="706DB419" w14:textId="77777777" w:rsidR="000D318F" w:rsidRPr="00421E86" w:rsidRDefault="000D318F" w:rsidP="0054709F">
      <w:pPr>
        <w:numPr>
          <w:ilvl w:val="2"/>
          <w:numId w:val="17"/>
        </w:numPr>
        <w:spacing w:after="0" w:line="240" w:lineRule="auto"/>
        <w:ind w:left="270" w:hanging="270"/>
        <w:jc w:val="both"/>
        <w:rPr>
          <w:rFonts w:ascii="Arial" w:hAnsi="Arial" w:cs="Arial"/>
          <w:sz w:val="24"/>
          <w:szCs w:val="24"/>
        </w:rPr>
      </w:pPr>
      <w:r w:rsidRPr="00421E86">
        <w:rPr>
          <w:rFonts w:ascii="Arial" w:hAnsi="Arial" w:cs="Arial"/>
          <w:sz w:val="24"/>
          <w:szCs w:val="24"/>
        </w:rPr>
        <w:t xml:space="preserve">corpul de apă subterană nu este la risc calitativ dacă este total nepoluat, sau dacă, suprafaţa corpului de apă este afectată într-o proporţie mai mică de 20 % din suprafaţa întregului corp de apă. </w:t>
      </w:r>
    </w:p>
    <w:p w14:paraId="3BA316B2" w14:textId="77777777" w:rsidR="000D318F" w:rsidRPr="00421E86" w:rsidRDefault="000D318F" w:rsidP="000D318F">
      <w:pPr>
        <w:spacing w:before="120" w:after="120" w:line="240" w:lineRule="auto"/>
        <w:ind w:firstLine="562"/>
        <w:jc w:val="both"/>
        <w:rPr>
          <w:rFonts w:ascii="Arial" w:hAnsi="Arial" w:cs="Arial"/>
          <w:sz w:val="24"/>
          <w:szCs w:val="24"/>
        </w:rPr>
      </w:pPr>
      <w:r w:rsidRPr="00421E86">
        <w:rPr>
          <w:rFonts w:ascii="Arial" w:hAnsi="Arial" w:cs="Arial"/>
          <w:sz w:val="24"/>
          <w:szCs w:val="24"/>
        </w:rPr>
        <w:t xml:space="preserve">Valorile indicatorilor de calitate ai apelor subterane au fost interpretate având ca reper valorile standard prevăzute de Directiva privind Apele Subterane pentru azotați şi pesticide şi valorile prag determinate, după caz, pentru fiecare corp de apă subterană, aprobate prin Ordinul nr. 621 din 7 iulie 2014 privind aprobarea valorilor de prag pentru apele subterane din România şi a prevederilor Directivei 118/2006/EC cu modificările și completările ulterioare. </w:t>
      </w:r>
    </w:p>
    <w:p w14:paraId="7AAA8EFD" w14:textId="77777777" w:rsidR="000D318F" w:rsidRDefault="000D318F" w:rsidP="000D318F">
      <w:pPr>
        <w:spacing w:before="120" w:after="120" w:line="240" w:lineRule="auto"/>
        <w:ind w:firstLine="562"/>
        <w:jc w:val="both"/>
        <w:rPr>
          <w:rFonts w:ascii="Arial" w:hAnsi="Arial" w:cs="Arial"/>
          <w:sz w:val="24"/>
          <w:szCs w:val="24"/>
        </w:rPr>
      </w:pPr>
      <w:r w:rsidRPr="00421E86">
        <w:rPr>
          <w:rFonts w:ascii="Arial" w:hAnsi="Arial" w:cs="Arial"/>
          <w:sz w:val="24"/>
          <w:szCs w:val="24"/>
        </w:rPr>
        <w:t>Rezultatul acestei analize a reliefat că în România există 12 corpuri de apă subterană care riscă să nu atingă starea bună (Figura II.2.2.1.</w:t>
      </w:r>
      <w:r>
        <w:rPr>
          <w:rFonts w:ascii="Arial" w:hAnsi="Arial" w:cs="Arial"/>
          <w:sz w:val="24"/>
          <w:szCs w:val="24"/>
        </w:rPr>
        <w:t>8</w:t>
      </w:r>
      <w:r w:rsidRPr="00421E86">
        <w:rPr>
          <w:rFonts w:ascii="Arial" w:hAnsi="Arial" w:cs="Arial"/>
          <w:sz w:val="24"/>
          <w:szCs w:val="24"/>
        </w:rPr>
        <w:t>) din punct de vedere chimic, pentru indicatorul azotaţi. Riscul de neatingere a obiectivelor de mediu pentru aceste corpuri de apă subterană se datorează, în principal, emisiilor difuze cauzate de aglomerările umane, în special cele sub 2.000 l.e. care au grad scăzut de conectare la sistemele de canalizare şi la sistemele de epurare adecvate, surselor istorice reprezentate de unităţi sau complexe agrozootehnice care şi-au încetat sau redus activitatea, precum și activităților agricole.</w:t>
      </w:r>
      <w:r>
        <w:rPr>
          <w:rFonts w:ascii="Arial" w:hAnsi="Arial" w:cs="Arial"/>
          <w:sz w:val="24"/>
          <w:szCs w:val="24"/>
        </w:rPr>
        <w:t xml:space="preserve"> </w:t>
      </w:r>
    </w:p>
    <w:p w14:paraId="7C3C886D" w14:textId="77777777" w:rsidR="000D318F" w:rsidRDefault="000D318F" w:rsidP="000D318F">
      <w:pPr>
        <w:spacing w:before="120" w:after="120" w:line="240" w:lineRule="auto"/>
        <w:ind w:firstLine="562"/>
        <w:jc w:val="both"/>
        <w:rPr>
          <w:rFonts w:ascii="Arial" w:hAnsi="Arial" w:cs="Arial"/>
          <w:sz w:val="24"/>
          <w:szCs w:val="24"/>
        </w:rPr>
      </w:pPr>
      <w:r w:rsidRPr="006A311E">
        <w:rPr>
          <w:rFonts w:ascii="Arial" w:hAnsi="Arial" w:cs="Arial"/>
          <w:sz w:val="24"/>
          <w:szCs w:val="24"/>
        </w:rPr>
        <w:t xml:space="preserve">În cursul elaborării Planului Național de Management actualizat a fost completată analiza relaţiei dintre habitatele aferente siturilor de importanță comunitară (SCI) şi corpurile de apă subterană aferente Administraţiilor Bazinale de Apă cu date privind ariile de protecție specială avifaunistică (SPA) după o metodologie proprie INHGA. </w:t>
      </w:r>
    </w:p>
    <w:p w14:paraId="394ABC01" w14:textId="77777777" w:rsidR="000D318F" w:rsidRPr="006A311E" w:rsidRDefault="000D318F" w:rsidP="000D318F">
      <w:pPr>
        <w:spacing w:before="120" w:after="120" w:line="240" w:lineRule="auto"/>
        <w:ind w:firstLine="562"/>
        <w:jc w:val="both"/>
        <w:rPr>
          <w:rFonts w:ascii="Arial" w:hAnsi="Arial" w:cs="Arial"/>
          <w:sz w:val="24"/>
          <w:szCs w:val="24"/>
        </w:rPr>
      </w:pPr>
      <w:r w:rsidRPr="006A311E">
        <w:rPr>
          <w:rFonts w:ascii="Arial" w:hAnsi="Arial" w:cs="Arial"/>
          <w:sz w:val="24"/>
          <w:szCs w:val="24"/>
        </w:rPr>
        <w:t xml:space="preserve">Ca urmare a analizei din punct de vedere calitativ a rezultat că 8,39% dintre corpurile de apă subterană au fost identificate la risc de neatingere a stării chimice bune (la nivelul anului 2027), faţă de 13,38% determinate în primul Plan Naţional de Management 2009 şi 10,49 % în </w:t>
      </w:r>
      <w:r>
        <w:rPr>
          <w:rFonts w:ascii="Arial" w:hAnsi="Arial" w:cs="Arial"/>
          <w:sz w:val="24"/>
          <w:szCs w:val="24"/>
        </w:rPr>
        <w:t xml:space="preserve">al doilea </w:t>
      </w:r>
      <w:r w:rsidRPr="006A311E">
        <w:rPr>
          <w:rFonts w:ascii="Arial" w:hAnsi="Arial" w:cs="Arial"/>
          <w:sz w:val="24"/>
          <w:szCs w:val="24"/>
        </w:rPr>
        <w:t>Plan Național de Management actualizat. Toate corpurile de apă subterane nu prezintă risc de neatingere a stării cantitative bune în anul 2027.</w:t>
      </w:r>
    </w:p>
    <w:p w14:paraId="031B3654" w14:textId="77777777" w:rsidR="000D318F" w:rsidRDefault="000D318F" w:rsidP="000D318F">
      <w:pPr>
        <w:spacing w:before="120" w:after="120" w:line="240" w:lineRule="auto"/>
        <w:rPr>
          <w:rFonts w:ascii="Arial" w:hAnsi="Arial" w:cs="Arial"/>
          <w:b/>
          <w:bCs/>
          <w:sz w:val="24"/>
          <w:szCs w:val="24"/>
        </w:rPr>
      </w:pPr>
    </w:p>
    <w:p w14:paraId="45FFDE53" w14:textId="77777777" w:rsidR="000D318F" w:rsidRDefault="000D318F" w:rsidP="000D318F">
      <w:pPr>
        <w:spacing w:before="120" w:after="120" w:line="240" w:lineRule="auto"/>
        <w:rPr>
          <w:rFonts w:ascii="Arial" w:hAnsi="Arial" w:cs="Arial"/>
          <w:b/>
          <w:bCs/>
          <w:sz w:val="24"/>
          <w:szCs w:val="24"/>
        </w:rPr>
      </w:pPr>
    </w:p>
    <w:p w14:paraId="0400FDA2" w14:textId="77777777" w:rsidR="000D318F" w:rsidRDefault="000D318F" w:rsidP="000D318F">
      <w:pPr>
        <w:spacing w:before="120" w:after="120" w:line="240" w:lineRule="auto"/>
        <w:rPr>
          <w:rFonts w:ascii="Arial" w:hAnsi="Arial" w:cs="Arial"/>
          <w:b/>
          <w:bCs/>
          <w:sz w:val="24"/>
          <w:szCs w:val="24"/>
        </w:rPr>
      </w:pPr>
    </w:p>
    <w:p w14:paraId="350EF469" w14:textId="77777777" w:rsidR="000D318F" w:rsidRDefault="000D318F" w:rsidP="000D318F">
      <w:pPr>
        <w:spacing w:before="120" w:after="120" w:line="240" w:lineRule="auto"/>
        <w:rPr>
          <w:rFonts w:ascii="Arial" w:hAnsi="Arial" w:cs="Arial"/>
          <w:b/>
          <w:bCs/>
          <w:sz w:val="24"/>
          <w:szCs w:val="24"/>
        </w:rPr>
      </w:pPr>
    </w:p>
    <w:p w14:paraId="19C341B4" w14:textId="77777777" w:rsidR="000D318F" w:rsidRDefault="000D318F" w:rsidP="000D318F">
      <w:pPr>
        <w:spacing w:before="120" w:after="120" w:line="240" w:lineRule="auto"/>
        <w:rPr>
          <w:rFonts w:ascii="Arial" w:hAnsi="Arial" w:cs="Arial"/>
          <w:b/>
          <w:bCs/>
          <w:sz w:val="24"/>
          <w:szCs w:val="24"/>
        </w:rPr>
      </w:pPr>
    </w:p>
    <w:p w14:paraId="72BC5CE5" w14:textId="77777777" w:rsidR="000D318F" w:rsidRDefault="000D318F" w:rsidP="000D318F">
      <w:pPr>
        <w:spacing w:before="120" w:after="120" w:line="240" w:lineRule="auto"/>
        <w:rPr>
          <w:rFonts w:ascii="Arial" w:hAnsi="Arial" w:cs="Arial"/>
          <w:b/>
          <w:bCs/>
          <w:sz w:val="24"/>
          <w:szCs w:val="24"/>
        </w:rPr>
      </w:pPr>
    </w:p>
    <w:p w14:paraId="3F44BA79" w14:textId="77777777" w:rsidR="000D318F" w:rsidRDefault="000D318F" w:rsidP="000D318F">
      <w:pPr>
        <w:spacing w:before="120" w:after="120" w:line="240" w:lineRule="auto"/>
        <w:rPr>
          <w:rFonts w:ascii="Arial" w:hAnsi="Arial" w:cs="Arial"/>
          <w:b/>
          <w:bCs/>
          <w:sz w:val="24"/>
          <w:szCs w:val="24"/>
        </w:rPr>
      </w:pPr>
    </w:p>
    <w:p w14:paraId="4AB28268" w14:textId="77777777" w:rsidR="000D318F" w:rsidRDefault="000D318F" w:rsidP="000D318F">
      <w:pPr>
        <w:spacing w:before="120" w:after="120" w:line="240" w:lineRule="auto"/>
        <w:rPr>
          <w:rFonts w:ascii="Arial" w:hAnsi="Arial" w:cs="Arial"/>
          <w:b/>
          <w:bCs/>
          <w:sz w:val="24"/>
          <w:szCs w:val="24"/>
        </w:rPr>
      </w:pPr>
    </w:p>
    <w:p w14:paraId="3D41B070" w14:textId="77777777" w:rsidR="000D318F" w:rsidRDefault="000D318F" w:rsidP="000D318F">
      <w:pPr>
        <w:spacing w:before="120" w:after="120" w:line="240" w:lineRule="auto"/>
        <w:rPr>
          <w:rFonts w:ascii="Arial" w:hAnsi="Arial" w:cs="Arial"/>
          <w:b/>
          <w:bCs/>
          <w:sz w:val="24"/>
          <w:szCs w:val="24"/>
        </w:rPr>
      </w:pPr>
    </w:p>
    <w:p w14:paraId="1C1A9EAB" w14:textId="77777777" w:rsidR="000D318F" w:rsidRDefault="000D318F" w:rsidP="000D318F">
      <w:pPr>
        <w:spacing w:before="120" w:after="120" w:line="240" w:lineRule="auto"/>
        <w:rPr>
          <w:rFonts w:ascii="Arial" w:hAnsi="Arial" w:cs="Arial"/>
          <w:b/>
          <w:bCs/>
          <w:sz w:val="24"/>
          <w:szCs w:val="24"/>
        </w:rPr>
      </w:pPr>
    </w:p>
    <w:p w14:paraId="4445C1C4" w14:textId="77777777" w:rsidR="000D318F" w:rsidRDefault="000D318F" w:rsidP="000D318F">
      <w:pPr>
        <w:spacing w:before="120" w:after="120" w:line="240" w:lineRule="auto"/>
        <w:rPr>
          <w:rFonts w:ascii="Arial" w:hAnsi="Arial" w:cs="Arial"/>
          <w:b/>
          <w:bCs/>
          <w:sz w:val="24"/>
          <w:szCs w:val="24"/>
        </w:rPr>
      </w:pPr>
    </w:p>
    <w:p w14:paraId="43274628" w14:textId="77777777" w:rsidR="000D318F" w:rsidRDefault="000D318F" w:rsidP="000D318F">
      <w:pPr>
        <w:spacing w:before="120" w:after="120" w:line="240" w:lineRule="auto"/>
        <w:rPr>
          <w:rFonts w:ascii="Arial" w:hAnsi="Arial" w:cs="Arial"/>
          <w:b/>
          <w:bCs/>
          <w:sz w:val="24"/>
          <w:szCs w:val="24"/>
        </w:rPr>
      </w:pPr>
    </w:p>
    <w:p w14:paraId="54BB5116" w14:textId="77777777" w:rsidR="000D318F" w:rsidRDefault="000D318F" w:rsidP="000D318F">
      <w:pPr>
        <w:spacing w:before="120" w:after="120" w:line="240" w:lineRule="auto"/>
        <w:rPr>
          <w:rFonts w:ascii="Arial" w:hAnsi="Arial" w:cs="Arial"/>
          <w:b/>
          <w:bCs/>
          <w:sz w:val="24"/>
          <w:szCs w:val="24"/>
        </w:rPr>
      </w:pPr>
    </w:p>
    <w:p w14:paraId="312289B1" w14:textId="77777777" w:rsidR="000D318F" w:rsidRDefault="000D318F" w:rsidP="000D318F">
      <w:pPr>
        <w:spacing w:before="120" w:after="120" w:line="240" w:lineRule="auto"/>
        <w:rPr>
          <w:rFonts w:ascii="Arial" w:hAnsi="Arial" w:cs="Arial"/>
          <w:b/>
          <w:bCs/>
          <w:sz w:val="24"/>
          <w:szCs w:val="24"/>
        </w:rPr>
      </w:pPr>
    </w:p>
    <w:p w14:paraId="150916D5" w14:textId="77777777" w:rsidR="000D318F" w:rsidRDefault="000D318F" w:rsidP="000D318F">
      <w:pPr>
        <w:spacing w:before="120" w:after="120" w:line="240" w:lineRule="auto"/>
        <w:rPr>
          <w:rFonts w:ascii="Arial" w:hAnsi="Arial" w:cs="Arial"/>
          <w:b/>
          <w:bCs/>
          <w:sz w:val="24"/>
          <w:szCs w:val="24"/>
        </w:rPr>
      </w:pPr>
    </w:p>
    <w:p w14:paraId="18BDA074" w14:textId="77777777" w:rsidR="000D318F" w:rsidRDefault="000D318F" w:rsidP="000D318F">
      <w:pPr>
        <w:spacing w:before="120" w:after="120" w:line="240" w:lineRule="auto"/>
        <w:rPr>
          <w:rFonts w:ascii="Arial" w:hAnsi="Arial" w:cs="Arial"/>
          <w:b/>
          <w:bCs/>
          <w:sz w:val="24"/>
          <w:szCs w:val="24"/>
        </w:rPr>
      </w:pPr>
    </w:p>
    <w:p w14:paraId="3DC14906" w14:textId="77777777" w:rsidR="000D318F" w:rsidRPr="00AD756B" w:rsidRDefault="000D318F" w:rsidP="000D318F">
      <w:pPr>
        <w:spacing w:before="120" w:after="120" w:line="240" w:lineRule="auto"/>
        <w:rPr>
          <w:rFonts w:ascii="Arial" w:hAnsi="Arial" w:cs="Arial"/>
          <w:b/>
          <w:bCs/>
          <w:sz w:val="24"/>
          <w:szCs w:val="24"/>
        </w:rPr>
      </w:pPr>
      <w:r w:rsidRPr="00421E86">
        <w:rPr>
          <w:rFonts w:ascii="Arial" w:hAnsi="Arial" w:cs="Arial"/>
          <w:b/>
          <w:bCs/>
          <w:sz w:val="24"/>
          <w:szCs w:val="24"/>
        </w:rPr>
        <w:t>Figura II.2.2.1.</w:t>
      </w:r>
      <w:r>
        <w:rPr>
          <w:rFonts w:ascii="Arial" w:hAnsi="Arial" w:cs="Arial"/>
          <w:b/>
          <w:bCs/>
          <w:sz w:val="24"/>
          <w:szCs w:val="24"/>
        </w:rPr>
        <w:t xml:space="preserve">8 </w:t>
      </w:r>
      <w:r w:rsidRPr="00AD756B">
        <w:rPr>
          <w:rFonts w:ascii="Arial" w:hAnsi="Arial" w:cs="Arial"/>
          <w:b/>
          <w:bCs/>
          <w:sz w:val="24"/>
          <w:szCs w:val="24"/>
        </w:rPr>
        <w:t>Corpurile de apă subterană la risc chimic</w:t>
      </w:r>
    </w:p>
    <w:p w14:paraId="3B1B3E93" w14:textId="74BE1C3B" w:rsidR="000D318F" w:rsidRDefault="000D318F" w:rsidP="000D318F">
      <w:pPr>
        <w:spacing w:after="0" w:line="240" w:lineRule="auto"/>
        <w:jc w:val="both"/>
        <w:rPr>
          <w:rFonts w:ascii="Arial" w:hAnsi="Arial" w:cs="Arial"/>
          <w:noProof/>
          <w:sz w:val="24"/>
          <w:szCs w:val="24"/>
          <w:lang w:bidi="si-LK"/>
        </w:rPr>
      </w:pPr>
      <w:r w:rsidRPr="00421E86">
        <w:rPr>
          <w:rFonts w:ascii="Arial" w:hAnsi="Arial" w:cs="Arial"/>
          <w:noProof/>
          <w:sz w:val="24"/>
          <w:szCs w:val="24"/>
          <w:lang w:val="en-GB" w:eastAsia="en-GB"/>
        </w:rPr>
        <w:drawing>
          <wp:inline distT="0" distB="0" distL="0" distR="0" wp14:anchorId="516A52D9" wp14:editId="785BCC6B">
            <wp:extent cx="5124450" cy="3952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24450" cy="3952875"/>
                    </a:xfrm>
                    <a:prstGeom prst="rect">
                      <a:avLst/>
                    </a:prstGeom>
                    <a:noFill/>
                    <a:ln>
                      <a:noFill/>
                    </a:ln>
                  </pic:spPr>
                </pic:pic>
              </a:graphicData>
            </a:graphic>
          </wp:inline>
        </w:drawing>
      </w:r>
    </w:p>
    <w:p w14:paraId="1F3C6D9D" w14:textId="77777777" w:rsidR="000D318F" w:rsidRPr="00813E19" w:rsidRDefault="000D318F" w:rsidP="000D318F">
      <w:pPr>
        <w:spacing w:after="0" w:line="240" w:lineRule="auto"/>
        <w:jc w:val="both"/>
        <w:rPr>
          <w:rFonts w:ascii="Arial" w:hAnsi="Arial" w:cs="Arial"/>
          <w:b/>
          <w:bCs/>
          <w:sz w:val="20"/>
          <w:szCs w:val="20"/>
        </w:rPr>
      </w:pPr>
      <w:r w:rsidRPr="00813E19">
        <w:rPr>
          <w:rFonts w:ascii="Arial" w:hAnsi="Arial" w:cs="Arial"/>
          <w:i/>
          <w:sz w:val="20"/>
          <w:szCs w:val="20"/>
        </w:rPr>
        <w:t>(Sursa datelor: Administrația Națională „Apele Române”, Planul Național de Management actualizat)</w:t>
      </w:r>
    </w:p>
    <w:p w14:paraId="22C0AFC0" w14:textId="7098CAED" w:rsidR="00647093" w:rsidRDefault="00647093" w:rsidP="00DC0E7E">
      <w:pPr>
        <w:rPr>
          <w:rFonts w:asciiTheme="minorBidi" w:hAnsiTheme="minorBidi"/>
          <w:b/>
          <w:color w:val="FF0000"/>
          <w:sz w:val="24"/>
          <w:szCs w:val="24"/>
          <w:u w:val="single"/>
        </w:rPr>
      </w:pPr>
    </w:p>
    <w:p w14:paraId="7191610E" w14:textId="77777777" w:rsidR="00AE17B2" w:rsidRPr="00C515B4" w:rsidRDefault="00AE17B2" w:rsidP="00AE17B2">
      <w:pPr>
        <w:spacing w:after="0" w:line="240" w:lineRule="auto"/>
        <w:rPr>
          <w:rFonts w:ascii="Arial" w:hAnsi="Arial" w:cs="Arial"/>
          <w:b/>
          <w:iCs/>
          <w:sz w:val="24"/>
          <w:szCs w:val="24"/>
        </w:rPr>
      </w:pPr>
      <w:r w:rsidRPr="00C515B4">
        <w:rPr>
          <w:rFonts w:ascii="Arial" w:hAnsi="Arial" w:cs="Arial"/>
          <w:b/>
          <w:iCs/>
          <w:sz w:val="24"/>
          <w:szCs w:val="24"/>
        </w:rPr>
        <w:t>II.2.2.2. Apele uzate și rețelele de canalizare</w:t>
      </w:r>
    </w:p>
    <w:p w14:paraId="7145590F" w14:textId="77777777" w:rsidR="00AE17B2" w:rsidRDefault="00AE17B2" w:rsidP="00AE17B2">
      <w:pPr>
        <w:spacing w:after="0" w:line="240" w:lineRule="auto"/>
        <w:jc w:val="center"/>
        <w:rPr>
          <w:rFonts w:ascii="Arial" w:hAnsi="Arial" w:cs="Arial"/>
          <w:b/>
          <w:i/>
          <w:sz w:val="24"/>
          <w:szCs w:val="24"/>
        </w:rPr>
      </w:pPr>
    </w:p>
    <w:p w14:paraId="0C7681C6" w14:textId="77777777" w:rsidR="00AE17B2" w:rsidRPr="00C515B4" w:rsidRDefault="00AE17B2" w:rsidP="00AE17B2">
      <w:pPr>
        <w:spacing w:after="0" w:line="240" w:lineRule="auto"/>
        <w:jc w:val="center"/>
        <w:rPr>
          <w:rFonts w:ascii="Arial" w:hAnsi="Arial" w:cs="Arial"/>
          <w:b/>
          <w:iCs/>
          <w:sz w:val="24"/>
          <w:szCs w:val="24"/>
        </w:rPr>
      </w:pPr>
      <w:r w:rsidRPr="00C515B4">
        <w:rPr>
          <w:rFonts w:ascii="Arial" w:hAnsi="Arial" w:cs="Arial"/>
          <w:b/>
          <w:iCs/>
          <w:sz w:val="24"/>
          <w:szCs w:val="24"/>
          <w:highlight w:val="green"/>
        </w:rPr>
        <w:t>Indicator CSI 24. Epurarea apelor uzate urbane RO 24</w:t>
      </w:r>
    </w:p>
    <w:p w14:paraId="395D3D01" w14:textId="77777777" w:rsidR="00AE17B2" w:rsidRDefault="00AE17B2" w:rsidP="00AE17B2">
      <w:pPr>
        <w:spacing w:after="0" w:line="240" w:lineRule="auto"/>
        <w:rPr>
          <w:rFonts w:ascii="Arial" w:hAnsi="Arial" w:cs="Arial"/>
          <w:b/>
          <w:sz w:val="24"/>
          <w:szCs w:val="24"/>
        </w:rPr>
      </w:pPr>
    </w:p>
    <w:p w14:paraId="48FA326B" w14:textId="77777777" w:rsidR="00AE17B2" w:rsidRPr="005B534D" w:rsidRDefault="00AE17B2" w:rsidP="00AE17B2">
      <w:pPr>
        <w:autoSpaceDE w:val="0"/>
        <w:autoSpaceDN w:val="0"/>
        <w:adjustRightInd w:val="0"/>
        <w:spacing w:after="0" w:line="240" w:lineRule="auto"/>
        <w:ind w:firstLine="567"/>
        <w:jc w:val="both"/>
        <w:rPr>
          <w:rFonts w:ascii="Arial" w:hAnsi="Arial" w:cs="Arial"/>
          <w:sz w:val="24"/>
          <w:szCs w:val="24"/>
          <w:lang w:eastAsia="ro-RO"/>
        </w:rPr>
      </w:pPr>
      <w:r w:rsidRPr="005B534D">
        <w:rPr>
          <w:rFonts w:ascii="Arial" w:hAnsi="Arial" w:cs="Arial"/>
          <w:i/>
          <w:iCs/>
          <w:sz w:val="24"/>
          <w:szCs w:val="24"/>
          <w:lang w:eastAsia="ro-RO"/>
        </w:rPr>
        <w:t>În raport cu provenienţa lor, apele uzate se clasifică astfel: ape uzate menajere</w:t>
      </w:r>
      <w:r w:rsidRPr="005B534D">
        <w:rPr>
          <w:rFonts w:ascii="Arial" w:hAnsi="Arial" w:cs="Arial"/>
          <w:sz w:val="24"/>
          <w:szCs w:val="24"/>
          <w:lang w:eastAsia="ro-RO"/>
        </w:rPr>
        <w:t xml:space="preserve">, sunt cele care se evacuează după ce au fost folosite pentru nevoi gospodăreşti în locuinţe şi unităţi de folosinţă publică; </w:t>
      </w:r>
      <w:r w:rsidRPr="005B534D">
        <w:rPr>
          <w:rFonts w:ascii="Arial" w:hAnsi="Arial" w:cs="Arial"/>
          <w:i/>
          <w:iCs/>
          <w:sz w:val="24"/>
          <w:szCs w:val="24"/>
          <w:lang w:eastAsia="ro-RO"/>
        </w:rPr>
        <w:t>ape uzate urbane</w:t>
      </w:r>
      <w:r w:rsidRPr="005B534D">
        <w:rPr>
          <w:rFonts w:ascii="Arial" w:hAnsi="Arial" w:cs="Arial"/>
          <w:sz w:val="24"/>
          <w:szCs w:val="24"/>
          <w:lang w:eastAsia="ro-RO"/>
        </w:rPr>
        <w:t xml:space="preserve">, definite ca ape uzate menajere sau amestec de ape menajere cu ape uzate industriale şi/sau ape meteorice şi </w:t>
      </w:r>
      <w:r w:rsidRPr="005B534D">
        <w:rPr>
          <w:rFonts w:ascii="Arial" w:hAnsi="Arial" w:cs="Arial"/>
          <w:i/>
          <w:iCs/>
          <w:sz w:val="24"/>
          <w:szCs w:val="24"/>
          <w:lang w:eastAsia="ro-RO"/>
        </w:rPr>
        <w:t>ape uzate industriale</w:t>
      </w:r>
      <w:r w:rsidRPr="005B534D">
        <w:rPr>
          <w:rFonts w:ascii="Arial" w:hAnsi="Arial" w:cs="Arial"/>
          <w:sz w:val="24"/>
          <w:szCs w:val="24"/>
          <w:lang w:eastAsia="ro-RO"/>
        </w:rPr>
        <w:t>, cele care sunt evacuate ca urmare a folosirii lor în procese tehnologice de obţinere a unor produse finite industriale sau agro-industriale</w:t>
      </w:r>
      <w:r>
        <w:rPr>
          <w:rFonts w:ascii="Arial" w:hAnsi="Arial" w:cs="Arial"/>
          <w:sz w:val="24"/>
          <w:szCs w:val="24"/>
          <w:lang w:eastAsia="ro-RO"/>
        </w:rPr>
        <w:t>.</w:t>
      </w:r>
      <w:r w:rsidRPr="005B534D">
        <w:rPr>
          <w:rFonts w:ascii="Arial" w:hAnsi="Arial" w:cs="Arial"/>
          <w:sz w:val="24"/>
          <w:szCs w:val="24"/>
          <w:lang w:eastAsia="ro-RO"/>
        </w:rPr>
        <w:t xml:space="preserve"> </w:t>
      </w:r>
    </w:p>
    <w:p w14:paraId="416D11A8" w14:textId="77777777" w:rsidR="00AE17B2" w:rsidRPr="005B534D" w:rsidRDefault="00AE17B2" w:rsidP="00AE17B2">
      <w:pPr>
        <w:autoSpaceDE w:val="0"/>
        <w:autoSpaceDN w:val="0"/>
        <w:adjustRightInd w:val="0"/>
        <w:spacing w:after="0" w:line="240" w:lineRule="auto"/>
        <w:ind w:firstLine="567"/>
        <w:jc w:val="both"/>
        <w:rPr>
          <w:rFonts w:ascii="Arial" w:hAnsi="Arial" w:cs="Arial"/>
          <w:sz w:val="24"/>
          <w:szCs w:val="24"/>
          <w:lang w:eastAsia="ro-RO"/>
        </w:rPr>
      </w:pPr>
      <w:r w:rsidRPr="005B534D">
        <w:rPr>
          <w:rFonts w:ascii="Arial" w:hAnsi="Arial" w:cs="Arial"/>
          <w:sz w:val="24"/>
          <w:szCs w:val="24"/>
          <w:lang w:eastAsia="ro-RO"/>
        </w:rPr>
        <w:t>Apele uzate urbane sunt definite ca ape uzate menajere sau amestec de ape uzate menajere cu ape uzate industriale (în general provenite din industria agro-alimentară) sunt colectate prin sisteme de canalizare şi preluate şi epurate în staţii de epurare</w:t>
      </w:r>
      <w:r>
        <w:rPr>
          <w:rFonts w:ascii="Arial" w:hAnsi="Arial" w:cs="Arial"/>
          <w:sz w:val="24"/>
          <w:szCs w:val="24"/>
          <w:lang w:eastAsia="ro-RO"/>
        </w:rPr>
        <w:t>.</w:t>
      </w:r>
    </w:p>
    <w:p w14:paraId="104B2B42" w14:textId="77777777" w:rsidR="00AE17B2" w:rsidRPr="00C515B4" w:rsidRDefault="00AE17B2" w:rsidP="00AE17B2">
      <w:pPr>
        <w:autoSpaceDE w:val="0"/>
        <w:autoSpaceDN w:val="0"/>
        <w:adjustRightInd w:val="0"/>
        <w:spacing w:after="0" w:line="240" w:lineRule="auto"/>
        <w:ind w:firstLine="567"/>
        <w:jc w:val="both"/>
        <w:rPr>
          <w:rFonts w:ascii="Arial" w:hAnsi="Arial" w:cs="Arial"/>
          <w:sz w:val="24"/>
          <w:szCs w:val="24"/>
          <w:lang w:eastAsia="ro-RO"/>
        </w:rPr>
      </w:pPr>
      <w:r w:rsidRPr="00C515B4">
        <w:rPr>
          <w:rFonts w:ascii="Arial" w:hAnsi="Arial" w:cs="Arial"/>
          <w:sz w:val="24"/>
          <w:szCs w:val="24"/>
          <w:lang w:eastAsia="ro-RO"/>
        </w:rPr>
        <w:t>Apele uzate neepurate din aglomerările umane (oraşe şi sate – zonele locuite cele mai concentrate) contribuie la poluarea apelor de suprafaţă şi subterane. Poluarea se datorează în principal următoarelor aspecte:</w:t>
      </w:r>
    </w:p>
    <w:p w14:paraId="2EC7328F" w14:textId="77777777" w:rsidR="00AE17B2" w:rsidRPr="005B534D" w:rsidRDefault="00AE17B2" w:rsidP="0054709F">
      <w:pPr>
        <w:numPr>
          <w:ilvl w:val="0"/>
          <w:numId w:val="27"/>
        </w:numPr>
        <w:autoSpaceDE w:val="0"/>
        <w:autoSpaceDN w:val="0"/>
        <w:adjustRightInd w:val="0"/>
        <w:spacing w:after="0" w:line="240" w:lineRule="auto"/>
        <w:jc w:val="both"/>
        <w:rPr>
          <w:rFonts w:ascii="Arial" w:hAnsi="Arial" w:cs="Arial"/>
          <w:sz w:val="24"/>
          <w:szCs w:val="24"/>
          <w:lang w:eastAsia="ro-RO"/>
        </w:rPr>
      </w:pPr>
      <w:r w:rsidRPr="005B534D">
        <w:rPr>
          <w:rFonts w:ascii="Arial" w:hAnsi="Arial" w:cs="Arial"/>
          <w:sz w:val="24"/>
          <w:szCs w:val="24"/>
          <w:lang w:eastAsia="ro-RO"/>
        </w:rPr>
        <w:lastRenderedPageBreak/>
        <w:t>Ratei reduse a racordării populaţiei echivalente la sistemele de colectare şi epurare a apelor uzate;</w:t>
      </w:r>
    </w:p>
    <w:p w14:paraId="2AEB588A" w14:textId="77777777" w:rsidR="00AE17B2" w:rsidRPr="005B534D" w:rsidRDefault="00AE17B2" w:rsidP="0054709F">
      <w:pPr>
        <w:numPr>
          <w:ilvl w:val="0"/>
          <w:numId w:val="27"/>
        </w:numPr>
        <w:autoSpaceDE w:val="0"/>
        <w:autoSpaceDN w:val="0"/>
        <w:adjustRightInd w:val="0"/>
        <w:spacing w:after="0" w:line="240" w:lineRule="auto"/>
        <w:jc w:val="both"/>
        <w:rPr>
          <w:rFonts w:ascii="Arial" w:hAnsi="Arial" w:cs="Arial"/>
          <w:sz w:val="24"/>
          <w:szCs w:val="24"/>
          <w:lang w:eastAsia="ro-RO"/>
        </w:rPr>
      </w:pPr>
      <w:r w:rsidRPr="005B534D">
        <w:rPr>
          <w:rFonts w:ascii="Arial" w:hAnsi="Arial" w:cs="Arial"/>
          <w:sz w:val="24"/>
          <w:szCs w:val="24"/>
          <w:lang w:eastAsia="ro-RO"/>
        </w:rPr>
        <w:t>Funcţionării necorespunzătoare a staţiilor de epurare existente;</w:t>
      </w:r>
    </w:p>
    <w:p w14:paraId="21B06FA4" w14:textId="77777777" w:rsidR="00AE17B2" w:rsidRPr="005B534D" w:rsidRDefault="00AE17B2" w:rsidP="0054709F">
      <w:pPr>
        <w:numPr>
          <w:ilvl w:val="0"/>
          <w:numId w:val="28"/>
        </w:numPr>
        <w:autoSpaceDE w:val="0"/>
        <w:autoSpaceDN w:val="0"/>
        <w:adjustRightInd w:val="0"/>
        <w:spacing w:after="0" w:line="240" w:lineRule="auto"/>
        <w:jc w:val="both"/>
        <w:rPr>
          <w:rFonts w:ascii="Arial" w:hAnsi="Arial" w:cs="Arial"/>
          <w:sz w:val="24"/>
          <w:szCs w:val="24"/>
          <w:lang w:eastAsia="ro-RO"/>
        </w:rPr>
      </w:pPr>
      <w:r w:rsidRPr="005B534D">
        <w:rPr>
          <w:rFonts w:ascii="Arial" w:hAnsi="Arial" w:cs="Arial"/>
          <w:sz w:val="24"/>
          <w:szCs w:val="24"/>
          <w:lang w:eastAsia="ro-RO"/>
        </w:rPr>
        <w:t>Managementului necorespunzător al nămolurilor de la staţiile de epurare (produse secundare ale procesului de epurare a apelor uzate, considerate deșeuri biodegradabile);</w:t>
      </w:r>
    </w:p>
    <w:p w14:paraId="08B7A153" w14:textId="77777777" w:rsidR="00AE17B2" w:rsidRPr="00C515B4" w:rsidRDefault="00AE17B2" w:rsidP="0054709F">
      <w:pPr>
        <w:numPr>
          <w:ilvl w:val="0"/>
          <w:numId w:val="28"/>
        </w:numPr>
        <w:autoSpaceDE w:val="0"/>
        <w:autoSpaceDN w:val="0"/>
        <w:adjustRightInd w:val="0"/>
        <w:spacing w:after="0" w:line="240" w:lineRule="auto"/>
        <w:jc w:val="both"/>
        <w:rPr>
          <w:rFonts w:ascii="Arial" w:hAnsi="Arial" w:cs="Arial"/>
          <w:sz w:val="24"/>
          <w:szCs w:val="24"/>
          <w:lang w:eastAsia="ro-RO"/>
        </w:rPr>
      </w:pPr>
      <w:r w:rsidRPr="005B534D">
        <w:rPr>
          <w:rFonts w:ascii="Arial" w:hAnsi="Arial" w:cs="Arial"/>
          <w:sz w:val="24"/>
          <w:szCs w:val="24"/>
          <w:lang w:eastAsia="ro-RO"/>
        </w:rPr>
        <w:t>Dezvoltării zonelor urbane fără asigurarea şi dotarea cu sisteme şi instalaţii de alimentare cu apă şi canalizare, care se reflectă apoi prin evacuările de ape neepurate în emisarii naturali</w:t>
      </w:r>
      <w:r>
        <w:rPr>
          <w:rFonts w:ascii="Arial" w:hAnsi="Arial" w:cs="Arial"/>
          <w:sz w:val="24"/>
          <w:szCs w:val="24"/>
          <w:lang w:eastAsia="ro-RO"/>
        </w:rPr>
        <w:t>.</w:t>
      </w:r>
    </w:p>
    <w:p w14:paraId="07B4B038" w14:textId="77777777" w:rsidR="00AE17B2" w:rsidRPr="003A377E" w:rsidRDefault="00AE17B2" w:rsidP="00AE17B2">
      <w:pPr>
        <w:spacing w:after="0" w:line="240" w:lineRule="auto"/>
        <w:ind w:firstLine="567"/>
        <w:jc w:val="both"/>
        <w:rPr>
          <w:rFonts w:ascii="Arial" w:hAnsi="Arial" w:cs="Arial"/>
          <w:sz w:val="24"/>
          <w:szCs w:val="24"/>
        </w:rPr>
      </w:pPr>
      <w:r w:rsidRPr="005B534D">
        <w:rPr>
          <w:rFonts w:ascii="Arial" w:hAnsi="Arial" w:cs="Arial"/>
          <w:sz w:val="24"/>
          <w:szCs w:val="24"/>
        </w:rPr>
        <w:t>Calitatea apelor de suprafaţă este influenţată în mod direct de evacuările de ape uzate, neepurate sau insuficient epurate, provenite din surse punctiforme, urbane, industriale şi agricole</w:t>
      </w:r>
      <w:r>
        <w:rPr>
          <w:rFonts w:ascii="Arial" w:hAnsi="Arial" w:cs="Arial"/>
          <w:sz w:val="24"/>
          <w:szCs w:val="24"/>
        </w:rPr>
        <w:t>.</w:t>
      </w:r>
      <w:r w:rsidRPr="005B534D">
        <w:rPr>
          <w:rFonts w:ascii="Arial" w:hAnsi="Arial" w:cs="Arial"/>
          <w:sz w:val="24"/>
          <w:szCs w:val="24"/>
        </w:rPr>
        <w:t xml:space="preserve"> Impactul acestor surse de poluare asupra receptorilor naturali </w:t>
      </w:r>
      <w:r w:rsidRPr="003A377E">
        <w:rPr>
          <w:rFonts w:ascii="Arial" w:hAnsi="Arial" w:cs="Arial"/>
          <w:sz w:val="24"/>
          <w:szCs w:val="24"/>
        </w:rPr>
        <w:t>depinde de debitul apei şi de încărcarea acesteia cu substanţe poluante.</w:t>
      </w:r>
    </w:p>
    <w:p w14:paraId="39D8F743" w14:textId="77777777" w:rsidR="00AE17B2" w:rsidRDefault="00AE17B2" w:rsidP="00AE17B2">
      <w:pPr>
        <w:spacing w:after="0" w:line="240" w:lineRule="auto"/>
        <w:ind w:firstLine="567"/>
        <w:jc w:val="both"/>
        <w:rPr>
          <w:rFonts w:ascii="Arial" w:hAnsi="Arial" w:cs="Arial"/>
          <w:sz w:val="24"/>
          <w:szCs w:val="24"/>
        </w:rPr>
      </w:pPr>
      <w:r w:rsidRPr="003A377E">
        <w:rPr>
          <w:rFonts w:ascii="Arial" w:hAnsi="Arial" w:cs="Arial"/>
          <w:sz w:val="24"/>
          <w:szCs w:val="24"/>
        </w:rPr>
        <w:t>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neplăcute) ci şi atunci când, deşi aparent bună, conţine, fie şi într-o cantitate redusă, substanțe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w:t>
      </w:r>
      <w:r>
        <w:rPr>
          <w:rFonts w:ascii="Arial" w:hAnsi="Arial" w:cs="Arial"/>
          <w:sz w:val="24"/>
          <w:szCs w:val="24"/>
        </w:rPr>
        <w:t>e din industria alimentară) etc.</w:t>
      </w:r>
    </w:p>
    <w:p w14:paraId="5392918B" w14:textId="77777777" w:rsidR="00AE17B2" w:rsidRDefault="00AE17B2" w:rsidP="00AE17B2">
      <w:pPr>
        <w:spacing w:after="0" w:line="240" w:lineRule="auto"/>
        <w:ind w:firstLine="567"/>
        <w:jc w:val="both"/>
        <w:rPr>
          <w:rFonts w:ascii="Arial" w:hAnsi="Arial" w:cs="Arial"/>
          <w:sz w:val="24"/>
          <w:szCs w:val="24"/>
        </w:rPr>
      </w:pPr>
    </w:p>
    <w:p w14:paraId="38E650EC" w14:textId="77777777" w:rsidR="00AE17B2" w:rsidRDefault="00AE17B2" w:rsidP="00AE17B2">
      <w:pPr>
        <w:spacing w:after="0" w:line="240" w:lineRule="auto"/>
        <w:ind w:left="567"/>
        <w:jc w:val="both"/>
        <w:rPr>
          <w:rFonts w:ascii="Arial" w:hAnsi="Arial" w:cs="Arial"/>
          <w:b/>
          <w:sz w:val="24"/>
          <w:szCs w:val="24"/>
          <w:u w:val="single"/>
          <w:lang w:val="pt-BR"/>
        </w:rPr>
      </w:pPr>
      <w:r w:rsidRPr="005B534D">
        <w:rPr>
          <w:rFonts w:ascii="Arial" w:hAnsi="Arial" w:cs="Arial"/>
          <w:b/>
          <w:sz w:val="24"/>
          <w:szCs w:val="24"/>
          <w:u w:val="single"/>
          <w:lang w:val="pt-BR"/>
        </w:rPr>
        <w:t>Structura apelor uzate evacuate</w:t>
      </w:r>
      <w:r>
        <w:rPr>
          <w:rFonts w:ascii="Arial" w:hAnsi="Arial" w:cs="Arial"/>
          <w:b/>
          <w:sz w:val="24"/>
          <w:szCs w:val="24"/>
          <w:u w:val="single"/>
          <w:lang w:val="pt-BR"/>
        </w:rPr>
        <w:t xml:space="preserve">. </w:t>
      </w:r>
      <w:r w:rsidRPr="00B23366">
        <w:rPr>
          <w:rFonts w:ascii="Arial" w:hAnsi="Arial" w:cs="Arial"/>
          <w:b/>
          <w:sz w:val="24"/>
          <w:szCs w:val="24"/>
          <w:u w:val="single"/>
          <w:lang w:val="pt-BR"/>
        </w:rPr>
        <w:t>Substanţe poluante şi indicatori de poluare ai apelor uzate</w:t>
      </w:r>
    </w:p>
    <w:p w14:paraId="76BB35E3" w14:textId="77777777" w:rsidR="00AE17B2" w:rsidRDefault="00AE17B2" w:rsidP="00AE17B2">
      <w:pPr>
        <w:spacing w:before="120" w:after="0" w:line="240" w:lineRule="auto"/>
        <w:ind w:firstLine="562"/>
        <w:jc w:val="both"/>
        <w:rPr>
          <w:rFonts w:ascii="Arial" w:hAnsi="Arial" w:cs="Arial"/>
          <w:sz w:val="24"/>
          <w:szCs w:val="24"/>
        </w:rPr>
      </w:pPr>
      <w:r w:rsidRPr="00240C15">
        <w:rPr>
          <w:rFonts w:ascii="Arial" w:hAnsi="Arial" w:cs="Arial"/>
          <w:sz w:val="24"/>
          <w:szCs w:val="24"/>
        </w:rPr>
        <w:t>În conformitate</w:t>
      </w:r>
      <w:r>
        <w:rPr>
          <w:rFonts w:ascii="Arial" w:hAnsi="Arial" w:cs="Arial"/>
          <w:sz w:val="24"/>
          <w:szCs w:val="24"/>
        </w:rPr>
        <w:t xml:space="preserve"> cu rezultatele evaluării situaț</w:t>
      </w:r>
      <w:r w:rsidRPr="00240C15">
        <w:rPr>
          <w:rFonts w:ascii="Arial" w:hAnsi="Arial" w:cs="Arial"/>
          <w:sz w:val="24"/>
          <w:szCs w:val="24"/>
        </w:rPr>
        <w:t xml:space="preserve">iei </w:t>
      </w:r>
      <w:r>
        <w:rPr>
          <w:rFonts w:ascii="Arial" w:hAnsi="Arial" w:cs="Arial"/>
          <w:sz w:val="24"/>
          <w:szCs w:val="24"/>
        </w:rPr>
        <w:t>la nivel național</w:t>
      </w:r>
      <w:r w:rsidRPr="00240C15">
        <w:rPr>
          <w:rFonts w:ascii="Arial" w:hAnsi="Arial" w:cs="Arial"/>
          <w:sz w:val="24"/>
          <w:szCs w:val="24"/>
        </w:rPr>
        <w:t xml:space="preserve">, </w:t>
      </w:r>
      <w:r>
        <w:rPr>
          <w:rFonts w:ascii="Arial" w:hAnsi="Arial" w:cs="Arial"/>
          <w:b/>
          <w:sz w:val="24"/>
          <w:szCs w:val="24"/>
        </w:rPr>
        <w:t xml:space="preserve">volumul </w:t>
      </w:r>
      <w:r w:rsidRPr="008A7223">
        <w:rPr>
          <w:rFonts w:ascii="Arial" w:hAnsi="Arial" w:cs="Arial"/>
          <w:b/>
          <w:sz w:val="24"/>
          <w:szCs w:val="24"/>
        </w:rPr>
        <w:t xml:space="preserve">total </w:t>
      </w:r>
      <w:r>
        <w:rPr>
          <w:rFonts w:ascii="Arial" w:hAnsi="Arial" w:cs="Arial"/>
          <w:b/>
          <w:sz w:val="24"/>
          <w:szCs w:val="24"/>
        </w:rPr>
        <w:t xml:space="preserve">evacuat </w:t>
      </w:r>
      <w:r w:rsidRPr="008A7223">
        <w:rPr>
          <w:rFonts w:ascii="Arial" w:hAnsi="Arial" w:cs="Arial"/>
          <w:b/>
          <w:sz w:val="24"/>
          <w:szCs w:val="24"/>
        </w:rPr>
        <w:t>în anul 20</w:t>
      </w:r>
      <w:r>
        <w:rPr>
          <w:rFonts w:ascii="Arial" w:hAnsi="Arial" w:cs="Arial"/>
          <w:b/>
          <w:sz w:val="24"/>
          <w:szCs w:val="24"/>
        </w:rPr>
        <w:t xml:space="preserve">22 a fost de </w:t>
      </w:r>
      <w:r w:rsidRPr="00AD0A91">
        <w:rPr>
          <w:rFonts w:ascii="Arial" w:hAnsi="Arial" w:cs="Arial"/>
          <w:b/>
          <w:sz w:val="24"/>
          <w:szCs w:val="24"/>
        </w:rPr>
        <w:t>4030,76</w:t>
      </w:r>
      <w:r>
        <w:rPr>
          <w:rFonts w:ascii="Arial" w:hAnsi="Arial" w:cs="Arial"/>
          <w:b/>
          <w:sz w:val="24"/>
          <w:szCs w:val="24"/>
        </w:rPr>
        <w:t xml:space="preserve"> </w:t>
      </w:r>
      <w:r w:rsidRPr="008A7223">
        <w:rPr>
          <w:rFonts w:ascii="Arial" w:hAnsi="Arial" w:cs="Arial"/>
          <w:b/>
          <w:sz w:val="24"/>
          <w:szCs w:val="24"/>
        </w:rPr>
        <w:t>milioane m</w:t>
      </w:r>
      <w:r>
        <w:rPr>
          <w:rFonts w:ascii="Arial" w:hAnsi="Arial" w:cs="Arial"/>
          <w:b/>
          <w:sz w:val="24"/>
          <w:szCs w:val="24"/>
        </w:rPr>
        <w:t>c.</w:t>
      </w:r>
      <w:r w:rsidRPr="00240C15">
        <w:rPr>
          <w:rFonts w:ascii="Arial" w:hAnsi="Arial" w:cs="Arial"/>
          <w:sz w:val="24"/>
          <w:szCs w:val="24"/>
        </w:rPr>
        <w:t xml:space="preserve">, </w:t>
      </w:r>
      <w:r>
        <w:rPr>
          <w:rFonts w:ascii="Arial" w:hAnsi="Arial" w:cs="Arial"/>
          <w:sz w:val="24"/>
          <w:szCs w:val="24"/>
        </w:rPr>
        <w:t xml:space="preserve">din care </w:t>
      </w:r>
      <w:r w:rsidRPr="00AD0A91">
        <w:rPr>
          <w:rFonts w:ascii="Arial" w:hAnsi="Arial" w:cs="Arial"/>
          <w:sz w:val="24"/>
          <w:szCs w:val="24"/>
        </w:rPr>
        <w:t xml:space="preserve">2260,87 </w:t>
      </w:r>
      <w:r>
        <w:rPr>
          <w:rFonts w:ascii="Arial" w:hAnsi="Arial" w:cs="Arial"/>
          <w:sz w:val="24"/>
          <w:szCs w:val="24"/>
        </w:rPr>
        <w:t>milioane mc. (56,09%)</w:t>
      </w:r>
      <w:r w:rsidRPr="00240C15">
        <w:rPr>
          <w:rFonts w:ascii="Arial" w:hAnsi="Arial" w:cs="Arial"/>
          <w:sz w:val="24"/>
          <w:szCs w:val="24"/>
        </w:rPr>
        <w:t xml:space="preserve">  </w:t>
      </w:r>
      <w:r>
        <w:rPr>
          <w:rFonts w:ascii="Arial" w:hAnsi="Arial" w:cs="Arial"/>
          <w:sz w:val="24"/>
          <w:szCs w:val="24"/>
        </w:rPr>
        <w:t>reprezintă  ape</w:t>
      </w:r>
      <w:r w:rsidRPr="00240C15">
        <w:rPr>
          <w:rFonts w:ascii="Arial" w:hAnsi="Arial" w:cs="Arial"/>
          <w:sz w:val="24"/>
          <w:szCs w:val="24"/>
        </w:rPr>
        <w:t xml:space="preserve"> de răcire</w:t>
      </w:r>
      <w:r>
        <w:rPr>
          <w:rFonts w:ascii="Arial" w:hAnsi="Arial" w:cs="Arial"/>
          <w:sz w:val="24"/>
          <w:szCs w:val="24"/>
        </w:rPr>
        <w:t xml:space="preserve">, ape încadrate la categoria de </w:t>
      </w:r>
      <w:r w:rsidRPr="00240C15">
        <w:rPr>
          <w:rFonts w:ascii="Arial" w:hAnsi="Arial" w:cs="Arial"/>
          <w:b/>
          <w:bCs/>
          <w:i/>
          <w:iCs/>
          <w:sz w:val="24"/>
          <w:szCs w:val="24"/>
        </w:rPr>
        <w:t>ape uzate care nu necesită epurare</w:t>
      </w:r>
      <w:r>
        <w:rPr>
          <w:rFonts w:ascii="Arial" w:hAnsi="Arial" w:cs="Arial"/>
          <w:b/>
          <w:bCs/>
          <w:i/>
          <w:iCs/>
          <w:sz w:val="24"/>
          <w:szCs w:val="24"/>
        </w:rPr>
        <w:t>.</w:t>
      </w:r>
      <w:r w:rsidRPr="00240C15">
        <w:rPr>
          <w:rFonts w:ascii="Arial" w:hAnsi="Arial" w:cs="Arial"/>
          <w:sz w:val="24"/>
          <w:szCs w:val="24"/>
        </w:rPr>
        <w:t xml:space="preserve"> </w:t>
      </w:r>
    </w:p>
    <w:p w14:paraId="070F4299" w14:textId="77777777" w:rsidR="00AE17B2" w:rsidRDefault="00AE17B2" w:rsidP="00AE17B2">
      <w:pPr>
        <w:spacing w:after="120" w:line="240" w:lineRule="auto"/>
        <w:ind w:firstLine="562"/>
        <w:jc w:val="both"/>
        <w:rPr>
          <w:rFonts w:ascii="Arial" w:hAnsi="Arial" w:cs="Arial"/>
          <w:i/>
          <w:iCs/>
          <w:sz w:val="24"/>
          <w:szCs w:val="24"/>
        </w:rPr>
      </w:pPr>
      <w:r w:rsidRPr="00240C15">
        <w:rPr>
          <w:rFonts w:ascii="Arial" w:hAnsi="Arial" w:cs="Arial"/>
          <w:sz w:val="24"/>
          <w:szCs w:val="24"/>
        </w:rPr>
        <w:t xml:space="preserve"> </w:t>
      </w:r>
      <w:r>
        <w:rPr>
          <w:rFonts w:ascii="Arial" w:hAnsi="Arial" w:cs="Arial"/>
          <w:sz w:val="24"/>
          <w:szCs w:val="24"/>
        </w:rPr>
        <w:t xml:space="preserve">Situația privind </w:t>
      </w:r>
      <w:r w:rsidRPr="00F77A53">
        <w:rPr>
          <w:rFonts w:ascii="Arial" w:hAnsi="Arial" w:cs="Arial"/>
          <w:sz w:val="24"/>
          <w:szCs w:val="24"/>
        </w:rPr>
        <w:t xml:space="preserve">volumele de ape uzate evacuate </w:t>
      </w:r>
      <w:r w:rsidRPr="00674F95">
        <w:rPr>
          <w:rFonts w:ascii="Arial" w:hAnsi="Arial" w:cs="Arial"/>
          <w:sz w:val="24"/>
          <w:szCs w:val="24"/>
        </w:rPr>
        <w:t>în anul 202</w:t>
      </w:r>
      <w:r>
        <w:rPr>
          <w:rFonts w:ascii="Arial" w:hAnsi="Arial" w:cs="Arial"/>
          <w:sz w:val="24"/>
          <w:szCs w:val="24"/>
        </w:rPr>
        <w:t>2</w:t>
      </w:r>
      <w:r w:rsidRPr="00674F95">
        <w:rPr>
          <w:rFonts w:ascii="Arial" w:hAnsi="Arial" w:cs="Arial"/>
          <w:sz w:val="24"/>
          <w:szCs w:val="24"/>
        </w:rPr>
        <w:t xml:space="preserve"> </w:t>
      </w:r>
      <w:r w:rsidRPr="00F77A53">
        <w:rPr>
          <w:rFonts w:ascii="Arial" w:hAnsi="Arial" w:cs="Arial"/>
          <w:sz w:val="24"/>
          <w:szCs w:val="24"/>
        </w:rPr>
        <w:t xml:space="preserve">este prezentată în </w:t>
      </w:r>
      <w:r w:rsidRPr="00F77A53">
        <w:rPr>
          <w:rFonts w:ascii="Arial" w:hAnsi="Arial" w:cs="Arial"/>
          <w:i/>
          <w:iCs/>
          <w:sz w:val="24"/>
          <w:szCs w:val="24"/>
        </w:rPr>
        <w:t xml:space="preserve">Tabelul </w:t>
      </w:r>
      <w:r w:rsidRPr="00F77A53">
        <w:rPr>
          <w:rFonts w:ascii="Arial" w:hAnsi="Arial" w:cs="Arial"/>
          <w:i/>
          <w:sz w:val="24"/>
          <w:szCs w:val="24"/>
          <w:lang w:eastAsia="ro-RO"/>
        </w:rPr>
        <w:t>II</w:t>
      </w:r>
      <w:r>
        <w:rPr>
          <w:rFonts w:ascii="Arial" w:hAnsi="Arial" w:cs="Arial"/>
          <w:i/>
          <w:sz w:val="24"/>
          <w:szCs w:val="24"/>
          <w:lang w:eastAsia="ro-RO"/>
        </w:rPr>
        <w:t>.</w:t>
      </w:r>
      <w:r w:rsidRPr="00F77A53">
        <w:rPr>
          <w:rFonts w:ascii="Arial" w:hAnsi="Arial" w:cs="Arial"/>
          <w:i/>
          <w:sz w:val="24"/>
          <w:szCs w:val="24"/>
          <w:lang w:eastAsia="ro-RO"/>
        </w:rPr>
        <w:t>2</w:t>
      </w:r>
      <w:r>
        <w:rPr>
          <w:rFonts w:ascii="Arial" w:hAnsi="Arial" w:cs="Arial"/>
          <w:i/>
          <w:sz w:val="24"/>
          <w:szCs w:val="24"/>
          <w:lang w:eastAsia="ro-RO"/>
        </w:rPr>
        <w:t>.</w:t>
      </w:r>
      <w:r w:rsidRPr="00F77A53">
        <w:rPr>
          <w:rFonts w:ascii="Arial" w:hAnsi="Arial" w:cs="Arial"/>
          <w:i/>
          <w:sz w:val="24"/>
          <w:szCs w:val="24"/>
          <w:lang w:eastAsia="ro-RO"/>
        </w:rPr>
        <w:t>2</w:t>
      </w:r>
      <w:r>
        <w:rPr>
          <w:rFonts w:ascii="Arial" w:hAnsi="Arial" w:cs="Arial"/>
          <w:i/>
          <w:sz w:val="24"/>
          <w:szCs w:val="24"/>
          <w:lang w:eastAsia="ro-RO"/>
        </w:rPr>
        <w:t>.</w:t>
      </w:r>
      <w:r w:rsidRPr="00F77A53">
        <w:rPr>
          <w:rFonts w:ascii="Arial" w:hAnsi="Arial" w:cs="Arial"/>
          <w:i/>
          <w:sz w:val="24"/>
          <w:szCs w:val="24"/>
          <w:lang w:eastAsia="ro-RO"/>
        </w:rPr>
        <w:t>2</w:t>
      </w:r>
      <w:r>
        <w:rPr>
          <w:rFonts w:ascii="Arial" w:hAnsi="Arial" w:cs="Arial"/>
          <w:i/>
          <w:sz w:val="24"/>
          <w:szCs w:val="24"/>
          <w:lang w:eastAsia="ro-RO"/>
        </w:rPr>
        <w:t>.</w:t>
      </w:r>
      <w:r w:rsidRPr="00F77A53">
        <w:rPr>
          <w:rFonts w:ascii="Arial" w:hAnsi="Arial" w:cs="Arial"/>
          <w:i/>
          <w:iCs/>
          <w:sz w:val="24"/>
          <w:szCs w:val="24"/>
        </w:rPr>
        <w:t>1</w:t>
      </w:r>
      <w:r>
        <w:rPr>
          <w:rFonts w:ascii="Arial" w:hAnsi="Arial" w:cs="Arial"/>
          <w:i/>
          <w:iCs/>
          <w:sz w:val="24"/>
          <w:szCs w:val="24"/>
        </w:rPr>
        <w:t xml:space="preserve"> și Figura </w:t>
      </w:r>
      <w:r w:rsidRPr="00F77A53">
        <w:rPr>
          <w:rFonts w:ascii="Arial" w:hAnsi="Arial" w:cs="Arial"/>
          <w:i/>
          <w:sz w:val="24"/>
          <w:szCs w:val="24"/>
          <w:lang w:eastAsia="ro-RO"/>
        </w:rPr>
        <w:t>II</w:t>
      </w:r>
      <w:r>
        <w:rPr>
          <w:rFonts w:ascii="Arial" w:hAnsi="Arial" w:cs="Arial"/>
          <w:i/>
          <w:sz w:val="24"/>
          <w:szCs w:val="24"/>
          <w:lang w:eastAsia="ro-RO"/>
        </w:rPr>
        <w:t>.</w:t>
      </w:r>
      <w:r w:rsidRPr="00F77A53">
        <w:rPr>
          <w:rFonts w:ascii="Arial" w:hAnsi="Arial" w:cs="Arial"/>
          <w:i/>
          <w:sz w:val="24"/>
          <w:szCs w:val="24"/>
          <w:lang w:eastAsia="ro-RO"/>
        </w:rPr>
        <w:t>2</w:t>
      </w:r>
      <w:r>
        <w:rPr>
          <w:rFonts w:ascii="Arial" w:hAnsi="Arial" w:cs="Arial"/>
          <w:i/>
          <w:sz w:val="24"/>
          <w:szCs w:val="24"/>
          <w:lang w:eastAsia="ro-RO"/>
        </w:rPr>
        <w:t>.</w:t>
      </w:r>
      <w:r w:rsidRPr="00F77A53">
        <w:rPr>
          <w:rFonts w:ascii="Arial" w:hAnsi="Arial" w:cs="Arial"/>
          <w:i/>
          <w:sz w:val="24"/>
          <w:szCs w:val="24"/>
          <w:lang w:eastAsia="ro-RO"/>
        </w:rPr>
        <w:t>2</w:t>
      </w:r>
      <w:r>
        <w:rPr>
          <w:rFonts w:ascii="Arial" w:hAnsi="Arial" w:cs="Arial"/>
          <w:i/>
          <w:sz w:val="24"/>
          <w:szCs w:val="24"/>
          <w:lang w:eastAsia="ro-RO"/>
        </w:rPr>
        <w:t>.</w:t>
      </w:r>
      <w:r w:rsidRPr="00F77A53">
        <w:rPr>
          <w:rFonts w:ascii="Arial" w:hAnsi="Arial" w:cs="Arial"/>
          <w:i/>
          <w:sz w:val="24"/>
          <w:szCs w:val="24"/>
          <w:lang w:eastAsia="ro-RO"/>
        </w:rPr>
        <w:t>2</w:t>
      </w:r>
      <w:r>
        <w:rPr>
          <w:rFonts w:ascii="Arial" w:hAnsi="Arial" w:cs="Arial"/>
          <w:i/>
          <w:sz w:val="24"/>
          <w:szCs w:val="24"/>
          <w:lang w:eastAsia="ro-RO"/>
        </w:rPr>
        <w:t>.</w:t>
      </w:r>
      <w:r w:rsidRPr="00F77A53">
        <w:rPr>
          <w:rFonts w:ascii="Arial" w:hAnsi="Arial" w:cs="Arial"/>
          <w:i/>
          <w:iCs/>
          <w:sz w:val="24"/>
          <w:szCs w:val="24"/>
        </w:rPr>
        <w:t>1</w:t>
      </w:r>
      <w:r>
        <w:rPr>
          <w:rFonts w:ascii="Arial" w:hAnsi="Arial" w:cs="Arial"/>
          <w:i/>
          <w:iCs/>
          <w:sz w:val="24"/>
          <w:szCs w:val="24"/>
        </w:rPr>
        <w:t>.</w:t>
      </w:r>
    </w:p>
    <w:p w14:paraId="6F7AA83E" w14:textId="77777777" w:rsidR="00AE17B2" w:rsidRDefault="00AE17B2" w:rsidP="00AE17B2">
      <w:pPr>
        <w:spacing w:before="120" w:after="120" w:line="240" w:lineRule="auto"/>
        <w:ind w:firstLine="567"/>
        <w:jc w:val="both"/>
        <w:rPr>
          <w:rFonts w:ascii="Arial" w:hAnsi="Arial" w:cs="Arial"/>
          <w:i/>
          <w:iCs/>
          <w:sz w:val="24"/>
          <w:szCs w:val="24"/>
        </w:rPr>
      </w:pPr>
    </w:p>
    <w:p w14:paraId="4F95495C" w14:textId="77777777" w:rsidR="00AE17B2" w:rsidRPr="00567C05" w:rsidRDefault="00AE17B2" w:rsidP="00AE17B2">
      <w:pPr>
        <w:spacing w:after="0" w:line="240" w:lineRule="auto"/>
        <w:jc w:val="both"/>
        <w:rPr>
          <w:rFonts w:ascii="Arial" w:hAnsi="Arial" w:cs="Arial"/>
          <w:b/>
          <w:bCs/>
          <w:i/>
          <w:sz w:val="20"/>
          <w:szCs w:val="24"/>
          <w:u w:val="single"/>
        </w:rPr>
      </w:pPr>
      <w:r w:rsidRPr="00567C05">
        <w:rPr>
          <w:rFonts w:ascii="Arial" w:hAnsi="Arial" w:cs="Arial"/>
          <w:b/>
          <w:bCs/>
          <w:color w:val="000000"/>
          <w:sz w:val="20"/>
          <w:szCs w:val="24"/>
          <w:lang w:eastAsia="ro-RO"/>
        </w:rPr>
        <w:t xml:space="preserve">Tabel II.2.2.2.1 </w:t>
      </w:r>
      <w:r w:rsidRPr="00567C05">
        <w:rPr>
          <w:rFonts w:ascii="Arial" w:hAnsi="Arial" w:cs="Arial"/>
          <w:b/>
          <w:bCs/>
          <w:i/>
          <w:color w:val="000000"/>
          <w:sz w:val="20"/>
          <w:szCs w:val="24"/>
          <w:lang w:eastAsia="ro-RO"/>
        </w:rPr>
        <w:t xml:space="preserve">Volume de ape uzate evacuate la nivel național în receptorii naturali </w:t>
      </w:r>
      <w:r w:rsidRPr="00674F95">
        <w:rPr>
          <w:rFonts w:ascii="Arial" w:hAnsi="Arial" w:cs="Arial"/>
          <w:b/>
          <w:bCs/>
          <w:i/>
          <w:color w:val="000000"/>
          <w:sz w:val="20"/>
          <w:szCs w:val="24"/>
          <w:lang w:eastAsia="ro-RO"/>
        </w:rPr>
        <w:t>în anul 202</w:t>
      </w:r>
      <w:r>
        <w:rPr>
          <w:rFonts w:ascii="Arial" w:hAnsi="Arial" w:cs="Arial"/>
          <w:b/>
          <w:bCs/>
          <w:i/>
          <w:color w:val="000000"/>
          <w:sz w:val="20"/>
          <w:szCs w:val="24"/>
          <w:lang w:eastAsia="ro-RO"/>
        </w:rPr>
        <w:t xml:space="preserve">2 </w:t>
      </w:r>
      <w:r w:rsidRPr="00674F95">
        <w:rPr>
          <w:rFonts w:ascii="Arial" w:hAnsi="Arial" w:cs="Arial"/>
          <w:b/>
          <w:bCs/>
          <w:i/>
          <w:color w:val="000000"/>
          <w:sz w:val="20"/>
          <w:szCs w:val="24"/>
          <w:lang w:eastAsia="ro-RO"/>
        </w:rPr>
        <w:t>(mii mc.)</w:t>
      </w:r>
    </w:p>
    <w:tbl>
      <w:tblPr>
        <w:tblW w:w="9913" w:type="dxa"/>
        <w:tblLook w:val="04A0" w:firstRow="1" w:lastRow="0" w:firstColumn="1" w:lastColumn="0" w:noHBand="0" w:noVBand="1"/>
      </w:tblPr>
      <w:tblGrid>
        <w:gridCol w:w="980"/>
        <w:gridCol w:w="1600"/>
        <w:gridCol w:w="1580"/>
        <w:gridCol w:w="1910"/>
        <w:gridCol w:w="2177"/>
        <w:gridCol w:w="1666"/>
      </w:tblGrid>
      <w:tr w:rsidR="00AE17B2" w14:paraId="6EEBEEEA" w14:textId="77777777" w:rsidTr="00C74E50">
        <w:trPr>
          <w:trHeight w:val="459"/>
        </w:trPr>
        <w:tc>
          <w:tcPr>
            <w:tcW w:w="980" w:type="dxa"/>
            <w:vMerge w:val="restart"/>
            <w:tcBorders>
              <w:top w:val="single" w:sz="8" w:space="0" w:color="auto"/>
              <w:left w:val="single" w:sz="8" w:space="0" w:color="auto"/>
              <w:bottom w:val="single" w:sz="4" w:space="0" w:color="auto"/>
              <w:right w:val="single" w:sz="4" w:space="0" w:color="auto"/>
            </w:tcBorders>
            <w:shd w:val="clear" w:color="auto" w:fill="DEEAF6"/>
            <w:vAlign w:val="center"/>
            <w:hideMark/>
          </w:tcPr>
          <w:p w14:paraId="2D2C2B8F" w14:textId="77777777" w:rsidR="00AE17B2" w:rsidRPr="00567C05" w:rsidRDefault="00AE17B2" w:rsidP="00C74E50">
            <w:pPr>
              <w:spacing w:after="0" w:line="240" w:lineRule="auto"/>
              <w:jc w:val="center"/>
              <w:rPr>
                <w:rFonts w:ascii="Arial" w:hAnsi="Arial" w:cs="Arial"/>
                <w:b/>
                <w:bCs/>
                <w:color w:val="000000"/>
                <w:szCs w:val="24"/>
                <w:lang w:eastAsia="ro-RO"/>
              </w:rPr>
            </w:pPr>
            <w:r w:rsidRPr="00567C05">
              <w:rPr>
                <w:rFonts w:ascii="Arial" w:hAnsi="Arial" w:cs="Arial"/>
                <w:b/>
                <w:bCs/>
                <w:color w:val="000000"/>
                <w:szCs w:val="24"/>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14:paraId="128FDE53" w14:textId="77777777" w:rsidR="00AE17B2" w:rsidRPr="00567C05" w:rsidRDefault="00AE17B2" w:rsidP="00C74E50">
            <w:pPr>
              <w:spacing w:after="0"/>
              <w:jc w:val="center"/>
              <w:rPr>
                <w:rFonts w:ascii="Arial" w:hAnsi="Arial" w:cs="Arial"/>
                <w:b/>
                <w:bCs/>
                <w:color w:val="000000"/>
                <w:szCs w:val="24"/>
              </w:rPr>
            </w:pPr>
            <w:r w:rsidRPr="00567C05">
              <w:rPr>
                <w:rFonts w:ascii="Arial" w:hAnsi="Arial" w:cs="Arial"/>
                <w:b/>
                <w:bCs/>
                <w:color w:val="000000"/>
                <w:szCs w:val="24"/>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14:paraId="3450D3AB" w14:textId="77777777" w:rsidR="00AE17B2" w:rsidRPr="00567C05" w:rsidRDefault="00AE17B2" w:rsidP="00C74E50">
            <w:pPr>
              <w:spacing w:after="0"/>
              <w:jc w:val="center"/>
              <w:rPr>
                <w:rFonts w:ascii="Arial" w:hAnsi="Arial" w:cs="Arial"/>
                <w:b/>
                <w:bCs/>
                <w:color w:val="000000"/>
                <w:szCs w:val="24"/>
              </w:rPr>
            </w:pPr>
            <w:r w:rsidRPr="00567C05">
              <w:rPr>
                <w:rFonts w:ascii="Arial" w:hAnsi="Arial" w:cs="Arial"/>
                <w:b/>
                <w:bCs/>
                <w:color w:val="000000"/>
                <w:szCs w:val="24"/>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DEEAF6"/>
            <w:vAlign w:val="center"/>
            <w:hideMark/>
          </w:tcPr>
          <w:p w14:paraId="1BD525D5" w14:textId="77777777" w:rsidR="00AE17B2" w:rsidRPr="00567C05" w:rsidRDefault="00AE17B2" w:rsidP="00C74E50">
            <w:pPr>
              <w:spacing w:after="0"/>
              <w:jc w:val="center"/>
              <w:rPr>
                <w:rFonts w:ascii="Arial" w:hAnsi="Arial" w:cs="Arial"/>
                <w:b/>
                <w:bCs/>
                <w:color w:val="000000"/>
                <w:szCs w:val="24"/>
              </w:rPr>
            </w:pPr>
            <w:r w:rsidRPr="00567C05">
              <w:rPr>
                <w:rFonts w:ascii="Arial" w:hAnsi="Arial" w:cs="Arial"/>
                <w:b/>
                <w:bCs/>
                <w:color w:val="000000"/>
                <w:szCs w:val="24"/>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DEEAF6"/>
            <w:vAlign w:val="center"/>
            <w:hideMark/>
          </w:tcPr>
          <w:p w14:paraId="5B1926A2" w14:textId="77777777" w:rsidR="00AE17B2" w:rsidRPr="00567C05" w:rsidRDefault="00AE17B2" w:rsidP="00C74E50">
            <w:pPr>
              <w:spacing w:after="0"/>
              <w:jc w:val="center"/>
              <w:rPr>
                <w:rFonts w:ascii="Arial" w:hAnsi="Arial" w:cs="Arial"/>
                <w:b/>
                <w:bCs/>
                <w:color w:val="000000"/>
                <w:szCs w:val="24"/>
              </w:rPr>
            </w:pPr>
            <w:r w:rsidRPr="00567C05">
              <w:rPr>
                <w:rFonts w:ascii="Arial" w:hAnsi="Arial" w:cs="Arial"/>
                <w:b/>
                <w:bCs/>
                <w:color w:val="000000"/>
                <w:szCs w:val="24"/>
              </w:rPr>
              <w:t>Nu se epurează</w:t>
            </w:r>
          </w:p>
        </w:tc>
      </w:tr>
      <w:tr w:rsidR="00AE17B2" w14:paraId="26F5D22D" w14:textId="77777777" w:rsidTr="00C74E50">
        <w:trPr>
          <w:trHeight w:val="540"/>
        </w:trPr>
        <w:tc>
          <w:tcPr>
            <w:tcW w:w="980" w:type="dxa"/>
            <w:vMerge/>
            <w:tcBorders>
              <w:top w:val="single" w:sz="8" w:space="0" w:color="auto"/>
              <w:left w:val="single" w:sz="8" w:space="0" w:color="auto"/>
              <w:bottom w:val="single" w:sz="4" w:space="0" w:color="auto"/>
              <w:right w:val="single" w:sz="4" w:space="0" w:color="auto"/>
            </w:tcBorders>
            <w:vAlign w:val="center"/>
            <w:hideMark/>
          </w:tcPr>
          <w:p w14:paraId="6C396D95" w14:textId="77777777" w:rsidR="00AE17B2" w:rsidRPr="00567C05" w:rsidRDefault="00AE17B2" w:rsidP="00C74E50">
            <w:pPr>
              <w:jc w:val="center"/>
              <w:rPr>
                <w:rFonts w:ascii="Arial" w:hAnsi="Arial" w:cs="Arial"/>
                <w:b/>
                <w:bCs/>
                <w:color w:val="000000"/>
                <w:szCs w:val="24"/>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14:paraId="722DE097" w14:textId="77777777" w:rsidR="00AE17B2" w:rsidRPr="00567C05" w:rsidRDefault="00AE17B2" w:rsidP="00C74E50">
            <w:pPr>
              <w:jc w:val="center"/>
              <w:rPr>
                <w:rFonts w:ascii="Arial" w:hAnsi="Arial" w:cs="Arial"/>
                <w:b/>
                <w:bCs/>
                <w:color w:val="000000"/>
                <w:szCs w:val="24"/>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14:paraId="650DFD9C" w14:textId="77777777" w:rsidR="00AE17B2" w:rsidRPr="00567C05" w:rsidRDefault="00AE17B2" w:rsidP="00C74E50">
            <w:pPr>
              <w:jc w:val="center"/>
              <w:rPr>
                <w:rFonts w:ascii="Arial" w:hAnsi="Arial" w:cs="Arial"/>
                <w:b/>
                <w:bCs/>
                <w:color w:val="000000"/>
                <w:szCs w:val="24"/>
              </w:rPr>
            </w:pPr>
          </w:p>
        </w:tc>
        <w:tc>
          <w:tcPr>
            <w:tcW w:w="1910" w:type="dxa"/>
            <w:tcBorders>
              <w:top w:val="nil"/>
              <w:left w:val="nil"/>
              <w:bottom w:val="single" w:sz="4" w:space="0" w:color="auto"/>
              <w:right w:val="single" w:sz="4" w:space="0" w:color="auto"/>
            </w:tcBorders>
            <w:shd w:val="clear" w:color="auto" w:fill="DEEAF6"/>
            <w:vAlign w:val="center"/>
            <w:hideMark/>
          </w:tcPr>
          <w:p w14:paraId="64C73425" w14:textId="77777777" w:rsidR="00AE17B2" w:rsidRPr="00567C05" w:rsidRDefault="00AE17B2" w:rsidP="00C74E50">
            <w:pPr>
              <w:spacing w:after="0"/>
              <w:jc w:val="center"/>
              <w:rPr>
                <w:rFonts w:ascii="Arial" w:hAnsi="Arial" w:cs="Arial"/>
                <w:b/>
                <w:bCs/>
                <w:color w:val="000000"/>
                <w:szCs w:val="24"/>
              </w:rPr>
            </w:pPr>
            <w:r w:rsidRPr="00567C05">
              <w:rPr>
                <w:rFonts w:ascii="Arial" w:hAnsi="Arial" w:cs="Arial"/>
                <w:b/>
                <w:bCs/>
                <w:color w:val="000000"/>
                <w:szCs w:val="24"/>
              </w:rPr>
              <w:t>Corespunzător</w:t>
            </w:r>
          </w:p>
        </w:tc>
        <w:tc>
          <w:tcPr>
            <w:tcW w:w="2177" w:type="dxa"/>
            <w:tcBorders>
              <w:top w:val="nil"/>
              <w:left w:val="nil"/>
              <w:bottom w:val="single" w:sz="4" w:space="0" w:color="auto"/>
              <w:right w:val="single" w:sz="4" w:space="0" w:color="auto"/>
            </w:tcBorders>
            <w:shd w:val="clear" w:color="auto" w:fill="DEEAF6"/>
            <w:vAlign w:val="center"/>
            <w:hideMark/>
          </w:tcPr>
          <w:p w14:paraId="49284D8D" w14:textId="77777777" w:rsidR="00AE17B2" w:rsidRPr="00567C05" w:rsidRDefault="00AE17B2" w:rsidP="00C74E50">
            <w:pPr>
              <w:spacing w:after="0"/>
              <w:jc w:val="center"/>
              <w:rPr>
                <w:rFonts w:ascii="Arial" w:hAnsi="Arial" w:cs="Arial"/>
                <w:b/>
                <w:bCs/>
                <w:color w:val="000000"/>
                <w:szCs w:val="24"/>
              </w:rPr>
            </w:pPr>
            <w:r w:rsidRPr="00567C05">
              <w:rPr>
                <w:rFonts w:ascii="Arial" w:hAnsi="Arial" w:cs="Arial"/>
                <w:b/>
                <w:bCs/>
                <w:color w:val="000000"/>
                <w:szCs w:val="24"/>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14:paraId="2A33F975" w14:textId="77777777" w:rsidR="00AE17B2" w:rsidRPr="00567C05" w:rsidRDefault="00AE17B2" w:rsidP="00C74E50">
            <w:pPr>
              <w:jc w:val="center"/>
              <w:rPr>
                <w:rFonts w:ascii="Arial" w:hAnsi="Arial" w:cs="Arial"/>
                <w:b/>
                <w:bCs/>
                <w:color w:val="000000"/>
                <w:szCs w:val="24"/>
              </w:rPr>
            </w:pPr>
          </w:p>
        </w:tc>
      </w:tr>
      <w:tr w:rsidR="00AE17B2" w14:paraId="664FE83F" w14:textId="77777777" w:rsidTr="00C74E50">
        <w:trPr>
          <w:trHeight w:val="494"/>
        </w:trPr>
        <w:tc>
          <w:tcPr>
            <w:tcW w:w="980" w:type="dxa"/>
            <w:tcBorders>
              <w:top w:val="nil"/>
              <w:left w:val="single" w:sz="8" w:space="0" w:color="auto"/>
              <w:bottom w:val="single" w:sz="4" w:space="0" w:color="auto"/>
              <w:right w:val="single" w:sz="4" w:space="0" w:color="auto"/>
            </w:tcBorders>
            <w:shd w:val="clear" w:color="auto" w:fill="auto"/>
            <w:noWrap/>
            <w:vAlign w:val="center"/>
            <w:hideMark/>
          </w:tcPr>
          <w:p w14:paraId="3F8CC590" w14:textId="77777777" w:rsidR="00AE17B2" w:rsidRPr="00567C05" w:rsidRDefault="00AE17B2" w:rsidP="00C74E50">
            <w:pPr>
              <w:spacing w:after="0"/>
              <w:jc w:val="center"/>
              <w:rPr>
                <w:rFonts w:ascii="Arial" w:hAnsi="Arial" w:cs="Arial"/>
                <w:bCs/>
                <w:color w:val="000000"/>
                <w:szCs w:val="24"/>
              </w:rPr>
            </w:pPr>
            <w:r>
              <w:rPr>
                <w:rFonts w:ascii="Arial" w:hAnsi="Arial" w:cs="Arial"/>
                <w:bCs/>
                <w:color w:val="000000"/>
                <w:szCs w:val="24"/>
              </w:rPr>
              <w:t>2022</w:t>
            </w:r>
          </w:p>
        </w:tc>
        <w:tc>
          <w:tcPr>
            <w:tcW w:w="1600" w:type="dxa"/>
            <w:tcBorders>
              <w:top w:val="nil"/>
              <w:left w:val="nil"/>
              <w:bottom w:val="single" w:sz="4" w:space="0" w:color="auto"/>
              <w:right w:val="single" w:sz="4" w:space="0" w:color="auto"/>
            </w:tcBorders>
            <w:shd w:val="clear" w:color="auto" w:fill="auto"/>
            <w:noWrap/>
            <w:vAlign w:val="center"/>
            <w:hideMark/>
          </w:tcPr>
          <w:p w14:paraId="16840E84" w14:textId="77777777" w:rsidR="00AE17B2" w:rsidRDefault="00AE17B2" w:rsidP="00C74E50">
            <w:pPr>
              <w:spacing w:after="0"/>
              <w:jc w:val="center"/>
              <w:rPr>
                <w:rFonts w:ascii="Arial" w:hAnsi="Arial" w:cs="Arial"/>
                <w:bCs/>
                <w:color w:val="000000"/>
                <w:szCs w:val="24"/>
              </w:rPr>
            </w:pPr>
            <w:r w:rsidRPr="00AD0A91">
              <w:rPr>
                <w:rFonts w:ascii="Arial" w:hAnsi="Arial" w:cs="Arial"/>
                <w:bCs/>
                <w:color w:val="000000"/>
                <w:szCs w:val="24"/>
              </w:rPr>
              <w:t>4030,770</w:t>
            </w:r>
          </w:p>
          <w:p w14:paraId="632D9254" w14:textId="77777777" w:rsidR="00AE17B2" w:rsidRPr="002132D5" w:rsidRDefault="00AE17B2" w:rsidP="00C74E50">
            <w:pPr>
              <w:spacing w:after="0" w:line="240" w:lineRule="auto"/>
              <w:jc w:val="center"/>
              <w:rPr>
                <w:rFonts w:ascii="Arial" w:hAnsi="Arial" w:cs="Arial"/>
                <w:bCs/>
                <w:color w:val="000000"/>
                <w:szCs w:val="24"/>
              </w:rPr>
            </w:pPr>
          </w:p>
        </w:tc>
        <w:tc>
          <w:tcPr>
            <w:tcW w:w="1580" w:type="dxa"/>
            <w:tcBorders>
              <w:top w:val="nil"/>
              <w:left w:val="nil"/>
              <w:bottom w:val="single" w:sz="4" w:space="0" w:color="auto"/>
              <w:right w:val="single" w:sz="4" w:space="0" w:color="auto"/>
            </w:tcBorders>
            <w:shd w:val="clear" w:color="auto" w:fill="auto"/>
            <w:noWrap/>
            <w:vAlign w:val="center"/>
            <w:hideMark/>
          </w:tcPr>
          <w:p w14:paraId="66537914" w14:textId="77777777" w:rsidR="00AE17B2" w:rsidRDefault="00AE17B2" w:rsidP="00C74E50">
            <w:pPr>
              <w:spacing w:after="0"/>
              <w:jc w:val="center"/>
              <w:rPr>
                <w:rFonts w:ascii="Arial" w:hAnsi="Arial" w:cs="Arial"/>
                <w:bCs/>
                <w:color w:val="000000"/>
                <w:szCs w:val="24"/>
              </w:rPr>
            </w:pPr>
            <w:r w:rsidRPr="00AD0A91">
              <w:rPr>
                <w:rFonts w:ascii="Arial" w:hAnsi="Arial" w:cs="Arial"/>
                <w:bCs/>
                <w:color w:val="000000"/>
                <w:szCs w:val="24"/>
              </w:rPr>
              <w:t>2260,873</w:t>
            </w:r>
          </w:p>
          <w:p w14:paraId="2B58E8EE" w14:textId="77777777" w:rsidR="00AE17B2" w:rsidRPr="00DF404E" w:rsidRDefault="00AE17B2" w:rsidP="00C74E50">
            <w:pPr>
              <w:spacing w:after="0" w:line="240" w:lineRule="auto"/>
              <w:jc w:val="center"/>
              <w:rPr>
                <w:rFonts w:ascii="Arial" w:hAnsi="Arial" w:cs="Arial"/>
                <w:bCs/>
                <w:color w:val="000000"/>
                <w:szCs w:val="24"/>
              </w:rPr>
            </w:pPr>
          </w:p>
        </w:tc>
        <w:tc>
          <w:tcPr>
            <w:tcW w:w="1910" w:type="dxa"/>
            <w:tcBorders>
              <w:top w:val="single" w:sz="4" w:space="0" w:color="auto"/>
              <w:left w:val="nil"/>
              <w:bottom w:val="single" w:sz="4" w:space="0" w:color="auto"/>
              <w:right w:val="single" w:sz="4" w:space="0" w:color="auto"/>
            </w:tcBorders>
            <w:shd w:val="clear" w:color="auto" w:fill="auto"/>
            <w:noWrap/>
            <w:vAlign w:val="center"/>
            <w:hideMark/>
          </w:tcPr>
          <w:p w14:paraId="0CECC52F" w14:textId="77777777" w:rsidR="00AE17B2" w:rsidRPr="00DF404E" w:rsidRDefault="00AE17B2" w:rsidP="00C74E50">
            <w:pPr>
              <w:spacing w:after="0" w:line="240" w:lineRule="auto"/>
              <w:jc w:val="center"/>
              <w:rPr>
                <w:rFonts w:ascii="Arial" w:hAnsi="Arial" w:cs="Arial"/>
                <w:bCs/>
                <w:color w:val="000000"/>
                <w:szCs w:val="24"/>
              </w:rPr>
            </w:pPr>
            <w:r w:rsidRPr="00AD0A91">
              <w:rPr>
                <w:rFonts w:ascii="Arial" w:hAnsi="Arial" w:cs="Arial"/>
                <w:bCs/>
                <w:color w:val="000000"/>
                <w:szCs w:val="24"/>
              </w:rPr>
              <w:t>1178,78</w:t>
            </w:r>
          </w:p>
        </w:tc>
        <w:tc>
          <w:tcPr>
            <w:tcW w:w="2177" w:type="dxa"/>
            <w:tcBorders>
              <w:top w:val="single" w:sz="4" w:space="0" w:color="auto"/>
              <w:left w:val="nil"/>
              <w:bottom w:val="single" w:sz="4" w:space="0" w:color="auto"/>
              <w:right w:val="single" w:sz="4" w:space="0" w:color="auto"/>
            </w:tcBorders>
            <w:shd w:val="clear" w:color="auto" w:fill="auto"/>
            <w:noWrap/>
            <w:vAlign w:val="center"/>
            <w:hideMark/>
          </w:tcPr>
          <w:p w14:paraId="725563ED" w14:textId="77777777" w:rsidR="00AE17B2" w:rsidRPr="00DF404E" w:rsidRDefault="00AE17B2" w:rsidP="00C74E50">
            <w:pPr>
              <w:spacing w:after="0" w:line="240" w:lineRule="auto"/>
              <w:jc w:val="center"/>
              <w:rPr>
                <w:rFonts w:ascii="Arial" w:hAnsi="Arial" w:cs="Arial"/>
                <w:bCs/>
                <w:color w:val="000000"/>
                <w:szCs w:val="24"/>
              </w:rPr>
            </w:pPr>
            <w:r w:rsidRPr="00AD0A91">
              <w:rPr>
                <w:rFonts w:ascii="Arial" w:hAnsi="Arial" w:cs="Arial"/>
                <w:bCs/>
                <w:color w:val="000000"/>
                <w:szCs w:val="24"/>
              </w:rPr>
              <w:t>451,58</w:t>
            </w:r>
          </w:p>
        </w:tc>
        <w:tc>
          <w:tcPr>
            <w:tcW w:w="1666" w:type="dxa"/>
            <w:tcBorders>
              <w:top w:val="nil"/>
              <w:left w:val="nil"/>
              <w:bottom w:val="single" w:sz="4" w:space="0" w:color="auto"/>
              <w:right w:val="single" w:sz="8" w:space="0" w:color="auto"/>
            </w:tcBorders>
            <w:shd w:val="clear" w:color="auto" w:fill="auto"/>
            <w:noWrap/>
            <w:vAlign w:val="center"/>
            <w:hideMark/>
          </w:tcPr>
          <w:p w14:paraId="50E782B8" w14:textId="77777777" w:rsidR="00AE17B2" w:rsidRPr="00DF404E" w:rsidRDefault="00AE17B2" w:rsidP="00C74E50">
            <w:pPr>
              <w:spacing w:after="0"/>
              <w:jc w:val="center"/>
              <w:rPr>
                <w:rFonts w:ascii="Arial" w:hAnsi="Arial" w:cs="Arial"/>
                <w:bCs/>
                <w:color w:val="000000"/>
                <w:szCs w:val="24"/>
              </w:rPr>
            </w:pPr>
            <w:r w:rsidRPr="00AD0A91">
              <w:rPr>
                <w:rFonts w:ascii="Arial" w:hAnsi="Arial" w:cs="Arial"/>
                <w:bCs/>
                <w:color w:val="000000"/>
                <w:szCs w:val="24"/>
              </w:rPr>
              <w:t>139,52</w:t>
            </w:r>
          </w:p>
          <w:p w14:paraId="5C8E9DFD" w14:textId="77777777" w:rsidR="00AE17B2" w:rsidRPr="00DF404E" w:rsidRDefault="00AE17B2" w:rsidP="00C74E50">
            <w:pPr>
              <w:spacing w:after="0" w:line="240" w:lineRule="auto"/>
              <w:jc w:val="center"/>
              <w:rPr>
                <w:rFonts w:ascii="Arial" w:hAnsi="Arial" w:cs="Arial"/>
                <w:bCs/>
                <w:color w:val="000000"/>
                <w:szCs w:val="24"/>
              </w:rPr>
            </w:pPr>
          </w:p>
        </w:tc>
      </w:tr>
    </w:tbl>
    <w:p w14:paraId="228DA3F6" w14:textId="77777777" w:rsidR="00AE17B2" w:rsidRDefault="00AE17B2" w:rsidP="00AE17B2">
      <w:pPr>
        <w:spacing w:after="0" w:line="240" w:lineRule="auto"/>
        <w:jc w:val="both"/>
        <w:rPr>
          <w:rFonts w:ascii="Arial" w:hAnsi="Arial" w:cs="Arial"/>
          <w:i/>
          <w:iCs/>
          <w:color w:val="000000"/>
          <w:sz w:val="24"/>
          <w:szCs w:val="24"/>
          <w:lang w:eastAsia="ro-RO"/>
        </w:rPr>
      </w:pPr>
      <w:r w:rsidRPr="00530D00">
        <w:rPr>
          <w:rFonts w:ascii="Arial" w:hAnsi="Arial" w:cs="Arial"/>
          <w:i/>
          <w:iCs/>
          <w:color w:val="000000"/>
          <w:sz w:val="24"/>
          <w:szCs w:val="24"/>
          <w:lang w:eastAsia="ro-RO"/>
        </w:rPr>
        <w:t xml:space="preserve"> </w:t>
      </w:r>
      <w:r w:rsidRPr="00C515B4">
        <w:rPr>
          <w:rFonts w:ascii="Arial" w:hAnsi="Arial" w:cs="Arial"/>
          <w:i/>
          <w:iCs/>
          <w:color w:val="000000"/>
          <w:sz w:val="20"/>
          <w:szCs w:val="20"/>
          <w:lang w:eastAsia="ro-RO"/>
        </w:rPr>
        <w:t>(Sursa: Administraţia Naţională “Apele Române”, Sinteza calităţii apelor din România în anul 2022)</w:t>
      </w:r>
    </w:p>
    <w:p w14:paraId="2ED7DD80" w14:textId="77777777" w:rsidR="00AE17B2" w:rsidRPr="0019581A" w:rsidRDefault="00AE17B2" w:rsidP="00AE17B2">
      <w:pPr>
        <w:autoSpaceDE w:val="0"/>
        <w:autoSpaceDN w:val="0"/>
        <w:adjustRightInd w:val="0"/>
        <w:spacing w:after="0" w:line="240" w:lineRule="auto"/>
        <w:jc w:val="center"/>
        <w:rPr>
          <w:rFonts w:ascii="Arial" w:hAnsi="Arial" w:cs="Arial"/>
          <w:lang w:val="it-IT"/>
        </w:rPr>
      </w:pPr>
    </w:p>
    <w:p w14:paraId="2A5935C4" w14:textId="77777777" w:rsidR="00AE17B2" w:rsidRDefault="00AE17B2" w:rsidP="00AE17B2">
      <w:pPr>
        <w:spacing w:after="0"/>
        <w:jc w:val="both"/>
        <w:rPr>
          <w:rFonts w:ascii="Arial" w:hAnsi="Arial" w:cs="Arial"/>
          <w:b/>
          <w:bCs/>
          <w:i/>
          <w:color w:val="000000"/>
          <w:sz w:val="20"/>
          <w:szCs w:val="24"/>
          <w:lang w:eastAsia="ro-RO"/>
        </w:rPr>
      </w:pPr>
      <w:r w:rsidRPr="00EA6DFF">
        <w:rPr>
          <w:rFonts w:ascii="Arial" w:hAnsi="Arial" w:cs="Arial"/>
          <w:b/>
          <w:bCs/>
          <w:i/>
          <w:color w:val="000000"/>
          <w:sz w:val="20"/>
          <w:szCs w:val="24"/>
          <w:lang w:eastAsia="ro-RO"/>
        </w:rPr>
        <w:t>Figura II.2.2.2.1</w:t>
      </w:r>
      <w:r>
        <w:rPr>
          <w:rFonts w:ascii="Arial" w:hAnsi="Arial" w:cs="Arial"/>
          <w:b/>
          <w:bCs/>
          <w:i/>
          <w:color w:val="000000"/>
          <w:sz w:val="20"/>
          <w:szCs w:val="24"/>
          <w:lang w:eastAsia="ro-RO"/>
        </w:rPr>
        <w:t xml:space="preserve"> </w:t>
      </w:r>
      <w:r w:rsidRPr="00EA6DFF">
        <w:rPr>
          <w:rFonts w:ascii="Arial" w:hAnsi="Arial" w:cs="Arial"/>
          <w:b/>
          <w:bCs/>
          <w:i/>
          <w:color w:val="000000"/>
          <w:sz w:val="20"/>
          <w:szCs w:val="24"/>
          <w:lang w:eastAsia="ro-RO"/>
        </w:rPr>
        <w:t xml:space="preserve">Volume de ape uzate </w:t>
      </w:r>
      <w:r>
        <w:rPr>
          <w:rFonts w:ascii="Arial" w:hAnsi="Arial" w:cs="Arial"/>
          <w:b/>
          <w:bCs/>
          <w:i/>
          <w:color w:val="000000"/>
          <w:sz w:val="20"/>
          <w:szCs w:val="24"/>
          <w:lang w:eastAsia="ro-RO"/>
        </w:rPr>
        <w:t xml:space="preserve">care necesită epurare, </w:t>
      </w:r>
      <w:r w:rsidRPr="00EA6DFF">
        <w:rPr>
          <w:rFonts w:ascii="Arial" w:hAnsi="Arial" w:cs="Arial"/>
          <w:b/>
          <w:bCs/>
          <w:i/>
          <w:color w:val="000000"/>
          <w:sz w:val="20"/>
          <w:szCs w:val="24"/>
          <w:lang w:eastAsia="ro-RO"/>
        </w:rPr>
        <w:t xml:space="preserve">evacuate la nivel național în receptorii naturali </w:t>
      </w:r>
      <w:r w:rsidRPr="00F320F4">
        <w:rPr>
          <w:rFonts w:ascii="Arial" w:hAnsi="Arial" w:cs="Arial"/>
          <w:b/>
          <w:bCs/>
          <w:i/>
          <w:color w:val="000000"/>
          <w:sz w:val="20"/>
          <w:szCs w:val="24"/>
          <w:lang w:eastAsia="ro-RO"/>
        </w:rPr>
        <w:t>în anul 202</w:t>
      </w:r>
      <w:r>
        <w:rPr>
          <w:rFonts w:ascii="Arial" w:hAnsi="Arial" w:cs="Arial"/>
          <w:b/>
          <w:bCs/>
          <w:i/>
          <w:color w:val="000000"/>
          <w:sz w:val="20"/>
          <w:szCs w:val="24"/>
          <w:lang w:eastAsia="ro-RO"/>
        </w:rPr>
        <w:t>2</w:t>
      </w:r>
      <w:r w:rsidRPr="00F320F4">
        <w:rPr>
          <w:rFonts w:ascii="Arial" w:hAnsi="Arial" w:cs="Arial"/>
          <w:b/>
          <w:bCs/>
          <w:i/>
          <w:color w:val="000000"/>
          <w:sz w:val="20"/>
          <w:szCs w:val="24"/>
          <w:lang w:eastAsia="ro-RO"/>
        </w:rPr>
        <w:t xml:space="preserve"> (mii mc.)</w:t>
      </w:r>
    </w:p>
    <w:p w14:paraId="3B7077DF" w14:textId="42CD5472" w:rsidR="00AE17B2" w:rsidRDefault="00AE17B2" w:rsidP="00AE17B2">
      <w:pPr>
        <w:spacing w:after="0"/>
        <w:jc w:val="both"/>
        <w:rPr>
          <w:rFonts w:ascii="Arial" w:hAnsi="Arial" w:cs="Arial"/>
          <w:b/>
          <w:bCs/>
          <w:i/>
          <w:color w:val="000000"/>
          <w:sz w:val="20"/>
          <w:szCs w:val="24"/>
          <w:lang w:eastAsia="ro-RO"/>
        </w:rPr>
      </w:pPr>
      <w:r w:rsidRPr="00C75C89">
        <w:rPr>
          <w:noProof/>
          <w:lang w:val="en-GB" w:eastAsia="en-GB"/>
        </w:rPr>
        <w:lastRenderedPageBreak/>
        <w:drawing>
          <wp:inline distT="0" distB="0" distL="0" distR="0" wp14:anchorId="5BAE2BFF" wp14:editId="3B157F9C">
            <wp:extent cx="5749925" cy="3681730"/>
            <wp:effectExtent l="0" t="0" r="3175" b="13970"/>
            <wp:docPr id="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4B36D6B" w14:textId="77777777" w:rsidR="00AE17B2" w:rsidRPr="00C515B4" w:rsidRDefault="00AE17B2" w:rsidP="00AE17B2">
      <w:pPr>
        <w:spacing w:after="0"/>
        <w:jc w:val="both"/>
        <w:rPr>
          <w:rFonts w:ascii="Arial" w:hAnsi="Arial" w:cs="Arial"/>
          <w:i/>
          <w:iCs/>
          <w:color w:val="000000"/>
          <w:sz w:val="20"/>
          <w:szCs w:val="20"/>
          <w:lang w:eastAsia="ro-RO"/>
        </w:rPr>
      </w:pPr>
      <w:r w:rsidRPr="00C515B4">
        <w:rPr>
          <w:rFonts w:ascii="Arial" w:hAnsi="Arial" w:cs="Arial"/>
          <w:i/>
          <w:iCs/>
          <w:color w:val="000000"/>
          <w:sz w:val="20"/>
          <w:szCs w:val="20"/>
          <w:lang w:eastAsia="ro-RO"/>
        </w:rPr>
        <w:t xml:space="preserve"> (Sursa: Administraţia Naţională “Apele Române”, Sinteza calităţii apelor din România în anul 2022)</w:t>
      </w:r>
    </w:p>
    <w:p w14:paraId="52797FAE" w14:textId="77777777" w:rsidR="00AE17B2" w:rsidRDefault="00AE17B2" w:rsidP="00AE17B2">
      <w:pPr>
        <w:spacing w:after="0" w:line="240" w:lineRule="auto"/>
        <w:ind w:firstLine="567"/>
        <w:jc w:val="both"/>
        <w:rPr>
          <w:rFonts w:ascii="Arial" w:hAnsi="Arial" w:cs="Arial"/>
          <w:sz w:val="24"/>
          <w:szCs w:val="24"/>
        </w:rPr>
      </w:pPr>
    </w:p>
    <w:p w14:paraId="1A241FF0" w14:textId="77777777" w:rsidR="00AE17B2" w:rsidRDefault="00AE17B2" w:rsidP="00AE17B2">
      <w:pPr>
        <w:spacing w:after="0" w:line="240" w:lineRule="auto"/>
        <w:ind w:firstLine="567"/>
        <w:jc w:val="both"/>
        <w:rPr>
          <w:rFonts w:ascii="Arial" w:hAnsi="Arial" w:cs="Arial"/>
          <w:sz w:val="24"/>
          <w:szCs w:val="24"/>
        </w:rPr>
      </w:pPr>
      <w:r w:rsidRPr="00FE7085">
        <w:rPr>
          <w:rFonts w:ascii="Arial" w:hAnsi="Arial" w:cs="Arial"/>
          <w:sz w:val="24"/>
          <w:szCs w:val="24"/>
        </w:rPr>
        <w:t>În ceea ce privește ponderea încărcării principalilor indicatori de calitate din apele uzate evacuate în receptorii naturali, pe activităţi din economia naţională, situația se prezintă în Tabelul II.2.2.2.2</w:t>
      </w:r>
      <w:r>
        <w:rPr>
          <w:rFonts w:ascii="Arial" w:hAnsi="Arial" w:cs="Arial"/>
          <w:sz w:val="24"/>
          <w:szCs w:val="24"/>
        </w:rPr>
        <w:t>.</w:t>
      </w:r>
    </w:p>
    <w:p w14:paraId="76E9F8F9" w14:textId="77777777" w:rsidR="00AE17B2" w:rsidRDefault="00AE17B2" w:rsidP="00AE17B2">
      <w:pPr>
        <w:spacing w:after="0" w:line="240" w:lineRule="auto"/>
        <w:ind w:firstLine="567"/>
        <w:jc w:val="both"/>
        <w:rPr>
          <w:rFonts w:ascii="Arial" w:hAnsi="Arial" w:cs="Arial"/>
          <w:b/>
          <w:bCs/>
          <w:sz w:val="24"/>
          <w:szCs w:val="24"/>
        </w:rPr>
      </w:pPr>
    </w:p>
    <w:p w14:paraId="090170E8" w14:textId="77777777" w:rsidR="00AE17B2" w:rsidRDefault="00AE17B2" w:rsidP="00AE17B2">
      <w:pPr>
        <w:spacing w:after="0" w:line="240" w:lineRule="auto"/>
        <w:ind w:firstLine="567"/>
        <w:jc w:val="both"/>
        <w:rPr>
          <w:rFonts w:ascii="Arial" w:hAnsi="Arial" w:cs="Arial"/>
          <w:b/>
          <w:bCs/>
          <w:sz w:val="24"/>
          <w:szCs w:val="24"/>
        </w:rPr>
      </w:pPr>
    </w:p>
    <w:p w14:paraId="17551EEB" w14:textId="77777777" w:rsidR="00AE17B2" w:rsidRDefault="00AE17B2" w:rsidP="00AE17B2">
      <w:pPr>
        <w:spacing w:after="0" w:line="240" w:lineRule="auto"/>
        <w:ind w:firstLine="567"/>
        <w:jc w:val="both"/>
        <w:rPr>
          <w:rFonts w:ascii="Arial" w:hAnsi="Arial" w:cs="Arial"/>
          <w:b/>
          <w:bCs/>
          <w:sz w:val="24"/>
          <w:szCs w:val="24"/>
        </w:rPr>
      </w:pPr>
    </w:p>
    <w:p w14:paraId="378FDE69" w14:textId="77777777" w:rsidR="00AE17B2" w:rsidRDefault="00AE17B2" w:rsidP="00AE17B2">
      <w:pPr>
        <w:spacing w:after="0" w:line="240" w:lineRule="auto"/>
        <w:ind w:firstLine="567"/>
        <w:jc w:val="both"/>
        <w:rPr>
          <w:rFonts w:ascii="Arial" w:hAnsi="Arial" w:cs="Arial"/>
          <w:b/>
          <w:bCs/>
          <w:sz w:val="24"/>
          <w:szCs w:val="24"/>
        </w:rPr>
      </w:pPr>
    </w:p>
    <w:p w14:paraId="25542F19" w14:textId="77777777" w:rsidR="00AE17B2" w:rsidRDefault="00AE17B2" w:rsidP="00AE17B2">
      <w:pPr>
        <w:spacing w:after="0" w:line="240" w:lineRule="auto"/>
        <w:ind w:firstLine="567"/>
        <w:jc w:val="both"/>
        <w:rPr>
          <w:rFonts w:ascii="Arial" w:hAnsi="Arial" w:cs="Arial"/>
          <w:b/>
          <w:bCs/>
          <w:sz w:val="24"/>
          <w:szCs w:val="24"/>
        </w:rPr>
      </w:pPr>
    </w:p>
    <w:p w14:paraId="299F9A77" w14:textId="77777777" w:rsidR="00AE17B2" w:rsidRDefault="00AE17B2" w:rsidP="00AE17B2">
      <w:pPr>
        <w:spacing w:after="0" w:line="240" w:lineRule="auto"/>
        <w:ind w:firstLine="567"/>
        <w:jc w:val="both"/>
        <w:rPr>
          <w:rFonts w:ascii="Arial" w:hAnsi="Arial" w:cs="Arial"/>
          <w:b/>
          <w:bCs/>
          <w:sz w:val="24"/>
          <w:szCs w:val="24"/>
        </w:rPr>
      </w:pPr>
    </w:p>
    <w:p w14:paraId="6AF58C89" w14:textId="77777777" w:rsidR="00AE17B2" w:rsidRDefault="00AE17B2" w:rsidP="00AE17B2">
      <w:pPr>
        <w:spacing w:after="0" w:line="240" w:lineRule="auto"/>
        <w:ind w:firstLine="567"/>
        <w:jc w:val="both"/>
        <w:rPr>
          <w:rFonts w:ascii="Arial" w:hAnsi="Arial" w:cs="Arial"/>
          <w:b/>
          <w:bCs/>
          <w:sz w:val="24"/>
          <w:szCs w:val="24"/>
        </w:rPr>
      </w:pPr>
    </w:p>
    <w:p w14:paraId="691D64A5" w14:textId="77777777" w:rsidR="00AE17B2" w:rsidRDefault="00AE17B2" w:rsidP="00AE17B2">
      <w:pPr>
        <w:spacing w:after="0" w:line="240" w:lineRule="auto"/>
        <w:ind w:firstLine="567"/>
        <w:jc w:val="both"/>
        <w:rPr>
          <w:rFonts w:ascii="Arial" w:hAnsi="Arial" w:cs="Arial"/>
          <w:b/>
          <w:bCs/>
          <w:sz w:val="24"/>
          <w:szCs w:val="24"/>
        </w:rPr>
      </w:pPr>
    </w:p>
    <w:p w14:paraId="27AAF7F7" w14:textId="77777777" w:rsidR="00AE17B2" w:rsidRDefault="00AE17B2" w:rsidP="00AE17B2">
      <w:pPr>
        <w:spacing w:after="0" w:line="240" w:lineRule="auto"/>
        <w:ind w:firstLine="567"/>
        <w:jc w:val="both"/>
        <w:rPr>
          <w:rFonts w:ascii="Arial" w:hAnsi="Arial" w:cs="Arial"/>
          <w:b/>
          <w:bCs/>
          <w:sz w:val="24"/>
          <w:szCs w:val="24"/>
        </w:rPr>
      </w:pPr>
    </w:p>
    <w:p w14:paraId="64F79964" w14:textId="77777777" w:rsidR="00AE17B2" w:rsidRDefault="00AE17B2" w:rsidP="00AE17B2">
      <w:pPr>
        <w:spacing w:after="0" w:line="240" w:lineRule="auto"/>
        <w:ind w:firstLine="567"/>
        <w:jc w:val="both"/>
        <w:rPr>
          <w:rFonts w:ascii="Arial" w:hAnsi="Arial" w:cs="Arial"/>
          <w:b/>
          <w:bCs/>
          <w:sz w:val="24"/>
          <w:szCs w:val="24"/>
        </w:rPr>
      </w:pPr>
    </w:p>
    <w:p w14:paraId="09C4894B" w14:textId="77777777" w:rsidR="00AE17B2" w:rsidRDefault="00AE17B2" w:rsidP="00AE17B2">
      <w:pPr>
        <w:spacing w:after="0" w:line="240" w:lineRule="auto"/>
        <w:ind w:firstLine="567"/>
        <w:jc w:val="both"/>
        <w:rPr>
          <w:rFonts w:ascii="Arial" w:hAnsi="Arial" w:cs="Arial"/>
          <w:b/>
          <w:bCs/>
          <w:sz w:val="24"/>
          <w:szCs w:val="24"/>
        </w:rPr>
      </w:pPr>
    </w:p>
    <w:p w14:paraId="53D3AE4E" w14:textId="77777777" w:rsidR="00AE17B2" w:rsidRDefault="00AE17B2" w:rsidP="00AE17B2">
      <w:pPr>
        <w:spacing w:after="0" w:line="240" w:lineRule="auto"/>
        <w:ind w:firstLine="567"/>
        <w:jc w:val="both"/>
        <w:rPr>
          <w:rFonts w:ascii="Arial" w:hAnsi="Arial" w:cs="Arial"/>
          <w:b/>
          <w:bCs/>
          <w:sz w:val="24"/>
          <w:szCs w:val="24"/>
        </w:rPr>
      </w:pPr>
    </w:p>
    <w:p w14:paraId="7AD2B8AE" w14:textId="77777777" w:rsidR="00AE17B2" w:rsidRDefault="00AE17B2" w:rsidP="00AE17B2">
      <w:pPr>
        <w:spacing w:after="0" w:line="240" w:lineRule="auto"/>
        <w:ind w:firstLine="567"/>
        <w:jc w:val="both"/>
        <w:rPr>
          <w:rFonts w:ascii="Arial" w:hAnsi="Arial" w:cs="Arial"/>
          <w:b/>
          <w:bCs/>
          <w:sz w:val="24"/>
          <w:szCs w:val="24"/>
        </w:rPr>
      </w:pPr>
    </w:p>
    <w:p w14:paraId="0103DCF5" w14:textId="77777777" w:rsidR="00AE17B2" w:rsidRDefault="00AE17B2" w:rsidP="00AE17B2">
      <w:pPr>
        <w:spacing w:after="0" w:line="240" w:lineRule="auto"/>
        <w:ind w:firstLine="567"/>
        <w:jc w:val="both"/>
        <w:rPr>
          <w:rFonts w:ascii="Arial" w:hAnsi="Arial" w:cs="Arial"/>
          <w:b/>
          <w:bCs/>
          <w:sz w:val="24"/>
          <w:szCs w:val="24"/>
        </w:rPr>
      </w:pPr>
    </w:p>
    <w:p w14:paraId="0C404C4B" w14:textId="77777777" w:rsidR="00AE17B2" w:rsidRDefault="00AE17B2" w:rsidP="00AE17B2">
      <w:pPr>
        <w:spacing w:after="0" w:line="240" w:lineRule="auto"/>
        <w:jc w:val="both"/>
        <w:rPr>
          <w:rFonts w:ascii="Arial" w:hAnsi="Arial" w:cs="Arial"/>
          <w:b/>
          <w:bCs/>
          <w:i/>
          <w:color w:val="000000"/>
          <w:sz w:val="20"/>
          <w:szCs w:val="24"/>
          <w:lang w:eastAsia="ro-RO"/>
        </w:rPr>
      </w:pPr>
      <w:r w:rsidRPr="00BA74C6">
        <w:rPr>
          <w:rFonts w:ascii="Arial" w:hAnsi="Arial" w:cs="Arial"/>
          <w:b/>
          <w:bCs/>
          <w:color w:val="000000"/>
          <w:sz w:val="20"/>
          <w:szCs w:val="24"/>
          <w:lang w:eastAsia="ro-RO"/>
        </w:rPr>
        <w:t xml:space="preserve">Tabel II.2.2.2.2 </w:t>
      </w:r>
      <w:r>
        <w:rPr>
          <w:rFonts w:ascii="Arial" w:hAnsi="Arial" w:cs="Arial"/>
          <w:b/>
          <w:bCs/>
          <w:color w:val="000000"/>
          <w:sz w:val="20"/>
          <w:szCs w:val="20"/>
          <w:lang w:eastAsia="ro-RO"/>
        </w:rPr>
        <w:t>Principalii indicatori de calitate din apele uzate evacuate în receptorii naturali în anul 2022 (ponderea cantității de poluant din cantitatea totală evacuată, %)</w:t>
      </w:r>
    </w:p>
    <w:tbl>
      <w:tblPr>
        <w:tblW w:w="10064" w:type="dxa"/>
        <w:jc w:val="center"/>
        <w:tblLayout w:type="fixed"/>
        <w:tblCellMar>
          <w:left w:w="0" w:type="dxa"/>
          <w:right w:w="0" w:type="dxa"/>
        </w:tblCellMar>
        <w:tblLook w:val="04A0" w:firstRow="1" w:lastRow="0" w:firstColumn="1" w:lastColumn="0" w:noHBand="0" w:noVBand="1"/>
      </w:tblPr>
      <w:tblGrid>
        <w:gridCol w:w="1802"/>
        <w:gridCol w:w="813"/>
        <w:gridCol w:w="990"/>
        <w:gridCol w:w="900"/>
        <w:gridCol w:w="900"/>
        <w:gridCol w:w="990"/>
        <w:gridCol w:w="1223"/>
        <w:gridCol w:w="7"/>
        <w:gridCol w:w="1280"/>
        <w:gridCol w:w="1152"/>
        <w:gridCol w:w="7"/>
      </w:tblGrid>
      <w:tr w:rsidR="00AE17B2" w14:paraId="238EA494" w14:textId="77777777" w:rsidTr="00C74E50">
        <w:trPr>
          <w:gridAfter w:val="1"/>
          <w:wAfter w:w="7" w:type="dxa"/>
          <w:trHeight w:val="315"/>
          <w:jc w:val="center"/>
        </w:trPr>
        <w:tc>
          <w:tcPr>
            <w:tcW w:w="1802" w:type="dxa"/>
            <w:vMerge w:val="restart"/>
            <w:tcBorders>
              <w:top w:val="single" w:sz="8" w:space="0" w:color="auto"/>
              <w:left w:val="single" w:sz="8" w:space="0" w:color="auto"/>
              <w:bottom w:val="single" w:sz="8" w:space="0" w:color="000000"/>
              <w:right w:val="single" w:sz="8" w:space="0" w:color="auto"/>
            </w:tcBorders>
            <w:shd w:val="clear" w:color="auto" w:fill="DEEAF6"/>
            <w:tcMar>
              <w:top w:w="0" w:type="dxa"/>
              <w:left w:w="108" w:type="dxa"/>
              <w:bottom w:w="0" w:type="dxa"/>
              <w:right w:w="108" w:type="dxa"/>
            </w:tcMar>
            <w:vAlign w:val="center"/>
            <w:hideMark/>
          </w:tcPr>
          <w:p w14:paraId="19BB8FF3"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b/>
                <w:bCs/>
                <w:color w:val="000000"/>
                <w:sz w:val="20"/>
                <w:szCs w:val="20"/>
                <w:lang w:eastAsia="ro-RO"/>
              </w:rPr>
              <w:t>Principalele activități economice</w:t>
            </w:r>
          </w:p>
        </w:tc>
        <w:tc>
          <w:tcPr>
            <w:tcW w:w="8255" w:type="dxa"/>
            <w:gridSpan w:val="9"/>
            <w:tcBorders>
              <w:top w:val="single" w:sz="8" w:space="0" w:color="auto"/>
              <w:left w:val="nil"/>
              <w:bottom w:val="single" w:sz="8" w:space="0" w:color="auto"/>
              <w:right w:val="single" w:sz="8" w:space="0" w:color="000000"/>
            </w:tcBorders>
            <w:shd w:val="clear" w:color="auto" w:fill="DEEAF6"/>
            <w:noWrap/>
            <w:tcMar>
              <w:top w:w="0" w:type="dxa"/>
              <w:left w:w="108" w:type="dxa"/>
              <w:bottom w:w="0" w:type="dxa"/>
              <w:right w:w="108" w:type="dxa"/>
            </w:tcMar>
            <w:vAlign w:val="center"/>
            <w:hideMark/>
          </w:tcPr>
          <w:p w14:paraId="4B8E0CD2"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b/>
                <w:bCs/>
                <w:color w:val="000000"/>
                <w:sz w:val="20"/>
                <w:szCs w:val="20"/>
                <w:lang w:eastAsia="ro-RO"/>
              </w:rPr>
              <w:t>Principalii indicatori de calitate din apele uzate evacuate în receptorii naturali în anul 2022 (ponderea cantității de poluant din cantitatea totală evacuată, %)</w:t>
            </w:r>
          </w:p>
        </w:tc>
      </w:tr>
      <w:tr w:rsidR="00AE17B2" w14:paraId="53106920" w14:textId="77777777" w:rsidTr="00C74E50">
        <w:trPr>
          <w:trHeight w:val="459"/>
          <w:jc w:val="center"/>
        </w:trPr>
        <w:tc>
          <w:tcPr>
            <w:tcW w:w="1802" w:type="dxa"/>
            <w:vMerge/>
            <w:tcBorders>
              <w:top w:val="single" w:sz="8" w:space="0" w:color="auto"/>
              <w:left w:val="single" w:sz="8" w:space="0" w:color="auto"/>
              <w:bottom w:val="single" w:sz="8" w:space="0" w:color="000000"/>
              <w:right w:val="single" w:sz="8" w:space="0" w:color="auto"/>
            </w:tcBorders>
            <w:shd w:val="clear" w:color="auto" w:fill="DEEAF6"/>
            <w:vAlign w:val="center"/>
            <w:hideMark/>
          </w:tcPr>
          <w:p w14:paraId="324C7A1D" w14:textId="77777777" w:rsidR="00AE17B2" w:rsidRDefault="00AE17B2" w:rsidP="00C74E50">
            <w:pPr>
              <w:spacing w:after="0" w:line="240" w:lineRule="auto"/>
              <w:jc w:val="center"/>
              <w:rPr>
                <w:rFonts w:ascii="Arial" w:hAnsi="Arial" w:cs="Arial"/>
                <w:b/>
                <w:bCs/>
                <w:color w:val="000000"/>
                <w:sz w:val="20"/>
                <w:szCs w:val="20"/>
                <w:lang w:eastAsia="ro-RO"/>
              </w:rPr>
            </w:pPr>
          </w:p>
        </w:tc>
        <w:tc>
          <w:tcPr>
            <w:tcW w:w="813"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14:paraId="3AF574CA"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b/>
                <w:bCs/>
                <w:color w:val="000000"/>
                <w:sz w:val="20"/>
                <w:szCs w:val="20"/>
                <w:lang w:eastAsia="ro-RO"/>
              </w:rPr>
              <w:t>CBO5</w:t>
            </w:r>
          </w:p>
        </w:tc>
        <w:tc>
          <w:tcPr>
            <w:tcW w:w="99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14:paraId="758E4372"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b/>
                <w:bCs/>
                <w:color w:val="000000"/>
                <w:sz w:val="20"/>
                <w:szCs w:val="20"/>
                <w:lang w:eastAsia="ro-RO"/>
              </w:rPr>
              <w:t>CCO-Cr</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14:paraId="6DBE52FD" w14:textId="77777777" w:rsidR="00AE17B2" w:rsidRDefault="00AE17B2" w:rsidP="00C74E50">
            <w:pPr>
              <w:spacing w:after="0" w:line="240" w:lineRule="auto"/>
              <w:jc w:val="center"/>
              <w:rPr>
                <w:rFonts w:ascii="Arial" w:hAnsi="Arial" w:cs="Arial"/>
                <w:b/>
                <w:bCs/>
                <w:sz w:val="20"/>
                <w:szCs w:val="20"/>
                <w:lang w:eastAsia="ro-RO"/>
              </w:rPr>
            </w:pPr>
            <w:r>
              <w:rPr>
                <w:rFonts w:ascii="Arial" w:hAnsi="Arial" w:cs="Arial"/>
                <w:b/>
                <w:bCs/>
                <w:sz w:val="20"/>
                <w:szCs w:val="20"/>
                <w:lang w:eastAsia="ro-RO"/>
              </w:rPr>
              <w:t>Azot total</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14:paraId="3982A760" w14:textId="77777777" w:rsidR="00AE17B2" w:rsidRDefault="00AE17B2" w:rsidP="00C74E50">
            <w:pPr>
              <w:spacing w:after="0" w:line="240" w:lineRule="auto"/>
              <w:jc w:val="center"/>
              <w:rPr>
                <w:rFonts w:ascii="Arial" w:hAnsi="Arial" w:cs="Arial"/>
                <w:b/>
                <w:bCs/>
                <w:sz w:val="20"/>
                <w:szCs w:val="20"/>
                <w:lang w:eastAsia="ro-RO"/>
              </w:rPr>
            </w:pPr>
            <w:r>
              <w:rPr>
                <w:rFonts w:ascii="Arial" w:hAnsi="Arial" w:cs="Arial"/>
                <w:b/>
                <w:bCs/>
                <w:sz w:val="20"/>
                <w:szCs w:val="20"/>
                <w:lang w:eastAsia="ro-RO"/>
              </w:rPr>
              <w:t>Fosfor total</w:t>
            </w:r>
          </w:p>
        </w:tc>
        <w:tc>
          <w:tcPr>
            <w:tcW w:w="9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14:paraId="645BE444" w14:textId="77777777" w:rsidR="00AE17B2" w:rsidRDefault="00AE17B2" w:rsidP="00C74E50">
            <w:pPr>
              <w:spacing w:after="0" w:line="240" w:lineRule="auto"/>
              <w:jc w:val="center"/>
              <w:rPr>
                <w:rFonts w:ascii="Arial" w:hAnsi="Arial" w:cs="Arial"/>
                <w:b/>
                <w:bCs/>
                <w:sz w:val="20"/>
                <w:szCs w:val="20"/>
                <w:lang w:eastAsia="ro-RO"/>
              </w:rPr>
            </w:pPr>
            <w:r>
              <w:rPr>
                <w:rFonts w:ascii="Arial" w:hAnsi="Arial" w:cs="Arial"/>
                <w:b/>
                <w:bCs/>
                <w:sz w:val="20"/>
                <w:szCs w:val="20"/>
                <w:lang w:eastAsia="ro-RO"/>
              </w:rPr>
              <w:t>Amoniu</w:t>
            </w:r>
          </w:p>
        </w:tc>
        <w:tc>
          <w:tcPr>
            <w:tcW w:w="1230" w:type="dxa"/>
            <w:gridSpan w:val="2"/>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14:paraId="3450EF1A" w14:textId="77777777" w:rsidR="00AE17B2" w:rsidRDefault="00AE17B2" w:rsidP="00C74E50">
            <w:pPr>
              <w:spacing w:after="0" w:line="240" w:lineRule="auto"/>
              <w:jc w:val="center"/>
              <w:rPr>
                <w:rFonts w:ascii="Arial" w:hAnsi="Arial" w:cs="Arial"/>
                <w:b/>
                <w:bCs/>
                <w:sz w:val="20"/>
                <w:szCs w:val="20"/>
                <w:lang w:eastAsia="ro-RO"/>
              </w:rPr>
            </w:pPr>
            <w:r>
              <w:rPr>
                <w:rFonts w:ascii="Arial" w:hAnsi="Arial" w:cs="Arial"/>
                <w:b/>
                <w:bCs/>
                <w:sz w:val="20"/>
                <w:szCs w:val="20"/>
                <w:lang w:eastAsia="ro-RO"/>
              </w:rPr>
              <w:t>Materii în suspensie</w:t>
            </w:r>
          </w:p>
        </w:tc>
        <w:tc>
          <w:tcPr>
            <w:tcW w:w="128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14:paraId="1FF18F97" w14:textId="77777777" w:rsidR="00AE17B2" w:rsidRDefault="00AE17B2" w:rsidP="00C74E50">
            <w:pPr>
              <w:spacing w:after="0" w:line="240" w:lineRule="auto"/>
              <w:jc w:val="center"/>
              <w:rPr>
                <w:rFonts w:ascii="Arial" w:hAnsi="Arial" w:cs="Arial"/>
                <w:b/>
                <w:bCs/>
                <w:sz w:val="20"/>
                <w:szCs w:val="20"/>
                <w:lang w:eastAsia="ro-RO"/>
              </w:rPr>
            </w:pPr>
            <w:r>
              <w:rPr>
                <w:rFonts w:ascii="Arial" w:hAnsi="Arial" w:cs="Arial"/>
                <w:b/>
                <w:bCs/>
                <w:sz w:val="20"/>
                <w:szCs w:val="20"/>
                <w:lang w:eastAsia="ro-RO"/>
              </w:rPr>
              <w:t>Detergenţi sintetici</w:t>
            </w:r>
          </w:p>
        </w:tc>
        <w:tc>
          <w:tcPr>
            <w:tcW w:w="1159" w:type="dxa"/>
            <w:gridSpan w:val="2"/>
            <w:tcBorders>
              <w:top w:val="nil"/>
              <w:left w:val="nil"/>
              <w:bottom w:val="single" w:sz="8" w:space="0" w:color="auto"/>
              <w:right w:val="single" w:sz="8" w:space="0" w:color="auto"/>
            </w:tcBorders>
            <w:shd w:val="clear" w:color="auto" w:fill="DEEAF6"/>
            <w:vAlign w:val="center"/>
          </w:tcPr>
          <w:p w14:paraId="111E50DA" w14:textId="77777777" w:rsidR="00AE17B2" w:rsidRDefault="00AE17B2" w:rsidP="00C74E50">
            <w:pPr>
              <w:spacing w:after="0" w:line="240" w:lineRule="auto"/>
              <w:jc w:val="center"/>
              <w:rPr>
                <w:rFonts w:ascii="Arial" w:hAnsi="Arial" w:cs="Arial"/>
                <w:b/>
                <w:bCs/>
                <w:sz w:val="20"/>
                <w:szCs w:val="20"/>
                <w:lang w:eastAsia="ro-RO"/>
              </w:rPr>
            </w:pPr>
            <w:r>
              <w:rPr>
                <w:rFonts w:ascii="Arial" w:hAnsi="Arial" w:cs="Arial"/>
                <w:b/>
                <w:bCs/>
                <w:sz w:val="20"/>
                <w:szCs w:val="20"/>
                <w:lang w:eastAsia="ro-RO"/>
              </w:rPr>
              <w:t>Substanţe extractibile</w:t>
            </w:r>
          </w:p>
        </w:tc>
      </w:tr>
      <w:tr w:rsidR="00AE17B2" w14:paraId="5CB918CC" w14:textId="77777777" w:rsidTr="00C74E50">
        <w:trPr>
          <w:gridAfter w:val="1"/>
          <w:wAfter w:w="7" w:type="dxa"/>
          <w:trHeight w:val="754"/>
          <w:jc w:val="center"/>
        </w:trPr>
        <w:tc>
          <w:tcPr>
            <w:tcW w:w="18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9DD7BA"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sz w:val="20"/>
                <w:szCs w:val="20"/>
                <w:lang w:val="it-IT"/>
              </w:rPr>
              <w:t>Colectarea și epurarea apelor uzate urbane</w:t>
            </w:r>
          </w:p>
        </w:tc>
        <w:tc>
          <w:tcPr>
            <w:tcW w:w="81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3D69D203" w14:textId="77777777" w:rsidR="00AE17B2" w:rsidRDefault="00AE17B2" w:rsidP="00C74E50">
            <w:pPr>
              <w:spacing w:after="0"/>
              <w:jc w:val="center"/>
              <w:rPr>
                <w:rFonts w:ascii="Arial" w:hAnsi="Arial" w:cs="Arial"/>
                <w:sz w:val="20"/>
                <w:szCs w:val="20"/>
              </w:rPr>
            </w:pPr>
            <w:r>
              <w:rPr>
                <w:rFonts w:ascii="Arial" w:hAnsi="Arial" w:cs="Arial"/>
                <w:sz w:val="20"/>
                <w:szCs w:val="20"/>
              </w:rPr>
              <w:t>63,18</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1FAA95F5" w14:textId="77777777" w:rsidR="00AE17B2" w:rsidRDefault="00AE17B2" w:rsidP="00C74E50">
            <w:pPr>
              <w:spacing w:after="0"/>
              <w:jc w:val="center"/>
              <w:rPr>
                <w:rFonts w:ascii="Arial" w:hAnsi="Arial" w:cs="Arial"/>
                <w:sz w:val="20"/>
                <w:szCs w:val="20"/>
              </w:rPr>
            </w:pPr>
            <w:r>
              <w:rPr>
                <w:rFonts w:ascii="Arial" w:hAnsi="Arial" w:cs="Arial"/>
                <w:sz w:val="20"/>
                <w:szCs w:val="20"/>
              </w:rPr>
              <w:t>66,45</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6E479BD0" w14:textId="77777777" w:rsidR="00AE17B2" w:rsidRDefault="00AE17B2" w:rsidP="00C74E50">
            <w:pPr>
              <w:spacing w:after="0"/>
              <w:jc w:val="center"/>
              <w:rPr>
                <w:rFonts w:ascii="Arial" w:hAnsi="Arial" w:cs="Arial"/>
                <w:sz w:val="20"/>
                <w:szCs w:val="20"/>
              </w:rPr>
            </w:pPr>
            <w:r>
              <w:rPr>
                <w:rFonts w:ascii="Arial" w:hAnsi="Arial" w:cs="Arial"/>
                <w:sz w:val="20"/>
                <w:szCs w:val="20"/>
              </w:rPr>
              <w:t>93,81</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4C316329" w14:textId="77777777" w:rsidR="00AE17B2" w:rsidRDefault="00AE17B2" w:rsidP="00C74E50">
            <w:pPr>
              <w:spacing w:after="0"/>
              <w:jc w:val="center"/>
              <w:rPr>
                <w:rFonts w:ascii="Arial" w:hAnsi="Arial" w:cs="Arial"/>
                <w:sz w:val="20"/>
                <w:szCs w:val="20"/>
              </w:rPr>
            </w:pPr>
            <w:r>
              <w:rPr>
                <w:rFonts w:ascii="Arial" w:hAnsi="Arial" w:cs="Arial"/>
                <w:sz w:val="20"/>
                <w:szCs w:val="20"/>
              </w:rPr>
              <w:t>96,14</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1DB60B9D" w14:textId="77777777" w:rsidR="00AE17B2" w:rsidRDefault="00AE17B2" w:rsidP="00C74E50">
            <w:pPr>
              <w:spacing w:after="0"/>
              <w:jc w:val="center"/>
              <w:rPr>
                <w:rFonts w:ascii="Arial" w:hAnsi="Arial" w:cs="Arial"/>
                <w:sz w:val="20"/>
                <w:szCs w:val="20"/>
              </w:rPr>
            </w:pPr>
            <w:r>
              <w:rPr>
                <w:rFonts w:ascii="Arial" w:hAnsi="Arial" w:cs="Arial"/>
                <w:sz w:val="20"/>
                <w:szCs w:val="20"/>
              </w:rPr>
              <w:t>95,23</w:t>
            </w:r>
          </w:p>
        </w:tc>
        <w:tc>
          <w:tcPr>
            <w:tcW w:w="122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6BE85934" w14:textId="77777777" w:rsidR="00AE17B2" w:rsidRDefault="00AE17B2" w:rsidP="00C74E50">
            <w:pPr>
              <w:spacing w:after="0"/>
              <w:jc w:val="center"/>
              <w:rPr>
                <w:rFonts w:ascii="Arial" w:hAnsi="Arial" w:cs="Arial"/>
                <w:sz w:val="20"/>
                <w:szCs w:val="20"/>
              </w:rPr>
            </w:pPr>
            <w:r>
              <w:rPr>
                <w:rFonts w:ascii="Arial" w:hAnsi="Arial" w:cs="Arial"/>
                <w:sz w:val="20"/>
                <w:szCs w:val="20"/>
              </w:rPr>
              <w:t>50,80</w:t>
            </w:r>
          </w:p>
        </w:tc>
        <w:tc>
          <w:tcPr>
            <w:tcW w:w="1287" w:type="dxa"/>
            <w:gridSpan w:val="2"/>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4BB3118E" w14:textId="77777777" w:rsidR="00AE17B2" w:rsidRDefault="00AE17B2" w:rsidP="00C74E50">
            <w:pPr>
              <w:spacing w:after="0"/>
              <w:jc w:val="center"/>
              <w:rPr>
                <w:rFonts w:ascii="Arial" w:hAnsi="Arial" w:cs="Arial"/>
                <w:sz w:val="20"/>
                <w:szCs w:val="20"/>
              </w:rPr>
            </w:pPr>
            <w:r>
              <w:rPr>
                <w:rFonts w:ascii="Arial" w:hAnsi="Arial" w:cs="Arial"/>
                <w:sz w:val="20"/>
                <w:szCs w:val="20"/>
              </w:rPr>
              <w:t>96,33</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center"/>
          </w:tcPr>
          <w:p w14:paraId="2FB5638E" w14:textId="77777777" w:rsidR="00AE17B2" w:rsidRDefault="00AE17B2" w:rsidP="00C74E50">
            <w:pPr>
              <w:spacing w:after="0"/>
              <w:jc w:val="center"/>
              <w:rPr>
                <w:rFonts w:ascii="Arial" w:hAnsi="Arial" w:cs="Arial"/>
                <w:sz w:val="20"/>
                <w:szCs w:val="20"/>
              </w:rPr>
            </w:pPr>
            <w:r>
              <w:rPr>
                <w:rFonts w:ascii="Arial" w:hAnsi="Arial" w:cs="Arial"/>
                <w:sz w:val="20"/>
                <w:szCs w:val="20"/>
              </w:rPr>
              <w:t>71,34</w:t>
            </w:r>
          </w:p>
        </w:tc>
      </w:tr>
      <w:tr w:rsidR="00AE17B2" w14:paraId="46768393" w14:textId="77777777" w:rsidTr="00C74E50">
        <w:trPr>
          <w:gridAfter w:val="1"/>
          <w:wAfter w:w="7" w:type="dxa"/>
          <w:trHeight w:val="525"/>
          <w:jc w:val="center"/>
        </w:trPr>
        <w:tc>
          <w:tcPr>
            <w:tcW w:w="18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3F93E9F"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bCs/>
                <w:iCs/>
                <w:sz w:val="20"/>
                <w:szCs w:val="20"/>
                <w:lang w:val="it-IT"/>
              </w:rPr>
              <w:t>Fabricarea  produselor chimice</w:t>
            </w:r>
          </w:p>
        </w:tc>
        <w:tc>
          <w:tcPr>
            <w:tcW w:w="81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4BE444E9" w14:textId="77777777" w:rsidR="00AE17B2" w:rsidRDefault="00AE17B2" w:rsidP="00C74E50">
            <w:pPr>
              <w:spacing w:after="0"/>
              <w:jc w:val="center"/>
              <w:rPr>
                <w:rFonts w:ascii="Arial" w:hAnsi="Arial" w:cs="Arial"/>
                <w:sz w:val="20"/>
                <w:szCs w:val="20"/>
              </w:rPr>
            </w:pPr>
            <w:r>
              <w:rPr>
                <w:rFonts w:ascii="Arial" w:hAnsi="Arial" w:cs="Arial"/>
                <w:sz w:val="20"/>
                <w:szCs w:val="20"/>
              </w:rPr>
              <w:t>25,28</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0F346EBF" w14:textId="77777777" w:rsidR="00AE17B2" w:rsidRDefault="00AE17B2" w:rsidP="00C74E50">
            <w:pPr>
              <w:spacing w:after="0"/>
              <w:jc w:val="center"/>
              <w:rPr>
                <w:rFonts w:ascii="Arial" w:hAnsi="Arial" w:cs="Arial"/>
                <w:sz w:val="20"/>
                <w:szCs w:val="20"/>
              </w:rPr>
            </w:pPr>
            <w:r>
              <w:rPr>
                <w:rFonts w:ascii="Arial" w:hAnsi="Arial" w:cs="Arial"/>
                <w:sz w:val="20"/>
                <w:szCs w:val="20"/>
              </w:rPr>
              <w:t>18,54</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69894F87" w14:textId="77777777" w:rsidR="00AE17B2" w:rsidRDefault="00AE17B2" w:rsidP="00C74E50">
            <w:pPr>
              <w:spacing w:after="0"/>
              <w:jc w:val="center"/>
              <w:rPr>
                <w:rFonts w:ascii="Arial" w:hAnsi="Arial" w:cs="Arial"/>
                <w:sz w:val="20"/>
                <w:szCs w:val="20"/>
              </w:rPr>
            </w:pPr>
            <w:r>
              <w:rPr>
                <w:rFonts w:ascii="Arial" w:hAnsi="Arial" w:cs="Arial"/>
                <w:sz w:val="20"/>
                <w:szCs w:val="20"/>
              </w:rPr>
              <w:t>0,37</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3BCEC72" w14:textId="77777777" w:rsidR="00AE17B2" w:rsidRDefault="00AE17B2" w:rsidP="00C74E50">
            <w:pPr>
              <w:spacing w:after="0"/>
              <w:jc w:val="center"/>
              <w:rPr>
                <w:rFonts w:ascii="Arial" w:hAnsi="Arial" w:cs="Arial"/>
                <w:sz w:val="20"/>
                <w:szCs w:val="20"/>
              </w:rPr>
            </w:pPr>
            <w:r>
              <w:rPr>
                <w:rFonts w:ascii="Arial" w:hAnsi="Arial" w:cs="Arial"/>
                <w:sz w:val="20"/>
                <w:szCs w:val="20"/>
              </w:rPr>
              <w:t>0,21</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11C7BBAA" w14:textId="77777777" w:rsidR="00AE17B2" w:rsidRDefault="00AE17B2" w:rsidP="00C74E50">
            <w:pPr>
              <w:spacing w:after="0"/>
              <w:jc w:val="center"/>
              <w:rPr>
                <w:rFonts w:ascii="Arial" w:hAnsi="Arial" w:cs="Arial"/>
                <w:sz w:val="20"/>
                <w:szCs w:val="20"/>
              </w:rPr>
            </w:pPr>
            <w:r>
              <w:rPr>
                <w:rFonts w:ascii="Arial" w:hAnsi="Arial" w:cs="Arial"/>
                <w:sz w:val="20"/>
                <w:szCs w:val="20"/>
              </w:rPr>
              <w:t>0,27</w:t>
            </w:r>
          </w:p>
        </w:tc>
        <w:tc>
          <w:tcPr>
            <w:tcW w:w="122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367731F7" w14:textId="77777777" w:rsidR="00AE17B2" w:rsidRDefault="00AE17B2" w:rsidP="00C74E50">
            <w:pPr>
              <w:spacing w:after="0"/>
              <w:jc w:val="center"/>
              <w:rPr>
                <w:rFonts w:ascii="Arial" w:hAnsi="Arial" w:cs="Arial"/>
                <w:sz w:val="20"/>
                <w:szCs w:val="20"/>
              </w:rPr>
            </w:pPr>
            <w:r>
              <w:rPr>
                <w:rFonts w:ascii="Arial" w:hAnsi="Arial" w:cs="Arial"/>
                <w:sz w:val="20"/>
                <w:szCs w:val="20"/>
              </w:rPr>
              <w:t>6,83</w:t>
            </w:r>
          </w:p>
        </w:tc>
        <w:tc>
          <w:tcPr>
            <w:tcW w:w="1287" w:type="dxa"/>
            <w:gridSpan w:val="2"/>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15C495F8" w14:textId="77777777" w:rsidR="00AE17B2" w:rsidRDefault="00AE17B2" w:rsidP="00C74E50">
            <w:pPr>
              <w:spacing w:after="0"/>
              <w:jc w:val="center"/>
              <w:rPr>
                <w:rFonts w:ascii="Arial" w:hAnsi="Arial" w:cs="Arial"/>
                <w:sz w:val="20"/>
                <w:szCs w:val="20"/>
              </w:rPr>
            </w:pPr>
            <w:r>
              <w:rPr>
                <w:rFonts w:ascii="Arial" w:hAnsi="Arial" w:cs="Arial"/>
                <w:sz w:val="20"/>
                <w:szCs w:val="20"/>
              </w:rPr>
              <w:t>0,19</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center"/>
          </w:tcPr>
          <w:p w14:paraId="31B9F847" w14:textId="77777777" w:rsidR="00AE17B2" w:rsidRDefault="00AE17B2" w:rsidP="00C74E50">
            <w:pPr>
              <w:spacing w:after="0"/>
              <w:jc w:val="center"/>
              <w:rPr>
                <w:rFonts w:ascii="Arial" w:hAnsi="Arial" w:cs="Arial"/>
                <w:sz w:val="20"/>
                <w:szCs w:val="20"/>
              </w:rPr>
            </w:pPr>
            <w:r>
              <w:rPr>
                <w:rFonts w:ascii="Arial" w:hAnsi="Arial" w:cs="Arial"/>
                <w:sz w:val="20"/>
                <w:szCs w:val="20"/>
              </w:rPr>
              <w:t>1,40</w:t>
            </w:r>
          </w:p>
        </w:tc>
      </w:tr>
      <w:tr w:rsidR="00AE17B2" w14:paraId="1228A5CE" w14:textId="77777777" w:rsidTr="00C74E50">
        <w:trPr>
          <w:gridAfter w:val="1"/>
          <w:wAfter w:w="7" w:type="dxa"/>
          <w:trHeight w:val="525"/>
          <w:jc w:val="center"/>
        </w:trPr>
        <w:tc>
          <w:tcPr>
            <w:tcW w:w="18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A278B1" w14:textId="77777777" w:rsidR="00AE17B2" w:rsidRDefault="00AE17B2" w:rsidP="00C74E50">
            <w:pPr>
              <w:spacing w:after="0" w:line="240" w:lineRule="auto"/>
              <w:jc w:val="center"/>
              <w:rPr>
                <w:rFonts w:ascii="Arial" w:hAnsi="Arial" w:cs="Arial"/>
                <w:b/>
                <w:bCs/>
                <w:color w:val="000000"/>
                <w:sz w:val="20"/>
                <w:szCs w:val="20"/>
                <w:lang w:eastAsia="ro-RO"/>
              </w:rPr>
            </w:pPr>
            <w:r>
              <w:rPr>
                <w:rFonts w:ascii="Arial" w:hAnsi="Arial" w:cs="Arial"/>
                <w:bCs/>
                <w:iCs/>
                <w:sz w:val="20"/>
                <w:szCs w:val="20"/>
                <w:lang w:val="it-IT"/>
              </w:rPr>
              <w:t xml:space="preserve">Ind.metalurgică / construcţii </w:t>
            </w:r>
            <w:r>
              <w:rPr>
                <w:rFonts w:ascii="Arial" w:hAnsi="Arial" w:cs="Arial"/>
                <w:sz w:val="20"/>
                <w:szCs w:val="20"/>
                <w:lang w:val="it-IT"/>
              </w:rPr>
              <w:t>metalice</w:t>
            </w:r>
          </w:p>
        </w:tc>
        <w:tc>
          <w:tcPr>
            <w:tcW w:w="81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32FCF36C" w14:textId="77777777" w:rsidR="00AE17B2" w:rsidRDefault="00AE17B2" w:rsidP="00C74E50">
            <w:pPr>
              <w:spacing w:after="0"/>
              <w:jc w:val="center"/>
              <w:rPr>
                <w:rFonts w:ascii="Arial" w:hAnsi="Arial" w:cs="Arial"/>
                <w:sz w:val="20"/>
                <w:szCs w:val="20"/>
              </w:rPr>
            </w:pPr>
            <w:r>
              <w:rPr>
                <w:rFonts w:ascii="Arial" w:hAnsi="Arial" w:cs="Arial"/>
                <w:sz w:val="20"/>
                <w:szCs w:val="20"/>
              </w:rPr>
              <w:t>2,36</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2D1336E6" w14:textId="77777777" w:rsidR="00AE17B2" w:rsidRDefault="00AE17B2" w:rsidP="00C74E50">
            <w:pPr>
              <w:spacing w:after="0"/>
              <w:jc w:val="center"/>
              <w:rPr>
                <w:rFonts w:ascii="Arial" w:hAnsi="Arial" w:cs="Arial"/>
                <w:sz w:val="20"/>
                <w:szCs w:val="20"/>
              </w:rPr>
            </w:pPr>
            <w:r>
              <w:rPr>
                <w:rFonts w:ascii="Arial" w:hAnsi="Arial" w:cs="Arial"/>
                <w:sz w:val="20"/>
                <w:szCs w:val="20"/>
              </w:rPr>
              <w:t>3,50</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52DE607" w14:textId="77777777" w:rsidR="00AE17B2" w:rsidRDefault="00AE17B2" w:rsidP="00C74E50">
            <w:pPr>
              <w:spacing w:after="0"/>
              <w:jc w:val="center"/>
              <w:rPr>
                <w:rFonts w:ascii="Arial" w:hAnsi="Arial" w:cs="Arial"/>
                <w:sz w:val="20"/>
                <w:szCs w:val="20"/>
              </w:rPr>
            </w:pPr>
            <w:r>
              <w:rPr>
                <w:rFonts w:ascii="Arial" w:hAnsi="Arial" w:cs="Arial"/>
                <w:sz w:val="20"/>
                <w:szCs w:val="20"/>
              </w:rPr>
              <w:t>0,04</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CDE7787" w14:textId="77777777" w:rsidR="00AE17B2" w:rsidRDefault="00AE17B2" w:rsidP="00C74E50">
            <w:pPr>
              <w:spacing w:after="0"/>
              <w:jc w:val="center"/>
              <w:rPr>
                <w:rFonts w:ascii="Arial" w:hAnsi="Arial" w:cs="Arial"/>
                <w:sz w:val="20"/>
                <w:szCs w:val="20"/>
              </w:rPr>
            </w:pPr>
            <w:r>
              <w:rPr>
                <w:rFonts w:ascii="Arial" w:hAnsi="Arial" w:cs="Arial"/>
                <w:sz w:val="20"/>
                <w:szCs w:val="20"/>
              </w:rPr>
              <w:t>0,06</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D9C5FD7" w14:textId="77777777" w:rsidR="00AE17B2" w:rsidRDefault="00AE17B2" w:rsidP="00C74E50">
            <w:pPr>
              <w:spacing w:after="0"/>
              <w:jc w:val="center"/>
              <w:rPr>
                <w:rFonts w:ascii="Arial" w:hAnsi="Arial" w:cs="Arial"/>
                <w:sz w:val="20"/>
                <w:szCs w:val="20"/>
              </w:rPr>
            </w:pPr>
            <w:r>
              <w:rPr>
                <w:rFonts w:ascii="Arial" w:hAnsi="Arial" w:cs="Arial"/>
                <w:sz w:val="20"/>
                <w:szCs w:val="20"/>
              </w:rPr>
              <w:t>0,82</w:t>
            </w:r>
          </w:p>
        </w:tc>
        <w:tc>
          <w:tcPr>
            <w:tcW w:w="122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315A73A" w14:textId="77777777" w:rsidR="00AE17B2" w:rsidRDefault="00AE17B2" w:rsidP="00C74E50">
            <w:pPr>
              <w:spacing w:after="0"/>
              <w:jc w:val="center"/>
              <w:rPr>
                <w:rFonts w:ascii="Arial" w:hAnsi="Arial" w:cs="Arial"/>
                <w:sz w:val="20"/>
                <w:szCs w:val="20"/>
              </w:rPr>
            </w:pPr>
            <w:r>
              <w:rPr>
                <w:rFonts w:ascii="Arial" w:hAnsi="Arial" w:cs="Arial"/>
                <w:sz w:val="20"/>
                <w:szCs w:val="20"/>
              </w:rPr>
              <w:t>3,68</w:t>
            </w:r>
          </w:p>
        </w:tc>
        <w:tc>
          <w:tcPr>
            <w:tcW w:w="1287" w:type="dxa"/>
            <w:gridSpan w:val="2"/>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00BD3A09" w14:textId="77777777" w:rsidR="00AE17B2" w:rsidRDefault="00AE17B2" w:rsidP="00C74E50">
            <w:pPr>
              <w:spacing w:after="0"/>
              <w:jc w:val="center"/>
              <w:rPr>
                <w:rFonts w:ascii="Arial" w:hAnsi="Arial" w:cs="Arial"/>
                <w:sz w:val="20"/>
                <w:szCs w:val="20"/>
              </w:rPr>
            </w:pPr>
            <w:r>
              <w:rPr>
                <w:rFonts w:ascii="Arial" w:hAnsi="Arial" w:cs="Arial"/>
                <w:sz w:val="20"/>
                <w:szCs w:val="20"/>
              </w:rPr>
              <w:t>0,14</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center"/>
          </w:tcPr>
          <w:p w14:paraId="76681633" w14:textId="77777777" w:rsidR="00AE17B2" w:rsidRDefault="00AE17B2" w:rsidP="00C74E50">
            <w:pPr>
              <w:spacing w:after="0"/>
              <w:jc w:val="center"/>
              <w:rPr>
                <w:rFonts w:ascii="Arial" w:hAnsi="Arial" w:cs="Arial"/>
                <w:sz w:val="20"/>
                <w:szCs w:val="20"/>
              </w:rPr>
            </w:pPr>
            <w:r>
              <w:rPr>
                <w:rFonts w:ascii="Arial" w:hAnsi="Arial" w:cs="Arial"/>
                <w:sz w:val="20"/>
                <w:szCs w:val="20"/>
              </w:rPr>
              <w:t>7,66</w:t>
            </w:r>
          </w:p>
        </w:tc>
      </w:tr>
      <w:tr w:rsidR="00AE17B2" w14:paraId="073FCD01" w14:textId="77777777" w:rsidTr="00C74E50">
        <w:trPr>
          <w:gridAfter w:val="1"/>
          <w:wAfter w:w="7" w:type="dxa"/>
          <w:trHeight w:val="525"/>
          <w:jc w:val="center"/>
        </w:trPr>
        <w:tc>
          <w:tcPr>
            <w:tcW w:w="180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6D97D8" w14:textId="77777777" w:rsidR="00AE17B2" w:rsidRDefault="00AE17B2" w:rsidP="00C74E50">
            <w:pPr>
              <w:spacing w:after="0" w:line="240" w:lineRule="auto"/>
              <w:jc w:val="center"/>
              <w:rPr>
                <w:rFonts w:ascii="Arial" w:hAnsi="Arial" w:cs="Arial"/>
                <w:bCs/>
                <w:iCs/>
                <w:sz w:val="20"/>
                <w:szCs w:val="20"/>
                <w:lang w:val="it-IT"/>
              </w:rPr>
            </w:pPr>
            <w:r>
              <w:rPr>
                <w:rFonts w:ascii="Arial" w:hAnsi="Arial" w:cs="Arial"/>
                <w:bCs/>
                <w:iCs/>
                <w:sz w:val="20"/>
                <w:szCs w:val="20"/>
                <w:lang w:val="it-IT"/>
              </w:rPr>
              <w:lastRenderedPageBreak/>
              <w:t>Producția și furnizarea de energie electrică, termică, apă caldă</w:t>
            </w:r>
          </w:p>
        </w:tc>
        <w:tc>
          <w:tcPr>
            <w:tcW w:w="81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367024C" w14:textId="77777777" w:rsidR="00AE17B2" w:rsidRDefault="00AE17B2" w:rsidP="00C74E50">
            <w:pPr>
              <w:spacing w:after="0"/>
              <w:jc w:val="center"/>
              <w:rPr>
                <w:rFonts w:ascii="Arial" w:hAnsi="Arial" w:cs="Arial"/>
                <w:sz w:val="20"/>
                <w:szCs w:val="20"/>
              </w:rPr>
            </w:pPr>
            <w:r>
              <w:rPr>
                <w:rFonts w:ascii="Arial" w:hAnsi="Arial" w:cs="Arial"/>
                <w:sz w:val="20"/>
                <w:szCs w:val="20"/>
              </w:rPr>
              <w:t>1,55</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31D00CBB" w14:textId="77777777" w:rsidR="00AE17B2" w:rsidRDefault="00AE17B2" w:rsidP="00C74E50">
            <w:pPr>
              <w:spacing w:after="0"/>
              <w:jc w:val="center"/>
              <w:rPr>
                <w:rFonts w:ascii="Arial" w:hAnsi="Arial" w:cs="Arial"/>
                <w:sz w:val="20"/>
                <w:szCs w:val="20"/>
              </w:rPr>
            </w:pPr>
            <w:r>
              <w:rPr>
                <w:rFonts w:ascii="Arial" w:hAnsi="Arial" w:cs="Arial"/>
                <w:sz w:val="20"/>
                <w:szCs w:val="20"/>
              </w:rPr>
              <w:t>4,03</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158523B9" w14:textId="77777777" w:rsidR="00AE17B2" w:rsidRDefault="00AE17B2" w:rsidP="00C74E50">
            <w:pPr>
              <w:spacing w:after="0"/>
              <w:jc w:val="center"/>
              <w:rPr>
                <w:rFonts w:ascii="Arial" w:hAnsi="Arial" w:cs="Arial"/>
                <w:sz w:val="20"/>
                <w:szCs w:val="20"/>
              </w:rPr>
            </w:pPr>
            <w:r>
              <w:rPr>
                <w:rFonts w:ascii="Arial" w:hAnsi="Arial" w:cs="Arial"/>
                <w:sz w:val="20"/>
                <w:szCs w:val="20"/>
              </w:rPr>
              <w:t>0,004</w:t>
            </w:r>
          </w:p>
        </w:tc>
        <w:tc>
          <w:tcPr>
            <w:tcW w:w="90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2FB8361E" w14:textId="77777777" w:rsidR="00AE17B2" w:rsidRDefault="00AE17B2" w:rsidP="00C74E50">
            <w:pPr>
              <w:spacing w:after="0"/>
              <w:jc w:val="center"/>
              <w:rPr>
                <w:rFonts w:ascii="Arial" w:hAnsi="Arial" w:cs="Arial"/>
                <w:sz w:val="20"/>
                <w:szCs w:val="20"/>
              </w:rPr>
            </w:pPr>
            <w:r>
              <w:rPr>
                <w:rFonts w:ascii="Arial" w:hAnsi="Arial" w:cs="Arial"/>
                <w:sz w:val="20"/>
                <w:szCs w:val="20"/>
              </w:rPr>
              <w:t>0,009</w:t>
            </w:r>
          </w:p>
        </w:tc>
        <w:tc>
          <w:tcPr>
            <w:tcW w:w="99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4900E26F" w14:textId="77777777" w:rsidR="00AE17B2" w:rsidRDefault="00AE17B2" w:rsidP="00C74E50">
            <w:pPr>
              <w:spacing w:after="0"/>
              <w:jc w:val="center"/>
              <w:rPr>
                <w:rFonts w:ascii="Arial" w:hAnsi="Arial" w:cs="Arial"/>
                <w:sz w:val="20"/>
                <w:szCs w:val="20"/>
              </w:rPr>
            </w:pPr>
            <w:r>
              <w:rPr>
                <w:rFonts w:ascii="Arial" w:hAnsi="Arial" w:cs="Arial"/>
                <w:sz w:val="20"/>
                <w:szCs w:val="20"/>
              </w:rPr>
              <w:t>0,45</w:t>
            </w:r>
          </w:p>
        </w:tc>
        <w:tc>
          <w:tcPr>
            <w:tcW w:w="1223"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41FB8561" w14:textId="77777777" w:rsidR="00AE17B2" w:rsidRDefault="00AE17B2" w:rsidP="00C74E50">
            <w:pPr>
              <w:spacing w:after="0"/>
              <w:jc w:val="center"/>
              <w:rPr>
                <w:rFonts w:ascii="Arial" w:hAnsi="Arial" w:cs="Arial"/>
                <w:sz w:val="20"/>
                <w:szCs w:val="20"/>
              </w:rPr>
            </w:pPr>
            <w:r>
              <w:rPr>
                <w:rFonts w:ascii="Arial" w:hAnsi="Arial" w:cs="Arial"/>
                <w:sz w:val="20"/>
                <w:szCs w:val="20"/>
              </w:rPr>
              <w:t>24,25</w:t>
            </w:r>
          </w:p>
        </w:tc>
        <w:tc>
          <w:tcPr>
            <w:tcW w:w="1287" w:type="dxa"/>
            <w:gridSpan w:val="2"/>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6938B7E5" w14:textId="77777777" w:rsidR="00AE17B2" w:rsidRDefault="00AE17B2" w:rsidP="00C74E50">
            <w:pPr>
              <w:spacing w:after="0"/>
              <w:jc w:val="center"/>
              <w:rPr>
                <w:rFonts w:ascii="Arial" w:hAnsi="Arial" w:cs="Arial"/>
                <w:sz w:val="20"/>
                <w:szCs w:val="20"/>
              </w:rPr>
            </w:pPr>
            <w:r>
              <w:rPr>
                <w:rFonts w:ascii="Arial" w:hAnsi="Arial" w:cs="Arial"/>
                <w:sz w:val="20"/>
                <w:szCs w:val="20"/>
              </w:rPr>
              <w:t>0,006</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center"/>
          </w:tcPr>
          <w:p w14:paraId="3FF3CE58" w14:textId="77777777" w:rsidR="00AE17B2" w:rsidRDefault="00AE17B2" w:rsidP="00C74E50">
            <w:pPr>
              <w:spacing w:after="0"/>
              <w:jc w:val="center"/>
              <w:rPr>
                <w:rFonts w:ascii="Arial" w:hAnsi="Arial" w:cs="Arial"/>
                <w:sz w:val="20"/>
                <w:szCs w:val="20"/>
              </w:rPr>
            </w:pPr>
            <w:r>
              <w:rPr>
                <w:rFonts w:ascii="Arial" w:hAnsi="Arial" w:cs="Arial"/>
                <w:sz w:val="20"/>
                <w:szCs w:val="20"/>
              </w:rPr>
              <w:t>15,40</w:t>
            </w:r>
          </w:p>
        </w:tc>
      </w:tr>
      <w:tr w:rsidR="00AE17B2" w14:paraId="63D74F32" w14:textId="77777777" w:rsidTr="00C74E50">
        <w:trPr>
          <w:gridAfter w:val="1"/>
          <w:wAfter w:w="7" w:type="dxa"/>
          <w:trHeight w:val="525"/>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5A85A55" w14:textId="77777777" w:rsidR="00AE17B2" w:rsidRDefault="00AE17B2" w:rsidP="00C74E50">
            <w:pPr>
              <w:spacing w:after="0" w:line="240" w:lineRule="auto"/>
              <w:jc w:val="center"/>
              <w:rPr>
                <w:rFonts w:ascii="Arial" w:hAnsi="Arial" w:cs="Arial"/>
                <w:bCs/>
                <w:iCs/>
                <w:sz w:val="20"/>
                <w:szCs w:val="20"/>
                <w:lang w:val="it-IT"/>
              </w:rPr>
            </w:pPr>
            <w:r>
              <w:rPr>
                <w:rFonts w:ascii="Arial" w:hAnsi="Arial" w:cs="Arial"/>
                <w:sz w:val="20"/>
                <w:szCs w:val="20"/>
                <w:lang w:val="it-IT"/>
              </w:rPr>
              <w:t>Comerț/ Servicii către populație</w:t>
            </w:r>
          </w:p>
        </w:tc>
        <w:tc>
          <w:tcPr>
            <w:tcW w:w="813"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69E46D9" w14:textId="77777777" w:rsidR="00AE17B2" w:rsidRDefault="00AE17B2" w:rsidP="00C74E50">
            <w:pPr>
              <w:spacing w:after="0"/>
              <w:jc w:val="center"/>
              <w:rPr>
                <w:rFonts w:ascii="Arial" w:hAnsi="Arial" w:cs="Arial"/>
                <w:sz w:val="20"/>
                <w:szCs w:val="20"/>
              </w:rPr>
            </w:pPr>
            <w:r>
              <w:rPr>
                <w:rFonts w:ascii="Arial" w:hAnsi="Arial" w:cs="Arial"/>
                <w:sz w:val="20"/>
                <w:szCs w:val="20"/>
              </w:rPr>
              <w:t>2,83</w:t>
            </w:r>
          </w:p>
        </w:tc>
        <w:tc>
          <w:tcPr>
            <w:tcW w:w="99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110AFBF" w14:textId="77777777" w:rsidR="00AE17B2" w:rsidRDefault="00AE17B2" w:rsidP="00C74E50">
            <w:pPr>
              <w:spacing w:after="0"/>
              <w:jc w:val="center"/>
              <w:rPr>
                <w:rFonts w:ascii="Arial" w:hAnsi="Arial" w:cs="Arial"/>
                <w:sz w:val="20"/>
                <w:szCs w:val="20"/>
              </w:rPr>
            </w:pPr>
            <w:r>
              <w:rPr>
                <w:rFonts w:ascii="Arial" w:hAnsi="Arial" w:cs="Arial"/>
                <w:sz w:val="20"/>
                <w:szCs w:val="20"/>
              </w:rPr>
              <w:t>2,09</w:t>
            </w:r>
          </w:p>
        </w:tc>
        <w:tc>
          <w:tcPr>
            <w:tcW w:w="90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8332614" w14:textId="77777777" w:rsidR="00AE17B2" w:rsidRDefault="00AE17B2" w:rsidP="00C74E50">
            <w:pPr>
              <w:spacing w:after="0"/>
              <w:jc w:val="center"/>
              <w:rPr>
                <w:rFonts w:ascii="Arial" w:hAnsi="Arial" w:cs="Arial"/>
                <w:sz w:val="20"/>
                <w:szCs w:val="20"/>
              </w:rPr>
            </w:pPr>
            <w:r>
              <w:rPr>
                <w:rFonts w:ascii="Arial" w:hAnsi="Arial" w:cs="Arial"/>
                <w:sz w:val="20"/>
                <w:szCs w:val="20"/>
              </w:rPr>
              <w:t>3,01</w:t>
            </w:r>
          </w:p>
        </w:tc>
        <w:tc>
          <w:tcPr>
            <w:tcW w:w="90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489220" w14:textId="77777777" w:rsidR="00AE17B2" w:rsidRDefault="00AE17B2" w:rsidP="00C74E50">
            <w:pPr>
              <w:spacing w:after="0"/>
              <w:jc w:val="center"/>
              <w:rPr>
                <w:rFonts w:ascii="Arial" w:hAnsi="Arial" w:cs="Arial"/>
                <w:sz w:val="20"/>
                <w:szCs w:val="20"/>
              </w:rPr>
            </w:pPr>
            <w:r>
              <w:rPr>
                <w:rFonts w:ascii="Arial" w:hAnsi="Arial" w:cs="Arial"/>
                <w:sz w:val="20"/>
                <w:szCs w:val="20"/>
              </w:rPr>
              <w:t>0,19</w:t>
            </w:r>
          </w:p>
        </w:tc>
        <w:tc>
          <w:tcPr>
            <w:tcW w:w="99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41AACB1" w14:textId="77777777" w:rsidR="00AE17B2" w:rsidRDefault="00AE17B2" w:rsidP="00C74E50">
            <w:pPr>
              <w:spacing w:after="0"/>
              <w:jc w:val="center"/>
              <w:rPr>
                <w:rFonts w:ascii="Arial" w:hAnsi="Arial" w:cs="Arial"/>
                <w:sz w:val="20"/>
                <w:szCs w:val="20"/>
              </w:rPr>
            </w:pPr>
            <w:r>
              <w:rPr>
                <w:rFonts w:ascii="Arial" w:hAnsi="Arial" w:cs="Arial"/>
                <w:sz w:val="20"/>
                <w:szCs w:val="20"/>
              </w:rPr>
              <w:t>0,36</w:t>
            </w:r>
          </w:p>
        </w:tc>
        <w:tc>
          <w:tcPr>
            <w:tcW w:w="1223"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E5FDEB1" w14:textId="77777777" w:rsidR="00AE17B2" w:rsidRDefault="00AE17B2" w:rsidP="00C74E50">
            <w:pPr>
              <w:spacing w:after="0"/>
              <w:jc w:val="center"/>
              <w:rPr>
                <w:rFonts w:ascii="Arial" w:hAnsi="Arial" w:cs="Arial"/>
                <w:sz w:val="20"/>
                <w:szCs w:val="20"/>
              </w:rPr>
            </w:pPr>
            <w:r>
              <w:rPr>
                <w:rFonts w:ascii="Arial" w:hAnsi="Arial" w:cs="Arial"/>
                <w:sz w:val="20"/>
                <w:szCs w:val="20"/>
              </w:rPr>
              <w:t>0,67</w:t>
            </w:r>
          </w:p>
        </w:tc>
        <w:tc>
          <w:tcPr>
            <w:tcW w:w="1287" w:type="dxa"/>
            <w:gridSpan w:val="2"/>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EEEDE5A" w14:textId="77777777" w:rsidR="00AE17B2" w:rsidRDefault="00AE17B2" w:rsidP="00C74E50">
            <w:pPr>
              <w:spacing w:after="0"/>
              <w:jc w:val="center"/>
              <w:rPr>
                <w:rFonts w:ascii="Arial" w:hAnsi="Arial" w:cs="Arial"/>
                <w:sz w:val="20"/>
                <w:szCs w:val="20"/>
              </w:rPr>
            </w:pPr>
            <w:r>
              <w:rPr>
                <w:rFonts w:ascii="Arial" w:hAnsi="Arial" w:cs="Arial"/>
                <w:sz w:val="20"/>
                <w:szCs w:val="20"/>
              </w:rPr>
              <w:t>0,42</w:t>
            </w:r>
          </w:p>
        </w:tc>
        <w:tc>
          <w:tcPr>
            <w:tcW w:w="1152" w:type="dxa"/>
            <w:tcBorders>
              <w:top w:val="nil"/>
              <w:left w:val="nil"/>
              <w:bottom w:val="single" w:sz="8" w:space="0" w:color="auto"/>
              <w:right w:val="single" w:sz="8" w:space="0" w:color="auto"/>
            </w:tcBorders>
            <w:shd w:val="clear" w:color="auto" w:fill="auto"/>
            <w:vAlign w:val="center"/>
          </w:tcPr>
          <w:p w14:paraId="0CD5096D" w14:textId="77777777" w:rsidR="00AE17B2" w:rsidRDefault="00AE17B2" w:rsidP="00C74E50">
            <w:pPr>
              <w:spacing w:after="0"/>
              <w:jc w:val="center"/>
              <w:rPr>
                <w:rFonts w:ascii="Arial" w:hAnsi="Arial" w:cs="Arial"/>
                <w:sz w:val="20"/>
                <w:szCs w:val="20"/>
              </w:rPr>
            </w:pPr>
            <w:r>
              <w:rPr>
                <w:rFonts w:ascii="Arial" w:hAnsi="Arial" w:cs="Arial"/>
                <w:sz w:val="20"/>
                <w:szCs w:val="20"/>
              </w:rPr>
              <w:t>0,26</w:t>
            </w:r>
          </w:p>
        </w:tc>
      </w:tr>
    </w:tbl>
    <w:p w14:paraId="56061EA2" w14:textId="77777777" w:rsidR="00AE17B2" w:rsidRPr="00C515B4" w:rsidRDefault="00AE17B2" w:rsidP="00AE17B2">
      <w:pPr>
        <w:spacing w:after="0" w:line="240" w:lineRule="auto"/>
        <w:jc w:val="both"/>
        <w:rPr>
          <w:rFonts w:ascii="Arial" w:hAnsi="Arial" w:cs="Arial"/>
          <w:i/>
          <w:iCs/>
          <w:color w:val="000000"/>
          <w:sz w:val="20"/>
          <w:szCs w:val="20"/>
          <w:lang w:eastAsia="ro-RO"/>
        </w:rPr>
      </w:pPr>
      <w:r w:rsidRPr="00C515B4">
        <w:rPr>
          <w:rFonts w:ascii="Arial" w:hAnsi="Arial" w:cs="Arial"/>
          <w:i/>
          <w:iCs/>
          <w:color w:val="000000"/>
          <w:sz w:val="20"/>
          <w:szCs w:val="20"/>
          <w:lang w:eastAsia="ro-RO"/>
        </w:rPr>
        <w:t>(Sursa: Administraţia Naţională “Apele Române”, Sinteza calităţii apelor din România în anul 2022)</w:t>
      </w:r>
    </w:p>
    <w:p w14:paraId="43D21527" w14:textId="77777777" w:rsidR="00AE17B2" w:rsidRDefault="00AE17B2" w:rsidP="00AE17B2">
      <w:pPr>
        <w:spacing w:before="120" w:after="120" w:line="240" w:lineRule="auto"/>
        <w:jc w:val="both"/>
        <w:rPr>
          <w:rFonts w:ascii="Arial" w:hAnsi="Arial" w:cs="Arial"/>
          <w:i/>
          <w:iCs/>
          <w:color w:val="000000"/>
          <w:sz w:val="24"/>
          <w:szCs w:val="24"/>
          <w:lang w:eastAsia="ro-RO"/>
        </w:rPr>
      </w:pPr>
    </w:p>
    <w:p w14:paraId="6D824D03" w14:textId="77777777" w:rsidR="00AE17B2" w:rsidRPr="00271058" w:rsidRDefault="00AE17B2" w:rsidP="00AE17B2">
      <w:pPr>
        <w:spacing w:after="0" w:line="240" w:lineRule="auto"/>
        <w:ind w:firstLine="708"/>
        <w:jc w:val="both"/>
        <w:rPr>
          <w:rFonts w:ascii="Arial" w:hAnsi="Arial" w:cs="Arial"/>
          <w:iCs/>
          <w:color w:val="000000"/>
          <w:sz w:val="24"/>
          <w:szCs w:val="24"/>
          <w:lang w:eastAsia="ro-RO"/>
        </w:rPr>
      </w:pPr>
      <w:r w:rsidRPr="00271058">
        <w:rPr>
          <w:rFonts w:ascii="Arial" w:hAnsi="Arial" w:cs="Arial"/>
          <w:iCs/>
          <w:color w:val="000000"/>
          <w:sz w:val="24"/>
          <w:szCs w:val="24"/>
          <w:lang w:eastAsia="ro-RO"/>
        </w:rPr>
        <w:t>În Figura II.2.2.2.2</w:t>
      </w:r>
      <w:r w:rsidRPr="00271058">
        <w:rPr>
          <w:rFonts w:ascii="Arial" w:hAnsi="Arial" w:cs="Arial"/>
          <w:b/>
          <w:bCs/>
          <w:i/>
          <w:color w:val="000000"/>
          <w:sz w:val="24"/>
          <w:szCs w:val="24"/>
          <w:lang w:eastAsia="ro-RO"/>
        </w:rPr>
        <w:t xml:space="preserve"> </w:t>
      </w:r>
      <w:r w:rsidRPr="00271058">
        <w:rPr>
          <w:rFonts w:ascii="Arial" w:hAnsi="Arial" w:cs="Arial"/>
          <w:iCs/>
          <w:color w:val="000000"/>
          <w:sz w:val="24"/>
          <w:szCs w:val="24"/>
          <w:lang w:eastAsia="ro-RO"/>
        </w:rPr>
        <w:t>este reprezentată grafic activitatea economică cu contribuțiile semnificative la cantitățile de poluanți evacuați în receptori naturali, în anul 2022.</w:t>
      </w:r>
    </w:p>
    <w:p w14:paraId="3AD14FBF" w14:textId="77777777" w:rsidR="00AE17B2" w:rsidRDefault="00AE17B2" w:rsidP="00AE17B2">
      <w:pPr>
        <w:spacing w:after="0" w:line="240" w:lineRule="auto"/>
        <w:jc w:val="both"/>
        <w:rPr>
          <w:rFonts w:ascii="Arial" w:hAnsi="Arial" w:cs="Arial"/>
          <w:b/>
          <w:bCs/>
          <w:i/>
          <w:color w:val="000000"/>
          <w:sz w:val="20"/>
          <w:szCs w:val="24"/>
          <w:lang w:eastAsia="ro-RO"/>
        </w:rPr>
      </w:pPr>
    </w:p>
    <w:p w14:paraId="0AED1C58" w14:textId="77777777" w:rsidR="00AE17B2" w:rsidRDefault="00AE17B2" w:rsidP="00AE17B2">
      <w:pPr>
        <w:spacing w:after="0" w:line="240" w:lineRule="auto"/>
        <w:jc w:val="both"/>
        <w:rPr>
          <w:rFonts w:ascii="Arial" w:hAnsi="Arial" w:cs="Arial"/>
          <w:b/>
          <w:bCs/>
          <w:i/>
          <w:color w:val="000000"/>
          <w:sz w:val="20"/>
          <w:szCs w:val="24"/>
          <w:lang w:eastAsia="ro-RO"/>
        </w:rPr>
      </w:pPr>
    </w:p>
    <w:p w14:paraId="45651A29" w14:textId="77777777" w:rsidR="00AE17B2" w:rsidRDefault="00AE17B2" w:rsidP="00AE17B2">
      <w:pPr>
        <w:spacing w:after="0" w:line="240" w:lineRule="auto"/>
        <w:jc w:val="both"/>
        <w:rPr>
          <w:rFonts w:ascii="Arial" w:hAnsi="Arial" w:cs="Arial"/>
          <w:b/>
          <w:bCs/>
          <w:i/>
          <w:color w:val="000000"/>
          <w:sz w:val="20"/>
          <w:szCs w:val="24"/>
          <w:lang w:eastAsia="ro-RO"/>
        </w:rPr>
      </w:pPr>
    </w:p>
    <w:p w14:paraId="52A96797" w14:textId="77777777" w:rsidR="00AE17B2" w:rsidRDefault="00AE17B2" w:rsidP="00AE17B2">
      <w:pPr>
        <w:spacing w:after="0" w:line="240" w:lineRule="auto"/>
        <w:jc w:val="both"/>
        <w:rPr>
          <w:rFonts w:ascii="Arial" w:hAnsi="Arial" w:cs="Arial"/>
          <w:b/>
          <w:bCs/>
          <w:i/>
          <w:color w:val="000000"/>
          <w:sz w:val="20"/>
          <w:szCs w:val="24"/>
          <w:lang w:eastAsia="ro-RO"/>
        </w:rPr>
      </w:pPr>
    </w:p>
    <w:p w14:paraId="47F7FDBF" w14:textId="77777777" w:rsidR="00AE17B2" w:rsidRDefault="00AE17B2" w:rsidP="00AE17B2">
      <w:pPr>
        <w:spacing w:after="0" w:line="240" w:lineRule="auto"/>
        <w:jc w:val="both"/>
        <w:rPr>
          <w:rFonts w:ascii="Arial" w:hAnsi="Arial" w:cs="Arial"/>
          <w:b/>
          <w:bCs/>
          <w:i/>
          <w:color w:val="000000"/>
          <w:sz w:val="20"/>
          <w:szCs w:val="24"/>
          <w:lang w:eastAsia="ro-RO"/>
        </w:rPr>
      </w:pPr>
    </w:p>
    <w:p w14:paraId="0FCE65D3" w14:textId="77777777" w:rsidR="00AE17B2" w:rsidRDefault="00AE17B2" w:rsidP="00AE17B2">
      <w:pPr>
        <w:spacing w:after="0" w:line="240" w:lineRule="auto"/>
        <w:jc w:val="both"/>
        <w:rPr>
          <w:rFonts w:ascii="Arial" w:hAnsi="Arial" w:cs="Arial"/>
          <w:b/>
          <w:bCs/>
          <w:i/>
          <w:color w:val="000000"/>
          <w:sz w:val="20"/>
          <w:szCs w:val="24"/>
          <w:lang w:eastAsia="ro-RO"/>
        </w:rPr>
      </w:pPr>
    </w:p>
    <w:p w14:paraId="7C251688" w14:textId="77777777" w:rsidR="00AE17B2" w:rsidRDefault="00AE17B2" w:rsidP="00AE17B2">
      <w:pPr>
        <w:spacing w:after="0" w:line="240" w:lineRule="auto"/>
        <w:jc w:val="both"/>
        <w:rPr>
          <w:rFonts w:ascii="Arial" w:hAnsi="Arial" w:cs="Arial"/>
          <w:b/>
          <w:bCs/>
          <w:i/>
          <w:color w:val="000000"/>
          <w:sz w:val="20"/>
          <w:szCs w:val="24"/>
          <w:lang w:eastAsia="ro-RO"/>
        </w:rPr>
      </w:pPr>
    </w:p>
    <w:p w14:paraId="35DE592A" w14:textId="77777777" w:rsidR="00AE17B2" w:rsidRDefault="00AE17B2" w:rsidP="00AE17B2">
      <w:pPr>
        <w:spacing w:after="0" w:line="240" w:lineRule="auto"/>
        <w:jc w:val="both"/>
        <w:rPr>
          <w:rFonts w:ascii="Arial" w:hAnsi="Arial" w:cs="Arial"/>
          <w:b/>
          <w:bCs/>
          <w:i/>
          <w:color w:val="000000"/>
          <w:sz w:val="20"/>
          <w:szCs w:val="24"/>
          <w:lang w:eastAsia="ro-RO"/>
        </w:rPr>
      </w:pPr>
    </w:p>
    <w:p w14:paraId="2E0F808B" w14:textId="77777777" w:rsidR="00AE17B2" w:rsidRDefault="00AE17B2" w:rsidP="00AE17B2">
      <w:pPr>
        <w:spacing w:after="0" w:line="240" w:lineRule="auto"/>
        <w:jc w:val="both"/>
        <w:rPr>
          <w:rFonts w:ascii="Arial" w:hAnsi="Arial" w:cs="Arial"/>
          <w:b/>
          <w:bCs/>
          <w:i/>
          <w:color w:val="000000"/>
          <w:sz w:val="20"/>
          <w:szCs w:val="24"/>
          <w:lang w:eastAsia="ro-RO"/>
        </w:rPr>
      </w:pPr>
    </w:p>
    <w:p w14:paraId="23C317A2" w14:textId="77777777" w:rsidR="00AE17B2" w:rsidRDefault="00AE17B2" w:rsidP="00AE17B2">
      <w:pPr>
        <w:spacing w:after="0" w:line="240" w:lineRule="auto"/>
        <w:jc w:val="both"/>
        <w:rPr>
          <w:rFonts w:ascii="Arial" w:hAnsi="Arial" w:cs="Arial"/>
          <w:b/>
          <w:bCs/>
          <w:i/>
          <w:color w:val="000000"/>
          <w:sz w:val="20"/>
          <w:szCs w:val="24"/>
          <w:lang w:eastAsia="ro-RO"/>
        </w:rPr>
      </w:pPr>
    </w:p>
    <w:p w14:paraId="0E6E721A" w14:textId="77777777" w:rsidR="00AE17B2" w:rsidRDefault="00AE17B2" w:rsidP="00AE17B2">
      <w:pPr>
        <w:spacing w:after="0" w:line="240" w:lineRule="auto"/>
        <w:jc w:val="both"/>
        <w:rPr>
          <w:rFonts w:ascii="Arial" w:hAnsi="Arial" w:cs="Arial"/>
          <w:b/>
          <w:bCs/>
          <w:i/>
          <w:color w:val="000000"/>
          <w:sz w:val="20"/>
          <w:szCs w:val="24"/>
          <w:lang w:eastAsia="ro-RO"/>
        </w:rPr>
      </w:pPr>
    </w:p>
    <w:p w14:paraId="3E1C1787" w14:textId="77777777" w:rsidR="00AE17B2" w:rsidRDefault="00AE17B2" w:rsidP="00AE17B2">
      <w:pPr>
        <w:spacing w:after="0" w:line="240" w:lineRule="auto"/>
        <w:jc w:val="both"/>
        <w:rPr>
          <w:rFonts w:ascii="Arial" w:hAnsi="Arial" w:cs="Arial"/>
          <w:b/>
          <w:bCs/>
          <w:i/>
          <w:color w:val="000000"/>
          <w:sz w:val="20"/>
          <w:szCs w:val="24"/>
          <w:lang w:eastAsia="ro-RO"/>
        </w:rPr>
      </w:pPr>
    </w:p>
    <w:p w14:paraId="56BF65D7" w14:textId="77777777" w:rsidR="00AE17B2" w:rsidRDefault="00AE17B2" w:rsidP="00AE17B2">
      <w:pPr>
        <w:spacing w:after="0" w:line="240" w:lineRule="auto"/>
        <w:jc w:val="both"/>
        <w:rPr>
          <w:rFonts w:ascii="Arial" w:hAnsi="Arial" w:cs="Arial"/>
          <w:b/>
          <w:bCs/>
          <w:i/>
          <w:color w:val="000000"/>
          <w:sz w:val="20"/>
          <w:szCs w:val="24"/>
          <w:lang w:eastAsia="ro-RO"/>
        </w:rPr>
      </w:pPr>
    </w:p>
    <w:p w14:paraId="07B2D41B" w14:textId="77777777" w:rsidR="00AE17B2" w:rsidRDefault="00AE17B2" w:rsidP="00AE17B2">
      <w:pPr>
        <w:spacing w:after="0" w:line="240" w:lineRule="auto"/>
        <w:jc w:val="both"/>
        <w:rPr>
          <w:rFonts w:ascii="Arial" w:hAnsi="Arial" w:cs="Arial"/>
          <w:b/>
          <w:bCs/>
          <w:i/>
          <w:color w:val="000000"/>
          <w:sz w:val="20"/>
          <w:szCs w:val="24"/>
          <w:lang w:eastAsia="ro-RO"/>
        </w:rPr>
      </w:pPr>
    </w:p>
    <w:p w14:paraId="727FD1F8" w14:textId="77777777" w:rsidR="00AE17B2" w:rsidRDefault="00AE17B2" w:rsidP="00AE17B2">
      <w:pPr>
        <w:spacing w:after="0" w:line="240" w:lineRule="auto"/>
        <w:jc w:val="both"/>
        <w:rPr>
          <w:rFonts w:ascii="Arial" w:hAnsi="Arial" w:cs="Arial"/>
          <w:b/>
          <w:bCs/>
          <w:i/>
          <w:color w:val="000000"/>
          <w:sz w:val="20"/>
          <w:szCs w:val="24"/>
          <w:lang w:eastAsia="ro-RO"/>
        </w:rPr>
      </w:pPr>
    </w:p>
    <w:p w14:paraId="2CA6FFD8" w14:textId="77777777" w:rsidR="00AE17B2" w:rsidRDefault="00AE17B2" w:rsidP="00AE17B2">
      <w:pPr>
        <w:spacing w:after="0" w:line="240" w:lineRule="auto"/>
        <w:jc w:val="both"/>
        <w:rPr>
          <w:rFonts w:ascii="Arial" w:hAnsi="Arial" w:cs="Arial"/>
          <w:b/>
          <w:bCs/>
          <w:i/>
          <w:color w:val="000000"/>
          <w:sz w:val="20"/>
          <w:szCs w:val="24"/>
          <w:lang w:eastAsia="ro-RO"/>
        </w:rPr>
      </w:pPr>
    </w:p>
    <w:p w14:paraId="1DB1D8EA" w14:textId="77777777" w:rsidR="00AE17B2" w:rsidRDefault="00AE17B2" w:rsidP="00AE17B2">
      <w:pPr>
        <w:spacing w:after="0" w:line="240" w:lineRule="auto"/>
        <w:jc w:val="both"/>
        <w:rPr>
          <w:rFonts w:ascii="Arial" w:hAnsi="Arial" w:cs="Arial"/>
          <w:b/>
          <w:bCs/>
          <w:i/>
          <w:color w:val="000000"/>
          <w:sz w:val="20"/>
          <w:szCs w:val="24"/>
          <w:lang w:eastAsia="ro-RO"/>
        </w:rPr>
      </w:pPr>
    </w:p>
    <w:p w14:paraId="4ADB3B82" w14:textId="77777777" w:rsidR="00AE17B2" w:rsidRDefault="00AE17B2" w:rsidP="00AE17B2">
      <w:pPr>
        <w:spacing w:after="0" w:line="240" w:lineRule="auto"/>
        <w:jc w:val="both"/>
        <w:rPr>
          <w:rFonts w:ascii="Arial" w:hAnsi="Arial" w:cs="Arial"/>
          <w:b/>
          <w:bCs/>
          <w:i/>
          <w:color w:val="000000"/>
          <w:sz w:val="20"/>
          <w:szCs w:val="24"/>
          <w:lang w:eastAsia="ro-RO"/>
        </w:rPr>
      </w:pPr>
    </w:p>
    <w:p w14:paraId="5786D466" w14:textId="77777777" w:rsidR="00AE17B2" w:rsidRDefault="00AE17B2" w:rsidP="00AE17B2">
      <w:pPr>
        <w:spacing w:after="0" w:line="240" w:lineRule="auto"/>
        <w:jc w:val="both"/>
        <w:rPr>
          <w:rFonts w:ascii="Arial" w:hAnsi="Arial" w:cs="Arial"/>
          <w:b/>
          <w:bCs/>
          <w:i/>
          <w:color w:val="000000"/>
          <w:sz w:val="20"/>
          <w:szCs w:val="24"/>
          <w:lang w:eastAsia="ro-RO"/>
        </w:rPr>
      </w:pPr>
    </w:p>
    <w:p w14:paraId="6A8F35A7" w14:textId="77777777" w:rsidR="00AE17B2" w:rsidRDefault="00AE17B2" w:rsidP="00AE17B2">
      <w:pPr>
        <w:spacing w:after="0" w:line="240" w:lineRule="auto"/>
        <w:jc w:val="both"/>
        <w:rPr>
          <w:rFonts w:ascii="Arial" w:hAnsi="Arial" w:cs="Arial"/>
          <w:b/>
          <w:bCs/>
          <w:i/>
          <w:color w:val="000000"/>
          <w:sz w:val="20"/>
          <w:szCs w:val="24"/>
          <w:lang w:eastAsia="ro-RO"/>
        </w:rPr>
      </w:pPr>
    </w:p>
    <w:p w14:paraId="130A3764" w14:textId="77777777" w:rsidR="00AE17B2" w:rsidRDefault="00AE17B2" w:rsidP="00AE17B2">
      <w:pPr>
        <w:spacing w:after="0" w:line="240" w:lineRule="auto"/>
        <w:jc w:val="both"/>
        <w:rPr>
          <w:rFonts w:ascii="Arial" w:hAnsi="Arial" w:cs="Arial"/>
          <w:b/>
          <w:bCs/>
          <w:i/>
          <w:color w:val="000000"/>
          <w:sz w:val="20"/>
          <w:szCs w:val="24"/>
          <w:lang w:eastAsia="ro-RO"/>
        </w:rPr>
      </w:pPr>
    </w:p>
    <w:p w14:paraId="09FBA424" w14:textId="77777777" w:rsidR="00AE17B2" w:rsidRDefault="00AE17B2" w:rsidP="00AE17B2">
      <w:pPr>
        <w:spacing w:after="0" w:line="240" w:lineRule="auto"/>
        <w:jc w:val="both"/>
        <w:rPr>
          <w:rFonts w:ascii="Arial" w:hAnsi="Arial" w:cs="Arial"/>
          <w:b/>
          <w:bCs/>
          <w:i/>
          <w:color w:val="000000"/>
          <w:sz w:val="20"/>
          <w:szCs w:val="24"/>
          <w:lang w:eastAsia="ro-RO"/>
        </w:rPr>
      </w:pPr>
    </w:p>
    <w:p w14:paraId="15D49E05" w14:textId="5B4F7FBF" w:rsidR="00AE17B2" w:rsidRDefault="00AE17B2" w:rsidP="00AE17B2">
      <w:pPr>
        <w:spacing w:after="0" w:line="240" w:lineRule="auto"/>
        <w:jc w:val="center"/>
        <w:rPr>
          <w:rFonts w:ascii="Arial" w:hAnsi="Arial" w:cs="Arial"/>
          <w:b/>
          <w:bCs/>
          <w:i/>
          <w:color w:val="000000"/>
          <w:sz w:val="20"/>
          <w:szCs w:val="24"/>
          <w:lang w:eastAsia="ro-RO"/>
        </w:rPr>
      </w:pPr>
      <w:r w:rsidRPr="00B45E52">
        <w:rPr>
          <w:noProof/>
          <w:lang w:val="en-GB" w:eastAsia="en-GB"/>
        </w:rPr>
        <w:drawing>
          <wp:inline distT="0" distB="0" distL="0" distR="0" wp14:anchorId="43DABF83" wp14:editId="5C664AC6">
            <wp:extent cx="4933950" cy="3009900"/>
            <wp:effectExtent l="19050" t="19050" r="19050" b="1905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3950" cy="3009900"/>
                    </a:xfrm>
                    <a:prstGeom prst="rect">
                      <a:avLst/>
                    </a:prstGeom>
                    <a:noFill/>
                    <a:ln w="6350" cmpd="sng">
                      <a:solidFill>
                        <a:srgbClr val="000000"/>
                      </a:solidFill>
                      <a:miter lim="800000"/>
                      <a:headEnd/>
                      <a:tailEnd/>
                    </a:ln>
                    <a:effectLst/>
                  </pic:spPr>
                </pic:pic>
              </a:graphicData>
            </a:graphic>
          </wp:inline>
        </w:drawing>
      </w:r>
    </w:p>
    <w:p w14:paraId="18BEEE5A" w14:textId="77777777" w:rsidR="00AE17B2" w:rsidRDefault="00AE17B2" w:rsidP="00AE17B2">
      <w:pPr>
        <w:spacing w:after="0" w:line="240" w:lineRule="auto"/>
        <w:jc w:val="both"/>
        <w:rPr>
          <w:rFonts w:ascii="Arial" w:hAnsi="Arial" w:cs="Arial"/>
          <w:b/>
          <w:bCs/>
          <w:color w:val="000000"/>
          <w:sz w:val="24"/>
          <w:szCs w:val="24"/>
          <w:lang w:eastAsia="ro-RO"/>
        </w:rPr>
      </w:pPr>
      <w:r w:rsidRPr="00BA74C6">
        <w:rPr>
          <w:rFonts w:ascii="Arial" w:hAnsi="Arial" w:cs="Arial"/>
          <w:b/>
          <w:bCs/>
          <w:i/>
          <w:color w:val="000000"/>
          <w:sz w:val="20"/>
          <w:szCs w:val="24"/>
          <w:lang w:eastAsia="ro-RO"/>
        </w:rPr>
        <w:t>Figura II.2.2.2.2 Ponderea încărcării principalilor indicatori de calitate din apele uzate evacuate</w:t>
      </w:r>
      <w:r>
        <w:rPr>
          <w:rFonts w:ascii="Arial" w:hAnsi="Arial" w:cs="Arial"/>
          <w:b/>
          <w:bCs/>
          <w:i/>
          <w:color w:val="000000"/>
          <w:sz w:val="20"/>
          <w:szCs w:val="24"/>
          <w:lang w:eastAsia="ro-RO"/>
        </w:rPr>
        <w:t xml:space="preserve"> din activitatea de colectare și epurare a apelor uzate urbane</w:t>
      </w:r>
      <w:r w:rsidRPr="00BA74C6">
        <w:rPr>
          <w:rFonts w:ascii="Arial" w:hAnsi="Arial" w:cs="Arial"/>
          <w:b/>
          <w:bCs/>
          <w:i/>
          <w:color w:val="000000"/>
          <w:sz w:val="20"/>
          <w:szCs w:val="24"/>
          <w:lang w:eastAsia="ro-RO"/>
        </w:rPr>
        <w:t xml:space="preserve"> în receptorii naturali în anul 20</w:t>
      </w:r>
      <w:r>
        <w:rPr>
          <w:rFonts w:ascii="Arial" w:hAnsi="Arial" w:cs="Arial"/>
          <w:b/>
          <w:bCs/>
          <w:i/>
          <w:color w:val="000000"/>
          <w:sz w:val="20"/>
          <w:szCs w:val="24"/>
          <w:lang w:eastAsia="ro-RO"/>
        </w:rPr>
        <w:t>22</w:t>
      </w:r>
      <w:r w:rsidRPr="00BA74C6">
        <w:rPr>
          <w:rFonts w:ascii="Arial" w:hAnsi="Arial" w:cs="Arial"/>
          <w:b/>
          <w:bCs/>
          <w:i/>
          <w:color w:val="000000"/>
          <w:sz w:val="20"/>
          <w:szCs w:val="24"/>
          <w:lang w:eastAsia="ro-RO"/>
        </w:rPr>
        <w:t xml:space="preserve"> (%)</w:t>
      </w:r>
    </w:p>
    <w:p w14:paraId="6FCA9F93" w14:textId="77777777" w:rsidR="00AE17B2" w:rsidRPr="00DA174F" w:rsidRDefault="00AE17B2" w:rsidP="00AE17B2">
      <w:pPr>
        <w:spacing w:after="0" w:line="240" w:lineRule="auto"/>
        <w:jc w:val="both"/>
        <w:rPr>
          <w:rFonts w:ascii="Arial" w:hAnsi="Arial" w:cs="Arial"/>
          <w:i/>
          <w:iCs/>
          <w:color w:val="000000"/>
          <w:sz w:val="24"/>
          <w:szCs w:val="24"/>
          <w:lang w:eastAsia="ro-RO"/>
        </w:rPr>
      </w:pPr>
      <w:r w:rsidRPr="00530D00">
        <w:rPr>
          <w:rFonts w:ascii="Arial" w:hAnsi="Arial" w:cs="Arial"/>
          <w:i/>
          <w:iCs/>
          <w:color w:val="000000"/>
          <w:sz w:val="24"/>
          <w:szCs w:val="24"/>
          <w:lang w:eastAsia="ro-RO"/>
        </w:rPr>
        <w:t xml:space="preserve"> </w:t>
      </w:r>
      <w:r w:rsidRPr="00C515B4">
        <w:rPr>
          <w:rFonts w:ascii="Arial" w:hAnsi="Arial" w:cs="Arial"/>
          <w:i/>
          <w:iCs/>
          <w:color w:val="000000"/>
          <w:sz w:val="20"/>
          <w:szCs w:val="20"/>
          <w:lang w:eastAsia="ro-RO"/>
        </w:rPr>
        <w:t>(Sursa: Administraţia Naţională “Apele Române”, Sinteza calităţii apelor din România în anul 2022)</w:t>
      </w:r>
    </w:p>
    <w:p w14:paraId="4B58C309" w14:textId="77777777" w:rsidR="00AE17B2" w:rsidRDefault="00AE17B2" w:rsidP="00AE17B2">
      <w:pPr>
        <w:spacing w:after="0" w:line="240" w:lineRule="auto"/>
        <w:ind w:firstLine="567"/>
        <w:jc w:val="both"/>
        <w:rPr>
          <w:rFonts w:ascii="Arial" w:hAnsi="Arial" w:cs="Arial"/>
          <w:sz w:val="24"/>
          <w:szCs w:val="24"/>
        </w:rPr>
      </w:pPr>
    </w:p>
    <w:p w14:paraId="273F1B32" w14:textId="77777777" w:rsidR="00AE17B2" w:rsidRDefault="00AE17B2" w:rsidP="00AE17B2">
      <w:pPr>
        <w:spacing w:after="0" w:line="240" w:lineRule="auto"/>
        <w:ind w:firstLine="567"/>
        <w:jc w:val="both"/>
        <w:rPr>
          <w:rFonts w:ascii="Arial" w:hAnsi="Arial" w:cs="Arial"/>
          <w:sz w:val="24"/>
          <w:szCs w:val="24"/>
        </w:rPr>
      </w:pPr>
      <w:r w:rsidRPr="00530D00">
        <w:rPr>
          <w:rFonts w:ascii="Arial" w:hAnsi="Arial" w:cs="Arial"/>
          <w:sz w:val="24"/>
          <w:szCs w:val="24"/>
        </w:rPr>
        <w:t>Statisticile întocmite şi prezentate anual în ”S</w:t>
      </w:r>
      <w:r>
        <w:rPr>
          <w:rFonts w:ascii="Arial" w:hAnsi="Arial" w:cs="Arial"/>
          <w:sz w:val="24"/>
          <w:szCs w:val="24"/>
        </w:rPr>
        <w:t>inteza calităţii apelor din Româ</w:t>
      </w:r>
      <w:r w:rsidRPr="00530D00">
        <w:rPr>
          <w:rFonts w:ascii="Arial" w:hAnsi="Arial" w:cs="Arial"/>
          <w:sz w:val="24"/>
          <w:szCs w:val="24"/>
        </w:rPr>
        <w:t xml:space="preserve">nia” dovedesc faptul că </w:t>
      </w:r>
      <w:r>
        <w:rPr>
          <w:rFonts w:ascii="Arial" w:hAnsi="Arial" w:cs="Arial"/>
          <w:sz w:val="24"/>
          <w:szCs w:val="24"/>
        </w:rPr>
        <w:t xml:space="preserve">dintre apele uzate care necesită epurare, </w:t>
      </w:r>
      <w:r w:rsidRPr="00530D00">
        <w:rPr>
          <w:rFonts w:ascii="Arial" w:hAnsi="Arial" w:cs="Arial"/>
          <w:sz w:val="24"/>
          <w:szCs w:val="24"/>
        </w:rPr>
        <w:t>cel mai mare impact îl au apele uzate provenite de la aglomerările urbane</w:t>
      </w:r>
      <w:r>
        <w:rPr>
          <w:rFonts w:ascii="Arial" w:hAnsi="Arial" w:cs="Arial"/>
          <w:sz w:val="24"/>
          <w:szCs w:val="24"/>
        </w:rPr>
        <w:t>,</w:t>
      </w:r>
      <w:r w:rsidRPr="00530D00">
        <w:rPr>
          <w:rFonts w:ascii="Arial" w:hAnsi="Arial" w:cs="Arial"/>
          <w:sz w:val="24"/>
          <w:szCs w:val="24"/>
        </w:rPr>
        <w:t xml:space="preserve"> în special în ceea ce priveşte poluarea cu substanţe organice (CBO5 şi CCO-Cr) şi nutrien</w:t>
      </w:r>
      <w:r>
        <w:rPr>
          <w:rFonts w:ascii="Arial" w:hAnsi="Arial" w:cs="Arial"/>
          <w:sz w:val="24"/>
          <w:szCs w:val="24"/>
        </w:rPr>
        <w:t>ţi (azot total şi fosfor total).</w:t>
      </w:r>
    </w:p>
    <w:p w14:paraId="3B03085C" w14:textId="77777777" w:rsidR="00AE17B2" w:rsidRDefault="00AE17B2" w:rsidP="00AE17B2">
      <w:pPr>
        <w:spacing w:after="0" w:line="240" w:lineRule="auto"/>
        <w:ind w:firstLine="567"/>
        <w:jc w:val="both"/>
        <w:rPr>
          <w:rFonts w:ascii="Arial" w:hAnsi="Arial" w:cs="Arial"/>
          <w:sz w:val="24"/>
          <w:szCs w:val="24"/>
        </w:rPr>
      </w:pPr>
      <w:r w:rsidRPr="00530D00">
        <w:rPr>
          <w:rFonts w:ascii="Arial" w:hAnsi="Arial" w:cs="Arial"/>
          <w:i/>
          <w:sz w:val="24"/>
          <w:szCs w:val="24"/>
        </w:rPr>
        <w:lastRenderedPageBreak/>
        <w:t xml:space="preserve"> Tabel</w:t>
      </w:r>
      <w:r>
        <w:rPr>
          <w:rFonts w:ascii="Arial" w:hAnsi="Arial" w:cs="Arial"/>
          <w:i/>
          <w:sz w:val="24"/>
          <w:szCs w:val="24"/>
        </w:rPr>
        <w:t>e</w:t>
      </w:r>
      <w:r w:rsidRPr="00530D00">
        <w:rPr>
          <w:rFonts w:ascii="Arial" w:hAnsi="Arial" w:cs="Arial"/>
          <w:i/>
          <w:sz w:val="24"/>
          <w:szCs w:val="24"/>
        </w:rPr>
        <w:t xml:space="preserve"> </w:t>
      </w:r>
      <w:r w:rsidRPr="00530D00">
        <w:rPr>
          <w:rFonts w:ascii="Arial" w:hAnsi="Arial" w:cs="Arial"/>
          <w:i/>
          <w:sz w:val="24"/>
          <w:szCs w:val="24"/>
          <w:lang w:eastAsia="ro-RO"/>
        </w:rPr>
        <w:t>II</w:t>
      </w:r>
      <w:r>
        <w:rPr>
          <w:rFonts w:ascii="Arial" w:hAnsi="Arial" w:cs="Arial"/>
          <w:i/>
          <w:sz w:val="24"/>
          <w:szCs w:val="24"/>
          <w:lang w:eastAsia="ro-RO"/>
        </w:rPr>
        <w:t>.</w:t>
      </w:r>
      <w:r w:rsidRPr="00530D00">
        <w:rPr>
          <w:rFonts w:ascii="Arial" w:hAnsi="Arial" w:cs="Arial"/>
          <w:i/>
          <w:sz w:val="24"/>
          <w:szCs w:val="24"/>
          <w:lang w:eastAsia="ro-RO"/>
        </w:rPr>
        <w:t>2</w:t>
      </w:r>
      <w:r>
        <w:rPr>
          <w:rFonts w:ascii="Arial" w:hAnsi="Arial" w:cs="Arial"/>
          <w:i/>
          <w:sz w:val="24"/>
          <w:szCs w:val="24"/>
          <w:lang w:eastAsia="ro-RO"/>
        </w:rPr>
        <w:t>.</w:t>
      </w:r>
      <w:r w:rsidRPr="00530D00">
        <w:rPr>
          <w:rFonts w:ascii="Arial" w:hAnsi="Arial" w:cs="Arial"/>
          <w:i/>
          <w:sz w:val="24"/>
          <w:szCs w:val="24"/>
          <w:lang w:eastAsia="ro-RO"/>
        </w:rPr>
        <w:t>2</w:t>
      </w:r>
      <w:r>
        <w:rPr>
          <w:rFonts w:ascii="Arial" w:hAnsi="Arial" w:cs="Arial"/>
          <w:i/>
          <w:sz w:val="24"/>
          <w:szCs w:val="24"/>
          <w:lang w:eastAsia="ro-RO"/>
        </w:rPr>
        <w:t>.</w:t>
      </w:r>
      <w:r w:rsidRPr="00530D00">
        <w:rPr>
          <w:rFonts w:ascii="Arial" w:hAnsi="Arial" w:cs="Arial"/>
          <w:i/>
          <w:sz w:val="24"/>
          <w:szCs w:val="24"/>
          <w:lang w:eastAsia="ro-RO"/>
        </w:rPr>
        <w:t>2</w:t>
      </w:r>
      <w:r>
        <w:rPr>
          <w:rFonts w:ascii="Arial" w:hAnsi="Arial" w:cs="Arial"/>
          <w:i/>
          <w:sz w:val="24"/>
          <w:szCs w:val="24"/>
          <w:lang w:eastAsia="ro-RO"/>
        </w:rPr>
        <w:t xml:space="preserve">.3 și </w:t>
      </w:r>
      <w:r w:rsidRPr="00530D00">
        <w:rPr>
          <w:rFonts w:ascii="Arial" w:hAnsi="Arial" w:cs="Arial"/>
          <w:i/>
          <w:sz w:val="24"/>
          <w:szCs w:val="24"/>
          <w:lang w:eastAsia="ro-RO"/>
        </w:rPr>
        <w:t>II</w:t>
      </w:r>
      <w:r>
        <w:rPr>
          <w:rFonts w:ascii="Arial" w:hAnsi="Arial" w:cs="Arial"/>
          <w:i/>
          <w:sz w:val="24"/>
          <w:szCs w:val="24"/>
          <w:lang w:eastAsia="ro-RO"/>
        </w:rPr>
        <w:t>.</w:t>
      </w:r>
      <w:r w:rsidRPr="00530D00">
        <w:rPr>
          <w:rFonts w:ascii="Arial" w:hAnsi="Arial" w:cs="Arial"/>
          <w:i/>
          <w:sz w:val="24"/>
          <w:szCs w:val="24"/>
          <w:lang w:eastAsia="ro-RO"/>
        </w:rPr>
        <w:t>2</w:t>
      </w:r>
      <w:r>
        <w:rPr>
          <w:rFonts w:ascii="Arial" w:hAnsi="Arial" w:cs="Arial"/>
          <w:i/>
          <w:sz w:val="24"/>
          <w:szCs w:val="24"/>
          <w:lang w:eastAsia="ro-RO"/>
        </w:rPr>
        <w:t>.</w:t>
      </w:r>
      <w:r w:rsidRPr="00530D00">
        <w:rPr>
          <w:rFonts w:ascii="Arial" w:hAnsi="Arial" w:cs="Arial"/>
          <w:i/>
          <w:sz w:val="24"/>
          <w:szCs w:val="24"/>
          <w:lang w:eastAsia="ro-RO"/>
        </w:rPr>
        <w:t>2</w:t>
      </w:r>
      <w:r>
        <w:rPr>
          <w:rFonts w:ascii="Arial" w:hAnsi="Arial" w:cs="Arial"/>
          <w:i/>
          <w:sz w:val="24"/>
          <w:szCs w:val="24"/>
          <w:lang w:eastAsia="ro-RO"/>
        </w:rPr>
        <w:t>.</w:t>
      </w:r>
      <w:r w:rsidRPr="00530D00">
        <w:rPr>
          <w:rFonts w:ascii="Arial" w:hAnsi="Arial" w:cs="Arial"/>
          <w:i/>
          <w:sz w:val="24"/>
          <w:szCs w:val="24"/>
          <w:lang w:eastAsia="ro-RO"/>
        </w:rPr>
        <w:t>2</w:t>
      </w:r>
      <w:r>
        <w:rPr>
          <w:rFonts w:ascii="Arial" w:hAnsi="Arial" w:cs="Arial"/>
          <w:i/>
          <w:sz w:val="24"/>
          <w:szCs w:val="24"/>
          <w:lang w:eastAsia="ro-RO"/>
        </w:rPr>
        <w:t xml:space="preserve">.4 </w:t>
      </w:r>
      <w:r w:rsidRPr="008A483B">
        <w:rPr>
          <w:rFonts w:ascii="Arial" w:hAnsi="Arial" w:cs="Arial"/>
          <w:sz w:val="24"/>
          <w:szCs w:val="24"/>
        </w:rPr>
        <w:t>evidențiază cele afirmate mai sus</w:t>
      </w:r>
      <w:r>
        <w:rPr>
          <w:rFonts w:ascii="Arial" w:hAnsi="Arial" w:cs="Arial"/>
          <w:sz w:val="24"/>
          <w:szCs w:val="24"/>
        </w:rPr>
        <w:t>.</w:t>
      </w:r>
    </w:p>
    <w:p w14:paraId="7E6477ED" w14:textId="77777777" w:rsidR="00AE17B2" w:rsidRDefault="00AE17B2" w:rsidP="00AE17B2">
      <w:pPr>
        <w:autoSpaceDE w:val="0"/>
        <w:autoSpaceDN w:val="0"/>
        <w:adjustRightInd w:val="0"/>
        <w:spacing w:after="0" w:line="240" w:lineRule="auto"/>
        <w:rPr>
          <w:rFonts w:ascii="Arial" w:hAnsi="Arial" w:cs="Arial"/>
          <w:b/>
          <w:i/>
          <w:sz w:val="20"/>
          <w:szCs w:val="20"/>
        </w:rPr>
      </w:pPr>
    </w:p>
    <w:p w14:paraId="6F59BC60" w14:textId="77777777" w:rsidR="00AE17B2" w:rsidRPr="00BA74C6" w:rsidRDefault="00AE17B2" w:rsidP="00AE17B2">
      <w:pPr>
        <w:autoSpaceDE w:val="0"/>
        <w:autoSpaceDN w:val="0"/>
        <w:adjustRightInd w:val="0"/>
        <w:spacing w:after="0" w:line="240" w:lineRule="auto"/>
        <w:rPr>
          <w:rFonts w:ascii="Arial" w:hAnsi="Arial" w:cs="Arial"/>
          <w:b/>
          <w:i/>
          <w:sz w:val="20"/>
          <w:szCs w:val="20"/>
        </w:rPr>
      </w:pPr>
      <w:r w:rsidRPr="00BA74C6">
        <w:rPr>
          <w:rFonts w:ascii="Arial" w:hAnsi="Arial" w:cs="Arial"/>
          <w:b/>
          <w:i/>
          <w:sz w:val="20"/>
          <w:szCs w:val="20"/>
        </w:rPr>
        <w:t xml:space="preserve">Tabel </w:t>
      </w:r>
      <w:r w:rsidRPr="00BA74C6">
        <w:rPr>
          <w:rFonts w:ascii="Arial" w:hAnsi="Arial" w:cs="Arial"/>
          <w:b/>
          <w:i/>
          <w:sz w:val="20"/>
          <w:szCs w:val="20"/>
          <w:lang w:eastAsia="ro-RO"/>
        </w:rPr>
        <w:t xml:space="preserve">II.2.2.2.3 </w:t>
      </w:r>
      <w:r w:rsidRPr="00BA74C6">
        <w:rPr>
          <w:rFonts w:ascii="Arial" w:hAnsi="Arial" w:cs="Arial"/>
          <w:b/>
          <w:i/>
          <w:sz w:val="20"/>
          <w:szCs w:val="20"/>
        </w:rPr>
        <w:t xml:space="preserve">Volumul total de ape uzate urbane evacuate în receptorii naturali în </w:t>
      </w:r>
      <w:r>
        <w:rPr>
          <w:rFonts w:ascii="Arial" w:hAnsi="Arial" w:cs="Arial"/>
          <w:b/>
          <w:i/>
          <w:sz w:val="20"/>
          <w:szCs w:val="20"/>
        </w:rPr>
        <w:t xml:space="preserve">anul </w:t>
      </w:r>
      <w:r w:rsidRPr="00BA74C6">
        <w:rPr>
          <w:rFonts w:ascii="Arial" w:hAnsi="Arial" w:cs="Arial"/>
          <w:b/>
          <w:i/>
          <w:sz w:val="20"/>
          <w:szCs w:val="20"/>
        </w:rPr>
        <w:t>20</w:t>
      </w:r>
      <w:r>
        <w:rPr>
          <w:rFonts w:ascii="Arial" w:hAnsi="Arial" w:cs="Arial"/>
          <w:b/>
          <w:i/>
          <w:sz w:val="20"/>
          <w:szCs w:val="20"/>
        </w:rPr>
        <w:t xml:space="preserve">22 </w:t>
      </w:r>
      <w:r w:rsidRPr="00BA74C6">
        <w:rPr>
          <w:rFonts w:ascii="Arial" w:hAnsi="Arial" w:cs="Arial"/>
          <w:b/>
          <w:i/>
          <w:sz w:val="20"/>
          <w:szCs w:val="20"/>
        </w:rPr>
        <w:t>(mil. m</w:t>
      </w:r>
      <w:r w:rsidRPr="00BA74C6">
        <w:rPr>
          <w:rFonts w:ascii="Arial" w:hAnsi="Arial" w:cs="Arial"/>
          <w:b/>
          <w:i/>
          <w:sz w:val="20"/>
          <w:szCs w:val="20"/>
          <w:vertAlign w:val="superscript"/>
        </w:rPr>
        <w:t>3</w:t>
      </w:r>
      <w:r w:rsidRPr="00BA74C6">
        <w:rPr>
          <w:rFonts w:ascii="Arial" w:hAnsi="Arial" w:cs="Arial"/>
          <w:b/>
          <w:i/>
          <w:sz w:val="20"/>
          <w:szCs w:val="20"/>
        </w:rPr>
        <w:t>/an)</w:t>
      </w:r>
    </w:p>
    <w:tbl>
      <w:tblPr>
        <w:tblW w:w="74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92"/>
        <w:gridCol w:w="1251"/>
        <w:gridCol w:w="1771"/>
        <w:gridCol w:w="2126"/>
        <w:gridCol w:w="1232"/>
        <w:gridCol w:w="10"/>
      </w:tblGrid>
      <w:tr w:rsidR="00AE17B2" w14:paraId="683BC811" w14:textId="77777777" w:rsidTr="00C74E50">
        <w:trPr>
          <w:trHeight w:val="503"/>
          <w:jc w:val="center"/>
        </w:trPr>
        <w:tc>
          <w:tcPr>
            <w:tcW w:w="1092" w:type="dxa"/>
            <w:vMerge w:val="restart"/>
            <w:shd w:val="clear" w:color="auto" w:fill="DEEAF6"/>
            <w:vAlign w:val="center"/>
          </w:tcPr>
          <w:p w14:paraId="609CA3B0" w14:textId="77777777" w:rsidR="00AE17B2" w:rsidRDefault="00AE17B2" w:rsidP="00C74E50">
            <w:pPr>
              <w:spacing w:after="0" w:line="240" w:lineRule="auto"/>
              <w:jc w:val="center"/>
              <w:rPr>
                <w:rFonts w:ascii="Arial" w:hAnsi="Arial" w:cs="Arial"/>
                <w:b/>
                <w:lang w:val="it-IT"/>
              </w:rPr>
            </w:pPr>
            <w:r>
              <w:rPr>
                <w:rFonts w:ascii="Arial" w:hAnsi="Arial" w:cs="Arial"/>
                <w:b/>
                <w:lang w:val="it-IT"/>
              </w:rPr>
              <w:t>Anul</w:t>
            </w:r>
          </w:p>
        </w:tc>
        <w:tc>
          <w:tcPr>
            <w:tcW w:w="6390" w:type="dxa"/>
            <w:gridSpan w:val="5"/>
            <w:shd w:val="clear" w:color="auto" w:fill="DEEAF6"/>
            <w:vAlign w:val="center"/>
          </w:tcPr>
          <w:p w14:paraId="744077AB" w14:textId="77777777" w:rsidR="00AE17B2" w:rsidRDefault="00AE17B2" w:rsidP="00C74E50">
            <w:pPr>
              <w:spacing w:after="0" w:line="240" w:lineRule="auto"/>
              <w:jc w:val="center"/>
              <w:rPr>
                <w:rFonts w:ascii="Arial" w:hAnsi="Arial" w:cs="Arial"/>
                <w:b/>
              </w:rPr>
            </w:pPr>
            <w:r>
              <w:rPr>
                <w:rFonts w:ascii="Arial" w:hAnsi="Arial" w:cs="Arial"/>
                <w:b/>
              </w:rPr>
              <w:t>Volum ape uzate urbane evacuate în receptorii naturali</w:t>
            </w:r>
          </w:p>
        </w:tc>
      </w:tr>
      <w:tr w:rsidR="00AE17B2" w14:paraId="71163ACC" w14:textId="77777777" w:rsidTr="00C74E50">
        <w:trPr>
          <w:gridAfter w:val="1"/>
          <w:wAfter w:w="10" w:type="dxa"/>
          <w:jc w:val="center"/>
        </w:trPr>
        <w:tc>
          <w:tcPr>
            <w:tcW w:w="1092" w:type="dxa"/>
            <w:vMerge/>
            <w:shd w:val="clear" w:color="auto" w:fill="DEEAF6"/>
            <w:vAlign w:val="center"/>
          </w:tcPr>
          <w:p w14:paraId="58771236" w14:textId="77777777" w:rsidR="00AE17B2" w:rsidRDefault="00AE17B2" w:rsidP="00C74E50">
            <w:pPr>
              <w:spacing w:after="0" w:line="240" w:lineRule="auto"/>
              <w:jc w:val="center"/>
              <w:rPr>
                <w:rFonts w:ascii="Arial" w:hAnsi="Arial" w:cs="Arial"/>
              </w:rPr>
            </w:pPr>
          </w:p>
        </w:tc>
        <w:tc>
          <w:tcPr>
            <w:tcW w:w="1251" w:type="dxa"/>
            <w:shd w:val="clear" w:color="auto" w:fill="DEEAF6"/>
            <w:vAlign w:val="center"/>
          </w:tcPr>
          <w:p w14:paraId="6B0279E1" w14:textId="77777777" w:rsidR="00AE17B2" w:rsidRDefault="00AE17B2" w:rsidP="00C74E50">
            <w:pPr>
              <w:spacing w:after="0" w:line="240" w:lineRule="auto"/>
              <w:jc w:val="center"/>
              <w:rPr>
                <w:rFonts w:ascii="Arial" w:hAnsi="Arial" w:cs="Arial"/>
                <w:b/>
                <w:lang w:val="it-IT"/>
              </w:rPr>
            </w:pPr>
            <w:r>
              <w:rPr>
                <w:rFonts w:ascii="Arial" w:hAnsi="Arial" w:cs="Arial"/>
                <w:b/>
              </w:rPr>
              <w:t>Total</w:t>
            </w:r>
          </w:p>
        </w:tc>
        <w:tc>
          <w:tcPr>
            <w:tcW w:w="1771" w:type="dxa"/>
            <w:shd w:val="clear" w:color="auto" w:fill="DEEAF6"/>
            <w:vAlign w:val="center"/>
          </w:tcPr>
          <w:p w14:paraId="590AABE4" w14:textId="77777777" w:rsidR="00AE17B2" w:rsidRDefault="00AE17B2" w:rsidP="00C74E50">
            <w:pPr>
              <w:spacing w:after="0" w:line="240" w:lineRule="auto"/>
              <w:jc w:val="center"/>
              <w:rPr>
                <w:rFonts w:ascii="Arial" w:hAnsi="Arial" w:cs="Arial"/>
                <w:b/>
                <w:lang w:val="it-IT"/>
              </w:rPr>
            </w:pPr>
            <w:r>
              <w:rPr>
                <w:rFonts w:ascii="Arial" w:hAnsi="Arial" w:cs="Arial"/>
                <w:b/>
                <w:lang w:val="it-IT"/>
              </w:rPr>
              <w:t>Corespunzător</w:t>
            </w:r>
          </w:p>
          <w:p w14:paraId="09712D1D" w14:textId="77777777" w:rsidR="00AE17B2" w:rsidRDefault="00AE17B2" w:rsidP="00C74E50">
            <w:pPr>
              <w:spacing w:after="0" w:line="240" w:lineRule="auto"/>
              <w:jc w:val="center"/>
              <w:rPr>
                <w:rFonts w:ascii="Arial" w:hAnsi="Arial" w:cs="Arial"/>
                <w:b/>
                <w:lang w:val="it-IT"/>
              </w:rPr>
            </w:pPr>
            <w:r>
              <w:rPr>
                <w:rFonts w:ascii="Arial" w:hAnsi="Arial" w:cs="Arial"/>
                <w:b/>
                <w:lang w:val="it-IT"/>
              </w:rPr>
              <w:t>epurate</w:t>
            </w:r>
          </w:p>
        </w:tc>
        <w:tc>
          <w:tcPr>
            <w:tcW w:w="2126" w:type="dxa"/>
            <w:shd w:val="clear" w:color="auto" w:fill="DEEAF6"/>
            <w:vAlign w:val="center"/>
          </w:tcPr>
          <w:p w14:paraId="55DC587F" w14:textId="77777777" w:rsidR="00AE17B2" w:rsidRDefault="00AE17B2" w:rsidP="00C74E50">
            <w:pPr>
              <w:spacing w:after="0" w:line="240" w:lineRule="auto"/>
              <w:jc w:val="center"/>
              <w:rPr>
                <w:rFonts w:ascii="Arial" w:hAnsi="Arial" w:cs="Arial"/>
                <w:b/>
                <w:lang w:val="it-IT"/>
              </w:rPr>
            </w:pPr>
            <w:r>
              <w:rPr>
                <w:rFonts w:ascii="Arial" w:hAnsi="Arial" w:cs="Arial"/>
                <w:b/>
                <w:lang w:val="it-IT"/>
              </w:rPr>
              <w:t>Necorespunzător</w:t>
            </w:r>
          </w:p>
          <w:p w14:paraId="013BEB5D" w14:textId="77777777" w:rsidR="00AE17B2" w:rsidRDefault="00AE17B2" w:rsidP="00C74E50">
            <w:pPr>
              <w:spacing w:after="0" w:line="240" w:lineRule="auto"/>
              <w:jc w:val="center"/>
              <w:rPr>
                <w:rFonts w:ascii="Arial" w:hAnsi="Arial" w:cs="Arial"/>
                <w:b/>
              </w:rPr>
            </w:pPr>
            <w:r>
              <w:rPr>
                <w:rFonts w:ascii="Arial" w:hAnsi="Arial" w:cs="Arial"/>
                <w:b/>
                <w:lang w:val="it-IT"/>
              </w:rPr>
              <w:t>epurate</w:t>
            </w:r>
          </w:p>
        </w:tc>
        <w:tc>
          <w:tcPr>
            <w:tcW w:w="1232" w:type="dxa"/>
            <w:shd w:val="clear" w:color="auto" w:fill="DEEAF6"/>
            <w:vAlign w:val="center"/>
          </w:tcPr>
          <w:p w14:paraId="72C0FF7C" w14:textId="77777777" w:rsidR="00AE17B2" w:rsidRDefault="00AE17B2" w:rsidP="00C74E50">
            <w:pPr>
              <w:spacing w:after="0" w:line="240" w:lineRule="auto"/>
              <w:jc w:val="center"/>
              <w:rPr>
                <w:rFonts w:ascii="Arial" w:hAnsi="Arial" w:cs="Arial"/>
                <w:b/>
                <w:bCs/>
                <w:color w:val="000000"/>
                <w:lang w:eastAsia="ro-RO"/>
              </w:rPr>
            </w:pPr>
            <w:r>
              <w:rPr>
                <w:rFonts w:ascii="Arial" w:hAnsi="Arial" w:cs="Arial"/>
                <w:b/>
                <w:bCs/>
                <w:color w:val="000000"/>
                <w:lang w:eastAsia="ro-RO"/>
              </w:rPr>
              <w:t>Nu se epurează</w:t>
            </w:r>
          </w:p>
        </w:tc>
      </w:tr>
      <w:tr w:rsidR="00AE17B2" w14:paraId="3691758F" w14:textId="77777777" w:rsidTr="00C74E50">
        <w:trPr>
          <w:gridAfter w:val="1"/>
          <w:wAfter w:w="10" w:type="dxa"/>
          <w:trHeight w:val="512"/>
          <w:jc w:val="center"/>
        </w:trPr>
        <w:tc>
          <w:tcPr>
            <w:tcW w:w="1092" w:type="dxa"/>
            <w:vAlign w:val="center"/>
          </w:tcPr>
          <w:p w14:paraId="7CDA8823" w14:textId="77777777" w:rsidR="00AE17B2" w:rsidRDefault="00AE17B2" w:rsidP="00C74E50">
            <w:pPr>
              <w:spacing w:after="0" w:line="240" w:lineRule="auto"/>
              <w:jc w:val="center"/>
              <w:rPr>
                <w:rFonts w:ascii="Arial" w:hAnsi="Arial" w:cs="Arial"/>
                <w:lang w:val="it-IT"/>
              </w:rPr>
            </w:pPr>
            <w:r>
              <w:rPr>
                <w:rFonts w:ascii="Arial" w:hAnsi="Arial" w:cs="Arial"/>
                <w:lang w:val="it-IT"/>
              </w:rPr>
              <w:t>2022</w:t>
            </w:r>
          </w:p>
        </w:tc>
        <w:tc>
          <w:tcPr>
            <w:tcW w:w="1251" w:type="dxa"/>
            <w:vAlign w:val="center"/>
          </w:tcPr>
          <w:p w14:paraId="66A5936F" w14:textId="77777777" w:rsidR="00AE17B2" w:rsidRDefault="00AE17B2" w:rsidP="00C74E50">
            <w:pPr>
              <w:spacing w:after="0" w:line="240" w:lineRule="auto"/>
              <w:jc w:val="center"/>
              <w:rPr>
                <w:rFonts w:ascii="Arial" w:hAnsi="Arial" w:cs="Arial"/>
              </w:rPr>
            </w:pPr>
            <w:r>
              <w:rPr>
                <w:rFonts w:ascii="Arial" w:hAnsi="Arial" w:cs="Arial"/>
              </w:rPr>
              <w:t>1086,26</w:t>
            </w:r>
          </w:p>
        </w:tc>
        <w:tc>
          <w:tcPr>
            <w:tcW w:w="1771" w:type="dxa"/>
            <w:vAlign w:val="center"/>
          </w:tcPr>
          <w:p w14:paraId="7915F8BD" w14:textId="77777777" w:rsidR="00AE17B2" w:rsidRDefault="00AE17B2" w:rsidP="00C74E50">
            <w:pPr>
              <w:spacing w:after="0" w:line="240" w:lineRule="auto"/>
              <w:jc w:val="center"/>
              <w:rPr>
                <w:rFonts w:ascii="Arial" w:hAnsi="Arial" w:cs="Arial"/>
              </w:rPr>
            </w:pPr>
            <w:r>
              <w:rPr>
                <w:rFonts w:ascii="Arial" w:hAnsi="Arial" w:cs="Arial"/>
              </w:rPr>
              <w:t>674,03</w:t>
            </w:r>
          </w:p>
        </w:tc>
        <w:tc>
          <w:tcPr>
            <w:tcW w:w="2126" w:type="dxa"/>
            <w:vAlign w:val="center"/>
          </w:tcPr>
          <w:p w14:paraId="5AF46EAF" w14:textId="77777777" w:rsidR="00AE17B2" w:rsidRDefault="00AE17B2" w:rsidP="00C74E50">
            <w:pPr>
              <w:spacing w:after="0" w:line="240" w:lineRule="auto"/>
              <w:jc w:val="center"/>
              <w:rPr>
                <w:rFonts w:ascii="Arial" w:hAnsi="Arial" w:cs="Arial"/>
              </w:rPr>
            </w:pPr>
            <w:r>
              <w:rPr>
                <w:rFonts w:ascii="Arial" w:hAnsi="Arial" w:cs="Arial"/>
              </w:rPr>
              <w:t>382,09</w:t>
            </w:r>
          </w:p>
        </w:tc>
        <w:tc>
          <w:tcPr>
            <w:tcW w:w="1232" w:type="dxa"/>
            <w:vAlign w:val="center"/>
          </w:tcPr>
          <w:p w14:paraId="6E470B82" w14:textId="77777777" w:rsidR="00AE17B2" w:rsidRDefault="00AE17B2" w:rsidP="00C74E50">
            <w:pPr>
              <w:spacing w:after="0" w:line="240" w:lineRule="auto"/>
              <w:jc w:val="center"/>
              <w:rPr>
                <w:rFonts w:ascii="Arial" w:hAnsi="Arial" w:cs="Arial"/>
              </w:rPr>
            </w:pPr>
            <w:r>
              <w:rPr>
                <w:rFonts w:ascii="Arial" w:hAnsi="Arial" w:cs="Arial"/>
              </w:rPr>
              <w:t>30,14</w:t>
            </w:r>
          </w:p>
        </w:tc>
      </w:tr>
    </w:tbl>
    <w:p w14:paraId="0557C831" w14:textId="77777777" w:rsidR="00AE17B2" w:rsidRDefault="00AE17B2" w:rsidP="00AE17B2">
      <w:pPr>
        <w:autoSpaceDE w:val="0"/>
        <w:autoSpaceDN w:val="0"/>
        <w:adjustRightInd w:val="0"/>
        <w:spacing w:after="0" w:line="240" w:lineRule="auto"/>
        <w:rPr>
          <w:rFonts w:ascii="Arial" w:hAnsi="Arial" w:cs="Arial"/>
          <w:b/>
          <w:i/>
          <w:sz w:val="20"/>
          <w:szCs w:val="24"/>
          <w:lang w:eastAsia="ro-RO"/>
        </w:rPr>
      </w:pPr>
    </w:p>
    <w:p w14:paraId="13A7C018" w14:textId="77777777" w:rsidR="00AE17B2" w:rsidRPr="005E5658" w:rsidRDefault="00AE17B2" w:rsidP="00AE17B2">
      <w:pPr>
        <w:autoSpaceDE w:val="0"/>
        <w:autoSpaceDN w:val="0"/>
        <w:adjustRightInd w:val="0"/>
        <w:spacing w:after="0" w:line="240" w:lineRule="auto"/>
        <w:rPr>
          <w:rFonts w:ascii="Arial" w:hAnsi="Arial" w:cs="Arial"/>
          <w:b/>
          <w:bCs/>
          <w:i/>
          <w:color w:val="000000"/>
          <w:sz w:val="20"/>
          <w:szCs w:val="24"/>
          <w:lang w:eastAsia="ro-RO"/>
        </w:rPr>
      </w:pPr>
      <w:r w:rsidRPr="005E5658">
        <w:rPr>
          <w:rFonts w:ascii="Arial" w:hAnsi="Arial" w:cs="Arial"/>
          <w:b/>
          <w:i/>
          <w:sz w:val="20"/>
          <w:szCs w:val="24"/>
          <w:lang w:eastAsia="ro-RO"/>
        </w:rPr>
        <w:t xml:space="preserve">Tabel II.2.2.2.4 </w:t>
      </w:r>
      <w:r>
        <w:rPr>
          <w:rFonts w:ascii="Arial" w:hAnsi="Arial" w:cs="Arial"/>
          <w:b/>
          <w:bCs/>
          <w:i/>
          <w:color w:val="000000"/>
          <w:sz w:val="20"/>
          <w:szCs w:val="24"/>
          <w:lang w:eastAsia="ro-RO"/>
        </w:rPr>
        <w:t>Încărcarea cu poluanț</w:t>
      </w:r>
      <w:r w:rsidRPr="005E5658">
        <w:rPr>
          <w:rFonts w:ascii="Arial" w:hAnsi="Arial" w:cs="Arial"/>
          <w:b/>
          <w:bCs/>
          <w:i/>
          <w:color w:val="000000"/>
          <w:sz w:val="20"/>
          <w:szCs w:val="24"/>
          <w:lang w:eastAsia="ro-RO"/>
        </w:rPr>
        <w:t>i (tone/an) a efluenților evacuaţi de la aglomerările urbane în receptorii naturali</w:t>
      </w:r>
      <w:r>
        <w:rPr>
          <w:rFonts w:ascii="Arial" w:hAnsi="Arial" w:cs="Arial"/>
          <w:b/>
          <w:bCs/>
          <w:i/>
          <w:color w:val="000000"/>
          <w:sz w:val="20"/>
          <w:szCs w:val="24"/>
          <w:lang w:eastAsia="ro-RO"/>
        </w:rPr>
        <w:t xml:space="preserve"> în anul 2022</w:t>
      </w:r>
    </w:p>
    <w:tbl>
      <w:tblPr>
        <w:tblW w:w="5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68"/>
        <w:gridCol w:w="2937"/>
      </w:tblGrid>
      <w:tr w:rsidR="00AE17B2" w14:paraId="0801C6AA" w14:textId="77777777" w:rsidTr="00C74E50">
        <w:trPr>
          <w:trHeight w:val="329"/>
          <w:jc w:val="center"/>
        </w:trPr>
        <w:tc>
          <w:tcPr>
            <w:tcW w:w="2468" w:type="dxa"/>
            <w:shd w:val="clear" w:color="auto" w:fill="DEEAF6"/>
            <w:vAlign w:val="center"/>
          </w:tcPr>
          <w:p w14:paraId="2581065A" w14:textId="77777777" w:rsidR="00AE17B2" w:rsidRDefault="00AE17B2" w:rsidP="00C74E50">
            <w:pPr>
              <w:spacing w:after="0" w:line="240" w:lineRule="auto"/>
              <w:jc w:val="center"/>
              <w:rPr>
                <w:rFonts w:ascii="Arial" w:hAnsi="Arial" w:cs="Arial"/>
                <w:b/>
                <w:lang w:val="it-IT"/>
              </w:rPr>
            </w:pPr>
            <w:r>
              <w:rPr>
                <w:rFonts w:ascii="Arial" w:hAnsi="Arial" w:cs="Arial"/>
                <w:b/>
                <w:lang w:val="it-IT"/>
              </w:rPr>
              <w:t>Poluant</w:t>
            </w:r>
          </w:p>
        </w:tc>
        <w:tc>
          <w:tcPr>
            <w:tcW w:w="2937" w:type="dxa"/>
            <w:shd w:val="clear" w:color="auto" w:fill="DEEAF6"/>
            <w:vAlign w:val="center"/>
          </w:tcPr>
          <w:p w14:paraId="61DD75EC" w14:textId="77777777" w:rsidR="00AE17B2" w:rsidRDefault="00AE17B2" w:rsidP="00C74E50">
            <w:pPr>
              <w:spacing w:after="0" w:line="240" w:lineRule="auto"/>
              <w:jc w:val="center"/>
              <w:rPr>
                <w:rFonts w:ascii="Arial" w:hAnsi="Arial" w:cs="Arial"/>
                <w:b/>
                <w:lang w:val="it-IT"/>
              </w:rPr>
            </w:pPr>
            <w:r>
              <w:rPr>
                <w:rFonts w:ascii="Arial" w:hAnsi="Arial" w:cs="Arial"/>
                <w:b/>
                <w:lang w:val="it-IT"/>
              </w:rPr>
              <w:t>Cantitatea de poluan</w:t>
            </w:r>
            <w:r>
              <w:rPr>
                <w:rFonts w:ascii="Arial" w:hAnsi="Arial" w:cs="Arial"/>
                <w:b/>
              </w:rPr>
              <w:t>ţ</w:t>
            </w:r>
            <w:r>
              <w:rPr>
                <w:rFonts w:ascii="Arial" w:hAnsi="Arial" w:cs="Arial"/>
                <w:b/>
                <w:lang w:val="it-IT"/>
              </w:rPr>
              <w:t>i (tone/an)</w:t>
            </w:r>
          </w:p>
        </w:tc>
      </w:tr>
      <w:tr w:rsidR="00AE17B2" w14:paraId="479C9497" w14:textId="77777777" w:rsidTr="00C74E50">
        <w:trPr>
          <w:trHeight w:val="413"/>
          <w:jc w:val="center"/>
        </w:trPr>
        <w:tc>
          <w:tcPr>
            <w:tcW w:w="2468" w:type="dxa"/>
            <w:shd w:val="clear" w:color="auto" w:fill="auto"/>
            <w:vAlign w:val="center"/>
          </w:tcPr>
          <w:p w14:paraId="472F18C3" w14:textId="77777777" w:rsidR="00AE17B2" w:rsidRDefault="00AE17B2" w:rsidP="00C74E50">
            <w:pPr>
              <w:spacing w:after="0" w:line="240" w:lineRule="auto"/>
              <w:jc w:val="center"/>
              <w:rPr>
                <w:rFonts w:ascii="Arial" w:hAnsi="Arial" w:cs="Arial"/>
                <w:b/>
                <w:iCs/>
                <w:lang w:val="it-IT"/>
              </w:rPr>
            </w:pPr>
            <w:r>
              <w:rPr>
                <w:rFonts w:ascii="Arial" w:hAnsi="Arial" w:cs="Arial"/>
                <w:b/>
                <w:iCs/>
              </w:rPr>
              <w:t>CBO</w:t>
            </w:r>
            <w:r>
              <w:rPr>
                <w:rFonts w:ascii="Arial" w:hAnsi="Arial" w:cs="Arial"/>
                <w:b/>
                <w:iCs/>
                <w:vertAlign w:val="subscript"/>
              </w:rPr>
              <w:t>5</w:t>
            </w:r>
          </w:p>
        </w:tc>
        <w:tc>
          <w:tcPr>
            <w:tcW w:w="2937" w:type="dxa"/>
            <w:shd w:val="clear" w:color="auto" w:fill="auto"/>
            <w:vAlign w:val="center"/>
          </w:tcPr>
          <w:p w14:paraId="74D5C2BC" w14:textId="77777777" w:rsidR="00AE17B2" w:rsidRDefault="00AE17B2" w:rsidP="00C74E50">
            <w:pPr>
              <w:spacing w:after="0" w:line="240" w:lineRule="auto"/>
              <w:jc w:val="center"/>
              <w:rPr>
                <w:rFonts w:ascii="Arial" w:hAnsi="Arial" w:cs="Arial"/>
                <w:lang w:val="it-IT"/>
              </w:rPr>
            </w:pPr>
            <w:r>
              <w:rPr>
                <w:rFonts w:ascii="Arial" w:hAnsi="Arial" w:cs="Arial"/>
              </w:rPr>
              <w:t>22931,67</w:t>
            </w:r>
          </w:p>
        </w:tc>
      </w:tr>
      <w:tr w:rsidR="00AE17B2" w14:paraId="45919BA4" w14:textId="77777777" w:rsidTr="00C74E50">
        <w:trPr>
          <w:trHeight w:val="404"/>
          <w:jc w:val="center"/>
        </w:trPr>
        <w:tc>
          <w:tcPr>
            <w:tcW w:w="2468" w:type="dxa"/>
            <w:shd w:val="clear" w:color="auto" w:fill="auto"/>
            <w:vAlign w:val="center"/>
          </w:tcPr>
          <w:p w14:paraId="5CFD4D14" w14:textId="77777777" w:rsidR="00AE17B2" w:rsidRDefault="00AE17B2" w:rsidP="00C74E50">
            <w:pPr>
              <w:spacing w:after="0" w:line="240" w:lineRule="auto"/>
              <w:jc w:val="center"/>
              <w:rPr>
                <w:rFonts w:ascii="Arial" w:hAnsi="Arial" w:cs="Arial"/>
                <w:b/>
                <w:lang w:val="it-IT"/>
              </w:rPr>
            </w:pPr>
            <w:r>
              <w:rPr>
                <w:rFonts w:ascii="Arial" w:hAnsi="Arial" w:cs="Arial"/>
                <w:b/>
              </w:rPr>
              <w:t>CCO-Cr</w:t>
            </w:r>
          </w:p>
        </w:tc>
        <w:tc>
          <w:tcPr>
            <w:tcW w:w="2937" w:type="dxa"/>
            <w:shd w:val="clear" w:color="auto" w:fill="auto"/>
            <w:vAlign w:val="center"/>
          </w:tcPr>
          <w:p w14:paraId="7C82EB81" w14:textId="77777777" w:rsidR="00AE17B2" w:rsidRDefault="00AE17B2" w:rsidP="00C74E50">
            <w:pPr>
              <w:spacing w:after="0" w:line="240" w:lineRule="auto"/>
              <w:jc w:val="center"/>
              <w:rPr>
                <w:rFonts w:ascii="Arial" w:hAnsi="Arial" w:cs="Arial"/>
                <w:lang w:val="it-IT"/>
              </w:rPr>
            </w:pPr>
            <w:r>
              <w:rPr>
                <w:rFonts w:ascii="Arial" w:hAnsi="Arial" w:cs="Arial"/>
              </w:rPr>
              <w:t>69687,84</w:t>
            </w:r>
          </w:p>
        </w:tc>
      </w:tr>
      <w:tr w:rsidR="00AE17B2" w14:paraId="77CE4FB8" w14:textId="77777777" w:rsidTr="00C74E50">
        <w:trPr>
          <w:trHeight w:val="413"/>
          <w:jc w:val="center"/>
        </w:trPr>
        <w:tc>
          <w:tcPr>
            <w:tcW w:w="2468" w:type="dxa"/>
            <w:shd w:val="clear" w:color="auto" w:fill="auto"/>
            <w:vAlign w:val="center"/>
          </w:tcPr>
          <w:p w14:paraId="7E0CAC14" w14:textId="77777777" w:rsidR="00AE17B2" w:rsidRDefault="00AE17B2" w:rsidP="00C74E50">
            <w:pPr>
              <w:spacing w:after="0" w:line="240" w:lineRule="auto"/>
              <w:jc w:val="center"/>
              <w:rPr>
                <w:rFonts w:ascii="Arial" w:hAnsi="Arial" w:cs="Arial"/>
                <w:b/>
                <w:lang w:val="it-IT"/>
              </w:rPr>
            </w:pPr>
            <w:r>
              <w:rPr>
                <w:rFonts w:ascii="Arial" w:hAnsi="Arial" w:cs="Arial"/>
                <w:b/>
              </w:rPr>
              <w:t>Azot total</w:t>
            </w:r>
          </w:p>
        </w:tc>
        <w:tc>
          <w:tcPr>
            <w:tcW w:w="2937" w:type="dxa"/>
            <w:shd w:val="clear" w:color="auto" w:fill="auto"/>
            <w:vAlign w:val="center"/>
          </w:tcPr>
          <w:p w14:paraId="473282BC" w14:textId="77777777" w:rsidR="00AE17B2" w:rsidRDefault="00AE17B2" w:rsidP="00C74E50">
            <w:pPr>
              <w:spacing w:after="0" w:line="240" w:lineRule="auto"/>
              <w:jc w:val="center"/>
              <w:rPr>
                <w:rFonts w:ascii="Arial" w:hAnsi="Arial" w:cs="Arial"/>
                <w:lang w:val="it-IT"/>
              </w:rPr>
            </w:pPr>
            <w:r>
              <w:rPr>
                <w:rFonts w:ascii="Arial" w:hAnsi="Arial" w:cs="Arial"/>
              </w:rPr>
              <w:t>11547,56</w:t>
            </w:r>
          </w:p>
        </w:tc>
      </w:tr>
      <w:tr w:rsidR="00AE17B2" w14:paraId="7E2FBE32" w14:textId="77777777" w:rsidTr="00C74E50">
        <w:trPr>
          <w:trHeight w:val="404"/>
          <w:jc w:val="center"/>
        </w:trPr>
        <w:tc>
          <w:tcPr>
            <w:tcW w:w="2468" w:type="dxa"/>
            <w:shd w:val="clear" w:color="auto" w:fill="auto"/>
            <w:vAlign w:val="center"/>
          </w:tcPr>
          <w:p w14:paraId="40D5357D" w14:textId="77777777" w:rsidR="00AE17B2" w:rsidRDefault="00AE17B2" w:rsidP="00C74E50">
            <w:pPr>
              <w:spacing w:after="0" w:line="240" w:lineRule="auto"/>
              <w:jc w:val="center"/>
              <w:rPr>
                <w:rFonts w:ascii="Arial" w:hAnsi="Arial" w:cs="Arial"/>
                <w:b/>
                <w:lang w:val="it-IT"/>
              </w:rPr>
            </w:pPr>
            <w:r>
              <w:rPr>
                <w:rFonts w:ascii="Arial" w:hAnsi="Arial" w:cs="Arial"/>
                <w:b/>
              </w:rPr>
              <w:t>Fosfor total</w:t>
            </w:r>
          </w:p>
        </w:tc>
        <w:tc>
          <w:tcPr>
            <w:tcW w:w="2937" w:type="dxa"/>
            <w:shd w:val="clear" w:color="auto" w:fill="auto"/>
            <w:vAlign w:val="center"/>
          </w:tcPr>
          <w:p w14:paraId="4E71C8C3" w14:textId="77777777" w:rsidR="00AE17B2" w:rsidRDefault="00AE17B2" w:rsidP="00C74E50">
            <w:pPr>
              <w:spacing w:after="0" w:line="240" w:lineRule="auto"/>
              <w:jc w:val="center"/>
              <w:rPr>
                <w:rFonts w:ascii="Arial" w:hAnsi="Arial" w:cs="Arial"/>
                <w:lang w:val="it-IT"/>
              </w:rPr>
            </w:pPr>
            <w:r>
              <w:rPr>
                <w:rFonts w:ascii="Arial" w:hAnsi="Arial" w:cs="Arial"/>
              </w:rPr>
              <w:t>1255,43</w:t>
            </w:r>
          </w:p>
        </w:tc>
      </w:tr>
      <w:tr w:rsidR="00AE17B2" w14:paraId="37636A66" w14:textId="77777777" w:rsidTr="00C74E50">
        <w:trPr>
          <w:trHeight w:val="404"/>
          <w:jc w:val="center"/>
        </w:trPr>
        <w:tc>
          <w:tcPr>
            <w:tcW w:w="2468" w:type="dxa"/>
            <w:shd w:val="clear" w:color="auto" w:fill="auto"/>
            <w:vAlign w:val="center"/>
          </w:tcPr>
          <w:p w14:paraId="08A090CF" w14:textId="77777777" w:rsidR="00AE17B2" w:rsidRDefault="00AE17B2" w:rsidP="00C74E50">
            <w:pPr>
              <w:spacing w:after="0" w:line="240" w:lineRule="auto"/>
              <w:jc w:val="center"/>
              <w:rPr>
                <w:rFonts w:ascii="Arial" w:hAnsi="Arial" w:cs="Arial"/>
                <w:b/>
              </w:rPr>
            </w:pPr>
            <w:r>
              <w:rPr>
                <w:rFonts w:ascii="Arial" w:hAnsi="Arial" w:cs="Arial"/>
                <w:b/>
              </w:rPr>
              <w:t>Amoniu</w:t>
            </w:r>
          </w:p>
        </w:tc>
        <w:tc>
          <w:tcPr>
            <w:tcW w:w="2937" w:type="dxa"/>
            <w:shd w:val="clear" w:color="auto" w:fill="auto"/>
            <w:vAlign w:val="center"/>
          </w:tcPr>
          <w:p w14:paraId="12E0066E" w14:textId="77777777" w:rsidR="00AE17B2" w:rsidRDefault="00AE17B2" w:rsidP="00C74E50">
            <w:pPr>
              <w:spacing w:after="0" w:line="240" w:lineRule="auto"/>
              <w:jc w:val="center"/>
              <w:rPr>
                <w:rFonts w:ascii="Arial" w:hAnsi="Arial" w:cs="Arial"/>
                <w:lang w:val="it-IT"/>
              </w:rPr>
            </w:pPr>
            <w:r>
              <w:rPr>
                <w:rFonts w:ascii="Arial" w:hAnsi="Arial" w:cs="Arial"/>
              </w:rPr>
              <w:t>7620,79</w:t>
            </w:r>
          </w:p>
        </w:tc>
      </w:tr>
      <w:tr w:rsidR="00AE17B2" w14:paraId="09FFC205" w14:textId="77777777" w:rsidTr="00C74E50">
        <w:trPr>
          <w:trHeight w:val="350"/>
          <w:jc w:val="center"/>
        </w:trPr>
        <w:tc>
          <w:tcPr>
            <w:tcW w:w="2468" w:type="dxa"/>
            <w:shd w:val="clear" w:color="auto" w:fill="auto"/>
            <w:vAlign w:val="center"/>
          </w:tcPr>
          <w:p w14:paraId="7BF5ACFC" w14:textId="77777777" w:rsidR="00AE17B2" w:rsidRDefault="00AE17B2" w:rsidP="00C74E50">
            <w:pPr>
              <w:spacing w:after="0" w:line="240" w:lineRule="auto"/>
              <w:jc w:val="center"/>
              <w:rPr>
                <w:rFonts w:ascii="Arial" w:hAnsi="Arial" w:cs="Arial"/>
                <w:b/>
                <w:lang w:val="it-IT"/>
              </w:rPr>
            </w:pPr>
            <w:r>
              <w:rPr>
                <w:rFonts w:ascii="Arial" w:hAnsi="Arial" w:cs="Arial"/>
                <w:b/>
              </w:rPr>
              <w:t>Materii în suspensie</w:t>
            </w:r>
          </w:p>
        </w:tc>
        <w:tc>
          <w:tcPr>
            <w:tcW w:w="2937" w:type="dxa"/>
            <w:shd w:val="clear" w:color="auto" w:fill="auto"/>
            <w:vAlign w:val="center"/>
          </w:tcPr>
          <w:p w14:paraId="1AFA28E6" w14:textId="77777777" w:rsidR="00AE17B2" w:rsidRDefault="00AE17B2" w:rsidP="00C74E50">
            <w:pPr>
              <w:spacing w:after="0" w:line="240" w:lineRule="auto"/>
              <w:jc w:val="center"/>
              <w:rPr>
                <w:rFonts w:ascii="Arial" w:hAnsi="Arial" w:cs="Arial"/>
                <w:lang w:val="it-IT"/>
              </w:rPr>
            </w:pPr>
            <w:r>
              <w:rPr>
                <w:rFonts w:ascii="Arial" w:hAnsi="Arial" w:cs="Arial"/>
              </w:rPr>
              <w:t>35316,40</w:t>
            </w:r>
          </w:p>
        </w:tc>
      </w:tr>
      <w:tr w:rsidR="00AE17B2" w14:paraId="4F40A34F" w14:textId="77777777" w:rsidTr="00C74E50">
        <w:trPr>
          <w:trHeight w:val="350"/>
          <w:jc w:val="center"/>
        </w:trPr>
        <w:tc>
          <w:tcPr>
            <w:tcW w:w="2468" w:type="dxa"/>
            <w:shd w:val="clear" w:color="auto" w:fill="auto"/>
            <w:vAlign w:val="center"/>
          </w:tcPr>
          <w:p w14:paraId="33C2F1B7" w14:textId="77777777" w:rsidR="00AE17B2" w:rsidRDefault="00AE17B2" w:rsidP="00C74E50">
            <w:pPr>
              <w:spacing w:after="0" w:line="240" w:lineRule="auto"/>
              <w:jc w:val="center"/>
              <w:rPr>
                <w:rFonts w:ascii="Arial" w:hAnsi="Arial" w:cs="Arial"/>
                <w:b/>
                <w:lang w:val="it-IT"/>
              </w:rPr>
            </w:pPr>
            <w:r>
              <w:rPr>
                <w:rFonts w:ascii="Arial" w:hAnsi="Arial" w:cs="Arial"/>
                <w:b/>
              </w:rPr>
              <w:t>Detergenți sintetici</w:t>
            </w:r>
          </w:p>
        </w:tc>
        <w:tc>
          <w:tcPr>
            <w:tcW w:w="2937" w:type="dxa"/>
            <w:shd w:val="clear" w:color="auto" w:fill="auto"/>
            <w:vAlign w:val="center"/>
          </w:tcPr>
          <w:p w14:paraId="58BFC049" w14:textId="77777777" w:rsidR="00AE17B2" w:rsidRDefault="00AE17B2" w:rsidP="00C74E50">
            <w:pPr>
              <w:spacing w:after="0" w:line="240" w:lineRule="auto"/>
              <w:jc w:val="center"/>
              <w:rPr>
                <w:rFonts w:ascii="Arial" w:hAnsi="Arial" w:cs="Arial"/>
                <w:lang w:val="it-IT"/>
              </w:rPr>
            </w:pPr>
            <w:r>
              <w:rPr>
                <w:rFonts w:ascii="Arial" w:hAnsi="Arial" w:cs="Arial"/>
              </w:rPr>
              <w:t>490,19</w:t>
            </w:r>
          </w:p>
        </w:tc>
      </w:tr>
      <w:tr w:rsidR="00AE17B2" w14:paraId="72A02311" w14:textId="77777777" w:rsidTr="00C74E50">
        <w:trPr>
          <w:trHeight w:val="359"/>
          <w:jc w:val="center"/>
        </w:trPr>
        <w:tc>
          <w:tcPr>
            <w:tcW w:w="2468" w:type="dxa"/>
            <w:shd w:val="clear" w:color="auto" w:fill="auto"/>
            <w:vAlign w:val="center"/>
          </w:tcPr>
          <w:p w14:paraId="7DC5F206" w14:textId="77777777" w:rsidR="00AE17B2" w:rsidRDefault="00AE17B2" w:rsidP="00C74E50">
            <w:pPr>
              <w:spacing w:after="0" w:line="240" w:lineRule="auto"/>
              <w:jc w:val="center"/>
              <w:rPr>
                <w:rFonts w:ascii="Arial" w:hAnsi="Arial" w:cs="Arial"/>
                <w:b/>
              </w:rPr>
            </w:pPr>
            <w:r>
              <w:rPr>
                <w:rFonts w:ascii="Arial" w:hAnsi="Arial" w:cs="Arial"/>
                <w:b/>
              </w:rPr>
              <w:t>Substanțe extractibile</w:t>
            </w:r>
          </w:p>
        </w:tc>
        <w:tc>
          <w:tcPr>
            <w:tcW w:w="2937" w:type="dxa"/>
            <w:shd w:val="clear" w:color="auto" w:fill="auto"/>
            <w:vAlign w:val="center"/>
          </w:tcPr>
          <w:p w14:paraId="2DE2D8B3" w14:textId="77777777" w:rsidR="00AE17B2" w:rsidRDefault="00AE17B2" w:rsidP="00C74E50">
            <w:pPr>
              <w:spacing w:after="0" w:line="240" w:lineRule="auto"/>
              <w:jc w:val="center"/>
              <w:rPr>
                <w:rFonts w:ascii="Arial" w:hAnsi="Arial" w:cs="Arial"/>
                <w:lang w:val="it-IT"/>
              </w:rPr>
            </w:pPr>
            <w:r>
              <w:rPr>
                <w:rFonts w:ascii="Arial" w:hAnsi="Arial" w:cs="Arial"/>
              </w:rPr>
              <w:t>4003,17</w:t>
            </w:r>
          </w:p>
        </w:tc>
      </w:tr>
    </w:tbl>
    <w:p w14:paraId="046E2D6E" w14:textId="77777777" w:rsidR="00AE17B2" w:rsidRPr="00296BA7" w:rsidRDefault="00AE17B2" w:rsidP="00AE17B2">
      <w:pPr>
        <w:spacing w:after="0" w:line="240" w:lineRule="auto"/>
        <w:jc w:val="both"/>
        <w:rPr>
          <w:rFonts w:ascii="Arial" w:hAnsi="Arial" w:cs="Arial"/>
          <w:i/>
          <w:iCs/>
          <w:color w:val="000000"/>
          <w:sz w:val="20"/>
          <w:szCs w:val="20"/>
          <w:lang w:eastAsia="ro-RO"/>
        </w:rPr>
      </w:pPr>
      <w:r w:rsidRPr="00296BA7">
        <w:rPr>
          <w:rFonts w:ascii="Arial" w:hAnsi="Arial" w:cs="Arial"/>
          <w:i/>
          <w:iCs/>
          <w:color w:val="000000"/>
          <w:sz w:val="20"/>
          <w:szCs w:val="20"/>
          <w:lang w:eastAsia="ro-RO"/>
        </w:rPr>
        <w:t>(Sursa: Administraţia Naţională “Apele Române”, Sinteza calităţii apelor din România în anul 2022)</w:t>
      </w:r>
    </w:p>
    <w:p w14:paraId="11D177F5" w14:textId="77777777" w:rsidR="00AE17B2" w:rsidRDefault="00AE17B2" w:rsidP="00AE17B2">
      <w:pPr>
        <w:spacing w:after="0" w:line="240" w:lineRule="auto"/>
        <w:ind w:firstLine="567"/>
        <w:jc w:val="both"/>
        <w:rPr>
          <w:rFonts w:ascii="Arial" w:hAnsi="Arial" w:cs="Arial"/>
          <w:b/>
          <w:bCs/>
          <w:sz w:val="24"/>
          <w:szCs w:val="24"/>
          <w:u w:val="single"/>
        </w:rPr>
      </w:pPr>
    </w:p>
    <w:p w14:paraId="2BF39ED0" w14:textId="77777777" w:rsidR="00AE17B2" w:rsidRDefault="00AE17B2" w:rsidP="00AE17B2">
      <w:pPr>
        <w:spacing w:after="0" w:line="240" w:lineRule="auto"/>
        <w:ind w:firstLine="567"/>
        <w:jc w:val="both"/>
        <w:rPr>
          <w:rFonts w:ascii="Arial" w:hAnsi="Arial" w:cs="Arial"/>
          <w:b/>
          <w:bCs/>
          <w:sz w:val="24"/>
          <w:szCs w:val="24"/>
          <w:u w:val="single"/>
        </w:rPr>
      </w:pPr>
      <w:r w:rsidRPr="005B534D">
        <w:rPr>
          <w:rFonts w:ascii="Arial" w:hAnsi="Arial" w:cs="Arial"/>
          <w:b/>
          <w:bCs/>
          <w:sz w:val="24"/>
          <w:szCs w:val="24"/>
          <w:u w:val="single"/>
        </w:rPr>
        <w:t xml:space="preserve">Nivelul de colectare și epurare a apelor uzate urbane </w:t>
      </w:r>
    </w:p>
    <w:p w14:paraId="3C205CDE" w14:textId="77777777" w:rsidR="00AE17B2" w:rsidRDefault="00AE17B2" w:rsidP="00AE17B2">
      <w:pPr>
        <w:spacing w:after="0" w:line="240" w:lineRule="auto"/>
        <w:ind w:firstLine="567"/>
        <w:jc w:val="both"/>
        <w:rPr>
          <w:rFonts w:ascii="Arial" w:hAnsi="Arial" w:cs="Arial"/>
          <w:sz w:val="24"/>
          <w:szCs w:val="24"/>
          <w:lang w:val="it-IT"/>
        </w:rPr>
      </w:pPr>
    </w:p>
    <w:p w14:paraId="4097792E" w14:textId="77777777" w:rsidR="00AE17B2" w:rsidRPr="005B534D" w:rsidRDefault="00AE17B2" w:rsidP="00AE17B2">
      <w:pPr>
        <w:spacing w:after="0" w:line="240" w:lineRule="auto"/>
        <w:ind w:firstLine="567"/>
        <w:jc w:val="both"/>
        <w:rPr>
          <w:rFonts w:ascii="Arial" w:hAnsi="Arial" w:cs="Arial"/>
          <w:sz w:val="24"/>
          <w:szCs w:val="24"/>
          <w:lang w:val="it-IT"/>
        </w:rPr>
      </w:pPr>
      <w:r w:rsidRPr="005B534D">
        <w:rPr>
          <w:rFonts w:ascii="Arial" w:hAnsi="Arial" w:cs="Arial"/>
          <w:sz w:val="24"/>
          <w:szCs w:val="24"/>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14:paraId="0E10ACF6"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14:paraId="30C80547"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14:paraId="047F3935" w14:textId="77777777" w:rsidR="00AE17B2" w:rsidRDefault="00AE17B2" w:rsidP="00AE17B2">
      <w:pPr>
        <w:pStyle w:val="Default"/>
        <w:spacing w:before="120" w:after="120"/>
        <w:ind w:firstLine="567"/>
        <w:jc w:val="both"/>
        <w:rPr>
          <w:i/>
        </w:rPr>
      </w:pPr>
      <w:r w:rsidRPr="00E117CE">
        <w:t>Potrivit Institutului Național de Statistică, în anul 20</w:t>
      </w:r>
      <w:r>
        <w:t>21</w:t>
      </w:r>
      <w:r w:rsidRPr="00E117CE">
        <w:t>, un număr de</w:t>
      </w:r>
      <w:r>
        <w:t xml:space="preserve"> 11.012.187</w:t>
      </w:r>
      <w:r w:rsidRPr="00E117CE">
        <w:t xml:space="preserve">  </w:t>
      </w:r>
      <w:r>
        <w:t xml:space="preserve"> </w:t>
      </w:r>
      <w:r w:rsidRPr="00E117CE">
        <w:t xml:space="preserve">locuitori aveau locuinţele conectate la sistemele de canalizare, aceştia reprezentând </w:t>
      </w:r>
      <w:r>
        <w:t xml:space="preserve">cca. </w:t>
      </w:r>
      <w:r w:rsidRPr="005D154C">
        <w:t>5</w:t>
      </w:r>
      <w:r>
        <w:t>7</w:t>
      </w:r>
      <w:r w:rsidRPr="005D154C">
        <w:t>,</w:t>
      </w:r>
      <w:r>
        <w:t>4</w:t>
      </w:r>
      <w:r w:rsidRPr="007C55D8">
        <w:t>% din</w:t>
      </w:r>
      <w:r w:rsidRPr="00E117CE">
        <w:t xml:space="preserve"> populaţia României. În ceea ce priveşte epurarea apelor uzate, populaţia cu locuinţele conectate la sistemele de canalizare prevăzute cu staţii de epurare a fost de </w:t>
      </w:r>
      <w:r w:rsidRPr="00673DF3">
        <w:t>10</w:t>
      </w:r>
      <w:r>
        <w:t>.</w:t>
      </w:r>
      <w:r w:rsidRPr="00673DF3">
        <w:t>792</w:t>
      </w:r>
      <w:r>
        <w:t>.</w:t>
      </w:r>
      <w:r w:rsidRPr="00673DF3">
        <w:t>650</w:t>
      </w:r>
      <w:r w:rsidRPr="007C55D8">
        <w:t xml:space="preserve"> persoane, reprezentând cca. </w:t>
      </w:r>
      <w:r>
        <w:t>55</w:t>
      </w:r>
      <w:r w:rsidRPr="007C55D8">
        <w:t>,</w:t>
      </w:r>
      <w:r>
        <w:t>8</w:t>
      </w:r>
      <w:r w:rsidRPr="007C55D8">
        <w:t>%</w:t>
      </w:r>
      <w:r w:rsidRPr="00E117CE">
        <w:t xml:space="preserve"> din populaţia ţării. De asemenea, gradele de racordare al populaţiei la sistemele de cole</w:t>
      </w:r>
      <w:r w:rsidRPr="005B534D">
        <w:t xml:space="preserve">ctare şi epurare a apelor uzate diferențiate pe nivele de epurare sunt prezentate în </w:t>
      </w:r>
      <w:r w:rsidRPr="005B534D">
        <w:rPr>
          <w:i/>
        </w:rPr>
        <w:t>Figura II.2.2.2.</w:t>
      </w:r>
      <w:r>
        <w:rPr>
          <w:i/>
        </w:rPr>
        <w:t>3</w:t>
      </w:r>
      <w:r w:rsidRPr="005B534D">
        <w:rPr>
          <w:i/>
        </w:rPr>
        <w:t xml:space="preserve">.  </w:t>
      </w:r>
    </w:p>
    <w:p w14:paraId="1FC25383" w14:textId="77777777" w:rsidR="00AE17B2" w:rsidRDefault="00AE17B2" w:rsidP="00AE17B2">
      <w:pPr>
        <w:pStyle w:val="Default"/>
        <w:spacing w:before="120" w:after="120"/>
        <w:ind w:firstLine="567"/>
        <w:jc w:val="both"/>
        <w:rPr>
          <w:lang w:val="it-IT"/>
        </w:rPr>
      </w:pPr>
      <w:r w:rsidRPr="005B534D">
        <w:lastRenderedPageBreak/>
        <w:t>Evoluţia gradului de racordare al populaţiei la sistemele de colectare şi epurare a apelor uzate în funcție de tipul procesului de epurare aplicat (</w:t>
      </w:r>
      <w:r w:rsidRPr="005B534D">
        <w:rPr>
          <w:i/>
          <w:iCs/>
        </w:rPr>
        <w:t xml:space="preserve">Figura </w:t>
      </w:r>
      <w:r w:rsidRPr="005B534D">
        <w:rPr>
          <w:i/>
        </w:rPr>
        <w:t>II.2.2.2.</w:t>
      </w:r>
      <w:r>
        <w:rPr>
          <w:i/>
        </w:rPr>
        <w:t>4</w:t>
      </w:r>
      <w:r w:rsidRPr="005B534D">
        <w:rPr>
          <w:i/>
        </w:rPr>
        <w:t xml:space="preserve"> </w:t>
      </w:r>
      <w:r w:rsidRPr="005B534D">
        <w:rPr>
          <w:i/>
          <w:iCs/>
        </w:rPr>
        <w:t>)</w:t>
      </w:r>
      <w:r w:rsidRPr="005B534D">
        <w:t xml:space="preserve"> indică o creștere constantă a numărului populației care beneficiază de servicii de apă uzată, consecință a extinderii și construirii infrastructurii aferente. </w:t>
      </w:r>
      <w:r w:rsidRPr="00EE139B">
        <w:t>Se observă că în ultima perioadă a crescut îndeosebi proporția de sisteme de colectare cu epurare terțiară</w:t>
      </w:r>
      <w:r>
        <w:t xml:space="preserve">. </w:t>
      </w:r>
      <w:r w:rsidRPr="005B534D">
        <w:rPr>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w:t>
      </w:r>
      <w:r w:rsidRPr="00C03074">
        <w:rPr>
          <w:lang w:val="it-IT"/>
        </w:rPr>
        <w:t>o parte din</w:t>
      </w:r>
      <w:r w:rsidRPr="005B534D">
        <w:rPr>
          <w:lang w:val="it-IT"/>
        </w:rPr>
        <w:t xml:space="preserve"> nutrienţi (cca. 20-30%). Epurarea terţiară (avansată) înlătură eficient materiile organice, compuşii cu fosfor şi</w:t>
      </w:r>
      <w:r>
        <w:rPr>
          <w:lang w:val="it-IT"/>
        </w:rPr>
        <w:t xml:space="preserve"> </w:t>
      </w:r>
      <w:r w:rsidRPr="005B534D">
        <w:rPr>
          <w:lang w:val="it-IT"/>
        </w:rPr>
        <w:t xml:space="preserve">compuşii cu azot. </w:t>
      </w:r>
    </w:p>
    <w:p w14:paraId="7D0A9756" w14:textId="77777777" w:rsidR="00AE17B2" w:rsidRDefault="00AE17B2" w:rsidP="00AE17B2">
      <w:pPr>
        <w:pStyle w:val="Default"/>
        <w:spacing w:before="120" w:after="120"/>
        <w:ind w:firstLine="567"/>
        <w:jc w:val="both"/>
        <w:rPr>
          <w:lang w:val="it-IT"/>
        </w:rPr>
      </w:pPr>
    </w:p>
    <w:p w14:paraId="1A5CBAC7" w14:textId="77777777" w:rsidR="00AE17B2" w:rsidRDefault="00AE17B2" w:rsidP="00AE17B2">
      <w:pPr>
        <w:pStyle w:val="Default"/>
        <w:spacing w:before="120" w:after="120"/>
        <w:ind w:firstLine="567"/>
        <w:jc w:val="both"/>
        <w:rPr>
          <w:lang w:val="it-IT"/>
        </w:rPr>
      </w:pPr>
    </w:p>
    <w:p w14:paraId="72761392" w14:textId="77777777" w:rsidR="00AE17B2" w:rsidRDefault="00AE17B2" w:rsidP="00AE17B2">
      <w:pPr>
        <w:pStyle w:val="Default"/>
        <w:spacing w:before="120" w:after="120"/>
        <w:ind w:firstLine="567"/>
        <w:jc w:val="both"/>
        <w:rPr>
          <w:lang w:val="it-IT"/>
        </w:rPr>
      </w:pPr>
    </w:p>
    <w:p w14:paraId="36D9B97B" w14:textId="77777777" w:rsidR="00AE17B2" w:rsidRDefault="00AE17B2" w:rsidP="00AE17B2">
      <w:pPr>
        <w:pStyle w:val="Default"/>
        <w:spacing w:before="120" w:after="120"/>
        <w:ind w:firstLine="567"/>
        <w:jc w:val="both"/>
        <w:rPr>
          <w:lang w:val="it-IT"/>
        </w:rPr>
      </w:pPr>
    </w:p>
    <w:p w14:paraId="59AD7DD2" w14:textId="77777777" w:rsidR="00AE17B2" w:rsidRDefault="00AE17B2" w:rsidP="00AE17B2">
      <w:pPr>
        <w:pStyle w:val="Default"/>
        <w:spacing w:before="120" w:after="120"/>
        <w:ind w:firstLine="567"/>
        <w:jc w:val="both"/>
        <w:rPr>
          <w:lang w:val="it-IT"/>
        </w:rPr>
      </w:pPr>
    </w:p>
    <w:p w14:paraId="6FC0CED5" w14:textId="77777777" w:rsidR="00AE17B2" w:rsidRDefault="00AE17B2" w:rsidP="00AE17B2">
      <w:pPr>
        <w:pStyle w:val="Default"/>
        <w:spacing w:before="120" w:after="120"/>
        <w:ind w:firstLine="567"/>
        <w:jc w:val="both"/>
        <w:rPr>
          <w:lang w:val="it-IT"/>
        </w:rPr>
      </w:pPr>
    </w:p>
    <w:p w14:paraId="52CBB0A6" w14:textId="77777777" w:rsidR="00AE17B2" w:rsidRDefault="00AE17B2" w:rsidP="00AE17B2">
      <w:pPr>
        <w:pStyle w:val="Default"/>
        <w:spacing w:before="120" w:after="120"/>
        <w:ind w:firstLine="567"/>
        <w:jc w:val="both"/>
        <w:rPr>
          <w:lang w:val="it-IT"/>
        </w:rPr>
      </w:pPr>
    </w:p>
    <w:p w14:paraId="6B44A01A" w14:textId="77777777" w:rsidR="00AE17B2" w:rsidRDefault="00AE17B2" w:rsidP="00AE17B2">
      <w:pPr>
        <w:pStyle w:val="Default"/>
        <w:spacing w:before="120" w:after="120"/>
        <w:ind w:firstLine="567"/>
        <w:jc w:val="both"/>
        <w:rPr>
          <w:lang w:val="it-IT"/>
        </w:rPr>
      </w:pPr>
    </w:p>
    <w:p w14:paraId="42BEF071" w14:textId="77777777" w:rsidR="00AE17B2" w:rsidRDefault="00AE17B2" w:rsidP="00AE17B2">
      <w:pPr>
        <w:pStyle w:val="Default"/>
        <w:spacing w:before="120" w:after="120"/>
        <w:ind w:firstLine="567"/>
        <w:jc w:val="both"/>
        <w:rPr>
          <w:lang w:val="it-IT"/>
        </w:rPr>
      </w:pPr>
    </w:p>
    <w:p w14:paraId="321B0794" w14:textId="77777777" w:rsidR="00AE17B2" w:rsidRDefault="00AE17B2" w:rsidP="00AE17B2">
      <w:pPr>
        <w:pStyle w:val="Default"/>
        <w:spacing w:before="120" w:after="120"/>
        <w:ind w:firstLine="567"/>
        <w:jc w:val="both"/>
        <w:rPr>
          <w:lang w:val="it-IT"/>
        </w:rPr>
      </w:pPr>
    </w:p>
    <w:p w14:paraId="51FE7B27" w14:textId="77777777" w:rsidR="00AE17B2" w:rsidRPr="004E068A" w:rsidRDefault="00AE17B2" w:rsidP="00AE17B2">
      <w:pPr>
        <w:spacing w:after="0" w:line="240" w:lineRule="auto"/>
        <w:rPr>
          <w:rFonts w:ascii="Arial" w:hAnsi="Arial" w:cs="Arial"/>
          <w:b/>
          <w:bCs/>
          <w:i/>
          <w:iCs/>
          <w:sz w:val="24"/>
          <w:szCs w:val="24"/>
          <w:lang w:val="it-IT"/>
        </w:rPr>
      </w:pPr>
      <w:r>
        <w:rPr>
          <w:rFonts w:ascii="Arial" w:hAnsi="Arial" w:cs="Arial"/>
          <w:b/>
          <w:noProof/>
          <w:sz w:val="24"/>
          <w:szCs w:val="24"/>
          <w:lang w:eastAsia="ro-RO"/>
        </w:rPr>
        <w:t>Figura II.2.2.2.3.</w:t>
      </w:r>
    </w:p>
    <w:p w14:paraId="2AC75E76" w14:textId="40EC0838" w:rsidR="00AE17B2" w:rsidRPr="005B534D" w:rsidRDefault="00AE17B2" w:rsidP="00AE17B2">
      <w:pPr>
        <w:pStyle w:val="Default"/>
        <w:ind w:firstLine="567"/>
        <w:jc w:val="both"/>
        <w:rPr>
          <w:lang w:val="it-IT"/>
        </w:rPr>
      </w:pPr>
      <w:r w:rsidRPr="00CE2F3F">
        <w:rPr>
          <w:noProof/>
          <w:lang w:val="en-GB" w:eastAsia="en-GB"/>
        </w:rPr>
        <w:drawing>
          <wp:inline distT="0" distB="0" distL="0" distR="0" wp14:anchorId="39F1D151" wp14:editId="4D2C8B62">
            <wp:extent cx="5457825" cy="3829685"/>
            <wp:effectExtent l="0" t="0" r="9525" b="18415"/>
            <wp:docPr id="1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D7F9FCC" w14:textId="77777777" w:rsidR="00AE17B2" w:rsidRDefault="00AE17B2" w:rsidP="00AE17B2">
      <w:pPr>
        <w:spacing w:after="0" w:line="240" w:lineRule="auto"/>
        <w:rPr>
          <w:rFonts w:ascii="Arial" w:hAnsi="Arial" w:cs="Arial"/>
          <w:i/>
          <w:noProof/>
          <w:sz w:val="18"/>
          <w:szCs w:val="18"/>
          <w:lang w:eastAsia="ro-RO"/>
        </w:rPr>
      </w:pPr>
      <w:r w:rsidRPr="00674F95">
        <w:rPr>
          <w:rFonts w:ascii="Arial" w:hAnsi="Arial" w:cs="Arial"/>
          <w:i/>
          <w:noProof/>
          <w:sz w:val="18"/>
          <w:szCs w:val="18"/>
          <w:lang w:eastAsia="ro-RO"/>
        </w:rPr>
        <w:t>(Sursa</w:t>
      </w:r>
      <w:r w:rsidRPr="00674F95">
        <w:rPr>
          <w:rFonts w:ascii="Arial" w:hAnsi="Arial" w:cs="Arial"/>
          <w:i/>
          <w:iCs/>
          <w:sz w:val="18"/>
          <w:szCs w:val="18"/>
          <w:lang w:eastAsia="ro-RO"/>
        </w:rPr>
        <w:t>:</w:t>
      </w:r>
      <w:r w:rsidRPr="00674F95">
        <w:rPr>
          <w:rFonts w:ascii="Arial" w:hAnsi="Arial" w:cs="Arial"/>
          <w:i/>
          <w:noProof/>
          <w:sz w:val="18"/>
          <w:szCs w:val="18"/>
          <w:lang w:eastAsia="ro-RO"/>
        </w:rPr>
        <w:t xml:space="preserve"> Institutul Național de statistică, </w:t>
      </w:r>
      <w:hyperlink r:id="rId68" w:history="1">
        <w:r w:rsidRPr="00674F95">
          <w:rPr>
            <w:rStyle w:val="Hyperlink"/>
            <w:rFonts w:ascii="Arial" w:hAnsi="Arial" w:cs="Arial"/>
            <w:i/>
            <w:noProof/>
            <w:sz w:val="18"/>
            <w:szCs w:val="18"/>
            <w:lang w:eastAsia="ro-RO"/>
          </w:rPr>
          <w:t>www.insse.ro</w:t>
        </w:r>
      </w:hyperlink>
      <w:r w:rsidRPr="00674F95">
        <w:rPr>
          <w:rFonts w:ascii="Arial" w:hAnsi="Arial" w:cs="Arial"/>
          <w:i/>
          <w:noProof/>
          <w:sz w:val="18"/>
          <w:szCs w:val="18"/>
          <w:lang w:eastAsia="ro-RO"/>
        </w:rPr>
        <w:t>)</w:t>
      </w:r>
    </w:p>
    <w:p w14:paraId="64222129" w14:textId="77777777" w:rsidR="00AE17B2" w:rsidRDefault="00AE17B2" w:rsidP="00AE17B2">
      <w:pPr>
        <w:spacing w:after="0" w:line="240" w:lineRule="auto"/>
        <w:rPr>
          <w:rFonts w:ascii="Arial" w:hAnsi="Arial" w:cs="Arial"/>
          <w:i/>
          <w:noProof/>
          <w:sz w:val="18"/>
          <w:szCs w:val="18"/>
          <w:lang w:eastAsia="ro-RO"/>
        </w:rPr>
      </w:pPr>
    </w:p>
    <w:p w14:paraId="0C5F09C0" w14:textId="77777777" w:rsidR="00AE17B2" w:rsidRDefault="00AE17B2" w:rsidP="00AE17B2">
      <w:pPr>
        <w:spacing w:after="0" w:line="240" w:lineRule="auto"/>
        <w:jc w:val="both"/>
        <w:rPr>
          <w:rFonts w:ascii="Arial" w:hAnsi="Arial" w:cs="Arial"/>
          <w:b/>
          <w:bCs/>
          <w:sz w:val="24"/>
          <w:szCs w:val="24"/>
        </w:rPr>
      </w:pPr>
    </w:p>
    <w:p w14:paraId="3505B4C9" w14:textId="77777777" w:rsidR="00AE17B2" w:rsidRDefault="00AE17B2" w:rsidP="00AE17B2">
      <w:pPr>
        <w:spacing w:after="0" w:line="240" w:lineRule="auto"/>
        <w:jc w:val="both"/>
        <w:rPr>
          <w:rFonts w:ascii="Arial" w:hAnsi="Arial" w:cs="Arial"/>
          <w:b/>
          <w:bCs/>
          <w:sz w:val="24"/>
          <w:szCs w:val="24"/>
        </w:rPr>
      </w:pPr>
      <w:r>
        <w:rPr>
          <w:rFonts w:ascii="Arial" w:hAnsi="Arial" w:cs="Arial"/>
          <w:b/>
          <w:bCs/>
        </w:rPr>
        <w:t>Figura II</w:t>
      </w:r>
      <w:r>
        <w:rPr>
          <w:rFonts w:ascii="Arial" w:hAnsi="Arial" w:cs="Arial"/>
          <w:b/>
          <w:bCs/>
          <w:lang w:val="fr-FR"/>
        </w:rPr>
        <w:t>.2.2.2.4</w:t>
      </w:r>
    </w:p>
    <w:p w14:paraId="36F5590A" w14:textId="03262848" w:rsidR="00AE17B2" w:rsidRDefault="00AE17B2" w:rsidP="00AE17B2">
      <w:pPr>
        <w:spacing w:after="0" w:line="240" w:lineRule="auto"/>
        <w:jc w:val="both"/>
        <w:rPr>
          <w:rFonts w:ascii="Arial" w:hAnsi="Arial" w:cs="Arial"/>
          <w:b/>
          <w:bCs/>
          <w:sz w:val="24"/>
          <w:szCs w:val="24"/>
        </w:rPr>
      </w:pPr>
      <w:r>
        <w:rPr>
          <w:rFonts w:ascii="Arial" w:hAnsi="Arial" w:cs="Arial"/>
          <w:b/>
          <w:bCs/>
          <w:noProof/>
          <w:sz w:val="24"/>
          <w:szCs w:val="24"/>
          <w:lang w:val="en-GB" w:eastAsia="en-GB"/>
        </w:rPr>
        <w:lastRenderedPageBreak/>
        <w:drawing>
          <wp:inline distT="0" distB="0" distL="0" distR="0" wp14:anchorId="181BA44F" wp14:editId="71AFDFB5">
            <wp:extent cx="5864225" cy="3491865"/>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4225" cy="3491865"/>
                    </a:xfrm>
                    <a:prstGeom prst="rect">
                      <a:avLst/>
                    </a:prstGeom>
                    <a:noFill/>
                  </pic:spPr>
                </pic:pic>
              </a:graphicData>
            </a:graphic>
          </wp:inline>
        </w:drawing>
      </w:r>
    </w:p>
    <w:p w14:paraId="7D659C30" w14:textId="77777777" w:rsidR="00AE17B2" w:rsidRPr="00C34CEE" w:rsidRDefault="00AE17B2" w:rsidP="00AE17B2">
      <w:pPr>
        <w:spacing w:after="0" w:line="240" w:lineRule="auto"/>
        <w:rPr>
          <w:rFonts w:ascii="Arial" w:eastAsia="Times New Roman" w:hAnsi="Arial" w:cs="Arial"/>
          <w:b/>
          <w:bCs/>
          <w:color w:val="000000"/>
          <w:sz w:val="20"/>
          <w:szCs w:val="20"/>
          <w:shd w:val="clear" w:color="auto" w:fill="FFFFFF"/>
          <w:lang w:val="fr-FR" w:eastAsia="ro-RO"/>
        </w:rPr>
      </w:pPr>
      <w:r w:rsidRPr="00B712CE">
        <w:rPr>
          <w:rFonts w:ascii="Arial" w:hAnsi="Arial" w:cs="Arial"/>
          <w:i/>
          <w:noProof/>
          <w:sz w:val="20"/>
          <w:szCs w:val="20"/>
          <w:lang w:eastAsia="ro-RO"/>
        </w:rPr>
        <w:t>(Sursa</w:t>
      </w:r>
      <w:r w:rsidRPr="00B712CE">
        <w:rPr>
          <w:rFonts w:ascii="Arial" w:hAnsi="Arial" w:cs="Arial"/>
          <w:i/>
          <w:iCs/>
          <w:sz w:val="20"/>
          <w:szCs w:val="20"/>
          <w:lang w:eastAsia="ro-RO"/>
        </w:rPr>
        <w:t>:</w:t>
      </w:r>
      <w:r w:rsidRPr="00B712CE">
        <w:rPr>
          <w:rFonts w:ascii="Arial" w:hAnsi="Arial" w:cs="Arial"/>
          <w:i/>
          <w:noProof/>
          <w:sz w:val="20"/>
          <w:szCs w:val="20"/>
          <w:lang w:eastAsia="ro-RO"/>
        </w:rPr>
        <w:t xml:space="preserve"> Institutul Național de statistică, www.insse.ro)</w:t>
      </w:r>
    </w:p>
    <w:p w14:paraId="3E25C92F" w14:textId="77777777" w:rsidR="00AE17B2" w:rsidRDefault="00AE17B2" w:rsidP="00AE17B2">
      <w:pPr>
        <w:spacing w:after="0" w:line="240" w:lineRule="auto"/>
        <w:ind w:firstLine="567"/>
        <w:jc w:val="both"/>
        <w:rPr>
          <w:rFonts w:ascii="Arial" w:hAnsi="Arial" w:cs="Arial"/>
          <w:sz w:val="24"/>
          <w:szCs w:val="24"/>
          <w:lang w:val="it-IT"/>
        </w:rPr>
      </w:pPr>
    </w:p>
    <w:p w14:paraId="4AA3F1B5"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w:t>
      </w:r>
      <w:r>
        <w:rPr>
          <w:rFonts w:ascii="Arial" w:hAnsi="Arial" w:cs="Arial"/>
          <w:sz w:val="24"/>
          <w:szCs w:val="24"/>
          <w:lang w:val="it-IT"/>
        </w:rPr>
        <w:t xml:space="preserve"> </w:t>
      </w:r>
      <w:r w:rsidRPr="005B534D">
        <w:rPr>
          <w:rFonts w:ascii="Arial" w:hAnsi="Arial" w:cs="Arial"/>
          <w:sz w:val="24"/>
          <w:szCs w:val="24"/>
          <w:lang w:val="it-IT"/>
        </w:rPr>
        <w:t xml:space="preserve">Ţintele propuse pentru implementarea prevederilor Directivei 91/271/CEE , 98/15/CE şi 2000/60/CE sunt: </w:t>
      </w:r>
    </w:p>
    <w:p w14:paraId="0E7C7A3C" w14:textId="77777777" w:rsidR="00AE17B2" w:rsidRPr="005B534D" w:rsidRDefault="00AE17B2" w:rsidP="0054709F">
      <w:pPr>
        <w:numPr>
          <w:ilvl w:val="1"/>
          <w:numId w:val="27"/>
        </w:numPr>
        <w:spacing w:after="0" w:line="240" w:lineRule="auto"/>
        <w:ind w:left="284" w:hanging="284"/>
        <w:jc w:val="both"/>
        <w:rPr>
          <w:rFonts w:ascii="Arial" w:hAnsi="Arial" w:cs="Arial"/>
          <w:sz w:val="24"/>
          <w:szCs w:val="24"/>
          <w:lang w:val="it-IT"/>
        </w:rPr>
      </w:pPr>
      <w:r w:rsidRPr="005B534D">
        <w:rPr>
          <w:rFonts w:ascii="Arial" w:hAnsi="Arial" w:cs="Arial"/>
          <w:sz w:val="24"/>
          <w:szCs w:val="24"/>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14:paraId="5869FC3A" w14:textId="77777777" w:rsidR="00AE17B2" w:rsidRDefault="00AE17B2" w:rsidP="0054709F">
      <w:pPr>
        <w:numPr>
          <w:ilvl w:val="1"/>
          <w:numId w:val="27"/>
        </w:numPr>
        <w:spacing w:after="0" w:line="240" w:lineRule="auto"/>
        <w:ind w:left="284" w:hanging="284"/>
        <w:jc w:val="both"/>
        <w:rPr>
          <w:rFonts w:ascii="Arial" w:hAnsi="Arial" w:cs="Arial"/>
          <w:sz w:val="24"/>
          <w:szCs w:val="24"/>
          <w:lang w:val="it-IT"/>
        </w:rPr>
      </w:pPr>
      <w:r w:rsidRPr="005B534D">
        <w:rPr>
          <w:rFonts w:ascii="Arial" w:hAnsi="Arial" w:cs="Arial"/>
          <w:sz w:val="24"/>
          <w:szCs w:val="24"/>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14:paraId="74FE3241" w14:textId="77777777" w:rsidR="00AE17B2" w:rsidRDefault="00AE17B2" w:rsidP="00AE17B2">
      <w:pPr>
        <w:spacing w:after="0" w:line="240" w:lineRule="auto"/>
        <w:jc w:val="both"/>
        <w:rPr>
          <w:rFonts w:ascii="Arial" w:hAnsi="Arial" w:cs="Arial"/>
          <w:sz w:val="24"/>
          <w:szCs w:val="24"/>
          <w:lang w:val="it-IT"/>
        </w:rPr>
      </w:pPr>
    </w:p>
    <w:p w14:paraId="56DAEB1D" w14:textId="77777777" w:rsidR="00AE17B2" w:rsidRPr="00F50A28" w:rsidRDefault="00AE17B2" w:rsidP="00AE17B2">
      <w:pPr>
        <w:spacing w:after="0" w:line="240" w:lineRule="auto"/>
        <w:jc w:val="both"/>
        <w:rPr>
          <w:rFonts w:ascii="Arial" w:hAnsi="Arial" w:cs="Arial"/>
          <w:b/>
          <w:bCs/>
          <w:i/>
          <w:iCs/>
          <w:sz w:val="24"/>
          <w:szCs w:val="24"/>
        </w:rPr>
      </w:pPr>
      <w:r>
        <w:rPr>
          <w:rFonts w:ascii="Arial" w:hAnsi="Arial" w:cs="Arial"/>
          <w:sz w:val="24"/>
          <w:szCs w:val="24"/>
          <w:lang w:val="it-IT"/>
        </w:rPr>
        <w:t>Se precizeaz</w:t>
      </w:r>
      <w:r>
        <w:rPr>
          <w:rFonts w:ascii="Arial" w:hAnsi="Arial" w:cs="Arial"/>
          <w:sz w:val="24"/>
          <w:szCs w:val="24"/>
        </w:rPr>
        <w:t xml:space="preserve">ă faptul că </w:t>
      </w:r>
      <w:r w:rsidRPr="00F50A28">
        <w:rPr>
          <w:rFonts w:ascii="Arial" w:hAnsi="Arial" w:cs="Arial"/>
          <w:b/>
          <w:bCs/>
          <w:sz w:val="24"/>
          <w:szCs w:val="24"/>
        </w:rPr>
        <w:t>noțiunea de „locuitor-echivalent”</w:t>
      </w:r>
      <w:r>
        <w:rPr>
          <w:rFonts w:ascii="Arial" w:hAnsi="Arial" w:cs="Arial"/>
          <w:sz w:val="24"/>
          <w:szCs w:val="24"/>
        </w:rPr>
        <w:t xml:space="preserve"> este un termen specific al Directivei 91/271/CEE privind epurarea apelor uzate care </w:t>
      </w:r>
      <w:r w:rsidRPr="00F50A28">
        <w:rPr>
          <w:rFonts w:ascii="Arial" w:hAnsi="Arial" w:cs="Arial"/>
          <w:sz w:val="24"/>
          <w:szCs w:val="24"/>
        </w:rPr>
        <w:t>reprezintă unitatea de măsura pentru poluarea biodegradabilă şi stabileşte dimensiunea poluării provenită de la o aglomerare umană</w:t>
      </w:r>
      <w:r>
        <w:rPr>
          <w:rFonts w:ascii="Arial" w:hAnsi="Arial" w:cs="Arial"/>
          <w:sz w:val="24"/>
          <w:szCs w:val="24"/>
        </w:rPr>
        <w:t xml:space="preserve">, respectiv poluarea rezultată atât de populație, cât și de la activitățile industriale care evacuează ape uzate în rețeaua de canalizare a aglomerării. Astfel </w:t>
      </w:r>
      <w:r w:rsidRPr="00F50A28">
        <w:rPr>
          <w:rFonts w:ascii="Arial" w:hAnsi="Arial" w:cs="Arial"/>
          <w:b/>
          <w:bCs/>
          <w:i/>
          <w:iCs/>
          <w:sz w:val="24"/>
          <w:szCs w:val="24"/>
        </w:rPr>
        <w:t>„un locuitor echivalent (l.e.) înseamnă încărcarea organică biodegradabilă cu un  consum biochimic de oxigen în cinci zile (CBO</w:t>
      </w:r>
      <w:r w:rsidRPr="00674F95">
        <w:rPr>
          <w:rFonts w:ascii="Arial" w:hAnsi="Arial" w:cs="Arial"/>
          <w:b/>
          <w:bCs/>
          <w:i/>
          <w:iCs/>
          <w:sz w:val="24"/>
          <w:szCs w:val="24"/>
          <w:vertAlign w:val="subscript"/>
        </w:rPr>
        <w:t>5</w:t>
      </w:r>
      <w:r w:rsidRPr="00F50A28">
        <w:rPr>
          <w:rFonts w:ascii="Arial" w:hAnsi="Arial" w:cs="Arial"/>
          <w:b/>
          <w:bCs/>
          <w:i/>
          <w:iCs/>
          <w:sz w:val="24"/>
          <w:szCs w:val="24"/>
        </w:rPr>
        <w:t xml:space="preserve">) de 60 de grame de oxigen pe zi; </w:t>
      </w:r>
    </w:p>
    <w:p w14:paraId="277A88FC" w14:textId="77777777" w:rsidR="00AE17B2" w:rsidRDefault="00AE17B2" w:rsidP="00AE17B2">
      <w:pPr>
        <w:spacing w:after="0" w:line="240" w:lineRule="auto"/>
        <w:jc w:val="both"/>
        <w:rPr>
          <w:rFonts w:ascii="Arial" w:hAnsi="Arial" w:cs="Arial"/>
          <w:b/>
          <w:bCs/>
          <w:i/>
          <w:iCs/>
          <w:sz w:val="24"/>
          <w:szCs w:val="24"/>
        </w:rPr>
      </w:pPr>
      <w:r w:rsidRPr="00AE26E0">
        <w:rPr>
          <w:rFonts w:ascii="Arial" w:hAnsi="Arial" w:cs="Arial"/>
          <w:b/>
          <w:bCs/>
          <w:i/>
          <w:iCs/>
          <w:sz w:val="24"/>
          <w:szCs w:val="24"/>
        </w:rPr>
        <w:t>se exprimă ca media acelei poluări produsă de o persoană într-o zi.</w:t>
      </w:r>
    </w:p>
    <w:p w14:paraId="22E5F009" w14:textId="77777777" w:rsidR="00AE17B2" w:rsidRDefault="00AE17B2" w:rsidP="00AE17B2">
      <w:pPr>
        <w:spacing w:after="0" w:line="240" w:lineRule="auto"/>
        <w:jc w:val="both"/>
        <w:rPr>
          <w:rFonts w:ascii="Arial" w:hAnsi="Arial" w:cs="Arial"/>
          <w:b/>
          <w:bCs/>
          <w:i/>
          <w:iCs/>
          <w:sz w:val="24"/>
          <w:szCs w:val="24"/>
        </w:rPr>
      </w:pPr>
      <w:r w:rsidRPr="00650EE2">
        <w:rPr>
          <w:rFonts w:ascii="Arial" w:eastAsia="Times New Roman" w:hAnsi="Arial" w:cs="Arial"/>
          <w:b/>
          <w:bCs/>
          <w:color w:val="000000"/>
          <w:sz w:val="24"/>
          <w:szCs w:val="24"/>
          <w:lang w:eastAsia="ro-RO"/>
        </w:rPr>
        <w:t>Gradul de racordare al populației la sisteme de colectare și epurare a apelor uzate</w:t>
      </w:r>
      <w:r w:rsidRPr="009B68B4">
        <w:rPr>
          <w:rFonts w:ascii="Arial" w:eastAsia="Times New Roman" w:hAnsi="Arial" w:cs="Arial"/>
          <w:b/>
          <w:bCs/>
          <w:color w:val="000000"/>
          <w:sz w:val="24"/>
          <w:szCs w:val="24"/>
          <w:shd w:val="clear" w:color="auto" w:fill="FFFFFF"/>
          <w:lang w:eastAsia="ro-RO"/>
        </w:rPr>
        <w:t xml:space="preserve">, </w:t>
      </w:r>
      <w:r w:rsidRPr="00C34CEE">
        <w:rPr>
          <w:rFonts w:ascii="Arial" w:eastAsia="Times New Roman" w:hAnsi="Arial" w:cs="Arial"/>
          <w:b/>
          <w:bCs/>
          <w:color w:val="000000"/>
          <w:sz w:val="24"/>
          <w:szCs w:val="24"/>
          <w:shd w:val="clear" w:color="auto" w:fill="FFFFFF"/>
          <w:lang w:val="fr-FR" w:eastAsia="ro-RO"/>
        </w:rPr>
        <w:t>în anul 2021</w:t>
      </w:r>
      <w:r>
        <w:rPr>
          <w:rFonts w:ascii="Arial" w:hAnsi="Arial" w:cs="Arial"/>
          <w:b/>
          <w:bCs/>
          <w:i/>
          <w:iCs/>
          <w:sz w:val="24"/>
          <w:szCs w:val="24"/>
        </w:rPr>
        <w:t>.</w:t>
      </w:r>
    </w:p>
    <w:p w14:paraId="6A363D7E"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w:t>
      </w:r>
      <w:r w:rsidRPr="00292FAA">
        <w:rPr>
          <w:rFonts w:ascii="Arial" w:hAnsi="Arial" w:cs="Arial"/>
          <w:sz w:val="24"/>
          <w:szCs w:val="24"/>
          <w:lang w:val="it-IT"/>
        </w:rPr>
        <w:t>Programul Naţional de Reformă</w:t>
      </w:r>
      <w:r>
        <w:rPr>
          <w:rFonts w:ascii="Arial" w:hAnsi="Arial" w:cs="Arial"/>
          <w:sz w:val="24"/>
          <w:szCs w:val="24"/>
          <w:lang w:val="it-IT"/>
        </w:rPr>
        <w:t xml:space="preserve"> 2017, </w:t>
      </w:r>
      <w:r w:rsidRPr="005B534D">
        <w:rPr>
          <w:rFonts w:ascii="Arial" w:hAnsi="Arial" w:cs="Arial"/>
          <w:sz w:val="24"/>
          <w:szCs w:val="24"/>
          <w:lang w:val="it-IT"/>
        </w:rPr>
        <w:t xml:space="preserve">Planul de Dezvoltare Naţională, </w:t>
      </w:r>
      <w:r w:rsidRPr="00856E2C">
        <w:rPr>
          <w:rFonts w:ascii="Arial" w:hAnsi="Arial" w:cs="Arial"/>
          <w:sz w:val="24"/>
          <w:szCs w:val="24"/>
          <w:lang w:val="it-IT"/>
        </w:rPr>
        <w:t xml:space="preserve">Planul de Dezvoltare </w:t>
      </w:r>
      <w:r>
        <w:rPr>
          <w:rFonts w:ascii="Arial" w:hAnsi="Arial" w:cs="Arial"/>
          <w:sz w:val="24"/>
          <w:szCs w:val="24"/>
          <w:lang w:val="it-IT"/>
        </w:rPr>
        <w:t>Regiona</w:t>
      </w:r>
      <w:r w:rsidRPr="00856E2C">
        <w:rPr>
          <w:rFonts w:ascii="Arial" w:hAnsi="Arial" w:cs="Arial"/>
          <w:sz w:val="24"/>
          <w:szCs w:val="24"/>
          <w:lang w:val="it-IT"/>
        </w:rPr>
        <w:t>lă</w:t>
      </w:r>
      <w:r>
        <w:rPr>
          <w:rFonts w:ascii="Arial" w:hAnsi="Arial" w:cs="Arial"/>
          <w:sz w:val="24"/>
          <w:szCs w:val="24"/>
          <w:lang w:val="it-IT"/>
        </w:rPr>
        <w:t>,</w:t>
      </w:r>
      <w:r w:rsidRPr="00856E2C">
        <w:rPr>
          <w:rFonts w:ascii="Arial" w:hAnsi="Arial" w:cs="Arial"/>
          <w:sz w:val="24"/>
          <w:szCs w:val="24"/>
          <w:lang w:val="it-IT"/>
        </w:rPr>
        <w:t xml:space="preserve"> </w:t>
      </w:r>
      <w:r w:rsidRPr="005B534D">
        <w:rPr>
          <w:rFonts w:ascii="Arial" w:hAnsi="Arial" w:cs="Arial"/>
          <w:sz w:val="24"/>
          <w:szCs w:val="24"/>
          <w:lang w:val="it-IT"/>
        </w:rPr>
        <w:t xml:space="preserve">Cadrul </w:t>
      </w:r>
      <w:r>
        <w:rPr>
          <w:rFonts w:ascii="Arial" w:hAnsi="Arial" w:cs="Arial"/>
          <w:sz w:val="24"/>
          <w:szCs w:val="24"/>
          <w:lang w:val="it-IT"/>
        </w:rPr>
        <w:t xml:space="preserve">Strategic </w:t>
      </w:r>
      <w:r w:rsidRPr="005B534D">
        <w:rPr>
          <w:rFonts w:ascii="Arial" w:hAnsi="Arial" w:cs="Arial"/>
          <w:sz w:val="24"/>
          <w:szCs w:val="24"/>
          <w:lang w:val="it-IT"/>
        </w:rPr>
        <w:t xml:space="preserve">Naţional de referinţă pentru perioada de programare 2007-2013, Planul </w:t>
      </w:r>
      <w:r w:rsidRPr="00C155DD">
        <w:rPr>
          <w:rFonts w:ascii="Arial" w:hAnsi="Arial" w:cs="Arial"/>
          <w:sz w:val="24"/>
          <w:szCs w:val="24"/>
          <w:lang w:val="it-IT"/>
        </w:rPr>
        <w:t xml:space="preserve">Național de implementare al Directivei 91/271/CEE privind epurarea apelor uzate </w:t>
      </w:r>
      <w:r w:rsidRPr="00C155DD">
        <w:rPr>
          <w:rFonts w:ascii="Arial" w:hAnsi="Arial" w:cs="Arial"/>
          <w:sz w:val="24"/>
          <w:szCs w:val="24"/>
          <w:lang w:val="it-IT"/>
        </w:rPr>
        <w:lastRenderedPageBreak/>
        <w:t xml:space="preserve">orășenești, modificată prin Directiva 98/15/CE, </w:t>
      </w:r>
      <w:r>
        <w:rPr>
          <w:rFonts w:ascii="Arial" w:hAnsi="Arial" w:cs="Arial"/>
          <w:sz w:val="24"/>
          <w:szCs w:val="24"/>
          <w:lang w:val="it-IT"/>
        </w:rPr>
        <w:t xml:space="preserve">Programul Național de Dezvoltare Rurală 2007-2013 și 2014-2020, </w:t>
      </w:r>
      <w:r w:rsidRPr="00C155DD">
        <w:rPr>
          <w:rFonts w:ascii="Arial" w:hAnsi="Arial" w:cs="Arial"/>
          <w:sz w:val="24"/>
          <w:szCs w:val="24"/>
          <w:lang w:val="it-IT"/>
        </w:rPr>
        <w:t>Programul Operaţional Sectorial de Mediu</w:t>
      </w:r>
      <w:r>
        <w:rPr>
          <w:rFonts w:ascii="Arial" w:hAnsi="Arial" w:cs="Arial"/>
          <w:sz w:val="24"/>
          <w:szCs w:val="24"/>
          <w:lang w:val="it-IT"/>
        </w:rPr>
        <w:t xml:space="preserve"> 2007-2013</w:t>
      </w:r>
      <w:r w:rsidRPr="00C155DD">
        <w:rPr>
          <w:rFonts w:ascii="Arial" w:hAnsi="Arial" w:cs="Arial"/>
          <w:sz w:val="24"/>
          <w:szCs w:val="24"/>
          <w:lang w:val="it-IT"/>
        </w:rPr>
        <w:t>,</w:t>
      </w:r>
      <w:r w:rsidRPr="00C155DD">
        <w:rPr>
          <w:rFonts w:ascii="Helvetica" w:hAnsi="Helvetica" w:cs="Helvetica"/>
          <w:color w:val="444444"/>
          <w:sz w:val="21"/>
          <w:szCs w:val="21"/>
        </w:rPr>
        <w:t xml:space="preserve"> </w:t>
      </w:r>
      <w:r w:rsidRPr="003E2E19">
        <w:rPr>
          <w:rFonts w:ascii="Arial" w:hAnsi="Arial" w:cs="Arial"/>
          <w:color w:val="444444"/>
          <w:sz w:val="24"/>
          <w:szCs w:val="24"/>
        </w:rPr>
        <w:t>Programul Opera</w:t>
      </w:r>
      <w:r>
        <w:rPr>
          <w:rFonts w:ascii="Arial" w:hAnsi="Arial" w:cs="Arial"/>
          <w:color w:val="444444"/>
          <w:sz w:val="24"/>
          <w:szCs w:val="24"/>
        </w:rPr>
        <w:t>ț</w:t>
      </w:r>
      <w:r w:rsidRPr="003E2E19">
        <w:rPr>
          <w:rFonts w:ascii="Arial" w:hAnsi="Arial" w:cs="Arial"/>
          <w:color w:val="444444"/>
          <w:sz w:val="24"/>
          <w:szCs w:val="24"/>
        </w:rPr>
        <w:t>ional Infrastructura Mare</w:t>
      </w:r>
      <w:r>
        <w:rPr>
          <w:rFonts w:ascii="Arial" w:hAnsi="Arial" w:cs="Arial"/>
          <w:color w:val="444444"/>
          <w:sz w:val="24"/>
          <w:szCs w:val="24"/>
        </w:rPr>
        <w:t xml:space="preserve"> 2014-2020</w:t>
      </w:r>
      <w:r w:rsidRPr="003E2E19">
        <w:rPr>
          <w:rFonts w:ascii="Arial" w:hAnsi="Arial" w:cs="Arial"/>
          <w:color w:val="444444"/>
          <w:sz w:val="24"/>
          <w:szCs w:val="24"/>
        </w:rPr>
        <w:t xml:space="preserve"> (POIM)</w:t>
      </w:r>
      <w:r w:rsidRPr="00C155DD">
        <w:rPr>
          <w:rFonts w:ascii="Arial" w:hAnsi="Arial" w:cs="Arial"/>
          <w:sz w:val="24"/>
          <w:szCs w:val="24"/>
          <w:lang w:val="it-IT"/>
        </w:rPr>
        <w:t>. De asemenea, la nivel regional au fost elaborate Planuri pentru Protecţia Mediului</w:t>
      </w:r>
      <w:r w:rsidRPr="005B534D">
        <w:rPr>
          <w:rFonts w:ascii="Arial" w:hAnsi="Arial" w:cs="Arial"/>
          <w:sz w:val="24"/>
          <w:szCs w:val="24"/>
          <w:lang w:val="it-IT"/>
        </w:rPr>
        <w:t>, iar la nivel local toţi agenţii economici au fost obligaţi să elaboreze şi să implementeze planuri de conformare.</w:t>
      </w:r>
    </w:p>
    <w:p w14:paraId="3DE1FBC4"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Directiv</w:t>
      </w:r>
      <w:r>
        <w:rPr>
          <w:rFonts w:ascii="Arial" w:hAnsi="Arial" w:cs="Arial"/>
          <w:sz w:val="24"/>
          <w:szCs w:val="24"/>
          <w:lang w:val="it-IT"/>
        </w:rPr>
        <w:t>a</w:t>
      </w:r>
      <w:r w:rsidRPr="005B534D">
        <w:rPr>
          <w:rFonts w:ascii="Arial" w:hAnsi="Arial" w:cs="Arial"/>
          <w:sz w:val="24"/>
          <w:szCs w:val="24"/>
          <w:lang w:val="it-IT"/>
        </w:rPr>
        <w:t xml:space="preserve"> privind epurarea apelor uzate (91/271/CEE şi 98/15/CE) a</w:t>
      </w:r>
      <w:r>
        <w:rPr>
          <w:rFonts w:ascii="Arial" w:hAnsi="Arial" w:cs="Arial"/>
          <w:sz w:val="24"/>
          <w:szCs w:val="24"/>
          <w:lang w:val="it-IT"/>
        </w:rPr>
        <w:t>re</w:t>
      </w:r>
      <w:r w:rsidRPr="005B534D">
        <w:rPr>
          <w:rFonts w:ascii="Arial" w:hAnsi="Arial" w:cs="Arial"/>
          <w:sz w:val="24"/>
          <w:szCs w:val="24"/>
          <w:lang w:val="it-IT"/>
        </w:rPr>
        <w:t xml:space="preserve">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14:paraId="218464BF" w14:textId="77777777" w:rsidR="00AE17B2" w:rsidRPr="005B534D" w:rsidRDefault="00AE17B2" w:rsidP="00AE17B2">
      <w:pPr>
        <w:spacing w:before="120" w:after="120" w:line="240" w:lineRule="auto"/>
        <w:ind w:left="284" w:hanging="284"/>
        <w:jc w:val="both"/>
        <w:rPr>
          <w:rFonts w:ascii="Arial" w:hAnsi="Arial" w:cs="Arial"/>
          <w:sz w:val="24"/>
          <w:szCs w:val="24"/>
          <w:lang w:val="it-IT"/>
        </w:rPr>
      </w:pPr>
      <w:r w:rsidRPr="005B534D">
        <w:rPr>
          <w:rFonts w:ascii="Arial" w:hAnsi="Arial" w:cs="Arial"/>
          <w:sz w:val="24"/>
          <w:szCs w:val="24"/>
          <w:lang w:val="it-IT"/>
        </w:rPr>
        <w:t>•</w:t>
      </w:r>
      <w:r w:rsidRPr="005B534D">
        <w:rPr>
          <w:rFonts w:ascii="Arial" w:hAnsi="Arial" w:cs="Arial"/>
          <w:sz w:val="24"/>
          <w:szCs w:val="24"/>
          <w:lang w:val="it-IT"/>
        </w:rPr>
        <w:tab/>
        <w:t>sisteme de colectare şi epurare secundară pentru toate aglomerările cu peste 2.000</w:t>
      </w:r>
      <w:r>
        <w:rPr>
          <w:rFonts w:ascii="Arial" w:hAnsi="Arial" w:cs="Arial"/>
          <w:sz w:val="24"/>
          <w:szCs w:val="24"/>
          <w:lang w:val="it-IT"/>
        </w:rPr>
        <w:t xml:space="preserve"> </w:t>
      </w:r>
      <w:r w:rsidRPr="005B534D">
        <w:rPr>
          <w:rFonts w:ascii="Arial" w:hAnsi="Arial" w:cs="Arial"/>
          <w:sz w:val="24"/>
          <w:szCs w:val="24"/>
          <w:lang w:val="it-IT"/>
        </w:rPr>
        <w:t>locuitori echivalenţi (l.e.) care au evacuare directă în resursele de apă;</w:t>
      </w:r>
    </w:p>
    <w:p w14:paraId="6F19C55B" w14:textId="77777777" w:rsidR="00AE17B2" w:rsidRPr="005B534D" w:rsidRDefault="00AE17B2" w:rsidP="00AE17B2">
      <w:pPr>
        <w:spacing w:before="120" w:after="120" w:line="240" w:lineRule="auto"/>
        <w:ind w:left="284" w:hanging="284"/>
        <w:jc w:val="both"/>
        <w:rPr>
          <w:rFonts w:ascii="Arial" w:hAnsi="Arial" w:cs="Arial"/>
          <w:sz w:val="24"/>
          <w:szCs w:val="24"/>
          <w:lang w:val="it-IT"/>
        </w:rPr>
      </w:pPr>
      <w:r w:rsidRPr="005B534D">
        <w:rPr>
          <w:rFonts w:ascii="Arial" w:hAnsi="Arial" w:cs="Arial"/>
          <w:sz w:val="24"/>
          <w:szCs w:val="24"/>
          <w:lang w:val="it-IT"/>
        </w:rPr>
        <w:t>•</w:t>
      </w:r>
      <w:r w:rsidRPr="005B534D">
        <w:rPr>
          <w:rFonts w:ascii="Arial" w:hAnsi="Arial" w:cs="Arial"/>
          <w:sz w:val="24"/>
          <w:szCs w:val="24"/>
          <w:lang w:val="it-IT"/>
        </w:rPr>
        <w:tab/>
        <w:t>sisteme de colectare şi epurare terţiară pentru toate aglomerările cu peste 10.000 l.e. care au evacuare în resursele de apă considerate zone sensibile.</w:t>
      </w:r>
    </w:p>
    <w:p w14:paraId="4AB52952"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Având în vedere atât poziţionarea României în bazinul hidrografic al fluviului Dunărea şi bazinul Mării Negre, cât şi necesitatea protecţiei mediului în aceste zone, România a declarat întregul său teritoriu ca zonă sensibilă. Ace</w:t>
      </w:r>
      <w:r>
        <w:rPr>
          <w:rFonts w:ascii="Arial" w:hAnsi="Arial" w:cs="Arial"/>
          <w:sz w:val="24"/>
          <w:szCs w:val="24"/>
          <w:lang w:val="it-IT"/>
        </w:rPr>
        <w:t>a</w:t>
      </w:r>
      <w:r w:rsidRPr="005B534D">
        <w:rPr>
          <w:rFonts w:ascii="Arial" w:hAnsi="Arial" w:cs="Arial"/>
          <w:sz w:val="24"/>
          <w:szCs w:val="24"/>
          <w:lang w:val="it-IT"/>
        </w:rPr>
        <w:t>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w:t>
      </w:r>
      <w:r>
        <w:rPr>
          <w:rFonts w:ascii="Arial" w:hAnsi="Arial" w:cs="Arial"/>
          <w:sz w:val="24"/>
          <w:szCs w:val="24"/>
          <w:lang w:val="it-IT"/>
        </w:rPr>
        <w:t>ă</w:t>
      </w:r>
      <w:r w:rsidRPr="005B534D">
        <w:rPr>
          <w:rFonts w:ascii="Arial" w:hAnsi="Arial" w:cs="Arial"/>
          <w:sz w:val="24"/>
          <w:szCs w:val="24"/>
          <w:lang w:val="it-IT"/>
        </w:rPr>
        <w:t>rile mai mici de 10.000 locuitori echivalenţi.</w:t>
      </w:r>
    </w:p>
    <w:p w14:paraId="22FF12F8"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w:t>
      </w:r>
      <w:r>
        <w:rPr>
          <w:rFonts w:ascii="Arial" w:hAnsi="Arial" w:cs="Arial"/>
          <w:sz w:val="24"/>
          <w:szCs w:val="24"/>
          <w:lang w:val="it-IT"/>
        </w:rPr>
        <w:t>27</w:t>
      </w:r>
      <w:r w:rsidRPr="005B534D">
        <w:rPr>
          <w:rFonts w:ascii="Arial" w:hAnsi="Arial" w:cs="Arial"/>
          <w:sz w:val="24"/>
          <w:szCs w:val="24"/>
          <w:lang w:val="it-IT"/>
        </w:rPr>
        <w:t xml:space="preserve"> a stării bune pentru toate corpurile de apă.</w:t>
      </w:r>
    </w:p>
    <w:p w14:paraId="2E878851"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Directiv</w:t>
      </w:r>
      <w:r>
        <w:rPr>
          <w:rFonts w:ascii="Arial" w:hAnsi="Arial" w:cs="Arial"/>
          <w:sz w:val="24"/>
          <w:szCs w:val="24"/>
          <w:lang w:val="it-IT"/>
        </w:rPr>
        <w:t>a</w:t>
      </w:r>
      <w:r w:rsidRPr="005B534D">
        <w:rPr>
          <w:rFonts w:ascii="Arial" w:hAnsi="Arial" w:cs="Arial"/>
          <w:sz w:val="24"/>
          <w:szCs w:val="24"/>
          <w:lang w:val="it-IT"/>
        </w:rPr>
        <w:t xml:space="preserve"> privind epurarea apelor uzate a fost transpus</w:t>
      </w:r>
      <w:r>
        <w:rPr>
          <w:rFonts w:ascii="Arial" w:hAnsi="Arial" w:cs="Arial"/>
          <w:sz w:val="24"/>
          <w:szCs w:val="24"/>
          <w:lang w:val="it-IT"/>
        </w:rPr>
        <w:t>ă</w:t>
      </w:r>
      <w:r w:rsidRPr="005B534D">
        <w:rPr>
          <w:rFonts w:ascii="Arial" w:hAnsi="Arial" w:cs="Arial"/>
          <w:sz w:val="24"/>
          <w:szCs w:val="24"/>
          <w:lang w:val="it-IT"/>
        </w:rPr>
        <w:t xml:space="preserv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14:paraId="20854533" w14:textId="77777777" w:rsidR="00AE17B2" w:rsidRPr="005B534D" w:rsidRDefault="00AE17B2" w:rsidP="00AE17B2">
      <w:pPr>
        <w:spacing w:before="120" w:after="120" w:line="240" w:lineRule="auto"/>
        <w:ind w:firstLine="567"/>
        <w:jc w:val="both"/>
        <w:rPr>
          <w:rFonts w:ascii="Arial" w:hAnsi="Arial" w:cs="Arial"/>
          <w:sz w:val="24"/>
          <w:szCs w:val="24"/>
          <w:lang w:val="it-IT"/>
        </w:rPr>
      </w:pPr>
      <w:r w:rsidRPr="005B534D">
        <w:rPr>
          <w:rFonts w:ascii="Arial" w:hAnsi="Arial" w:cs="Arial"/>
          <w:sz w:val="24"/>
          <w:szCs w:val="24"/>
          <w:lang w:val="it-IT"/>
        </w:rPr>
        <w:t>Din datele Administra</w:t>
      </w:r>
      <w:r>
        <w:rPr>
          <w:rFonts w:ascii="Arial" w:hAnsi="Arial" w:cs="Arial"/>
          <w:sz w:val="24"/>
          <w:szCs w:val="24"/>
          <w:lang w:val="it-IT"/>
        </w:rPr>
        <w:t>ț</w:t>
      </w:r>
      <w:r w:rsidRPr="005B534D">
        <w:rPr>
          <w:rFonts w:ascii="Arial" w:hAnsi="Arial" w:cs="Arial"/>
          <w:sz w:val="24"/>
          <w:szCs w:val="24"/>
          <w:lang w:val="it-IT"/>
        </w:rPr>
        <w:t>iei Na</w:t>
      </w:r>
      <w:r>
        <w:rPr>
          <w:rFonts w:ascii="Arial" w:hAnsi="Arial" w:cs="Arial"/>
          <w:sz w:val="24"/>
          <w:szCs w:val="24"/>
          <w:lang w:val="it-IT"/>
        </w:rPr>
        <w:t>ț</w:t>
      </w:r>
      <w:r w:rsidRPr="005B534D">
        <w:rPr>
          <w:rFonts w:ascii="Arial" w:hAnsi="Arial" w:cs="Arial"/>
          <w:sz w:val="24"/>
          <w:szCs w:val="24"/>
          <w:lang w:val="it-IT"/>
        </w:rPr>
        <w:t>ionale “Apele Rom</w:t>
      </w:r>
      <w:r>
        <w:rPr>
          <w:rFonts w:ascii="Arial" w:hAnsi="Arial" w:cs="Arial"/>
          <w:sz w:val="24"/>
          <w:szCs w:val="24"/>
          <w:lang w:val="it-IT"/>
        </w:rPr>
        <w:t>â</w:t>
      </w:r>
      <w:r w:rsidRPr="005B534D">
        <w:rPr>
          <w:rFonts w:ascii="Arial" w:hAnsi="Arial" w:cs="Arial"/>
          <w:sz w:val="24"/>
          <w:szCs w:val="24"/>
          <w:lang w:val="it-IT"/>
        </w:rPr>
        <w:t>ne”, referitoare la lucr</w:t>
      </w:r>
      <w:r>
        <w:rPr>
          <w:rFonts w:ascii="Arial" w:hAnsi="Arial" w:cs="Arial"/>
          <w:sz w:val="24"/>
          <w:szCs w:val="24"/>
          <w:lang w:val="it-IT"/>
        </w:rPr>
        <w:t>ă</w:t>
      </w:r>
      <w:r w:rsidRPr="005B534D">
        <w:rPr>
          <w:rFonts w:ascii="Arial" w:hAnsi="Arial" w:cs="Arial"/>
          <w:sz w:val="24"/>
          <w:szCs w:val="24"/>
          <w:lang w:val="it-IT"/>
        </w:rPr>
        <w:t xml:space="preserve">rile privind infrastructura de apă/apă uzată, la nivel naţional, nivelele de colectare şi epurare a încărcării organice biodegradabile (exprimat în %) din aglomerările umane cu mai mult de 2.000 l.e. a crescut în ultimii ani. În anul </w:t>
      </w:r>
      <w:r>
        <w:rPr>
          <w:rFonts w:ascii="Arial" w:hAnsi="Arial" w:cs="Arial"/>
          <w:sz w:val="24"/>
          <w:szCs w:val="24"/>
          <w:lang w:val="it-IT"/>
        </w:rPr>
        <w:t>2021</w:t>
      </w:r>
      <w:r w:rsidRPr="005B534D">
        <w:rPr>
          <w:rFonts w:ascii="Arial" w:hAnsi="Arial" w:cs="Arial"/>
          <w:sz w:val="24"/>
          <w:szCs w:val="24"/>
          <w:lang w:val="it-IT"/>
        </w:rPr>
        <w:t xml:space="preserve">, valorile nivelelor de colectare şi epurare a încărcării organice biodegradabile au fost de </w:t>
      </w:r>
      <w:r w:rsidRPr="000F3972">
        <w:rPr>
          <w:rFonts w:ascii="Arial" w:hAnsi="Arial" w:cs="Arial"/>
          <w:sz w:val="24"/>
          <w:szCs w:val="24"/>
          <w:lang w:val="it-IT"/>
        </w:rPr>
        <w:t>73,9</w:t>
      </w:r>
      <w:r w:rsidRPr="005B534D">
        <w:rPr>
          <w:rFonts w:ascii="Arial" w:hAnsi="Arial" w:cs="Arial"/>
          <w:sz w:val="24"/>
          <w:szCs w:val="24"/>
          <w:lang w:val="it-IT"/>
        </w:rPr>
        <w:t xml:space="preserve">% pentru colectarea apelor uzate, respectiv </w:t>
      </w:r>
      <w:r w:rsidRPr="000F3972">
        <w:rPr>
          <w:rFonts w:ascii="Arial" w:hAnsi="Arial" w:cs="Arial"/>
          <w:sz w:val="24"/>
          <w:szCs w:val="24"/>
          <w:lang w:val="it-IT"/>
        </w:rPr>
        <w:t>73</w:t>
      </w:r>
      <w:r>
        <w:rPr>
          <w:rFonts w:ascii="Arial" w:hAnsi="Arial" w:cs="Arial"/>
          <w:sz w:val="24"/>
          <w:szCs w:val="24"/>
          <w:lang w:val="it-IT"/>
        </w:rPr>
        <w:t>,0</w:t>
      </w:r>
      <w:r w:rsidRPr="005B534D">
        <w:rPr>
          <w:rFonts w:ascii="Arial" w:hAnsi="Arial" w:cs="Arial"/>
          <w:sz w:val="24"/>
          <w:szCs w:val="24"/>
          <w:lang w:val="it-IT"/>
        </w:rPr>
        <w:t>% pentru epurarea apelor uzate</w:t>
      </w:r>
      <w:r>
        <w:rPr>
          <w:rFonts w:ascii="Arial" w:hAnsi="Arial" w:cs="Arial"/>
          <w:sz w:val="24"/>
          <w:szCs w:val="24"/>
          <w:lang w:val="it-IT"/>
        </w:rPr>
        <w:t>.</w:t>
      </w:r>
      <w:r w:rsidRPr="005B534D">
        <w:rPr>
          <w:rFonts w:ascii="Arial" w:hAnsi="Arial" w:cs="Arial"/>
          <w:sz w:val="24"/>
          <w:szCs w:val="24"/>
          <w:lang w:val="it-IT"/>
        </w:rPr>
        <w:t xml:space="preserve"> </w:t>
      </w:r>
    </w:p>
    <w:p w14:paraId="33BC6ABA" w14:textId="77777777" w:rsidR="00AE17B2" w:rsidRDefault="00AE17B2" w:rsidP="00AE17B2">
      <w:pPr>
        <w:autoSpaceDE w:val="0"/>
        <w:autoSpaceDN w:val="0"/>
        <w:adjustRightInd w:val="0"/>
        <w:spacing w:after="0" w:line="240" w:lineRule="auto"/>
        <w:ind w:firstLine="567"/>
        <w:jc w:val="both"/>
        <w:rPr>
          <w:rFonts w:ascii="Arial" w:hAnsi="Arial" w:cs="Arial"/>
          <w:sz w:val="24"/>
          <w:szCs w:val="24"/>
          <w:lang w:eastAsia="ro-RO"/>
        </w:rPr>
      </w:pPr>
      <w:r w:rsidRPr="005B534D">
        <w:rPr>
          <w:rFonts w:ascii="Arial" w:hAnsi="Arial" w:cs="Arial"/>
          <w:sz w:val="24"/>
          <w:szCs w:val="24"/>
          <w:lang w:eastAsia="ro-RO"/>
        </w:rPr>
        <w:t xml:space="preserve">Conform raportului realizat de Administraţia Naţională “Apele Române”, în aglomerările umane mai mari de 2000 l.e., gradul de racordare la sistemul de colectare a apelor uzate a înregistrat o creştere de cca. </w:t>
      </w:r>
      <w:r w:rsidRPr="000F3972">
        <w:rPr>
          <w:rFonts w:ascii="Arial" w:hAnsi="Arial" w:cs="Arial"/>
          <w:sz w:val="24"/>
          <w:szCs w:val="24"/>
          <w:lang w:eastAsia="ro-RO"/>
        </w:rPr>
        <w:t>26</w:t>
      </w:r>
      <w:r w:rsidRPr="005B534D">
        <w:rPr>
          <w:rFonts w:ascii="Arial" w:hAnsi="Arial" w:cs="Arial"/>
          <w:sz w:val="24"/>
          <w:szCs w:val="24"/>
          <w:lang w:eastAsia="ro-RO"/>
        </w:rPr>
        <w:t xml:space="preserve">% la sfârşitul anului </w:t>
      </w:r>
      <w:r>
        <w:rPr>
          <w:rFonts w:ascii="Arial" w:hAnsi="Arial" w:cs="Arial"/>
          <w:sz w:val="24"/>
          <w:szCs w:val="24"/>
          <w:lang w:eastAsia="ro-RO"/>
        </w:rPr>
        <w:t>2021</w:t>
      </w:r>
      <w:r w:rsidRPr="005B534D">
        <w:rPr>
          <w:rFonts w:ascii="Arial" w:hAnsi="Arial" w:cs="Arial"/>
          <w:sz w:val="24"/>
          <w:szCs w:val="24"/>
          <w:lang w:eastAsia="ro-RO"/>
        </w:rPr>
        <w:t xml:space="preserve"> față de anul 2007 </w:t>
      </w:r>
      <w:r w:rsidRPr="00E335E9">
        <w:rPr>
          <w:rFonts w:ascii="Arial" w:hAnsi="Arial" w:cs="Arial"/>
          <w:i/>
          <w:sz w:val="24"/>
          <w:szCs w:val="24"/>
          <w:lang w:eastAsia="ro-RO"/>
        </w:rPr>
        <w:t>(Figura II.2.2.2.</w:t>
      </w:r>
      <w:r>
        <w:rPr>
          <w:rFonts w:ascii="Arial" w:hAnsi="Arial" w:cs="Arial"/>
          <w:i/>
          <w:sz w:val="24"/>
          <w:szCs w:val="24"/>
          <w:lang w:eastAsia="ro-RO"/>
        </w:rPr>
        <w:t>5</w:t>
      </w:r>
      <w:r w:rsidRPr="00E335E9">
        <w:rPr>
          <w:rFonts w:ascii="Arial" w:hAnsi="Arial" w:cs="Arial"/>
          <w:i/>
          <w:sz w:val="24"/>
          <w:szCs w:val="24"/>
          <w:lang w:eastAsia="ro-RO"/>
        </w:rPr>
        <w:t>).</w:t>
      </w:r>
      <w:r w:rsidRPr="00E335E9">
        <w:rPr>
          <w:rFonts w:ascii="Arial" w:hAnsi="Arial" w:cs="Arial"/>
          <w:sz w:val="24"/>
          <w:szCs w:val="24"/>
          <w:lang w:eastAsia="ro-RO"/>
        </w:rPr>
        <w:t xml:space="preserve"> În</w:t>
      </w:r>
      <w:r w:rsidRPr="005B534D">
        <w:rPr>
          <w:rFonts w:ascii="Arial" w:hAnsi="Arial" w:cs="Arial"/>
          <w:sz w:val="24"/>
          <w:szCs w:val="24"/>
          <w:lang w:eastAsia="ro-RO"/>
        </w:rPr>
        <w:t xml:space="preserve"> ceea ce privește gradul de conectare la staţiile de epurare urbane, acesta a crescut cu cca. </w:t>
      </w:r>
      <w:r w:rsidRPr="000F3972">
        <w:rPr>
          <w:rFonts w:ascii="Arial" w:hAnsi="Arial" w:cs="Arial"/>
          <w:sz w:val="24"/>
          <w:szCs w:val="24"/>
          <w:lang w:eastAsia="ro-RO"/>
        </w:rPr>
        <w:t>34</w:t>
      </w:r>
      <w:r w:rsidRPr="005B534D">
        <w:rPr>
          <w:rFonts w:ascii="Arial" w:hAnsi="Arial" w:cs="Arial"/>
          <w:sz w:val="24"/>
          <w:szCs w:val="24"/>
          <w:lang w:eastAsia="ro-RO"/>
        </w:rPr>
        <w:t>% în perioada 2007- 20</w:t>
      </w:r>
      <w:r>
        <w:rPr>
          <w:rFonts w:ascii="Arial" w:hAnsi="Arial" w:cs="Arial"/>
          <w:sz w:val="24"/>
          <w:szCs w:val="24"/>
          <w:lang w:eastAsia="ro-RO"/>
        </w:rPr>
        <w:t>21</w:t>
      </w:r>
      <w:r w:rsidRPr="005B534D">
        <w:rPr>
          <w:rFonts w:ascii="Arial" w:hAnsi="Arial" w:cs="Arial"/>
          <w:sz w:val="24"/>
          <w:szCs w:val="24"/>
          <w:lang w:eastAsia="ro-RO"/>
        </w:rPr>
        <w:t>.</w:t>
      </w:r>
    </w:p>
    <w:p w14:paraId="5E573A0F" w14:textId="77777777" w:rsidR="00AE17B2" w:rsidRPr="00A0197C" w:rsidRDefault="00AE17B2" w:rsidP="00AE17B2">
      <w:pPr>
        <w:spacing w:after="0" w:line="240" w:lineRule="auto"/>
        <w:jc w:val="both"/>
        <w:rPr>
          <w:rFonts w:ascii="Arial" w:hAnsi="Arial" w:cs="Arial"/>
          <w:sz w:val="24"/>
          <w:szCs w:val="24"/>
          <w:lang w:val="it-IT"/>
        </w:rPr>
      </w:pPr>
      <w:r>
        <w:rPr>
          <w:rFonts w:ascii="Arial" w:hAnsi="Arial" w:cs="Arial"/>
          <w:sz w:val="24"/>
          <w:szCs w:val="24"/>
          <w:lang w:val="it-IT"/>
        </w:rPr>
        <w:t xml:space="preserve">Se observă o creștere </w:t>
      </w:r>
      <w:r w:rsidRPr="005C5B68">
        <w:rPr>
          <w:rFonts w:ascii="Arial" w:hAnsi="Arial" w:cs="Arial"/>
          <w:sz w:val="24"/>
          <w:szCs w:val="24"/>
          <w:lang w:val="it-IT"/>
        </w:rPr>
        <w:t>a nivelelor naționale de colectare și epurare</w:t>
      </w:r>
      <w:r>
        <w:rPr>
          <w:rFonts w:ascii="Arial" w:hAnsi="Arial" w:cs="Arial"/>
          <w:sz w:val="24"/>
          <w:szCs w:val="24"/>
          <w:lang w:val="it-IT"/>
        </w:rPr>
        <w:t xml:space="preserve"> </w:t>
      </w:r>
      <w:r w:rsidRPr="005C5B68">
        <w:rPr>
          <w:rFonts w:ascii="Arial" w:hAnsi="Arial" w:cs="Arial"/>
          <w:sz w:val="24"/>
          <w:szCs w:val="24"/>
          <w:lang w:val="it-IT"/>
        </w:rPr>
        <w:t>față de anul 20</w:t>
      </w:r>
      <w:r>
        <w:rPr>
          <w:rFonts w:ascii="Arial" w:hAnsi="Arial" w:cs="Arial"/>
          <w:sz w:val="24"/>
          <w:szCs w:val="24"/>
          <w:lang w:val="it-IT"/>
        </w:rPr>
        <w:t xml:space="preserve">21 care are principale cauze: </w:t>
      </w:r>
      <w:r w:rsidRPr="005C5B68">
        <w:rPr>
          <w:rFonts w:ascii="Arial" w:hAnsi="Arial" w:cs="Arial"/>
          <w:sz w:val="24"/>
          <w:szCs w:val="24"/>
          <w:lang w:val="it-IT"/>
        </w:rPr>
        <w:t>modificarea numărului și dimensiunilor aglomerărilor,</w:t>
      </w:r>
      <w:r>
        <w:rPr>
          <w:rFonts w:ascii="Arial" w:hAnsi="Arial" w:cs="Arial"/>
          <w:sz w:val="24"/>
          <w:szCs w:val="24"/>
          <w:lang w:val="it-IT"/>
        </w:rPr>
        <w:t xml:space="preserve"> urmare a </w:t>
      </w:r>
      <w:r>
        <w:rPr>
          <w:rFonts w:ascii="Arial" w:hAnsi="Arial" w:cs="Arial"/>
          <w:sz w:val="24"/>
          <w:szCs w:val="24"/>
          <w:lang w:val="it-IT"/>
        </w:rPr>
        <w:lastRenderedPageBreak/>
        <w:t>elaborării studiilor de fezabilitate pentru finanțare europeană în perioada 2014-2020</w:t>
      </w:r>
      <w:r w:rsidRPr="005C5B68">
        <w:rPr>
          <w:rFonts w:ascii="Arial" w:hAnsi="Arial" w:cs="Arial"/>
          <w:sz w:val="24"/>
          <w:szCs w:val="24"/>
          <w:lang w:val="it-IT"/>
        </w:rPr>
        <w:t>.</w:t>
      </w:r>
      <w:r>
        <w:rPr>
          <w:rFonts w:ascii="Arial" w:hAnsi="Arial" w:cs="Arial"/>
          <w:sz w:val="24"/>
          <w:szCs w:val="24"/>
          <w:lang w:val="it-IT"/>
        </w:rPr>
        <w:t xml:space="preserve"> Astfel, m</w:t>
      </w:r>
      <w:r w:rsidRPr="00A0197C">
        <w:rPr>
          <w:rFonts w:ascii="Arial" w:hAnsi="Arial" w:cs="Arial"/>
          <w:sz w:val="24"/>
          <w:szCs w:val="24"/>
          <w:lang w:val="it-IT"/>
        </w:rPr>
        <w:t>odificarea nivelelor naționale de colectare și epurare are mai multe cauze, dintre care se menționează în principal:</w:t>
      </w:r>
    </w:p>
    <w:p w14:paraId="535B3F25" w14:textId="77777777" w:rsidR="00AE17B2" w:rsidRPr="00116A03" w:rsidRDefault="00AE17B2" w:rsidP="0054709F">
      <w:pPr>
        <w:numPr>
          <w:ilvl w:val="0"/>
          <w:numId w:val="30"/>
        </w:numPr>
        <w:tabs>
          <w:tab w:val="left" w:pos="270"/>
        </w:tabs>
        <w:spacing w:before="120" w:after="120" w:line="240" w:lineRule="auto"/>
        <w:ind w:left="270" w:hanging="270"/>
        <w:jc w:val="both"/>
        <w:rPr>
          <w:rFonts w:ascii="Arial" w:hAnsi="Arial" w:cs="Arial"/>
          <w:sz w:val="24"/>
          <w:szCs w:val="24"/>
          <w:lang w:val="it-IT" w:eastAsia="ja-JP"/>
        </w:rPr>
      </w:pPr>
      <w:r w:rsidRPr="00116A03">
        <w:rPr>
          <w:rFonts w:ascii="Arial" w:hAnsi="Arial" w:cs="Arial"/>
          <w:b/>
          <w:sz w:val="24"/>
          <w:szCs w:val="24"/>
          <w:lang w:val="it-IT" w:eastAsia="ja-JP"/>
        </w:rPr>
        <w:t>modificarea numărului și dimensiunilor aglomerărilor</w:t>
      </w:r>
      <w:r w:rsidRPr="00116A03">
        <w:rPr>
          <w:rFonts w:ascii="Arial" w:hAnsi="Arial" w:cs="Arial"/>
          <w:sz w:val="24"/>
          <w:szCs w:val="24"/>
          <w:lang w:val="it-IT" w:eastAsia="ja-JP"/>
        </w:rPr>
        <w:t xml:space="preserve"> – se observă că numărul aglomerărilor mai mari de 2.000 l.e. a scăzut, urmare a redelimitării aglomerărilor, pe baza reactualizării documentelor de planificare, respectiv</w:t>
      </w:r>
      <w:r w:rsidRPr="000F3972">
        <w:rPr>
          <w:rFonts w:ascii="Arial" w:hAnsi="Arial" w:cs="Arial"/>
          <w:sz w:val="24"/>
          <w:szCs w:val="24"/>
          <w:lang w:val="it-IT" w:eastAsia="ja-JP"/>
        </w:rPr>
        <w:t>: Planul național de implementare al Directivei 91/271/CEE privind epurarea apelor uzate urbane în urma căruia se va realiza o planificare a necesarului de infrastructură de apă uzată în vederea prioritizării finanțării lucrărilor,</w:t>
      </w:r>
      <w:r w:rsidRPr="00116A03">
        <w:rPr>
          <w:rFonts w:ascii="Arial" w:hAnsi="Arial" w:cs="Arial"/>
          <w:sz w:val="24"/>
          <w:szCs w:val="24"/>
          <w:lang w:val="it-IT" w:eastAsia="ja-JP"/>
        </w:rPr>
        <w:t xml:space="preserve"> Master Planurile Județene și aplicațiilor de finanțare pentru realizarea lucrărilor necesare pentru realizarea sistemelor de colectare și epurare a apelor uzate din aglomerări umane; de asemenea, la actualizarea dimensiunii aglomer</w:t>
      </w:r>
      <w:r w:rsidRPr="00116A03">
        <w:rPr>
          <w:rFonts w:ascii="Arial" w:hAnsi="Arial" w:cs="Arial"/>
          <w:sz w:val="24"/>
          <w:szCs w:val="24"/>
          <w:lang w:eastAsia="ja-JP"/>
        </w:rPr>
        <w:t>ă</w:t>
      </w:r>
      <w:r w:rsidRPr="00116A03">
        <w:rPr>
          <w:rFonts w:ascii="Arial" w:hAnsi="Arial" w:cs="Arial"/>
          <w:sz w:val="24"/>
          <w:szCs w:val="24"/>
          <w:lang w:val="it-IT" w:eastAsia="ja-JP"/>
        </w:rPr>
        <w:t xml:space="preserve">rilor contribuie și scăderea numărului populației și a activităților economice, care a condus la modificarea încadrării aglomerărilor pe categorii de dimensiuni și implicit la modificarea numărului și dimensiunii acestora. În acest sens este necesară obținerea unui inventar al aglomerărilor umane stabil/final, pe baza căruia să se actualizeze Planul național de implementare al Directivei 91/271/CEE privind epurarea apelor uzate urbane, fapt care va fi posibil după definitivarea tuturor aplicațiilor de finanțare europeană pentru cea de-a doua perioadă de planificare financiară europeană 2014-2020 și finalizarea unor proiecte de fundamentare a strategiei în sectorul de apă și apă uzată; </w:t>
      </w:r>
    </w:p>
    <w:p w14:paraId="6E924548" w14:textId="77777777" w:rsidR="00AE17B2" w:rsidRPr="005B534D" w:rsidRDefault="00AE17B2" w:rsidP="00AE17B2">
      <w:pPr>
        <w:autoSpaceDE w:val="0"/>
        <w:autoSpaceDN w:val="0"/>
        <w:adjustRightInd w:val="0"/>
        <w:spacing w:after="0" w:line="240" w:lineRule="auto"/>
        <w:ind w:firstLine="567"/>
        <w:jc w:val="both"/>
        <w:rPr>
          <w:rFonts w:ascii="Arial" w:hAnsi="Arial" w:cs="Arial"/>
          <w:sz w:val="24"/>
          <w:szCs w:val="24"/>
          <w:lang w:eastAsia="ro-RO"/>
        </w:rPr>
      </w:pPr>
    </w:p>
    <w:p w14:paraId="7C78C8FF" w14:textId="77777777" w:rsidR="00AE17B2" w:rsidRPr="004E068A" w:rsidRDefault="00AE17B2" w:rsidP="00AE17B2">
      <w:pPr>
        <w:autoSpaceDE w:val="0"/>
        <w:autoSpaceDN w:val="0"/>
        <w:adjustRightInd w:val="0"/>
        <w:spacing w:after="0" w:line="240" w:lineRule="auto"/>
        <w:rPr>
          <w:rFonts w:ascii="Arial" w:hAnsi="Arial" w:cs="Arial"/>
          <w:b/>
          <w:sz w:val="18"/>
          <w:szCs w:val="18"/>
          <w:lang w:eastAsia="ro-RO"/>
        </w:rPr>
      </w:pPr>
      <w:r w:rsidRPr="004E068A">
        <w:rPr>
          <w:rFonts w:ascii="Arial" w:hAnsi="Arial" w:cs="Arial"/>
          <w:b/>
          <w:lang w:eastAsia="ro-RO"/>
        </w:rPr>
        <w:t>Figura II.2.2.2.5. Evoluția nivelelor de colectare și epurare (%) a încărcărilor organice biodegradabile (l.e.) a apelor uzate  la nivel național în perioda  2007-2021</w:t>
      </w:r>
    </w:p>
    <w:p w14:paraId="40C3E9EE" w14:textId="41F35D2B" w:rsidR="00AE17B2" w:rsidRDefault="00AE17B2" w:rsidP="00AE17B2">
      <w:pPr>
        <w:autoSpaceDE w:val="0"/>
        <w:autoSpaceDN w:val="0"/>
        <w:adjustRightInd w:val="0"/>
        <w:spacing w:after="0" w:line="240" w:lineRule="auto"/>
        <w:ind w:firstLine="900"/>
        <w:jc w:val="both"/>
        <w:rPr>
          <w:rFonts w:ascii="Arial" w:hAnsi="Arial" w:cs="Arial"/>
          <w:sz w:val="24"/>
          <w:szCs w:val="24"/>
          <w:lang w:eastAsia="ro-RO"/>
        </w:rPr>
      </w:pPr>
      <w:r>
        <w:rPr>
          <w:rFonts w:ascii="Arial" w:hAnsi="Arial" w:cs="Arial"/>
          <w:noProof/>
          <w:sz w:val="24"/>
          <w:szCs w:val="24"/>
          <w:lang w:val="en-GB" w:eastAsia="en-GB"/>
        </w:rPr>
        <w:drawing>
          <wp:inline distT="0" distB="0" distL="0" distR="0" wp14:anchorId="777B2C7C" wp14:editId="0CC0225F">
            <wp:extent cx="4589145" cy="2677160"/>
            <wp:effectExtent l="0" t="0" r="190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89145" cy="2677160"/>
                    </a:xfrm>
                    <a:prstGeom prst="rect">
                      <a:avLst/>
                    </a:prstGeom>
                    <a:noFill/>
                  </pic:spPr>
                </pic:pic>
              </a:graphicData>
            </a:graphic>
          </wp:inline>
        </w:drawing>
      </w:r>
    </w:p>
    <w:p w14:paraId="36F21CB6" w14:textId="77777777" w:rsidR="00AE17B2" w:rsidRDefault="00AE17B2" w:rsidP="00AE17B2">
      <w:pPr>
        <w:spacing w:after="0" w:line="240" w:lineRule="auto"/>
        <w:jc w:val="both"/>
        <w:rPr>
          <w:rFonts w:ascii="Arial" w:hAnsi="Arial" w:cs="Arial"/>
          <w:i/>
          <w:iCs/>
          <w:sz w:val="20"/>
          <w:szCs w:val="20"/>
          <w:lang w:eastAsia="ro-RO"/>
        </w:rPr>
      </w:pPr>
      <w:r w:rsidRPr="00674F95">
        <w:rPr>
          <w:rFonts w:ascii="Arial" w:hAnsi="Arial" w:cs="Arial"/>
          <w:i/>
          <w:iCs/>
          <w:sz w:val="20"/>
          <w:szCs w:val="20"/>
          <w:lang w:eastAsia="ro-RO"/>
        </w:rPr>
        <w:t>(Sursa: Administraţia Naţională “Apele Române”, raport „Stadiul realizării lucrărilor pentru epurarea apelor uzate urbane şi a capacităţilor în execuţie şi puse în funcţiune pentru aglomerări umane”)</w:t>
      </w:r>
    </w:p>
    <w:p w14:paraId="01445660" w14:textId="77777777" w:rsidR="00AE17B2" w:rsidRDefault="00AE17B2" w:rsidP="00AE17B2">
      <w:pPr>
        <w:spacing w:after="0" w:line="240" w:lineRule="auto"/>
        <w:jc w:val="both"/>
        <w:rPr>
          <w:rFonts w:ascii="Arial" w:hAnsi="Arial" w:cs="Arial"/>
          <w:sz w:val="24"/>
          <w:szCs w:val="24"/>
          <w:lang w:val="it-IT"/>
        </w:rPr>
      </w:pPr>
    </w:p>
    <w:p w14:paraId="35B255B3" w14:textId="77777777" w:rsidR="00AE17B2" w:rsidRPr="00116A03" w:rsidRDefault="00AE17B2" w:rsidP="0054709F">
      <w:pPr>
        <w:numPr>
          <w:ilvl w:val="0"/>
          <w:numId w:val="30"/>
        </w:numPr>
        <w:spacing w:before="120" w:after="120" w:line="240" w:lineRule="auto"/>
        <w:ind w:left="270" w:hanging="270"/>
        <w:jc w:val="both"/>
        <w:rPr>
          <w:rFonts w:ascii="Arial" w:hAnsi="Arial" w:cs="Arial"/>
          <w:sz w:val="24"/>
          <w:szCs w:val="24"/>
          <w:lang w:val="it-IT" w:eastAsia="ja-JP"/>
        </w:rPr>
      </w:pPr>
      <w:r w:rsidRPr="00116A03">
        <w:rPr>
          <w:rFonts w:ascii="Arial" w:hAnsi="Arial" w:cs="Arial"/>
          <w:b/>
          <w:sz w:val="24"/>
          <w:szCs w:val="24"/>
          <w:lang w:val="it-IT" w:eastAsia="ja-JP"/>
        </w:rPr>
        <w:t>nivelul de încredere sc</w:t>
      </w:r>
      <w:r w:rsidRPr="00116A03">
        <w:rPr>
          <w:rFonts w:ascii="Arial" w:hAnsi="Arial" w:cs="Arial"/>
          <w:b/>
          <w:sz w:val="24"/>
          <w:szCs w:val="24"/>
          <w:lang w:eastAsia="ja-JP"/>
        </w:rPr>
        <w:t>ă</w:t>
      </w:r>
      <w:r w:rsidRPr="00116A03">
        <w:rPr>
          <w:rFonts w:ascii="Arial" w:hAnsi="Arial" w:cs="Arial"/>
          <w:b/>
          <w:sz w:val="24"/>
          <w:szCs w:val="24"/>
          <w:lang w:val="it-IT" w:eastAsia="ja-JP"/>
        </w:rPr>
        <w:t>zut al datelor și informațiilor transmise</w:t>
      </w:r>
      <w:r w:rsidRPr="00116A03">
        <w:rPr>
          <w:rFonts w:ascii="Arial" w:hAnsi="Arial" w:cs="Arial"/>
          <w:sz w:val="24"/>
          <w:szCs w:val="24"/>
          <w:lang w:val="it-IT" w:eastAsia="ja-JP"/>
        </w:rPr>
        <w:t xml:space="preserve">, datorat atât unor interpretări eronate ale cerințelor Directivei și a datelor solicitate pentru raportare, dar și a inconsecvenței informațiilor furnizate de către operatorii de servicii de apă și autoritățile locale; astfel, au fost identificate probleme serioase în interpretarea noțiunilor de aglomerare versus cluster, delimitarea și dimensiunea în locuitori echivalenți a aglomerărilor (confuzie între aglomerare și unitate administrativ teritorială), calculul gradului de conectare al locuitorilor echivalenți la sistemele centralizate de colectare și epurare (la calcularea gradului de conectare trebuie sa se ia în calcul nr. l.e. conectați efectiv la sistemul de canalizare și nu se ia in calcul rețeaua de canalizare realizată, și gradul se raportează la întreaga dimensiune a aglomerării). Aceste probleme au necesitat refacerea chestionarelor de colectarea datelor pentru raportare, în special a celor referitoare la aglomerările mai mari de 10.000 l.e., cu </w:t>
      </w:r>
      <w:r w:rsidRPr="00116A03">
        <w:rPr>
          <w:rFonts w:ascii="Arial" w:hAnsi="Arial" w:cs="Arial"/>
          <w:sz w:val="24"/>
          <w:szCs w:val="24"/>
          <w:lang w:val="it-IT" w:eastAsia="ja-JP"/>
        </w:rPr>
        <w:lastRenderedPageBreak/>
        <w:t>corecții conform recomandărilor reprezentanților Administrațiilor Bazinale de Apă. În condițiile în care la nivelul consultanților care fundamentează aplicațiile de finanțare nu este abordat corect modul de determinare a locuitorilor echivalenți, există o dinamică greu de înțeles în privința modificării localităților componente ale aglomerărilor. Acest lucru va avea implicații în permanență în evaluarea gradelor de colectare și epurare care va fi de regulă mai mic decât la raportările anterioare. În acest context, o metodologie aprobată pentru calculul locuitorilor echivalenți și pentru criterii de verificare a conformității privind colectarea epurarea și validarea datelor, ar fi utilă în surmontarea acestor probleme;</w:t>
      </w:r>
    </w:p>
    <w:p w14:paraId="158E900B" w14:textId="77777777" w:rsidR="00AE17B2" w:rsidRDefault="00AE17B2" w:rsidP="00AE17B2">
      <w:pPr>
        <w:spacing w:before="120" w:after="120" w:line="240" w:lineRule="auto"/>
        <w:ind w:firstLine="720"/>
        <w:jc w:val="both"/>
        <w:rPr>
          <w:rFonts w:ascii="Arial" w:hAnsi="Arial" w:cs="Arial"/>
          <w:lang w:val="it-IT" w:eastAsia="ja-JP"/>
        </w:rPr>
      </w:pPr>
      <w:r w:rsidRPr="00AE578C">
        <w:rPr>
          <w:rFonts w:ascii="Arial" w:hAnsi="Arial" w:cs="Arial"/>
          <w:sz w:val="24"/>
          <w:szCs w:val="24"/>
          <w:lang w:val="it-IT"/>
        </w:rPr>
        <w:t xml:space="preserve">La nivel de județe </w:t>
      </w:r>
      <w:r w:rsidRPr="00AE578C">
        <w:rPr>
          <w:rFonts w:ascii="Arial" w:hAnsi="Arial" w:cs="Arial"/>
          <w:i/>
          <w:sz w:val="24"/>
          <w:szCs w:val="24"/>
          <w:lang w:val="it-IT"/>
        </w:rPr>
        <w:t xml:space="preserve">(Figura </w:t>
      </w:r>
      <w:r w:rsidRPr="00AE578C">
        <w:rPr>
          <w:rFonts w:ascii="Arial" w:hAnsi="Arial" w:cs="Arial"/>
          <w:i/>
          <w:noProof/>
          <w:sz w:val="24"/>
          <w:szCs w:val="24"/>
          <w:lang w:eastAsia="ro-RO"/>
        </w:rPr>
        <w:t>II.2.2.2.</w:t>
      </w:r>
      <w:r>
        <w:rPr>
          <w:rFonts w:ascii="Arial" w:hAnsi="Arial" w:cs="Arial"/>
          <w:i/>
          <w:noProof/>
          <w:sz w:val="24"/>
          <w:szCs w:val="24"/>
          <w:lang w:eastAsia="ro-RO"/>
        </w:rPr>
        <w:t>6</w:t>
      </w:r>
      <w:r w:rsidRPr="00AE578C">
        <w:rPr>
          <w:rFonts w:ascii="Arial" w:hAnsi="Arial" w:cs="Arial"/>
          <w:i/>
          <w:noProof/>
          <w:sz w:val="24"/>
          <w:szCs w:val="24"/>
          <w:lang w:eastAsia="ro-RO"/>
        </w:rPr>
        <w:t xml:space="preserve">), </w:t>
      </w:r>
      <w:r w:rsidRPr="00AE578C">
        <w:rPr>
          <w:rFonts w:ascii="Arial" w:hAnsi="Arial" w:cs="Arial"/>
          <w:noProof/>
          <w:sz w:val="24"/>
          <w:szCs w:val="24"/>
          <w:lang w:eastAsia="ro-RO"/>
        </w:rPr>
        <w:t>c</w:t>
      </w:r>
      <w:r w:rsidRPr="00AE578C">
        <w:rPr>
          <w:rFonts w:ascii="Arial" w:hAnsi="Arial" w:cs="Arial"/>
          <w:sz w:val="24"/>
          <w:szCs w:val="24"/>
          <w:lang w:val="it-IT"/>
        </w:rPr>
        <w:t xml:space="preserve">ele mai ridicate grade de racordare la reţele de canalizare (peste 80%) sunt identificate în </w:t>
      </w:r>
      <w:r>
        <w:rPr>
          <w:rFonts w:ascii="Arial" w:hAnsi="Arial" w:cs="Arial"/>
          <w:lang w:val="it-IT" w:eastAsia="ja-JP"/>
        </w:rPr>
        <w:t xml:space="preserve">12 </w:t>
      </w:r>
      <w:r w:rsidRPr="00F13F65">
        <w:rPr>
          <w:rFonts w:ascii="Arial" w:hAnsi="Arial" w:cs="Arial"/>
          <w:lang w:val="it-IT" w:eastAsia="ja-JP"/>
        </w:rPr>
        <w:t>judeţe</w:t>
      </w:r>
      <w:r>
        <w:rPr>
          <w:rFonts w:ascii="Arial" w:hAnsi="Arial" w:cs="Arial"/>
          <w:lang w:val="it-IT" w:eastAsia="ja-JP"/>
        </w:rPr>
        <w:t xml:space="preserve"> (</w:t>
      </w:r>
      <w:r w:rsidRPr="00C34CEE">
        <w:rPr>
          <w:rFonts w:ascii="Arial" w:eastAsia="Times New Roman" w:hAnsi="Arial" w:cs="Arial"/>
          <w:lang w:val="it-IT"/>
        </w:rPr>
        <w:t>Alba,</w:t>
      </w:r>
      <w:r w:rsidRPr="00D02EB9">
        <w:rPr>
          <w:rFonts w:ascii="Arial" w:hAnsi="Arial" w:cs="Arial"/>
        </w:rPr>
        <w:t xml:space="preserve"> </w:t>
      </w:r>
      <w:r w:rsidRPr="00C34CEE">
        <w:rPr>
          <w:rFonts w:ascii="Arial" w:eastAsia="Times New Roman" w:hAnsi="Arial" w:cs="Arial"/>
          <w:lang w:val="it-IT"/>
        </w:rPr>
        <w:t>Botosani,</w:t>
      </w:r>
      <w:r w:rsidRPr="00D02EB9">
        <w:t xml:space="preserve"> </w:t>
      </w:r>
      <w:r w:rsidRPr="00C34CEE">
        <w:rPr>
          <w:rFonts w:ascii="Arial" w:eastAsia="Times New Roman" w:hAnsi="Arial" w:cs="Arial"/>
          <w:lang w:val="it-IT"/>
        </w:rPr>
        <w:t xml:space="preserve">Brasov, </w:t>
      </w:r>
      <w:r w:rsidRPr="00F13F65">
        <w:rPr>
          <w:rFonts w:ascii="Arial" w:hAnsi="Arial" w:cs="Arial"/>
          <w:lang w:val="it-IT" w:eastAsia="ja-JP"/>
        </w:rPr>
        <w:t>Cluj,</w:t>
      </w:r>
      <w:r>
        <w:rPr>
          <w:rFonts w:ascii="Arial" w:hAnsi="Arial" w:cs="Arial"/>
          <w:lang w:val="it-IT" w:eastAsia="ja-JP"/>
        </w:rPr>
        <w:t xml:space="preserve"> </w:t>
      </w:r>
      <w:r w:rsidRPr="00F13F65">
        <w:rPr>
          <w:rFonts w:ascii="Arial" w:hAnsi="Arial" w:cs="Arial"/>
          <w:lang w:val="it-IT" w:eastAsia="ja-JP"/>
        </w:rPr>
        <w:t>Constanța,</w:t>
      </w:r>
      <w:r>
        <w:rPr>
          <w:rFonts w:ascii="Arial" w:hAnsi="Arial" w:cs="Arial"/>
          <w:lang w:val="it-IT" w:eastAsia="ja-JP"/>
        </w:rPr>
        <w:t xml:space="preserve"> Covasna, </w:t>
      </w:r>
      <w:r w:rsidRPr="00F13F65">
        <w:rPr>
          <w:rFonts w:ascii="Arial" w:hAnsi="Arial" w:cs="Arial"/>
          <w:lang w:val="it-IT" w:eastAsia="ja-JP"/>
        </w:rPr>
        <w:t>Hunedoara</w:t>
      </w:r>
      <w:r>
        <w:rPr>
          <w:rFonts w:ascii="Arial" w:hAnsi="Arial" w:cs="Arial"/>
          <w:lang w:val="it-IT" w:eastAsia="ja-JP"/>
        </w:rPr>
        <w:t>, Mehedinți, Mureș, Sălaj, Sibiu și</w:t>
      </w:r>
      <w:r w:rsidRPr="00A85F45">
        <w:rPr>
          <w:rFonts w:ascii="Arial" w:hAnsi="Arial" w:cs="Arial"/>
          <w:lang w:val="it-IT" w:eastAsia="ja-JP"/>
        </w:rPr>
        <w:t xml:space="preserve"> Timiș</w:t>
      </w:r>
      <w:r>
        <w:rPr>
          <w:rFonts w:ascii="Arial" w:hAnsi="Arial" w:cs="Arial"/>
          <w:lang w:val="it-IT" w:eastAsia="ja-JP"/>
        </w:rPr>
        <w:t>)</w:t>
      </w:r>
      <w:r w:rsidRPr="00A85F45">
        <w:rPr>
          <w:rFonts w:ascii="Arial" w:hAnsi="Arial" w:cs="Arial"/>
          <w:lang w:val="it-IT" w:eastAsia="ja-JP"/>
        </w:rPr>
        <w:t xml:space="preserve"> și</w:t>
      </w:r>
      <w:r w:rsidRPr="00F13F65">
        <w:rPr>
          <w:rFonts w:ascii="Arial" w:hAnsi="Arial" w:cs="Arial"/>
          <w:lang w:val="it-IT" w:eastAsia="ja-JP"/>
        </w:rPr>
        <w:t xml:space="preserve"> în aglomerarea Bucureşti, iar la polul opus (</w:t>
      </w:r>
      <w:r>
        <w:rPr>
          <w:rFonts w:ascii="Arial" w:hAnsi="Arial" w:cs="Arial"/>
          <w:lang w:val="it-IT" w:eastAsia="ja-JP"/>
        </w:rPr>
        <w:t>între</w:t>
      </w:r>
      <w:r w:rsidRPr="00F13F65">
        <w:rPr>
          <w:rFonts w:ascii="Arial" w:hAnsi="Arial" w:cs="Arial"/>
          <w:lang w:val="it-IT" w:eastAsia="ja-JP"/>
        </w:rPr>
        <w:t xml:space="preserve"> </w:t>
      </w:r>
      <w:r>
        <w:rPr>
          <w:rFonts w:ascii="Arial" w:hAnsi="Arial" w:cs="Arial"/>
          <w:lang w:val="it-IT" w:eastAsia="ja-JP"/>
        </w:rPr>
        <w:t>4</w:t>
      </w:r>
      <w:r w:rsidRPr="00F13F65">
        <w:rPr>
          <w:rFonts w:ascii="Arial" w:hAnsi="Arial" w:cs="Arial"/>
          <w:lang w:val="it-IT" w:eastAsia="ja-JP"/>
        </w:rPr>
        <w:t>0%</w:t>
      </w:r>
      <w:r>
        <w:rPr>
          <w:rFonts w:ascii="Arial" w:hAnsi="Arial" w:cs="Arial"/>
          <w:lang w:val="it-IT" w:eastAsia="ja-JP"/>
        </w:rPr>
        <w:t xml:space="preserve"> - 50%</w:t>
      </w:r>
      <w:r w:rsidRPr="00F13F65">
        <w:rPr>
          <w:rFonts w:ascii="Arial" w:hAnsi="Arial" w:cs="Arial"/>
          <w:lang w:val="it-IT" w:eastAsia="ja-JP"/>
        </w:rPr>
        <w:t xml:space="preserve">) se află </w:t>
      </w:r>
      <w:r>
        <w:rPr>
          <w:rFonts w:ascii="Arial" w:hAnsi="Arial" w:cs="Arial"/>
          <w:lang w:val="it-IT" w:eastAsia="ja-JP"/>
        </w:rPr>
        <w:t xml:space="preserve">6 </w:t>
      </w:r>
      <w:r w:rsidRPr="00F13F65">
        <w:rPr>
          <w:rFonts w:ascii="Arial" w:hAnsi="Arial" w:cs="Arial"/>
          <w:lang w:val="it-IT" w:eastAsia="ja-JP"/>
        </w:rPr>
        <w:t>județe</w:t>
      </w:r>
      <w:r>
        <w:rPr>
          <w:rFonts w:ascii="Arial" w:hAnsi="Arial" w:cs="Arial"/>
          <w:lang w:val="it-IT" w:eastAsia="ja-JP"/>
        </w:rPr>
        <w:t xml:space="preserve"> (Călărași, </w:t>
      </w:r>
      <w:r w:rsidRPr="00F13F65">
        <w:rPr>
          <w:rFonts w:ascii="Arial" w:hAnsi="Arial" w:cs="Arial"/>
          <w:lang w:val="it-IT" w:eastAsia="ja-JP"/>
        </w:rPr>
        <w:t>Dâmbovița</w:t>
      </w:r>
      <w:r>
        <w:rPr>
          <w:rFonts w:ascii="Arial" w:hAnsi="Arial" w:cs="Arial"/>
          <w:lang w:val="it-IT" w:eastAsia="ja-JP"/>
        </w:rPr>
        <w:t>,</w:t>
      </w:r>
      <w:r w:rsidRPr="00F13F65">
        <w:rPr>
          <w:rFonts w:ascii="Arial" w:hAnsi="Arial" w:cs="Arial"/>
          <w:lang w:val="it-IT" w:eastAsia="ja-JP"/>
        </w:rPr>
        <w:t xml:space="preserve"> Giurgiu</w:t>
      </w:r>
      <w:r>
        <w:rPr>
          <w:rFonts w:ascii="Arial" w:hAnsi="Arial" w:cs="Arial"/>
          <w:lang w:val="it-IT" w:eastAsia="ja-JP"/>
        </w:rPr>
        <w:t>, Ilfov, Olt</w:t>
      </w:r>
      <w:r w:rsidRPr="000F3972">
        <w:rPr>
          <w:rFonts w:ascii="Arial" w:hAnsi="Arial" w:cs="Arial"/>
          <w:lang w:val="it-IT" w:eastAsia="ja-JP"/>
        </w:rPr>
        <w:t xml:space="preserve"> </w:t>
      </w:r>
      <w:r>
        <w:rPr>
          <w:rFonts w:ascii="Arial" w:hAnsi="Arial" w:cs="Arial"/>
          <w:lang w:val="it-IT" w:eastAsia="ja-JP"/>
        </w:rPr>
        <w:t>și Teleorman)</w:t>
      </w:r>
      <w:r w:rsidRPr="00F13F65">
        <w:rPr>
          <w:rFonts w:ascii="Arial" w:hAnsi="Arial" w:cs="Arial"/>
          <w:lang w:val="it-IT" w:eastAsia="ja-JP"/>
        </w:rPr>
        <w:t xml:space="preserve">. </w:t>
      </w:r>
    </w:p>
    <w:p w14:paraId="1938B709" w14:textId="77777777" w:rsidR="00AE17B2" w:rsidRDefault="00AE17B2" w:rsidP="00AE17B2">
      <w:pPr>
        <w:spacing w:before="120" w:after="120" w:line="240" w:lineRule="auto"/>
        <w:ind w:firstLine="720"/>
        <w:jc w:val="both"/>
        <w:rPr>
          <w:rFonts w:ascii="Arial" w:hAnsi="Arial" w:cs="Arial"/>
          <w:sz w:val="24"/>
          <w:szCs w:val="24"/>
          <w:lang w:val="it-IT"/>
        </w:rPr>
      </w:pPr>
    </w:p>
    <w:p w14:paraId="2FD2A139" w14:textId="77777777" w:rsidR="00AE17B2" w:rsidRPr="004E068A" w:rsidRDefault="00AE17B2" w:rsidP="00AE17B2">
      <w:pPr>
        <w:spacing w:after="0" w:line="240" w:lineRule="auto"/>
        <w:rPr>
          <w:rFonts w:ascii="Arial" w:hAnsi="Arial" w:cs="Arial"/>
          <w:b/>
          <w:lang w:val="it-IT"/>
        </w:rPr>
      </w:pPr>
      <w:r w:rsidRPr="004E068A">
        <w:rPr>
          <w:rFonts w:ascii="Arial" w:hAnsi="Arial" w:cs="Arial"/>
          <w:b/>
          <w:lang w:val="it-IT"/>
        </w:rPr>
        <w:t>Figura II.2.2.2.6. Situaţia la nivel de judeţe a colectării şi epurării încărcării biodegradabile din apele uzate (l.e.)</w:t>
      </w:r>
      <w:r>
        <w:rPr>
          <w:rFonts w:ascii="Arial" w:hAnsi="Arial" w:cs="Arial"/>
          <w:b/>
          <w:lang w:val="it-IT"/>
        </w:rPr>
        <w:t xml:space="preserve"> </w:t>
      </w:r>
      <w:r w:rsidRPr="004E068A">
        <w:rPr>
          <w:rFonts w:ascii="Arial" w:hAnsi="Arial" w:cs="Arial"/>
          <w:b/>
          <w:lang w:val="it-IT"/>
        </w:rPr>
        <w:t>de la aglomerările umane cu mai mult de 2000 l.e., în anul 2021</w:t>
      </w:r>
    </w:p>
    <w:p w14:paraId="3E7FD017" w14:textId="7C986961" w:rsidR="00AE17B2" w:rsidRDefault="00AE17B2" w:rsidP="00AE17B2">
      <w:pPr>
        <w:spacing w:after="0" w:line="240" w:lineRule="auto"/>
        <w:jc w:val="center"/>
        <w:rPr>
          <w:rFonts w:ascii="Arial" w:hAnsi="Arial" w:cs="Arial"/>
          <w:b/>
          <w:sz w:val="24"/>
          <w:szCs w:val="24"/>
          <w:lang w:val="it-IT"/>
        </w:rPr>
      </w:pPr>
      <w:r>
        <w:rPr>
          <w:rFonts w:ascii="Arial" w:hAnsi="Arial" w:cs="Arial"/>
          <w:b/>
          <w:sz w:val="20"/>
          <w:szCs w:val="20"/>
          <w:lang w:val="it-IT"/>
        </w:rPr>
        <w:t xml:space="preserve"> </w:t>
      </w:r>
      <w:r>
        <w:rPr>
          <w:rFonts w:ascii="Arial" w:hAnsi="Arial" w:cs="Arial"/>
          <w:b/>
          <w:noProof/>
          <w:sz w:val="24"/>
          <w:szCs w:val="24"/>
          <w:lang w:val="en-GB" w:eastAsia="en-GB"/>
        </w:rPr>
        <w:drawing>
          <wp:inline distT="0" distB="0" distL="0" distR="0" wp14:anchorId="4B667D51" wp14:editId="10EA0397">
            <wp:extent cx="5515610" cy="293878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15610" cy="2938780"/>
                    </a:xfrm>
                    <a:prstGeom prst="rect">
                      <a:avLst/>
                    </a:prstGeom>
                    <a:noFill/>
                  </pic:spPr>
                </pic:pic>
              </a:graphicData>
            </a:graphic>
          </wp:inline>
        </w:drawing>
      </w:r>
    </w:p>
    <w:p w14:paraId="485EC7AA" w14:textId="77777777" w:rsidR="00AE17B2" w:rsidRDefault="00AE17B2" w:rsidP="00AE17B2">
      <w:pPr>
        <w:spacing w:after="0" w:line="240" w:lineRule="auto"/>
        <w:jc w:val="center"/>
        <w:rPr>
          <w:rFonts w:ascii="Arial" w:hAnsi="Arial" w:cs="Arial"/>
          <w:i/>
          <w:iCs/>
          <w:sz w:val="20"/>
          <w:szCs w:val="20"/>
          <w:lang w:eastAsia="ro-RO"/>
        </w:rPr>
      </w:pPr>
      <w:r w:rsidRPr="00674F95">
        <w:rPr>
          <w:rFonts w:ascii="Arial" w:hAnsi="Arial" w:cs="Arial"/>
          <w:i/>
          <w:iCs/>
          <w:sz w:val="20"/>
          <w:szCs w:val="20"/>
          <w:lang w:eastAsia="ro-RO"/>
        </w:rPr>
        <w:t>(Sursa: Administraţia Naţională “Apele Române”, raport „Stadiul realizării lucrărilor pentru epurarea apelor uzate urbane</w:t>
      </w:r>
      <w:r>
        <w:rPr>
          <w:rFonts w:ascii="Arial" w:hAnsi="Arial" w:cs="Arial"/>
          <w:i/>
          <w:iCs/>
          <w:sz w:val="20"/>
          <w:szCs w:val="20"/>
          <w:lang w:eastAsia="ro-RO"/>
        </w:rPr>
        <w:t xml:space="preserve"> </w:t>
      </w:r>
      <w:r w:rsidRPr="00674F95">
        <w:rPr>
          <w:rFonts w:ascii="Arial" w:hAnsi="Arial" w:cs="Arial"/>
          <w:i/>
          <w:iCs/>
          <w:sz w:val="20"/>
          <w:szCs w:val="20"/>
          <w:lang w:eastAsia="ro-RO"/>
        </w:rPr>
        <w:t>şi a capacităţilor în execuţie şi puse în funcţiune pentru aglomerări umane” în anul 20</w:t>
      </w:r>
      <w:r>
        <w:rPr>
          <w:rFonts w:ascii="Arial" w:hAnsi="Arial" w:cs="Arial"/>
          <w:i/>
          <w:iCs/>
          <w:sz w:val="20"/>
          <w:szCs w:val="20"/>
          <w:lang w:eastAsia="ro-RO"/>
        </w:rPr>
        <w:t>21</w:t>
      </w:r>
      <w:r w:rsidRPr="00674F95">
        <w:rPr>
          <w:rFonts w:ascii="Arial" w:hAnsi="Arial" w:cs="Arial"/>
          <w:i/>
          <w:iCs/>
          <w:sz w:val="20"/>
          <w:szCs w:val="20"/>
          <w:lang w:eastAsia="ro-RO"/>
        </w:rPr>
        <w:t>)</w:t>
      </w:r>
    </w:p>
    <w:p w14:paraId="771E9F45" w14:textId="77777777" w:rsidR="00AE17B2" w:rsidRPr="00674F95" w:rsidRDefault="00AE17B2" w:rsidP="00AE17B2">
      <w:pPr>
        <w:spacing w:after="0" w:line="240" w:lineRule="auto"/>
        <w:jc w:val="center"/>
        <w:rPr>
          <w:rFonts w:ascii="Arial" w:hAnsi="Arial" w:cs="Arial"/>
          <w:i/>
          <w:iCs/>
          <w:sz w:val="20"/>
          <w:szCs w:val="20"/>
          <w:lang w:eastAsia="ro-RO"/>
        </w:rPr>
      </w:pPr>
    </w:p>
    <w:p w14:paraId="6CD10416" w14:textId="77777777" w:rsidR="00AE17B2" w:rsidRDefault="00AE17B2" w:rsidP="00AE17B2">
      <w:pPr>
        <w:spacing w:before="120" w:after="120" w:line="240" w:lineRule="auto"/>
        <w:ind w:firstLine="720"/>
        <w:jc w:val="both"/>
        <w:rPr>
          <w:rFonts w:ascii="Arial" w:hAnsi="Arial" w:cs="Arial"/>
          <w:sz w:val="24"/>
          <w:szCs w:val="24"/>
          <w:lang w:val="it-IT"/>
        </w:rPr>
      </w:pPr>
      <w:bookmarkStart w:id="42" w:name="_Hlk43455382"/>
      <w:r>
        <w:rPr>
          <w:rFonts w:ascii="Arial" w:hAnsi="Arial" w:cs="Arial"/>
          <w:lang w:val="it-IT" w:eastAsia="ja-JP"/>
        </w:rPr>
        <w:t>Se observă că niciun județ nu are un procent mai mic de 39% conectare la rețele de canalizare, însă cele mai multe județe care rămân cu procentele sub 50% sunt localizate preponderent în partea sudică a țării (zone sărace)</w:t>
      </w:r>
      <w:r w:rsidRPr="00AE578C">
        <w:rPr>
          <w:rFonts w:ascii="Arial" w:hAnsi="Arial" w:cs="Arial"/>
          <w:sz w:val="24"/>
          <w:szCs w:val="24"/>
          <w:lang w:val="it-IT"/>
        </w:rPr>
        <w:t>.</w:t>
      </w:r>
      <w:r w:rsidRPr="00DB757C">
        <w:rPr>
          <w:rFonts w:ascii="Arial" w:hAnsi="Arial" w:cs="Arial"/>
          <w:sz w:val="24"/>
          <w:szCs w:val="24"/>
          <w:lang w:val="it-IT"/>
        </w:rPr>
        <w:t xml:space="preserve"> </w:t>
      </w:r>
      <w:r w:rsidRPr="00EE139B">
        <w:rPr>
          <w:rFonts w:ascii="Arial" w:hAnsi="Arial" w:cs="Arial"/>
          <w:sz w:val="24"/>
          <w:szCs w:val="24"/>
          <w:lang w:val="it-IT"/>
        </w:rPr>
        <w:t xml:space="preserve">Referitor la gradul de epurare a apelor uzate urbane la nivel de județe, situaţia este următoarea: în </w:t>
      </w:r>
      <w:r>
        <w:rPr>
          <w:rFonts w:ascii="Arial" w:hAnsi="Arial" w:cs="Arial"/>
          <w:sz w:val="24"/>
          <w:szCs w:val="24"/>
          <w:lang w:val="it-IT"/>
        </w:rPr>
        <w:t>10</w:t>
      </w:r>
      <w:r w:rsidRPr="00EE139B">
        <w:rPr>
          <w:rFonts w:ascii="Arial" w:hAnsi="Arial" w:cs="Arial"/>
          <w:sz w:val="24"/>
          <w:szCs w:val="24"/>
          <w:lang w:val="it-IT"/>
        </w:rPr>
        <w:t xml:space="preserve"> judeţe (</w:t>
      </w:r>
      <w:r>
        <w:rPr>
          <w:rFonts w:ascii="Arial" w:hAnsi="Arial" w:cs="Arial"/>
          <w:sz w:val="24"/>
          <w:szCs w:val="24"/>
          <w:lang w:val="it-IT"/>
        </w:rPr>
        <w:t xml:space="preserve">Botoșani, Brașov, </w:t>
      </w:r>
      <w:r w:rsidRPr="00EE139B">
        <w:rPr>
          <w:rFonts w:ascii="Arial" w:hAnsi="Arial" w:cs="Arial"/>
          <w:sz w:val="24"/>
          <w:szCs w:val="24"/>
          <w:lang w:val="it-IT"/>
        </w:rPr>
        <w:t xml:space="preserve">Cluj, Constanța, </w:t>
      </w:r>
      <w:r>
        <w:rPr>
          <w:rFonts w:ascii="Arial" w:hAnsi="Arial" w:cs="Arial"/>
          <w:sz w:val="24"/>
          <w:szCs w:val="24"/>
          <w:lang w:val="it-IT"/>
        </w:rPr>
        <w:t xml:space="preserve">Covasna, </w:t>
      </w:r>
      <w:r w:rsidRPr="00EE139B">
        <w:rPr>
          <w:rFonts w:ascii="Arial" w:hAnsi="Arial" w:cs="Arial"/>
          <w:sz w:val="24"/>
          <w:szCs w:val="24"/>
          <w:lang w:val="it-IT"/>
        </w:rPr>
        <w:t xml:space="preserve">Hunedoara, </w:t>
      </w:r>
      <w:r>
        <w:rPr>
          <w:rFonts w:ascii="Arial" w:hAnsi="Arial" w:cs="Arial"/>
          <w:sz w:val="24"/>
          <w:szCs w:val="24"/>
          <w:lang w:val="it-IT"/>
        </w:rPr>
        <w:t xml:space="preserve">Mureș, Sălaj, </w:t>
      </w:r>
      <w:r w:rsidRPr="00EE139B">
        <w:rPr>
          <w:rFonts w:ascii="Arial" w:hAnsi="Arial" w:cs="Arial"/>
          <w:sz w:val="24"/>
          <w:szCs w:val="24"/>
          <w:lang w:val="it-IT"/>
        </w:rPr>
        <w:t>Sibiu și Timiș) s-au înregistrat valori ale nivelului de conectare la stația de epurare de peste 80%. În unele dintre județe procentul de epurare a crescut față de decembrie 20</w:t>
      </w:r>
      <w:r>
        <w:rPr>
          <w:rFonts w:ascii="Arial" w:hAnsi="Arial" w:cs="Arial"/>
          <w:sz w:val="24"/>
          <w:szCs w:val="24"/>
          <w:lang w:val="it-IT"/>
        </w:rPr>
        <w:t>20</w:t>
      </w:r>
      <w:r w:rsidRPr="00EE139B">
        <w:rPr>
          <w:rFonts w:ascii="Arial" w:hAnsi="Arial" w:cs="Arial"/>
          <w:sz w:val="24"/>
          <w:szCs w:val="24"/>
          <w:lang w:val="it-IT"/>
        </w:rPr>
        <w:t xml:space="preserve">, valori în intervalul 30% - 50%  înregistrându-se însă în județele Călărași, Dâmbovița, Giurgiu, </w:t>
      </w:r>
      <w:r>
        <w:rPr>
          <w:rFonts w:ascii="Arial" w:hAnsi="Arial" w:cs="Arial"/>
          <w:sz w:val="24"/>
          <w:szCs w:val="24"/>
          <w:lang w:val="it-IT"/>
        </w:rPr>
        <w:t xml:space="preserve">Ilfov, </w:t>
      </w:r>
      <w:r w:rsidRPr="00EE139B">
        <w:rPr>
          <w:rFonts w:ascii="Arial" w:hAnsi="Arial" w:cs="Arial"/>
          <w:sz w:val="24"/>
          <w:szCs w:val="24"/>
          <w:lang w:val="it-IT"/>
        </w:rPr>
        <w:t>Olt</w:t>
      </w:r>
      <w:r w:rsidRPr="000F3972">
        <w:rPr>
          <w:rFonts w:ascii="Arial" w:hAnsi="Arial" w:cs="Arial"/>
          <w:sz w:val="24"/>
          <w:szCs w:val="24"/>
          <w:lang w:val="it-IT"/>
        </w:rPr>
        <w:t xml:space="preserve"> </w:t>
      </w:r>
      <w:r>
        <w:rPr>
          <w:rFonts w:ascii="Arial" w:hAnsi="Arial" w:cs="Arial"/>
          <w:sz w:val="24"/>
          <w:szCs w:val="24"/>
          <w:lang w:val="it-IT"/>
        </w:rPr>
        <w:t>și</w:t>
      </w:r>
      <w:r w:rsidRPr="00EE139B">
        <w:rPr>
          <w:rFonts w:ascii="Arial" w:hAnsi="Arial" w:cs="Arial"/>
          <w:sz w:val="24"/>
          <w:szCs w:val="24"/>
          <w:lang w:val="it-IT"/>
        </w:rPr>
        <w:t xml:space="preserve"> Teleorman). Similar ca în situația conectării la rețele de canalizare, județele din partea sudică a țării sunt rămase în urmă în dezvoltarea stațiilor de epurare .  </w:t>
      </w:r>
    </w:p>
    <w:p w14:paraId="2996C118" w14:textId="77777777" w:rsidR="00AE17B2" w:rsidRDefault="00AE17B2" w:rsidP="00AE17B2">
      <w:pPr>
        <w:spacing w:before="120" w:after="120" w:line="240" w:lineRule="auto"/>
        <w:jc w:val="both"/>
        <w:rPr>
          <w:rFonts w:ascii="Arial" w:hAnsi="Arial" w:cs="Arial"/>
          <w:sz w:val="24"/>
          <w:szCs w:val="24"/>
          <w:lang w:val="it-IT"/>
        </w:rPr>
      </w:pPr>
      <w:r w:rsidRPr="005B534D">
        <w:rPr>
          <w:rFonts w:ascii="Arial" w:hAnsi="Arial" w:cs="Arial"/>
          <w:sz w:val="24"/>
          <w:szCs w:val="24"/>
          <w:lang w:val="it-IT"/>
        </w:rPr>
        <w:t xml:space="preserve">Situația dotării aglomerărilor umane cu sisteme de colectare și epurare este prezentată </w:t>
      </w:r>
      <w:r w:rsidRPr="00E335E9">
        <w:rPr>
          <w:rFonts w:ascii="Arial" w:hAnsi="Arial" w:cs="Arial"/>
          <w:sz w:val="24"/>
          <w:szCs w:val="24"/>
          <w:lang w:val="it-IT"/>
        </w:rPr>
        <w:t>în</w:t>
      </w:r>
      <w:r w:rsidRPr="00E335E9">
        <w:rPr>
          <w:rFonts w:ascii="Arial" w:hAnsi="Arial" w:cs="Arial"/>
          <w:i/>
          <w:sz w:val="24"/>
          <w:szCs w:val="24"/>
          <w:lang w:val="it-IT"/>
        </w:rPr>
        <w:t xml:space="preserve"> Figura II.2.2.2.</w:t>
      </w:r>
      <w:r>
        <w:rPr>
          <w:rFonts w:ascii="Arial" w:hAnsi="Arial" w:cs="Arial"/>
          <w:i/>
          <w:sz w:val="24"/>
          <w:szCs w:val="24"/>
          <w:lang w:val="it-IT"/>
        </w:rPr>
        <w:t>7,</w:t>
      </w:r>
      <w:r w:rsidRPr="00E335E9">
        <w:rPr>
          <w:rFonts w:ascii="Arial" w:hAnsi="Arial" w:cs="Arial"/>
          <w:sz w:val="24"/>
          <w:szCs w:val="24"/>
          <w:lang w:val="it-IT"/>
        </w:rPr>
        <w:t xml:space="preserve"> respectiv </w:t>
      </w:r>
      <w:r w:rsidRPr="00E335E9">
        <w:rPr>
          <w:rFonts w:ascii="Arial" w:hAnsi="Arial" w:cs="Arial"/>
          <w:i/>
          <w:sz w:val="24"/>
          <w:szCs w:val="24"/>
          <w:lang w:val="it-IT"/>
        </w:rPr>
        <w:t>Figura II.2.2.2.</w:t>
      </w:r>
      <w:r>
        <w:rPr>
          <w:rFonts w:ascii="Arial" w:hAnsi="Arial" w:cs="Arial"/>
          <w:i/>
          <w:sz w:val="24"/>
          <w:szCs w:val="24"/>
          <w:lang w:val="it-IT"/>
        </w:rPr>
        <w:t>8</w:t>
      </w:r>
      <w:r w:rsidRPr="00E335E9">
        <w:rPr>
          <w:rFonts w:ascii="Arial" w:hAnsi="Arial" w:cs="Arial"/>
          <w:sz w:val="24"/>
          <w:szCs w:val="24"/>
          <w:lang w:val="it-IT"/>
        </w:rPr>
        <w:t>.</w:t>
      </w:r>
    </w:p>
    <w:p w14:paraId="177A8E5D" w14:textId="77777777" w:rsidR="00AE17B2" w:rsidRDefault="00AE17B2" w:rsidP="00AE17B2">
      <w:pPr>
        <w:spacing w:after="0"/>
        <w:jc w:val="center"/>
        <w:rPr>
          <w:rFonts w:ascii="Arial" w:hAnsi="Arial" w:cs="Arial"/>
          <w:b/>
          <w:sz w:val="24"/>
          <w:szCs w:val="24"/>
          <w:lang w:val="it-IT"/>
        </w:rPr>
      </w:pPr>
    </w:p>
    <w:p w14:paraId="53B434B0" w14:textId="77777777" w:rsidR="00AE17B2" w:rsidRDefault="00AE17B2" w:rsidP="00AE17B2">
      <w:pPr>
        <w:spacing w:after="0"/>
        <w:jc w:val="center"/>
        <w:rPr>
          <w:rFonts w:ascii="Arial" w:hAnsi="Arial" w:cs="Arial"/>
          <w:b/>
          <w:sz w:val="24"/>
          <w:szCs w:val="24"/>
          <w:lang w:val="it-IT"/>
        </w:rPr>
      </w:pPr>
    </w:p>
    <w:p w14:paraId="435638E7" w14:textId="77777777" w:rsidR="00AE17B2" w:rsidRDefault="00AE17B2" w:rsidP="00AE17B2">
      <w:pPr>
        <w:spacing w:after="0"/>
        <w:jc w:val="center"/>
        <w:rPr>
          <w:rFonts w:ascii="Arial" w:hAnsi="Arial" w:cs="Arial"/>
          <w:b/>
          <w:sz w:val="24"/>
          <w:szCs w:val="24"/>
          <w:lang w:val="it-IT"/>
        </w:rPr>
      </w:pPr>
    </w:p>
    <w:p w14:paraId="5DD1BE26" w14:textId="77777777" w:rsidR="00AE17B2" w:rsidRDefault="00AE17B2" w:rsidP="00AE17B2">
      <w:pPr>
        <w:spacing w:after="0"/>
        <w:jc w:val="center"/>
        <w:rPr>
          <w:rFonts w:ascii="Arial" w:hAnsi="Arial" w:cs="Arial"/>
          <w:b/>
          <w:sz w:val="24"/>
          <w:szCs w:val="24"/>
          <w:lang w:val="it-IT"/>
        </w:rPr>
      </w:pPr>
    </w:p>
    <w:p w14:paraId="5278958A" w14:textId="77777777" w:rsidR="00AE17B2" w:rsidRDefault="00AE17B2" w:rsidP="00AE17B2">
      <w:pPr>
        <w:spacing w:after="0"/>
        <w:jc w:val="center"/>
        <w:rPr>
          <w:rFonts w:ascii="Arial" w:hAnsi="Arial" w:cs="Arial"/>
          <w:b/>
          <w:sz w:val="24"/>
          <w:szCs w:val="24"/>
          <w:lang w:val="it-IT"/>
        </w:rPr>
      </w:pPr>
    </w:p>
    <w:p w14:paraId="770DB1E3" w14:textId="77777777" w:rsidR="00AE17B2" w:rsidRDefault="00AE17B2" w:rsidP="00AE17B2">
      <w:pPr>
        <w:spacing w:after="0"/>
        <w:jc w:val="center"/>
        <w:rPr>
          <w:rFonts w:ascii="Arial" w:hAnsi="Arial" w:cs="Arial"/>
          <w:b/>
          <w:sz w:val="24"/>
          <w:szCs w:val="24"/>
          <w:lang w:val="it-IT"/>
        </w:rPr>
      </w:pPr>
    </w:p>
    <w:p w14:paraId="636E3ABD" w14:textId="77777777" w:rsidR="00AE17B2" w:rsidRDefault="00AE17B2" w:rsidP="00AE17B2">
      <w:pPr>
        <w:spacing w:after="0"/>
        <w:jc w:val="center"/>
        <w:rPr>
          <w:rFonts w:ascii="Arial" w:hAnsi="Arial" w:cs="Arial"/>
          <w:b/>
          <w:sz w:val="24"/>
          <w:szCs w:val="24"/>
          <w:lang w:val="it-IT"/>
        </w:rPr>
      </w:pPr>
    </w:p>
    <w:p w14:paraId="16D04672" w14:textId="77777777" w:rsidR="00AE17B2" w:rsidRDefault="00AE17B2" w:rsidP="00AE17B2">
      <w:pPr>
        <w:spacing w:after="0"/>
        <w:jc w:val="center"/>
        <w:rPr>
          <w:rFonts w:ascii="Arial" w:hAnsi="Arial" w:cs="Arial"/>
          <w:b/>
          <w:sz w:val="24"/>
          <w:szCs w:val="24"/>
          <w:lang w:val="it-IT"/>
        </w:rPr>
      </w:pPr>
    </w:p>
    <w:p w14:paraId="4F2B3876" w14:textId="77777777" w:rsidR="00AE17B2" w:rsidRDefault="00AE17B2" w:rsidP="00AE17B2">
      <w:pPr>
        <w:spacing w:after="0"/>
        <w:jc w:val="center"/>
        <w:rPr>
          <w:rFonts w:ascii="Arial" w:hAnsi="Arial" w:cs="Arial"/>
          <w:b/>
          <w:sz w:val="24"/>
          <w:szCs w:val="24"/>
          <w:lang w:val="it-IT"/>
        </w:rPr>
      </w:pPr>
    </w:p>
    <w:p w14:paraId="4821F7C9" w14:textId="77777777" w:rsidR="00AE17B2" w:rsidRDefault="00AE17B2" w:rsidP="00AE17B2">
      <w:pPr>
        <w:spacing w:after="0"/>
        <w:jc w:val="center"/>
        <w:rPr>
          <w:rFonts w:ascii="Arial" w:hAnsi="Arial" w:cs="Arial"/>
          <w:b/>
          <w:sz w:val="24"/>
          <w:szCs w:val="24"/>
          <w:lang w:val="it-IT"/>
        </w:rPr>
      </w:pPr>
    </w:p>
    <w:p w14:paraId="5A2BA998" w14:textId="77777777" w:rsidR="00AE17B2" w:rsidRDefault="00AE17B2" w:rsidP="00AE17B2">
      <w:pPr>
        <w:spacing w:after="0"/>
        <w:jc w:val="center"/>
        <w:rPr>
          <w:rFonts w:ascii="Arial" w:hAnsi="Arial" w:cs="Arial"/>
          <w:b/>
          <w:sz w:val="24"/>
          <w:szCs w:val="24"/>
          <w:lang w:val="it-IT"/>
        </w:rPr>
      </w:pPr>
    </w:p>
    <w:p w14:paraId="5816024F" w14:textId="77777777" w:rsidR="00AE17B2" w:rsidRDefault="00AE17B2" w:rsidP="00AE17B2">
      <w:pPr>
        <w:spacing w:after="0"/>
        <w:jc w:val="center"/>
        <w:rPr>
          <w:rFonts w:ascii="Arial" w:hAnsi="Arial" w:cs="Arial"/>
          <w:b/>
          <w:sz w:val="24"/>
          <w:szCs w:val="24"/>
          <w:lang w:val="it-IT"/>
        </w:rPr>
      </w:pPr>
    </w:p>
    <w:p w14:paraId="5F638596" w14:textId="77777777" w:rsidR="00AE17B2" w:rsidRDefault="00AE17B2" w:rsidP="00AE17B2">
      <w:pPr>
        <w:spacing w:after="0"/>
        <w:jc w:val="center"/>
        <w:rPr>
          <w:rFonts w:ascii="Arial" w:hAnsi="Arial" w:cs="Arial"/>
          <w:b/>
          <w:sz w:val="24"/>
          <w:szCs w:val="24"/>
          <w:lang w:val="it-IT"/>
        </w:rPr>
      </w:pPr>
    </w:p>
    <w:p w14:paraId="0808B31F" w14:textId="77777777" w:rsidR="00AE17B2" w:rsidRDefault="00AE17B2" w:rsidP="00AE17B2">
      <w:pPr>
        <w:spacing w:after="0"/>
        <w:jc w:val="center"/>
        <w:rPr>
          <w:rFonts w:ascii="Arial" w:hAnsi="Arial" w:cs="Arial"/>
          <w:b/>
          <w:sz w:val="24"/>
          <w:szCs w:val="24"/>
          <w:lang w:val="it-IT"/>
        </w:rPr>
      </w:pPr>
    </w:p>
    <w:p w14:paraId="50CC67C1" w14:textId="77777777" w:rsidR="00AE17B2" w:rsidRPr="004E068A" w:rsidRDefault="00AE17B2" w:rsidP="00AE17B2">
      <w:pPr>
        <w:spacing w:after="0"/>
        <w:rPr>
          <w:rFonts w:ascii="Arial" w:hAnsi="Arial" w:cs="Arial"/>
          <w:i/>
          <w:iCs/>
          <w:sz w:val="18"/>
          <w:szCs w:val="18"/>
          <w:lang w:eastAsia="ro-RO"/>
        </w:rPr>
      </w:pPr>
      <w:r w:rsidRPr="004E068A">
        <w:rPr>
          <w:rFonts w:ascii="Arial" w:hAnsi="Arial" w:cs="Arial"/>
          <w:b/>
          <w:lang w:val="it-IT"/>
        </w:rPr>
        <w:t>Figura II.2.2.2.7. Aglomerări umane (&gt;2.000 l.e.)  şi gradul de acoperire cu sisteme de colectare în anul 2021</w:t>
      </w:r>
      <w:r w:rsidRPr="004E068A">
        <w:rPr>
          <w:rFonts w:ascii="Arial" w:hAnsi="Arial" w:cs="Arial"/>
          <w:i/>
          <w:iCs/>
          <w:sz w:val="18"/>
          <w:szCs w:val="18"/>
          <w:lang w:eastAsia="ro-RO"/>
        </w:rPr>
        <w:t xml:space="preserve"> </w:t>
      </w:r>
    </w:p>
    <w:p w14:paraId="4CB5397E" w14:textId="09002A5C" w:rsidR="00AE17B2" w:rsidRDefault="00AE17B2" w:rsidP="00AE17B2">
      <w:pPr>
        <w:spacing w:after="0"/>
        <w:jc w:val="center"/>
        <w:rPr>
          <w:rFonts w:ascii="Arial" w:hAnsi="Arial" w:cs="Arial"/>
          <w:i/>
          <w:iCs/>
          <w:sz w:val="20"/>
          <w:szCs w:val="20"/>
          <w:lang w:eastAsia="ro-RO"/>
        </w:rPr>
      </w:pPr>
      <w:r w:rsidRPr="00192B1A">
        <w:rPr>
          <w:noProof/>
          <w:lang w:val="en-GB" w:eastAsia="en-GB"/>
        </w:rPr>
        <w:drawing>
          <wp:inline distT="0" distB="0" distL="0" distR="0" wp14:anchorId="0C15EEEF" wp14:editId="3B716A1A">
            <wp:extent cx="6067425" cy="42386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r="22223" b="3963"/>
                    <a:stretch>
                      <a:fillRect/>
                    </a:stretch>
                  </pic:blipFill>
                  <pic:spPr bwMode="auto">
                    <a:xfrm>
                      <a:off x="0" y="0"/>
                      <a:ext cx="6067425" cy="4238625"/>
                    </a:xfrm>
                    <a:prstGeom prst="rect">
                      <a:avLst/>
                    </a:prstGeom>
                    <a:noFill/>
                    <a:ln>
                      <a:noFill/>
                    </a:ln>
                  </pic:spPr>
                </pic:pic>
              </a:graphicData>
            </a:graphic>
          </wp:inline>
        </w:drawing>
      </w:r>
    </w:p>
    <w:p w14:paraId="5F6B8391" w14:textId="77777777" w:rsidR="00AE17B2" w:rsidRDefault="00AE17B2" w:rsidP="00AE17B2">
      <w:pPr>
        <w:spacing w:after="0"/>
        <w:jc w:val="center"/>
        <w:rPr>
          <w:rFonts w:ascii="Arial" w:hAnsi="Arial" w:cs="Arial"/>
          <w:i/>
          <w:iCs/>
          <w:sz w:val="20"/>
          <w:szCs w:val="20"/>
          <w:lang w:eastAsia="ro-RO"/>
        </w:rPr>
      </w:pPr>
      <w:r w:rsidRPr="00674F95">
        <w:rPr>
          <w:rFonts w:ascii="Arial" w:hAnsi="Arial" w:cs="Arial"/>
          <w:i/>
          <w:iCs/>
          <w:sz w:val="20"/>
          <w:szCs w:val="20"/>
          <w:lang w:eastAsia="ro-RO"/>
        </w:rPr>
        <w:t>(Sursa: Administraţia Naţională “Apele Române”, raport „Stadiul realizării lucrărilor pentru epurarea apelor uzate urbane</w:t>
      </w:r>
      <w:r>
        <w:rPr>
          <w:rFonts w:ascii="Arial" w:hAnsi="Arial" w:cs="Arial"/>
          <w:i/>
          <w:iCs/>
          <w:sz w:val="20"/>
          <w:szCs w:val="20"/>
          <w:lang w:eastAsia="ro-RO"/>
        </w:rPr>
        <w:t xml:space="preserve"> </w:t>
      </w:r>
      <w:r w:rsidRPr="00674F95">
        <w:rPr>
          <w:rFonts w:ascii="Arial" w:hAnsi="Arial" w:cs="Arial"/>
          <w:i/>
          <w:iCs/>
          <w:sz w:val="20"/>
          <w:szCs w:val="20"/>
          <w:lang w:eastAsia="ro-RO"/>
        </w:rPr>
        <w:t>şi a capacităţilor în execuţie şi puse în funcţiune pentru aglomerări umane” în anul 202</w:t>
      </w:r>
      <w:r>
        <w:rPr>
          <w:rFonts w:ascii="Arial" w:hAnsi="Arial" w:cs="Arial"/>
          <w:i/>
          <w:iCs/>
          <w:sz w:val="20"/>
          <w:szCs w:val="20"/>
          <w:lang w:eastAsia="ro-RO"/>
        </w:rPr>
        <w:t>1</w:t>
      </w:r>
      <w:r w:rsidRPr="00674F95">
        <w:rPr>
          <w:rFonts w:ascii="Arial" w:hAnsi="Arial" w:cs="Arial"/>
          <w:i/>
          <w:iCs/>
          <w:sz w:val="20"/>
          <w:szCs w:val="20"/>
          <w:lang w:eastAsia="ro-RO"/>
        </w:rPr>
        <w:t>)</w:t>
      </w:r>
    </w:p>
    <w:p w14:paraId="3AA347FD" w14:textId="77777777" w:rsidR="00AE17B2" w:rsidRDefault="00AE17B2" w:rsidP="00AE17B2">
      <w:pPr>
        <w:jc w:val="center"/>
        <w:rPr>
          <w:rFonts w:ascii="Arial" w:hAnsi="Arial" w:cs="Arial"/>
          <w:b/>
          <w:sz w:val="24"/>
          <w:szCs w:val="24"/>
          <w:lang w:val="it-IT"/>
        </w:rPr>
      </w:pPr>
    </w:p>
    <w:p w14:paraId="250D877C" w14:textId="77777777" w:rsidR="00AE17B2" w:rsidRDefault="00AE17B2" w:rsidP="00AE17B2">
      <w:pPr>
        <w:jc w:val="center"/>
        <w:rPr>
          <w:rFonts w:ascii="Arial" w:hAnsi="Arial" w:cs="Arial"/>
          <w:b/>
          <w:sz w:val="24"/>
          <w:szCs w:val="24"/>
          <w:lang w:val="it-IT"/>
        </w:rPr>
      </w:pPr>
    </w:p>
    <w:p w14:paraId="131359F8" w14:textId="77777777" w:rsidR="00AE17B2" w:rsidRDefault="00AE17B2" w:rsidP="00AE17B2">
      <w:pPr>
        <w:jc w:val="center"/>
        <w:rPr>
          <w:rFonts w:ascii="Arial" w:hAnsi="Arial" w:cs="Arial"/>
          <w:b/>
          <w:sz w:val="24"/>
          <w:szCs w:val="24"/>
          <w:lang w:val="it-IT"/>
        </w:rPr>
      </w:pPr>
    </w:p>
    <w:p w14:paraId="686F423A" w14:textId="77777777" w:rsidR="00AE17B2" w:rsidRDefault="00AE17B2" w:rsidP="00AE17B2">
      <w:pPr>
        <w:jc w:val="center"/>
        <w:rPr>
          <w:rFonts w:ascii="Arial" w:hAnsi="Arial" w:cs="Arial"/>
          <w:b/>
          <w:sz w:val="24"/>
          <w:szCs w:val="24"/>
          <w:lang w:val="it-IT"/>
        </w:rPr>
      </w:pPr>
    </w:p>
    <w:p w14:paraId="0F4CA1AF" w14:textId="77777777" w:rsidR="00AE17B2" w:rsidRDefault="00AE17B2" w:rsidP="00AE17B2">
      <w:pPr>
        <w:jc w:val="center"/>
        <w:rPr>
          <w:rFonts w:ascii="Arial" w:hAnsi="Arial" w:cs="Arial"/>
          <w:b/>
          <w:sz w:val="24"/>
          <w:szCs w:val="24"/>
          <w:lang w:val="it-IT"/>
        </w:rPr>
      </w:pPr>
    </w:p>
    <w:p w14:paraId="09E37EA9" w14:textId="77777777" w:rsidR="00AE17B2" w:rsidRDefault="00AE17B2" w:rsidP="00AE17B2">
      <w:pPr>
        <w:jc w:val="center"/>
        <w:rPr>
          <w:rFonts w:ascii="Arial" w:hAnsi="Arial" w:cs="Arial"/>
          <w:b/>
          <w:sz w:val="24"/>
          <w:szCs w:val="24"/>
          <w:lang w:val="it-IT"/>
        </w:rPr>
      </w:pPr>
    </w:p>
    <w:p w14:paraId="777EC2D4" w14:textId="77777777" w:rsidR="00AE17B2" w:rsidRDefault="00AE17B2" w:rsidP="00AE17B2">
      <w:pPr>
        <w:jc w:val="center"/>
        <w:rPr>
          <w:rFonts w:ascii="Arial" w:hAnsi="Arial" w:cs="Arial"/>
          <w:b/>
          <w:sz w:val="24"/>
          <w:szCs w:val="24"/>
          <w:lang w:val="it-IT"/>
        </w:rPr>
      </w:pPr>
    </w:p>
    <w:p w14:paraId="55052A03" w14:textId="77777777" w:rsidR="00AE17B2" w:rsidRDefault="00AE17B2" w:rsidP="00AE17B2">
      <w:pPr>
        <w:jc w:val="center"/>
        <w:rPr>
          <w:rFonts w:ascii="Arial" w:hAnsi="Arial" w:cs="Arial"/>
          <w:b/>
          <w:sz w:val="24"/>
          <w:szCs w:val="24"/>
          <w:lang w:val="it-IT"/>
        </w:rPr>
      </w:pPr>
    </w:p>
    <w:p w14:paraId="42299D9D" w14:textId="77777777" w:rsidR="00AE17B2" w:rsidRDefault="00AE17B2" w:rsidP="00AE17B2">
      <w:pPr>
        <w:jc w:val="center"/>
        <w:rPr>
          <w:rFonts w:ascii="Arial" w:hAnsi="Arial" w:cs="Arial"/>
          <w:b/>
          <w:sz w:val="24"/>
          <w:szCs w:val="24"/>
          <w:lang w:val="it-IT"/>
        </w:rPr>
      </w:pPr>
    </w:p>
    <w:p w14:paraId="519078C9" w14:textId="77777777" w:rsidR="00AE17B2" w:rsidRDefault="00AE17B2" w:rsidP="00AE17B2">
      <w:pPr>
        <w:jc w:val="center"/>
        <w:rPr>
          <w:rFonts w:ascii="Arial" w:hAnsi="Arial" w:cs="Arial"/>
          <w:b/>
          <w:sz w:val="24"/>
          <w:szCs w:val="24"/>
          <w:lang w:val="it-IT"/>
        </w:rPr>
      </w:pPr>
    </w:p>
    <w:p w14:paraId="2E768E50" w14:textId="77777777" w:rsidR="00AE17B2" w:rsidRDefault="00AE17B2" w:rsidP="00AE17B2">
      <w:pPr>
        <w:jc w:val="center"/>
        <w:rPr>
          <w:rFonts w:ascii="Arial" w:hAnsi="Arial" w:cs="Arial"/>
          <w:b/>
          <w:sz w:val="24"/>
          <w:szCs w:val="24"/>
          <w:lang w:val="it-IT"/>
        </w:rPr>
      </w:pPr>
    </w:p>
    <w:p w14:paraId="153E5DFE" w14:textId="77777777" w:rsidR="00AE17B2" w:rsidRDefault="00AE17B2" w:rsidP="00AE17B2">
      <w:pPr>
        <w:jc w:val="center"/>
        <w:rPr>
          <w:rFonts w:ascii="Arial" w:hAnsi="Arial" w:cs="Arial"/>
          <w:b/>
          <w:sz w:val="24"/>
          <w:szCs w:val="24"/>
          <w:lang w:val="it-IT"/>
        </w:rPr>
      </w:pPr>
    </w:p>
    <w:p w14:paraId="14A8A554" w14:textId="77777777" w:rsidR="00AE17B2" w:rsidRPr="004E068A" w:rsidRDefault="00AE17B2" w:rsidP="00AE17B2">
      <w:pPr>
        <w:autoSpaceDE w:val="0"/>
        <w:autoSpaceDN w:val="0"/>
        <w:adjustRightInd w:val="0"/>
        <w:spacing w:after="0" w:line="240" w:lineRule="auto"/>
        <w:jc w:val="both"/>
        <w:rPr>
          <w:rFonts w:ascii="Arial" w:hAnsi="Arial" w:cs="Arial"/>
          <w:b/>
          <w:lang w:val="it-IT"/>
        </w:rPr>
      </w:pPr>
      <w:r w:rsidRPr="004E068A">
        <w:rPr>
          <w:rFonts w:ascii="Arial" w:hAnsi="Arial" w:cs="Arial"/>
          <w:b/>
          <w:lang w:val="it-IT"/>
        </w:rPr>
        <w:t>Figura II.2.2.2.8. Aglomerări umane (&gt;2.000 l.e.) și gradul de acoperire cu sisteme de epurare în anul 2021</w:t>
      </w:r>
    </w:p>
    <w:p w14:paraId="24DB4901" w14:textId="505CFA29" w:rsidR="00AE17B2" w:rsidRDefault="00AE17B2" w:rsidP="00AE17B2">
      <w:pPr>
        <w:spacing w:after="0"/>
        <w:jc w:val="center"/>
        <w:rPr>
          <w:rFonts w:ascii="Arial" w:hAnsi="Arial" w:cs="Arial"/>
          <w:b/>
          <w:sz w:val="24"/>
          <w:szCs w:val="24"/>
          <w:lang w:val="it-IT"/>
        </w:rPr>
      </w:pPr>
      <w:r>
        <w:rPr>
          <w:noProof/>
          <w:lang w:val="en-GB" w:eastAsia="en-GB"/>
        </w:rPr>
        <w:drawing>
          <wp:inline distT="0" distB="0" distL="0" distR="0" wp14:anchorId="35E27866" wp14:editId="759E2E23">
            <wp:extent cx="5582920" cy="39427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82920" cy="3942715"/>
                    </a:xfrm>
                    <a:prstGeom prst="rect">
                      <a:avLst/>
                    </a:prstGeom>
                    <a:noFill/>
                  </pic:spPr>
                </pic:pic>
              </a:graphicData>
            </a:graphic>
          </wp:inline>
        </w:drawing>
      </w:r>
    </w:p>
    <w:bookmarkEnd w:id="42"/>
    <w:p w14:paraId="0B8C7BC4" w14:textId="77777777" w:rsidR="00AE17B2" w:rsidRDefault="00AE17B2" w:rsidP="00AE17B2">
      <w:pPr>
        <w:spacing w:after="0" w:line="240" w:lineRule="auto"/>
        <w:jc w:val="center"/>
        <w:rPr>
          <w:rFonts w:ascii="Arial" w:hAnsi="Arial" w:cs="Arial"/>
          <w:b/>
          <w:sz w:val="24"/>
          <w:szCs w:val="24"/>
          <w:lang w:val="it-IT"/>
        </w:rPr>
      </w:pPr>
      <w:r w:rsidRPr="00674F95">
        <w:rPr>
          <w:rFonts w:ascii="Arial" w:hAnsi="Arial" w:cs="Arial"/>
          <w:i/>
          <w:iCs/>
          <w:sz w:val="20"/>
          <w:szCs w:val="20"/>
          <w:lang w:eastAsia="ro-RO"/>
        </w:rPr>
        <w:t>(Sursa: Administraţia Naţională “Apele Române”, raport „Stadiul realizării lucrărilor pentru epurarea apelor uzate urbane</w:t>
      </w:r>
      <w:r>
        <w:rPr>
          <w:rFonts w:ascii="Arial" w:hAnsi="Arial" w:cs="Arial"/>
          <w:i/>
          <w:iCs/>
          <w:sz w:val="20"/>
          <w:szCs w:val="20"/>
          <w:lang w:eastAsia="ro-RO"/>
        </w:rPr>
        <w:t xml:space="preserve"> </w:t>
      </w:r>
      <w:r w:rsidRPr="00674F95">
        <w:rPr>
          <w:rFonts w:ascii="Arial" w:hAnsi="Arial" w:cs="Arial"/>
          <w:i/>
          <w:iCs/>
          <w:sz w:val="20"/>
          <w:szCs w:val="20"/>
          <w:lang w:eastAsia="ro-RO"/>
        </w:rPr>
        <w:t>şi a capacităţilor în execuţie şi puse în funcţiune pentru aglomerări umane” în anul 202</w:t>
      </w:r>
      <w:r>
        <w:rPr>
          <w:rFonts w:ascii="Arial" w:hAnsi="Arial" w:cs="Arial"/>
          <w:i/>
          <w:iCs/>
          <w:sz w:val="20"/>
          <w:szCs w:val="20"/>
          <w:lang w:eastAsia="ro-RO"/>
        </w:rPr>
        <w:t>1</w:t>
      </w:r>
      <w:r w:rsidRPr="00674F95">
        <w:rPr>
          <w:rFonts w:ascii="Arial" w:hAnsi="Arial" w:cs="Arial"/>
          <w:i/>
          <w:iCs/>
          <w:sz w:val="20"/>
          <w:szCs w:val="20"/>
          <w:lang w:eastAsia="ro-RO"/>
        </w:rPr>
        <w:t>)</w:t>
      </w:r>
    </w:p>
    <w:p w14:paraId="2774BDDC" w14:textId="77777777" w:rsidR="00AE17B2" w:rsidRDefault="00AE17B2" w:rsidP="00AE17B2">
      <w:pPr>
        <w:spacing w:after="0" w:line="240" w:lineRule="auto"/>
        <w:jc w:val="center"/>
        <w:rPr>
          <w:rFonts w:ascii="Arial" w:hAnsi="Arial" w:cs="Arial"/>
          <w:b/>
          <w:sz w:val="24"/>
          <w:szCs w:val="24"/>
        </w:rPr>
      </w:pPr>
    </w:p>
    <w:p w14:paraId="44A4687A" w14:textId="77777777" w:rsidR="00AE17B2" w:rsidRPr="005B534D" w:rsidRDefault="00AE17B2" w:rsidP="00AE17B2">
      <w:pPr>
        <w:spacing w:after="0" w:line="240" w:lineRule="auto"/>
        <w:ind w:firstLine="567"/>
        <w:jc w:val="both"/>
        <w:rPr>
          <w:rFonts w:ascii="Arial" w:hAnsi="Arial" w:cs="Arial"/>
          <w:bCs/>
          <w:sz w:val="24"/>
          <w:szCs w:val="24"/>
          <w:lang w:eastAsia="ro-RO"/>
        </w:rPr>
      </w:pPr>
      <w:r w:rsidRPr="005B534D">
        <w:rPr>
          <w:rFonts w:ascii="Arial" w:hAnsi="Arial" w:cs="Arial"/>
          <w:bCs/>
          <w:sz w:val="24"/>
          <w:szCs w:val="24"/>
          <w:lang w:eastAsia="ro-RO"/>
        </w:rPr>
        <w:t xml:space="preserve">În ceea ce privește profilul de activitate, majoritatea unităţilor agro-industriale se încadrează în domeniile de industrializare a cărnii şi laptelui, fabricarea băuturilor alcoolice, fabricarea produselor pe bază de legume şi fructe şi fabricarea </w:t>
      </w:r>
      <w:r w:rsidRPr="009D7F90">
        <w:rPr>
          <w:rFonts w:ascii="Arial" w:hAnsi="Arial" w:cs="Arial"/>
          <w:bCs/>
          <w:sz w:val="24"/>
          <w:szCs w:val="24"/>
          <w:lang w:eastAsia="ro-RO"/>
        </w:rPr>
        <w:t>şi îmbutelierea băuturilor nealcoolice</w:t>
      </w:r>
      <w:r>
        <w:rPr>
          <w:rFonts w:ascii="Arial" w:hAnsi="Arial" w:cs="Arial"/>
          <w:bCs/>
          <w:sz w:val="24"/>
          <w:szCs w:val="24"/>
          <w:lang w:eastAsia="ro-RO"/>
        </w:rPr>
        <w:t xml:space="preserve"> </w:t>
      </w:r>
      <w:r w:rsidRPr="00B55DE9">
        <w:rPr>
          <w:rFonts w:ascii="Arial" w:hAnsi="Arial" w:cs="Arial"/>
          <w:bCs/>
          <w:i/>
          <w:sz w:val="24"/>
          <w:szCs w:val="24"/>
          <w:lang w:eastAsia="ro-RO"/>
        </w:rPr>
        <w:t>(Figura</w:t>
      </w:r>
      <w:r>
        <w:rPr>
          <w:rFonts w:ascii="Arial" w:hAnsi="Arial" w:cs="Arial"/>
          <w:bCs/>
          <w:i/>
          <w:sz w:val="24"/>
          <w:szCs w:val="24"/>
          <w:lang w:eastAsia="ro-RO"/>
        </w:rPr>
        <w:t xml:space="preserve"> </w:t>
      </w:r>
      <w:r w:rsidRPr="00B55DE9">
        <w:rPr>
          <w:rFonts w:ascii="Arial" w:hAnsi="Arial" w:cs="Arial"/>
          <w:bCs/>
          <w:i/>
          <w:sz w:val="24"/>
          <w:szCs w:val="24"/>
          <w:lang w:eastAsia="ro-RO"/>
        </w:rPr>
        <w:t>II.2.2.2.</w:t>
      </w:r>
      <w:r>
        <w:rPr>
          <w:rFonts w:ascii="Arial" w:hAnsi="Arial" w:cs="Arial"/>
          <w:bCs/>
          <w:i/>
          <w:sz w:val="24"/>
          <w:szCs w:val="24"/>
          <w:lang w:eastAsia="ro-RO"/>
        </w:rPr>
        <w:t>9</w:t>
      </w:r>
      <w:r w:rsidRPr="00B55DE9">
        <w:rPr>
          <w:rFonts w:ascii="Arial" w:hAnsi="Arial" w:cs="Arial"/>
          <w:bCs/>
          <w:i/>
          <w:sz w:val="24"/>
          <w:szCs w:val="24"/>
          <w:lang w:eastAsia="ro-RO"/>
        </w:rPr>
        <w:t>).</w:t>
      </w:r>
      <w:r>
        <w:rPr>
          <w:rFonts w:ascii="Arial" w:hAnsi="Arial" w:cs="Arial"/>
          <w:bCs/>
          <w:i/>
          <w:sz w:val="24"/>
          <w:szCs w:val="24"/>
          <w:lang w:eastAsia="ro-RO"/>
        </w:rPr>
        <w:t xml:space="preserve"> </w:t>
      </w:r>
      <w:r w:rsidRPr="00B55DE9">
        <w:rPr>
          <w:rFonts w:ascii="Arial" w:hAnsi="Arial" w:cs="Arial"/>
          <w:bCs/>
          <w:sz w:val="24"/>
          <w:szCs w:val="24"/>
          <w:lang w:eastAsia="ro-RO"/>
        </w:rPr>
        <w:t>Cea</w:t>
      </w:r>
      <w:r w:rsidRPr="005B534D">
        <w:rPr>
          <w:rFonts w:ascii="Arial" w:hAnsi="Arial" w:cs="Arial"/>
          <w:bCs/>
          <w:sz w:val="24"/>
          <w:szCs w:val="24"/>
          <w:lang w:eastAsia="ro-RO"/>
        </w:rPr>
        <w:t xml:space="preserve"> mai mare pondere procentuală a încărcării biodegradabile produsă de unităţile industriale agro-alimentare cu mai mult de 4000 l.e. la evacuare în resursele de apă a fost identificată pentru industria </w:t>
      </w:r>
      <w:r>
        <w:rPr>
          <w:rFonts w:ascii="Arial" w:hAnsi="Arial" w:cs="Arial"/>
          <w:bCs/>
          <w:sz w:val="24"/>
          <w:szCs w:val="24"/>
          <w:lang w:eastAsia="ro-RO"/>
        </w:rPr>
        <w:t xml:space="preserve">cărnii </w:t>
      </w:r>
      <w:r w:rsidRPr="005B534D">
        <w:rPr>
          <w:rFonts w:ascii="Arial" w:hAnsi="Arial" w:cs="Arial"/>
          <w:bCs/>
          <w:sz w:val="24"/>
          <w:szCs w:val="24"/>
          <w:lang w:eastAsia="ro-RO"/>
        </w:rPr>
        <w:t xml:space="preserve">(cca. </w:t>
      </w:r>
      <w:r>
        <w:rPr>
          <w:rFonts w:ascii="Arial" w:hAnsi="Arial" w:cs="Arial"/>
          <w:bCs/>
          <w:sz w:val="24"/>
          <w:szCs w:val="24"/>
          <w:lang w:eastAsia="ro-RO"/>
        </w:rPr>
        <w:t xml:space="preserve"> </w:t>
      </w:r>
      <w:r w:rsidRPr="007A278A">
        <w:rPr>
          <w:rFonts w:ascii="Arial" w:hAnsi="Arial" w:cs="Arial"/>
          <w:bCs/>
          <w:sz w:val="24"/>
          <w:szCs w:val="24"/>
          <w:lang w:eastAsia="ro-RO"/>
        </w:rPr>
        <w:t>5</w:t>
      </w:r>
      <w:r>
        <w:rPr>
          <w:rFonts w:ascii="Arial" w:hAnsi="Arial" w:cs="Arial"/>
          <w:bCs/>
          <w:sz w:val="24"/>
          <w:szCs w:val="24"/>
          <w:lang w:eastAsia="ro-RO"/>
        </w:rPr>
        <w:t>3</w:t>
      </w:r>
      <w:r w:rsidRPr="005B534D">
        <w:rPr>
          <w:rFonts w:ascii="Arial" w:hAnsi="Arial" w:cs="Arial"/>
          <w:bCs/>
          <w:sz w:val="24"/>
          <w:szCs w:val="24"/>
          <w:lang w:eastAsia="ro-RO"/>
        </w:rPr>
        <w:t>%)</w:t>
      </w:r>
      <w:r>
        <w:rPr>
          <w:rFonts w:ascii="Arial" w:hAnsi="Arial" w:cs="Arial"/>
          <w:bCs/>
          <w:sz w:val="24"/>
          <w:szCs w:val="24"/>
          <w:lang w:eastAsia="ro-RO"/>
        </w:rPr>
        <w:t xml:space="preserve"> </w:t>
      </w:r>
      <w:r w:rsidRPr="00A9054B">
        <w:rPr>
          <w:rFonts w:ascii="Arial" w:hAnsi="Arial" w:cs="Arial"/>
          <w:bCs/>
          <w:sz w:val="24"/>
          <w:szCs w:val="24"/>
          <w:lang w:eastAsia="ro-RO"/>
        </w:rPr>
        <w:t>și industriei de prelucrarea laptelui (</w:t>
      </w:r>
      <w:r>
        <w:rPr>
          <w:rFonts w:ascii="Arial" w:hAnsi="Arial" w:cs="Arial"/>
          <w:bCs/>
          <w:sz w:val="24"/>
          <w:szCs w:val="24"/>
          <w:lang w:eastAsia="ro-RO"/>
        </w:rPr>
        <w:t>39</w:t>
      </w:r>
      <w:r w:rsidRPr="00A9054B">
        <w:rPr>
          <w:rFonts w:ascii="Arial" w:hAnsi="Arial" w:cs="Arial"/>
          <w:bCs/>
          <w:sz w:val="24"/>
          <w:szCs w:val="24"/>
          <w:lang w:eastAsia="ro-RO"/>
        </w:rPr>
        <w:t>%)</w:t>
      </w:r>
      <w:r w:rsidRPr="005B534D">
        <w:rPr>
          <w:rFonts w:ascii="Arial" w:hAnsi="Arial" w:cs="Arial"/>
          <w:bCs/>
          <w:sz w:val="24"/>
          <w:szCs w:val="24"/>
          <w:lang w:eastAsia="ro-RO"/>
        </w:rPr>
        <w:t xml:space="preserve">, iar </w:t>
      </w:r>
      <w:r>
        <w:rPr>
          <w:rFonts w:ascii="Arial" w:hAnsi="Arial" w:cs="Arial"/>
          <w:bCs/>
          <w:sz w:val="24"/>
          <w:szCs w:val="24"/>
          <w:lang w:eastAsia="ro-RO"/>
        </w:rPr>
        <w:t>u</w:t>
      </w:r>
      <w:r w:rsidRPr="009D7F90">
        <w:rPr>
          <w:rFonts w:ascii="Arial" w:hAnsi="Arial" w:cs="Arial"/>
          <w:bCs/>
          <w:sz w:val="24"/>
          <w:szCs w:val="24"/>
          <w:lang w:eastAsia="ro-RO"/>
        </w:rPr>
        <w:t xml:space="preserve">nitățile din domeniul fabricării berii </w:t>
      </w:r>
      <w:r w:rsidRPr="00746235">
        <w:rPr>
          <w:rFonts w:ascii="Arial" w:hAnsi="Arial" w:cs="Arial"/>
          <w:bCs/>
          <w:sz w:val="24"/>
          <w:szCs w:val="24"/>
          <w:lang w:eastAsia="ro-RO"/>
        </w:rPr>
        <w:t xml:space="preserve">și îmbutelierea băuturilor nealcoolice </w:t>
      </w:r>
      <w:r w:rsidRPr="009D7F90">
        <w:rPr>
          <w:rFonts w:ascii="Arial" w:hAnsi="Arial" w:cs="Arial"/>
          <w:bCs/>
          <w:sz w:val="24"/>
          <w:szCs w:val="24"/>
          <w:lang w:eastAsia="ro-RO"/>
        </w:rPr>
        <w:t>fie sunt închise, fie şi-au redus foarte mult producţia (&lt;4.000 l.e.) sau și-au sistat activitatea.</w:t>
      </w:r>
    </w:p>
    <w:p w14:paraId="7248FC10"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74FAF9A8"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5B488802"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089696D0"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14245420"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50BC09B2"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58CCC2BC"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425794AB"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34EF2CF4"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569C5565"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4684EBD7"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74588360"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02B4E5C7"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70DFA5FB"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4EEF9236" w14:textId="77777777" w:rsidR="00AE17B2" w:rsidRDefault="00AE17B2" w:rsidP="00AE17B2">
      <w:pPr>
        <w:autoSpaceDE w:val="0"/>
        <w:autoSpaceDN w:val="0"/>
        <w:adjustRightInd w:val="0"/>
        <w:spacing w:after="0" w:line="240" w:lineRule="auto"/>
        <w:jc w:val="both"/>
        <w:rPr>
          <w:rFonts w:ascii="Arial" w:hAnsi="Arial" w:cs="Arial"/>
          <w:b/>
          <w:sz w:val="24"/>
          <w:szCs w:val="24"/>
        </w:rPr>
      </w:pPr>
    </w:p>
    <w:p w14:paraId="57C8EE1E" w14:textId="77777777" w:rsidR="00AE17B2" w:rsidRPr="004E068A" w:rsidRDefault="00AE17B2" w:rsidP="00AE17B2">
      <w:pPr>
        <w:spacing w:after="0" w:line="240" w:lineRule="auto"/>
        <w:jc w:val="both"/>
        <w:rPr>
          <w:rFonts w:ascii="Arial" w:hAnsi="Arial" w:cs="Arial"/>
          <w:b/>
          <w:lang w:eastAsia="ro-RO"/>
        </w:rPr>
      </w:pPr>
      <w:r w:rsidRPr="004E068A">
        <w:rPr>
          <w:rFonts w:ascii="Arial" w:hAnsi="Arial" w:cs="Arial"/>
          <w:b/>
        </w:rPr>
        <w:lastRenderedPageBreak/>
        <w:t>Figura II.2.2.2.9.</w:t>
      </w:r>
      <w:r>
        <w:rPr>
          <w:rFonts w:ascii="Arial" w:hAnsi="Arial" w:cs="Arial"/>
          <w:b/>
        </w:rPr>
        <w:t xml:space="preserve"> </w:t>
      </w:r>
      <w:r w:rsidRPr="004E068A">
        <w:rPr>
          <w:rFonts w:ascii="Arial" w:hAnsi="Arial" w:cs="Arial"/>
          <w:b/>
        </w:rPr>
        <w:t xml:space="preserve">Ponderea </w:t>
      </w:r>
      <w:r w:rsidRPr="004E068A">
        <w:rPr>
          <w:rFonts w:ascii="Arial" w:hAnsi="Arial" w:cs="Arial"/>
          <w:b/>
          <w:lang w:eastAsia="ro-RO"/>
        </w:rPr>
        <w:t>încărcării biodegradabile produsă de unităţile industriale agro-alimentare cu mai mult de 4000 l.e. la evacuare în resursele de apă</w:t>
      </w:r>
    </w:p>
    <w:p w14:paraId="5263E032" w14:textId="56B58D06" w:rsidR="00AE17B2" w:rsidRDefault="00AE17B2" w:rsidP="00AE17B2">
      <w:pPr>
        <w:autoSpaceDE w:val="0"/>
        <w:autoSpaceDN w:val="0"/>
        <w:adjustRightInd w:val="0"/>
        <w:spacing w:after="0" w:line="240" w:lineRule="auto"/>
        <w:jc w:val="center"/>
        <w:rPr>
          <w:rFonts w:ascii="Arial" w:hAnsi="Arial" w:cs="Arial"/>
          <w:bCs/>
          <w:i/>
          <w:sz w:val="24"/>
          <w:szCs w:val="24"/>
          <w:lang w:eastAsia="ro-RO"/>
        </w:rPr>
      </w:pPr>
      <w:r w:rsidRPr="0084562B">
        <w:rPr>
          <w:noProof/>
          <w:lang w:val="en-GB" w:eastAsia="en-GB"/>
        </w:rPr>
        <w:drawing>
          <wp:inline distT="0" distB="0" distL="0" distR="0" wp14:anchorId="6D21C5F5" wp14:editId="269C56AA">
            <wp:extent cx="4057650" cy="2343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l="4068" r="7933" b="4497"/>
                    <a:stretch>
                      <a:fillRect/>
                    </a:stretch>
                  </pic:blipFill>
                  <pic:spPr bwMode="auto">
                    <a:xfrm>
                      <a:off x="0" y="0"/>
                      <a:ext cx="4057650" cy="2343150"/>
                    </a:xfrm>
                    <a:prstGeom prst="rect">
                      <a:avLst/>
                    </a:prstGeom>
                    <a:noFill/>
                    <a:ln>
                      <a:noFill/>
                    </a:ln>
                  </pic:spPr>
                </pic:pic>
              </a:graphicData>
            </a:graphic>
          </wp:inline>
        </w:drawing>
      </w:r>
    </w:p>
    <w:p w14:paraId="5C9CBC33" w14:textId="77777777" w:rsidR="00AE17B2" w:rsidRPr="005B534D" w:rsidRDefault="00AE17B2" w:rsidP="00AE17B2">
      <w:pPr>
        <w:spacing w:after="0" w:line="240" w:lineRule="auto"/>
        <w:jc w:val="both"/>
        <w:rPr>
          <w:rFonts w:ascii="Arial" w:hAnsi="Arial" w:cs="Arial"/>
          <w:i/>
          <w:iCs/>
          <w:sz w:val="24"/>
          <w:szCs w:val="24"/>
          <w:lang w:eastAsia="ro-RO"/>
        </w:rPr>
      </w:pPr>
      <w:r w:rsidRPr="005B534D">
        <w:rPr>
          <w:rFonts w:ascii="Arial" w:hAnsi="Arial" w:cs="Arial"/>
          <w:i/>
          <w:iCs/>
          <w:sz w:val="24"/>
          <w:szCs w:val="24"/>
          <w:lang w:eastAsia="ro-RO"/>
        </w:rPr>
        <w:t>(</w:t>
      </w:r>
      <w:r w:rsidRPr="00674F95">
        <w:rPr>
          <w:rFonts w:ascii="Arial" w:hAnsi="Arial" w:cs="Arial"/>
          <w:i/>
          <w:iCs/>
          <w:sz w:val="20"/>
          <w:szCs w:val="20"/>
          <w:lang w:eastAsia="ro-RO"/>
        </w:rPr>
        <w:t>Sursa: Administraţia Naţională “Apele Române”, raport „Stadiul realizării lucrărilor pentru epurarea apelor uzate urbane şi a capacităţilor în execuţie şi puse în funcţiune pentru aglomerări umane” în anul 20</w:t>
      </w:r>
      <w:r>
        <w:rPr>
          <w:rFonts w:ascii="Arial" w:hAnsi="Arial" w:cs="Arial"/>
          <w:i/>
          <w:iCs/>
          <w:sz w:val="20"/>
          <w:szCs w:val="20"/>
          <w:lang w:eastAsia="ro-RO"/>
        </w:rPr>
        <w:t>21</w:t>
      </w:r>
      <w:r w:rsidRPr="005B534D">
        <w:rPr>
          <w:rFonts w:ascii="Arial" w:hAnsi="Arial" w:cs="Arial"/>
          <w:i/>
          <w:iCs/>
          <w:sz w:val="24"/>
          <w:szCs w:val="24"/>
          <w:lang w:eastAsia="ro-RO"/>
        </w:rPr>
        <w:t>)</w:t>
      </w:r>
    </w:p>
    <w:p w14:paraId="03ECC8CC" w14:textId="77777777" w:rsidR="00AE17B2" w:rsidRPr="005B534D" w:rsidRDefault="00AE17B2" w:rsidP="00AE17B2">
      <w:pPr>
        <w:autoSpaceDE w:val="0"/>
        <w:autoSpaceDN w:val="0"/>
        <w:adjustRightInd w:val="0"/>
        <w:spacing w:after="0" w:line="240" w:lineRule="auto"/>
        <w:jc w:val="both"/>
        <w:rPr>
          <w:rFonts w:ascii="Arial" w:hAnsi="Arial" w:cs="Arial"/>
          <w:color w:val="FF0000"/>
          <w:sz w:val="24"/>
          <w:szCs w:val="24"/>
          <w:lang w:eastAsia="ro-RO"/>
        </w:rPr>
      </w:pPr>
      <w:r>
        <w:rPr>
          <w:rFonts w:ascii="Arial" w:hAnsi="Arial" w:cs="Arial"/>
          <w:b/>
          <w:sz w:val="24"/>
          <w:szCs w:val="24"/>
        </w:rPr>
        <w:t xml:space="preserve">  </w:t>
      </w:r>
    </w:p>
    <w:p w14:paraId="2DDFEC8A" w14:textId="77777777" w:rsidR="00AE17B2" w:rsidRPr="009D4903" w:rsidRDefault="00AE17B2" w:rsidP="00AE17B2">
      <w:pPr>
        <w:autoSpaceDE w:val="0"/>
        <w:autoSpaceDN w:val="0"/>
        <w:adjustRightInd w:val="0"/>
        <w:spacing w:after="0" w:line="240" w:lineRule="auto"/>
        <w:ind w:firstLine="567"/>
        <w:jc w:val="both"/>
        <w:rPr>
          <w:rFonts w:ascii="Arial" w:hAnsi="Arial" w:cs="Arial"/>
          <w:sz w:val="24"/>
          <w:szCs w:val="24"/>
          <w:lang w:eastAsia="ro-RO"/>
        </w:rPr>
      </w:pPr>
      <w:r w:rsidRPr="009D4903">
        <w:rPr>
          <w:rFonts w:ascii="Arial" w:hAnsi="Arial" w:cs="Arial"/>
          <w:sz w:val="24"/>
          <w:szCs w:val="24"/>
          <w:lang w:eastAsia="ro-RO"/>
        </w:rPr>
        <w:t xml:space="preserve">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w:t>
      </w:r>
      <w:r w:rsidRPr="003A041E">
        <w:rPr>
          <w:rFonts w:ascii="Arial" w:hAnsi="Arial" w:cs="Arial"/>
          <w:sz w:val="24"/>
          <w:szCs w:val="24"/>
          <w:lang w:eastAsia="ro-RO"/>
        </w:rPr>
        <w:t>20</w:t>
      </w:r>
      <w:r>
        <w:rPr>
          <w:rFonts w:ascii="Arial" w:hAnsi="Arial" w:cs="Arial"/>
          <w:sz w:val="24"/>
          <w:szCs w:val="24"/>
          <w:lang w:eastAsia="ro-RO"/>
        </w:rPr>
        <w:t>21</w:t>
      </w:r>
      <w:r w:rsidRPr="009D4903">
        <w:rPr>
          <w:rFonts w:ascii="Arial" w:hAnsi="Arial" w:cs="Arial"/>
          <w:sz w:val="24"/>
          <w:szCs w:val="24"/>
          <w:lang w:eastAsia="ro-RO"/>
        </w:rPr>
        <w:t xml:space="preserve">  (</w:t>
      </w:r>
      <w:r w:rsidRPr="009D4903">
        <w:rPr>
          <w:rFonts w:ascii="Arial" w:hAnsi="Arial" w:cs="Arial"/>
          <w:i/>
          <w:sz w:val="24"/>
          <w:szCs w:val="24"/>
          <w:lang w:eastAsia="ro-RO"/>
        </w:rPr>
        <w:t>Tabel II.2.2.2.5</w:t>
      </w:r>
      <w:r w:rsidRPr="009D4903">
        <w:rPr>
          <w:rFonts w:ascii="Arial" w:hAnsi="Arial" w:cs="Arial"/>
          <w:sz w:val="24"/>
          <w:szCs w:val="24"/>
          <w:lang w:eastAsia="ro-RO"/>
        </w:rPr>
        <w:t xml:space="preserve">) se observă că, din cantitatea totală de nămol generată în stațiile de epurare cca. </w:t>
      </w:r>
      <w:r>
        <w:rPr>
          <w:rFonts w:ascii="Arial" w:hAnsi="Arial" w:cs="Arial"/>
          <w:sz w:val="24"/>
          <w:szCs w:val="24"/>
          <w:lang w:eastAsia="ro-RO"/>
        </w:rPr>
        <w:t>18,89</w:t>
      </w:r>
      <w:r w:rsidRPr="009D4903">
        <w:rPr>
          <w:rFonts w:ascii="Arial" w:hAnsi="Arial" w:cs="Arial"/>
          <w:sz w:val="24"/>
          <w:szCs w:val="24"/>
          <w:lang w:eastAsia="ro-RO"/>
        </w:rPr>
        <w:t>% a fost utilizată în agricultură.</w:t>
      </w:r>
    </w:p>
    <w:p w14:paraId="028226FB" w14:textId="77777777" w:rsidR="00AE17B2" w:rsidRDefault="00AE17B2" w:rsidP="00AE17B2">
      <w:pPr>
        <w:autoSpaceDE w:val="0"/>
        <w:autoSpaceDN w:val="0"/>
        <w:adjustRightInd w:val="0"/>
        <w:spacing w:before="120" w:after="120" w:line="240" w:lineRule="auto"/>
        <w:ind w:firstLine="567"/>
        <w:jc w:val="both"/>
        <w:rPr>
          <w:rFonts w:ascii="Arial" w:hAnsi="Arial" w:cs="Arial"/>
          <w:color w:val="000000"/>
          <w:sz w:val="24"/>
          <w:szCs w:val="24"/>
          <w:lang w:eastAsia="ro-RO"/>
        </w:rPr>
      </w:pPr>
      <w:r w:rsidRPr="009D4903">
        <w:rPr>
          <w:rFonts w:ascii="Arial" w:hAnsi="Arial" w:cs="Arial"/>
          <w:color w:val="000000"/>
          <w:sz w:val="24"/>
          <w:szCs w:val="24"/>
          <w:lang w:eastAsia="ro-RO"/>
        </w:rPr>
        <w:t>Conform primului Plan Naţional de  Management al bazinelor/spațiilor hidrografice</w:t>
      </w:r>
      <w:r w:rsidRPr="00A831B1">
        <w:rPr>
          <w:rFonts w:ascii="Arial" w:hAnsi="Arial" w:cs="Arial"/>
          <w:color w:val="000000"/>
          <w:sz w:val="24"/>
          <w:szCs w:val="24"/>
          <w:lang w:eastAsia="ro-RO"/>
        </w:rPr>
        <w:t xml:space="preserve"> din România (elaborat în 2009), s-a estimat că la sfârșitul perioadei de conformare (anul 2018) se va obţine o cantitate de nămol de cca. 520.850 tone substanţă uscată/an faţă de cca. 172.529 tone substanţă uscată/an obţinute în anul 2007</w:t>
      </w:r>
      <w:r>
        <w:rPr>
          <w:rFonts w:ascii="Arial" w:hAnsi="Arial" w:cs="Arial"/>
          <w:color w:val="000000"/>
          <w:sz w:val="24"/>
          <w:szCs w:val="24"/>
          <w:lang w:eastAsia="ro-RO"/>
        </w:rPr>
        <w:t xml:space="preserve"> </w:t>
      </w:r>
      <w:r w:rsidRPr="003D5630">
        <w:rPr>
          <w:rFonts w:ascii="Arial" w:hAnsi="Arial" w:cs="Arial"/>
          <w:i/>
          <w:color w:val="000000"/>
          <w:sz w:val="24"/>
          <w:szCs w:val="24"/>
          <w:lang w:eastAsia="ro-RO"/>
        </w:rPr>
        <w:t>(Figura II.2.2.2.</w:t>
      </w:r>
      <w:r>
        <w:rPr>
          <w:rFonts w:ascii="Arial" w:hAnsi="Arial" w:cs="Arial"/>
          <w:i/>
          <w:color w:val="000000"/>
          <w:sz w:val="24"/>
          <w:szCs w:val="24"/>
          <w:lang w:eastAsia="ro-RO"/>
        </w:rPr>
        <w:t>10</w:t>
      </w:r>
      <w:r w:rsidRPr="003D5630">
        <w:rPr>
          <w:rFonts w:ascii="Arial" w:hAnsi="Arial" w:cs="Arial"/>
          <w:i/>
          <w:color w:val="000000"/>
          <w:sz w:val="24"/>
          <w:szCs w:val="24"/>
          <w:lang w:eastAsia="ro-RO"/>
        </w:rPr>
        <w:t>).</w:t>
      </w:r>
      <w:r w:rsidRPr="00A831B1">
        <w:rPr>
          <w:rFonts w:ascii="Arial" w:hAnsi="Arial" w:cs="Arial"/>
          <w:color w:val="000000"/>
          <w:sz w:val="24"/>
          <w:szCs w:val="24"/>
          <w:lang w:eastAsia="ro-RO"/>
        </w:rPr>
        <w:t xml:space="preserve"> </w:t>
      </w:r>
      <w:r>
        <w:rPr>
          <w:rFonts w:ascii="Arial" w:hAnsi="Arial" w:cs="Arial"/>
          <w:color w:val="000000"/>
          <w:sz w:val="24"/>
          <w:szCs w:val="24"/>
          <w:lang w:eastAsia="ro-RO"/>
        </w:rPr>
        <w:t xml:space="preserve">Această prognoză corespunde situației planificate privind conformarea aglomerărilor în anul 2004, potrivit Planului Național de implementare al Directivei 91/271/CEE privind epurarea apelor uzate urbane. </w:t>
      </w:r>
    </w:p>
    <w:p w14:paraId="561E0B2D" w14:textId="77777777" w:rsidR="00AE17B2" w:rsidRDefault="00AE17B2" w:rsidP="00AE17B2">
      <w:pPr>
        <w:autoSpaceDE w:val="0"/>
        <w:autoSpaceDN w:val="0"/>
        <w:adjustRightInd w:val="0"/>
        <w:spacing w:before="120" w:after="120" w:line="240" w:lineRule="auto"/>
        <w:ind w:firstLine="567"/>
        <w:jc w:val="both"/>
        <w:rPr>
          <w:rFonts w:ascii="Arial" w:hAnsi="Arial" w:cs="Arial"/>
          <w:color w:val="000000"/>
          <w:sz w:val="24"/>
          <w:szCs w:val="24"/>
          <w:lang w:eastAsia="ro-RO"/>
        </w:rPr>
      </w:pPr>
    </w:p>
    <w:p w14:paraId="599FACB1" w14:textId="77777777" w:rsidR="00AE17B2" w:rsidRPr="005B534D" w:rsidRDefault="00AE17B2" w:rsidP="00AE17B2">
      <w:pPr>
        <w:spacing w:after="0" w:line="240" w:lineRule="auto"/>
        <w:jc w:val="both"/>
        <w:rPr>
          <w:rFonts w:ascii="Arial" w:eastAsia="MS Mincho" w:hAnsi="Arial" w:cs="Arial"/>
          <w:b/>
          <w:sz w:val="24"/>
          <w:szCs w:val="24"/>
          <w:lang w:eastAsia="ja-JP"/>
        </w:rPr>
      </w:pPr>
      <w:r>
        <w:rPr>
          <w:rFonts w:ascii="Arial" w:eastAsia="MS Mincho" w:hAnsi="Arial" w:cs="Arial"/>
          <w:b/>
          <w:sz w:val="24"/>
          <w:szCs w:val="24"/>
          <w:lang w:eastAsia="ja-JP"/>
        </w:rPr>
        <w:t xml:space="preserve">Tabel II.2.2.2.5. </w:t>
      </w:r>
      <w:r w:rsidRPr="005B534D">
        <w:rPr>
          <w:rFonts w:ascii="Arial" w:eastAsia="MS Mincho" w:hAnsi="Arial" w:cs="Arial"/>
          <w:b/>
          <w:sz w:val="24"/>
          <w:szCs w:val="24"/>
          <w:lang w:eastAsia="ja-JP"/>
        </w:rPr>
        <w:t xml:space="preserve">Utilizarea la nivel național a nămolului de la staţiile de epurare urbane în anul </w:t>
      </w:r>
      <w:r>
        <w:rPr>
          <w:rFonts w:ascii="Arial" w:eastAsia="MS Mincho" w:hAnsi="Arial" w:cs="Arial"/>
          <w:b/>
          <w:sz w:val="24"/>
          <w:szCs w:val="24"/>
          <w:lang w:eastAsia="ja-JP"/>
        </w:rPr>
        <w:t>2021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3084"/>
      </w:tblGrid>
      <w:tr w:rsidR="00AE17B2" w:rsidRPr="00CD0A51" w14:paraId="6248AE09" w14:textId="77777777" w:rsidTr="00C74E50">
        <w:trPr>
          <w:jc w:val="center"/>
        </w:trPr>
        <w:tc>
          <w:tcPr>
            <w:tcW w:w="4465" w:type="dxa"/>
            <w:shd w:val="clear" w:color="auto" w:fill="BDD6EE"/>
            <w:vAlign w:val="center"/>
          </w:tcPr>
          <w:p w14:paraId="5DB0EFFF" w14:textId="77777777" w:rsidR="00AE17B2" w:rsidRPr="00CD0A51" w:rsidRDefault="00AE17B2" w:rsidP="00C74E50">
            <w:pPr>
              <w:spacing w:before="20" w:after="20" w:line="240" w:lineRule="auto"/>
              <w:jc w:val="center"/>
              <w:rPr>
                <w:rFonts w:ascii="Arial" w:hAnsi="Arial" w:cs="Arial"/>
                <w:b/>
                <w:sz w:val="24"/>
                <w:szCs w:val="24"/>
              </w:rPr>
            </w:pPr>
            <w:r w:rsidRPr="00CD0A51">
              <w:rPr>
                <w:rFonts w:ascii="Arial" w:hAnsi="Arial" w:cs="Arial"/>
                <w:b/>
                <w:sz w:val="24"/>
                <w:szCs w:val="24"/>
              </w:rPr>
              <w:t>Utilizări ale nămolului</w:t>
            </w:r>
          </w:p>
        </w:tc>
        <w:tc>
          <w:tcPr>
            <w:tcW w:w="3084" w:type="dxa"/>
            <w:shd w:val="clear" w:color="auto" w:fill="BDD6EE"/>
            <w:vAlign w:val="center"/>
          </w:tcPr>
          <w:p w14:paraId="67F3E07A" w14:textId="77777777" w:rsidR="00AE17B2" w:rsidRDefault="00AE17B2" w:rsidP="00C74E50">
            <w:pPr>
              <w:spacing w:before="20" w:after="20" w:line="240" w:lineRule="auto"/>
              <w:jc w:val="center"/>
              <w:rPr>
                <w:rFonts w:ascii="Arial" w:hAnsi="Arial" w:cs="Arial"/>
                <w:b/>
                <w:sz w:val="24"/>
                <w:szCs w:val="24"/>
              </w:rPr>
            </w:pPr>
            <w:r w:rsidRPr="00CD0A51">
              <w:rPr>
                <w:rFonts w:ascii="Arial" w:hAnsi="Arial" w:cs="Arial"/>
                <w:b/>
                <w:sz w:val="24"/>
                <w:szCs w:val="24"/>
              </w:rPr>
              <w:t xml:space="preserve">Cantitate nămol </w:t>
            </w:r>
          </w:p>
          <w:p w14:paraId="11F7962B" w14:textId="77777777" w:rsidR="00AE17B2" w:rsidRPr="00CD0A51" w:rsidRDefault="00AE17B2" w:rsidP="00C74E50">
            <w:pPr>
              <w:spacing w:before="20" w:after="20" w:line="240" w:lineRule="auto"/>
              <w:jc w:val="center"/>
              <w:rPr>
                <w:rFonts w:ascii="Arial" w:hAnsi="Arial" w:cs="Arial"/>
                <w:b/>
                <w:sz w:val="24"/>
                <w:szCs w:val="24"/>
              </w:rPr>
            </w:pPr>
            <w:r w:rsidRPr="00CD0A51">
              <w:rPr>
                <w:rFonts w:ascii="Arial" w:hAnsi="Arial" w:cs="Arial"/>
                <w:b/>
                <w:sz w:val="24"/>
                <w:szCs w:val="24"/>
              </w:rPr>
              <w:t>(</w:t>
            </w:r>
            <w:r>
              <w:rPr>
                <w:rFonts w:ascii="Arial" w:hAnsi="Arial" w:cs="Arial"/>
                <w:b/>
                <w:sz w:val="24"/>
                <w:szCs w:val="24"/>
              </w:rPr>
              <w:t>mii</w:t>
            </w:r>
            <w:r w:rsidRPr="00CD0A51">
              <w:rPr>
                <w:rFonts w:ascii="Arial" w:hAnsi="Arial" w:cs="Arial"/>
                <w:b/>
                <w:sz w:val="24"/>
                <w:szCs w:val="24"/>
              </w:rPr>
              <w:t xml:space="preserve"> tone s.u./an)</w:t>
            </w:r>
          </w:p>
        </w:tc>
      </w:tr>
      <w:tr w:rsidR="00AE17B2" w:rsidRPr="00CD0A51" w14:paraId="7C24B0B0" w14:textId="77777777" w:rsidTr="00C74E50">
        <w:trPr>
          <w:jc w:val="center"/>
        </w:trPr>
        <w:tc>
          <w:tcPr>
            <w:tcW w:w="4465" w:type="dxa"/>
            <w:shd w:val="clear" w:color="auto" w:fill="auto"/>
            <w:vAlign w:val="center"/>
          </w:tcPr>
          <w:p w14:paraId="194974E0" w14:textId="77777777" w:rsidR="00AE17B2" w:rsidRPr="00172A3E" w:rsidRDefault="00AE17B2" w:rsidP="00C74E50">
            <w:pPr>
              <w:spacing w:before="20" w:after="20" w:line="240" w:lineRule="auto"/>
              <w:jc w:val="center"/>
              <w:rPr>
                <w:rFonts w:ascii="Arial" w:hAnsi="Arial" w:cs="Arial"/>
                <w:b/>
                <w:sz w:val="24"/>
                <w:szCs w:val="24"/>
              </w:rPr>
            </w:pPr>
            <w:r w:rsidRPr="00172A3E">
              <w:rPr>
                <w:rFonts w:ascii="Arial" w:hAnsi="Arial" w:cs="Arial"/>
                <w:b/>
                <w:sz w:val="24"/>
                <w:szCs w:val="24"/>
              </w:rPr>
              <w:t>Cantitate totală produsă</w:t>
            </w:r>
          </w:p>
        </w:tc>
        <w:tc>
          <w:tcPr>
            <w:tcW w:w="3084" w:type="dxa"/>
            <w:shd w:val="clear" w:color="auto" w:fill="auto"/>
            <w:vAlign w:val="center"/>
          </w:tcPr>
          <w:p w14:paraId="3215748A" w14:textId="77777777" w:rsidR="00AE17B2" w:rsidRPr="00F96F9B" w:rsidRDefault="00AE17B2" w:rsidP="00C74E50">
            <w:pPr>
              <w:spacing w:before="20" w:after="20" w:line="240" w:lineRule="auto"/>
              <w:jc w:val="center"/>
              <w:rPr>
                <w:rFonts w:ascii="Arial" w:hAnsi="Arial" w:cs="Arial"/>
                <w:b/>
                <w:sz w:val="24"/>
                <w:szCs w:val="24"/>
              </w:rPr>
            </w:pPr>
            <w:r>
              <w:rPr>
                <w:rFonts w:ascii="Arial" w:hAnsi="Arial" w:cs="Arial"/>
                <w:sz w:val="24"/>
                <w:szCs w:val="24"/>
              </w:rPr>
              <w:t>264,34</w:t>
            </w:r>
          </w:p>
        </w:tc>
      </w:tr>
      <w:tr w:rsidR="00AE17B2" w:rsidRPr="00CD0A51" w14:paraId="2344BC1C" w14:textId="77777777" w:rsidTr="00C74E50">
        <w:trPr>
          <w:jc w:val="center"/>
        </w:trPr>
        <w:tc>
          <w:tcPr>
            <w:tcW w:w="4465" w:type="dxa"/>
            <w:shd w:val="clear" w:color="auto" w:fill="auto"/>
            <w:vAlign w:val="center"/>
          </w:tcPr>
          <w:p w14:paraId="269B58FC" w14:textId="77777777" w:rsidR="00AE17B2" w:rsidRPr="00172A3E" w:rsidRDefault="00AE17B2" w:rsidP="00C74E50">
            <w:pPr>
              <w:spacing w:before="20" w:after="20" w:line="240" w:lineRule="auto"/>
              <w:jc w:val="center"/>
              <w:rPr>
                <w:rFonts w:ascii="Arial" w:hAnsi="Arial" w:cs="Arial"/>
                <w:b/>
                <w:sz w:val="24"/>
                <w:szCs w:val="24"/>
              </w:rPr>
            </w:pPr>
            <w:r w:rsidRPr="00172A3E">
              <w:rPr>
                <w:rFonts w:ascii="Arial" w:hAnsi="Arial" w:cs="Arial"/>
                <w:b/>
                <w:sz w:val="24"/>
                <w:szCs w:val="24"/>
              </w:rPr>
              <w:t xml:space="preserve">Cantitate totală eliminată, </w:t>
            </w:r>
            <w:r w:rsidRPr="00172A3E">
              <w:rPr>
                <w:rFonts w:ascii="Arial" w:hAnsi="Arial" w:cs="Arial"/>
                <w:i/>
                <w:sz w:val="24"/>
                <w:szCs w:val="24"/>
              </w:rPr>
              <w:t>din care:</w:t>
            </w:r>
          </w:p>
        </w:tc>
        <w:tc>
          <w:tcPr>
            <w:tcW w:w="3084" w:type="dxa"/>
            <w:shd w:val="clear" w:color="auto" w:fill="auto"/>
            <w:vAlign w:val="center"/>
          </w:tcPr>
          <w:p w14:paraId="30B17791" w14:textId="77777777" w:rsidR="00AE17B2" w:rsidRPr="00CD2BC0" w:rsidRDefault="00AE17B2" w:rsidP="00C74E50">
            <w:pPr>
              <w:spacing w:before="20" w:after="20" w:line="240" w:lineRule="auto"/>
              <w:jc w:val="center"/>
              <w:rPr>
                <w:rFonts w:ascii="Arial" w:hAnsi="Arial" w:cs="Arial"/>
                <w:b/>
                <w:sz w:val="24"/>
                <w:szCs w:val="24"/>
              </w:rPr>
            </w:pPr>
            <w:r>
              <w:rPr>
                <w:rFonts w:ascii="Arial" w:hAnsi="Arial" w:cs="Arial"/>
                <w:sz w:val="24"/>
                <w:szCs w:val="24"/>
              </w:rPr>
              <w:t>264,34</w:t>
            </w:r>
          </w:p>
        </w:tc>
      </w:tr>
      <w:tr w:rsidR="00AE17B2" w:rsidRPr="00CD0A51" w14:paraId="2C3B44AA" w14:textId="77777777" w:rsidTr="00C74E50">
        <w:trPr>
          <w:jc w:val="center"/>
        </w:trPr>
        <w:tc>
          <w:tcPr>
            <w:tcW w:w="4465" w:type="dxa"/>
            <w:shd w:val="clear" w:color="auto" w:fill="auto"/>
            <w:vAlign w:val="center"/>
          </w:tcPr>
          <w:p w14:paraId="1EF14E1F" w14:textId="77777777" w:rsidR="00AE17B2" w:rsidRPr="00172A3E" w:rsidRDefault="00AE17B2" w:rsidP="00C74E50">
            <w:pPr>
              <w:spacing w:before="20" w:after="20" w:line="240" w:lineRule="auto"/>
              <w:jc w:val="center"/>
              <w:rPr>
                <w:rFonts w:ascii="Arial" w:hAnsi="Arial" w:cs="Arial"/>
                <w:sz w:val="24"/>
                <w:szCs w:val="24"/>
              </w:rPr>
            </w:pPr>
            <w:r w:rsidRPr="00172A3E">
              <w:rPr>
                <w:rFonts w:ascii="Arial" w:hAnsi="Arial" w:cs="Arial"/>
                <w:sz w:val="24"/>
                <w:szCs w:val="24"/>
              </w:rPr>
              <w:t>Utilizare în agricultură</w:t>
            </w:r>
          </w:p>
        </w:tc>
        <w:tc>
          <w:tcPr>
            <w:tcW w:w="3084" w:type="dxa"/>
            <w:shd w:val="clear" w:color="auto" w:fill="auto"/>
            <w:vAlign w:val="center"/>
          </w:tcPr>
          <w:p w14:paraId="2A4ECDD6" w14:textId="77777777" w:rsidR="00AE17B2" w:rsidRPr="00CD2BC0" w:rsidRDefault="00AE17B2" w:rsidP="00C74E50">
            <w:pPr>
              <w:spacing w:before="20" w:after="20" w:line="240" w:lineRule="auto"/>
              <w:jc w:val="center"/>
              <w:rPr>
                <w:rFonts w:ascii="Arial" w:hAnsi="Arial" w:cs="Arial"/>
                <w:sz w:val="24"/>
                <w:szCs w:val="24"/>
              </w:rPr>
            </w:pPr>
            <w:r>
              <w:rPr>
                <w:rFonts w:ascii="Arial" w:hAnsi="Arial" w:cs="Arial"/>
                <w:sz w:val="24"/>
                <w:szCs w:val="24"/>
              </w:rPr>
              <w:t>40,44</w:t>
            </w:r>
          </w:p>
        </w:tc>
      </w:tr>
      <w:tr w:rsidR="00AE17B2" w:rsidRPr="00CD0A51" w14:paraId="7FBC2434" w14:textId="77777777" w:rsidTr="00C74E50">
        <w:trPr>
          <w:jc w:val="center"/>
        </w:trPr>
        <w:tc>
          <w:tcPr>
            <w:tcW w:w="4465" w:type="dxa"/>
            <w:shd w:val="clear" w:color="auto" w:fill="auto"/>
            <w:vAlign w:val="center"/>
          </w:tcPr>
          <w:p w14:paraId="78C5F0E4" w14:textId="77777777" w:rsidR="00AE17B2" w:rsidRPr="00172A3E" w:rsidRDefault="00AE17B2" w:rsidP="00C74E50">
            <w:pPr>
              <w:spacing w:before="20" w:after="20" w:line="240" w:lineRule="auto"/>
              <w:jc w:val="center"/>
              <w:rPr>
                <w:rFonts w:ascii="Arial" w:hAnsi="Arial" w:cs="Arial"/>
                <w:sz w:val="24"/>
                <w:szCs w:val="24"/>
              </w:rPr>
            </w:pPr>
            <w:r w:rsidRPr="00172A3E">
              <w:rPr>
                <w:rFonts w:ascii="Arial" w:hAnsi="Arial" w:cs="Arial"/>
                <w:sz w:val="24"/>
                <w:szCs w:val="24"/>
              </w:rPr>
              <w:t>Compostare şi alte aplicaţii</w:t>
            </w:r>
          </w:p>
        </w:tc>
        <w:tc>
          <w:tcPr>
            <w:tcW w:w="3084" w:type="dxa"/>
            <w:shd w:val="clear" w:color="auto" w:fill="auto"/>
            <w:vAlign w:val="center"/>
          </w:tcPr>
          <w:p w14:paraId="5CB75170" w14:textId="77777777" w:rsidR="00AE17B2" w:rsidRPr="00CD2BC0" w:rsidRDefault="00AE17B2" w:rsidP="00C74E50">
            <w:pPr>
              <w:spacing w:before="20" w:after="20" w:line="240" w:lineRule="auto"/>
              <w:jc w:val="center"/>
              <w:rPr>
                <w:rFonts w:ascii="Arial" w:hAnsi="Arial" w:cs="Arial"/>
                <w:sz w:val="24"/>
                <w:szCs w:val="24"/>
              </w:rPr>
            </w:pPr>
            <w:r>
              <w:rPr>
                <w:rFonts w:ascii="Arial" w:hAnsi="Arial" w:cs="Arial"/>
                <w:sz w:val="24"/>
                <w:szCs w:val="24"/>
              </w:rPr>
              <w:t>2,27</w:t>
            </w:r>
          </w:p>
        </w:tc>
      </w:tr>
      <w:tr w:rsidR="00AE17B2" w:rsidRPr="00CD0A51" w14:paraId="6F8C3904" w14:textId="77777777" w:rsidTr="00C74E50">
        <w:trPr>
          <w:jc w:val="center"/>
        </w:trPr>
        <w:tc>
          <w:tcPr>
            <w:tcW w:w="4465" w:type="dxa"/>
            <w:shd w:val="clear" w:color="auto" w:fill="auto"/>
            <w:vAlign w:val="center"/>
          </w:tcPr>
          <w:p w14:paraId="6FC5DC05" w14:textId="77777777" w:rsidR="00AE17B2" w:rsidRPr="00172A3E" w:rsidRDefault="00AE17B2" w:rsidP="00C74E50">
            <w:pPr>
              <w:spacing w:before="20" w:after="20" w:line="240" w:lineRule="auto"/>
              <w:jc w:val="center"/>
              <w:rPr>
                <w:rFonts w:ascii="Arial" w:hAnsi="Arial" w:cs="Arial"/>
                <w:sz w:val="24"/>
                <w:szCs w:val="24"/>
              </w:rPr>
            </w:pPr>
            <w:r w:rsidRPr="00172A3E">
              <w:rPr>
                <w:rFonts w:ascii="Arial" w:hAnsi="Arial" w:cs="Arial"/>
                <w:sz w:val="24"/>
                <w:szCs w:val="24"/>
              </w:rPr>
              <w:t>Depozitare pe platforme amenajate</w:t>
            </w:r>
          </w:p>
        </w:tc>
        <w:tc>
          <w:tcPr>
            <w:tcW w:w="3084" w:type="dxa"/>
            <w:shd w:val="clear" w:color="auto" w:fill="auto"/>
            <w:vAlign w:val="center"/>
          </w:tcPr>
          <w:p w14:paraId="149692D9" w14:textId="77777777" w:rsidR="00AE17B2" w:rsidRPr="00CD2BC0" w:rsidRDefault="00AE17B2" w:rsidP="00C74E50">
            <w:pPr>
              <w:spacing w:before="20" w:after="20" w:line="240" w:lineRule="auto"/>
              <w:jc w:val="center"/>
              <w:rPr>
                <w:rFonts w:ascii="Arial" w:hAnsi="Arial" w:cs="Arial"/>
                <w:sz w:val="24"/>
                <w:szCs w:val="24"/>
              </w:rPr>
            </w:pPr>
            <w:r>
              <w:rPr>
                <w:rFonts w:ascii="Arial" w:hAnsi="Arial" w:cs="Arial"/>
                <w:sz w:val="24"/>
                <w:szCs w:val="24"/>
              </w:rPr>
              <w:t>140,78</w:t>
            </w:r>
          </w:p>
        </w:tc>
      </w:tr>
      <w:tr w:rsidR="00AE17B2" w:rsidRPr="00CD0A51" w14:paraId="59E425D1" w14:textId="77777777" w:rsidTr="00C74E50">
        <w:trPr>
          <w:jc w:val="center"/>
        </w:trPr>
        <w:tc>
          <w:tcPr>
            <w:tcW w:w="4465" w:type="dxa"/>
            <w:shd w:val="clear" w:color="auto" w:fill="auto"/>
            <w:vAlign w:val="center"/>
          </w:tcPr>
          <w:p w14:paraId="71743268" w14:textId="77777777" w:rsidR="00AE17B2" w:rsidRPr="00172A3E" w:rsidRDefault="00AE17B2" w:rsidP="00C74E50">
            <w:pPr>
              <w:spacing w:before="20" w:after="20" w:line="240" w:lineRule="auto"/>
              <w:jc w:val="center"/>
              <w:rPr>
                <w:rFonts w:ascii="Arial" w:hAnsi="Arial" w:cs="Arial"/>
                <w:sz w:val="24"/>
                <w:szCs w:val="24"/>
              </w:rPr>
            </w:pPr>
            <w:r w:rsidRPr="00172A3E">
              <w:rPr>
                <w:rFonts w:ascii="Arial" w:hAnsi="Arial" w:cs="Arial"/>
                <w:sz w:val="24"/>
                <w:szCs w:val="24"/>
              </w:rPr>
              <w:t>Evacuare în mare</w:t>
            </w:r>
          </w:p>
        </w:tc>
        <w:tc>
          <w:tcPr>
            <w:tcW w:w="3084" w:type="dxa"/>
            <w:shd w:val="clear" w:color="auto" w:fill="auto"/>
            <w:vAlign w:val="center"/>
          </w:tcPr>
          <w:p w14:paraId="11BEA59D" w14:textId="77777777" w:rsidR="00AE17B2" w:rsidRPr="00CD2BC0" w:rsidRDefault="00AE17B2" w:rsidP="00C74E50">
            <w:pPr>
              <w:spacing w:before="20" w:after="20" w:line="240" w:lineRule="auto"/>
              <w:jc w:val="center"/>
              <w:rPr>
                <w:rFonts w:ascii="Arial" w:hAnsi="Arial" w:cs="Arial"/>
                <w:sz w:val="24"/>
                <w:szCs w:val="24"/>
              </w:rPr>
            </w:pPr>
            <w:r w:rsidRPr="00854CF1">
              <w:rPr>
                <w:rFonts w:ascii="Arial" w:hAnsi="Arial" w:cs="Arial"/>
                <w:sz w:val="24"/>
                <w:szCs w:val="24"/>
              </w:rPr>
              <w:t>0</w:t>
            </w:r>
          </w:p>
        </w:tc>
      </w:tr>
      <w:tr w:rsidR="00AE17B2" w:rsidRPr="00CD0A51" w14:paraId="5FF19DBF" w14:textId="77777777" w:rsidTr="00C74E50">
        <w:trPr>
          <w:jc w:val="center"/>
        </w:trPr>
        <w:tc>
          <w:tcPr>
            <w:tcW w:w="4465" w:type="dxa"/>
            <w:shd w:val="clear" w:color="auto" w:fill="auto"/>
            <w:vAlign w:val="center"/>
          </w:tcPr>
          <w:p w14:paraId="208B9C18" w14:textId="77777777" w:rsidR="00AE17B2" w:rsidRPr="00172A3E" w:rsidRDefault="00AE17B2" w:rsidP="00C74E50">
            <w:pPr>
              <w:spacing w:before="20" w:after="20" w:line="240" w:lineRule="auto"/>
              <w:jc w:val="center"/>
              <w:rPr>
                <w:rFonts w:ascii="Arial" w:hAnsi="Arial" w:cs="Arial"/>
                <w:sz w:val="24"/>
                <w:szCs w:val="24"/>
              </w:rPr>
            </w:pPr>
            <w:r w:rsidRPr="00172A3E">
              <w:rPr>
                <w:rFonts w:ascii="Arial" w:hAnsi="Arial" w:cs="Arial"/>
                <w:sz w:val="24"/>
                <w:szCs w:val="24"/>
              </w:rPr>
              <w:t>Incinerare</w:t>
            </w:r>
          </w:p>
        </w:tc>
        <w:tc>
          <w:tcPr>
            <w:tcW w:w="3084" w:type="dxa"/>
            <w:shd w:val="clear" w:color="auto" w:fill="auto"/>
            <w:vAlign w:val="center"/>
          </w:tcPr>
          <w:p w14:paraId="26EFFE0A" w14:textId="77777777" w:rsidR="00AE17B2" w:rsidRPr="00CD2BC0" w:rsidRDefault="00AE17B2" w:rsidP="00C74E50">
            <w:pPr>
              <w:spacing w:before="20" w:after="20" w:line="240" w:lineRule="auto"/>
              <w:jc w:val="center"/>
              <w:rPr>
                <w:rFonts w:ascii="Arial" w:hAnsi="Arial" w:cs="Arial"/>
                <w:sz w:val="24"/>
                <w:szCs w:val="24"/>
              </w:rPr>
            </w:pPr>
            <w:r>
              <w:rPr>
                <w:rFonts w:ascii="Arial" w:hAnsi="Arial" w:cs="Arial"/>
                <w:sz w:val="24"/>
                <w:szCs w:val="24"/>
              </w:rPr>
              <w:t>0,96</w:t>
            </w:r>
          </w:p>
        </w:tc>
      </w:tr>
      <w:tr w:rsidR="00AE17B2" w:rsidRPr="00CD0A51" w14:paraId="4B5BAC4D" w14:textId="77777777" w:rsidTr="00C74E50">
        <w:trPr>
          <w:jc w:val="center"/>
        </w:trPr>
        <w:tc>
          <w:tcPr>
            <w:tcW w:w="4465" w:type="dxa"/>
            <w:shd w:val="clear" w:color="auto" w:fill="auto"/>
            <w:vAlign w:val="center"/>
          </w:tcPr>
          <w:p w14:paraId="533D999A" w14:textId="77777777" w:rsidR="00AE17B2" w:rsidRPr="00172A3E" w:rsidRDefault="00AE17B2" w:rsidP="00C74E50">
            <w:pPr>
              <w:spacing w:before="20" w:after="20" w:line="240" w:lineRule="auto"/>
              <w:jc w:val="center"/>
              <w:rPr>
                <w:rFonts w:ascii="Arial" w:hAnsi="Arial" w:cs="Arial"/>
                <w:sz w:val="24"/>
                <w:szCs w:val="24"/>
              </w:rPr>
            </w:pPr>
            <w:r w:rsidRPr="00172A3E">
              <w:rPr>
                <w:rFonts w:ascii="Arial" w:hAnsi="Arial" w:cs="Arial"/>
                <w:sz w:val="24"/>
                <w:szCs w:val="24"/>
              </w:rPr>
              <w:t>Altele</w:t>
            </w:r>
          </w:p>
        </w:tc>
        <w:tc>
          <w:tcPr>
            <w:tcW w:w="3084" w:type="dxa"/>
            <w:shd w:val="clear" w:color="auto" w:fill="auto"/>
            <w:vAlign w:val="center"/>
          </w:tcPr>
          <w:p w14:paraId="7D3A9464" w14:textId="77777777" w:rsidR="00AE17B2" w:rsidRPr="00CD2BC0" w:rsidRDefault="00AE17B2" w:rsidP="00C74E50">
            <w:pPr>
              <w:spacing w:before="20" w:after="20" w:line="240" w:lineRule="auto"/>
              <w:jc w:val="center"/>
              <w:rPr>
                <w:rFonts w:ascii="Arial" w:hAnsi="Arial" w:cs="Arial"/>
                <w:sz w:val="24"/>
                <w:szCs w:val="24"/>
              </w:rPr>
            </w:pPr>
            <w:r>
              <w:rPr>
                <w:rFonts w:ascii="Arial" w:hAnsi="Arial" w:cs="Arial"/>
                <w:sz w:val="24"/>
                <w:szCs w:val="24"/>
              </w:rPr>
              <w:t>79,89</w:t>
            </w:r>
          </w:p>
        </w:tc>
      </w:tr>
    </w:tbl>
    <w:p w14:paraId="16EDD613" w14:textId="77777777" w:rsidR="00AE17B2" w:rsidRPr="00674F95" w:rsidRDefault="00AE17B2" w:rsidP="00AE17B2">
      <w:pPr>
        <w:spacing w:after="0" w:line="240" w:lineRule="auto"/>
        <w:jc w:val="both"/>
        <w:rPr>
          <w:rFonts w:ascii="Arial" w:hAnsi="Arial" w:cs="Arial"/>
          <w:i/>
          <w:sz w:val="20"/>
          <w:szCs w:val="20"/>
          <w:lang w:val="it-IT"/>
        </w:rPr>
      </w:pPr>
      <w:r w:rsidRPr="005B534D">
        <w:rPr>
          <w:rFonts w:ascii="Arial" w:hAnsi="Arial" w:cs="Arial"/>
          <w:i/>
          <w:sz w:val="24"/>
          <w:szCs w:val="24"/>
          <w:lang w:val="it-IT"/>
        </w:rPr>
        <w:t>(</w:t>
      </w:r>
      <w:r w:rsidRPr="00674F95">
        <w:rPr>
          <w:rFonts w:ascii="Arial" w:hAnsi="Arial" w:cs="Arial"/>
          <w:i/>
          <w:sz w:val="20"/>
          <w:szCs w:val="20"/>
          <w:lang w:val="it-IT"/>
        </w:rPr>
        <w:t xml:space="preserve">Sursa datelor: Institutul Naţional de Statistică, Baza de date TEMPO online, </w:t>
      </w:r>
      <w:hyperlink r:id="rId75" w:history="1">
        <w:r w:rsidRPr="00674F95">
          <w:rPr>
            <w:rStyle w:val="Hyperlink"/>
            <w:rFonts w:ascii="Arial" w:hAnsi="Arial" w:cs="Arial"/>
            <w:i/>
            <w:sz w:val="20"/>
            <w:szCs w:val="20"/>
            <w:lang w:val="it-IT"/>
          </w:rPr>
          <w:t>www.insse.ro</w:t>
        </w:r>
      </w:hyperlink>
      <w:r w:rsidRPr="00674F95">
        <w:rPr>
          <w:rFonts w:ascii="Arial" w:hAnsi="Arial" w:cs="Arial"/>
          <w:i/>
          <w:sz w:val="20"/>
          <w:szCs w:val="20"/>
          <w:lang w:val="it-IT"/>
        </w:rPr>
        <w:t>)</w:t>
      </w:r>
    </w:p>
    <w:p w14:paraId="3D3A510C" w14:textId="77777777" w:rsidR="00AE17B2" w:rsidRDefault="00AE17B2" w:rsidP="00AE17B2">
      <w:pPr>
        <w:autoSpaceDE w:val="0"/>
        <w:autoSpaceDN w:val="0"/>
        <w:adjustRightInd w:val="0"/>
        <w:spacing w:before="120" w:after="120" w:line="240" w:lineRule="auto"/>
        <w:ind w:firstLine="5940"/>
        <w:jc w:val="both"/>
        <w:rPr>
          <w:rFonts w:ascii="Arial" w:hAnsi="Arial" w:cs="Arial"/>
          <w:b/>
          <w:bCs/>
          <w:color w:val="000000"/>
          <w:sz w:val="24"/>
          <w:szCs w:val="24"/>
          <w:lang w:eastAsia="ro-RO"/>
        </w:rPr>
      </w:pPr>
    </w:p>
    <w:p w14:paraId="01441167" w14:textId="77777777" w:rsidR="00AE17B2" w:rsidRDefault="00AE17B2" w:rsidP="00AE17B2">
      <w:pPr>
        <w:autoSpaceDE w:val="0"/>
        <w:autoSpaceDN w:val="0"/>
        <w:adjustRightInd w:val="0"/>
        <w:spacing w:before="120" w:after="120" w:line="240" w:lineRule="auto"/>
        <w:ind w:firstLine="5940"/>
        <w:jc w:val="both"/>
        <w:rPr>
          <w:rFonts w:ascii="Arial" w:hAnsi="Arial" w:cs="Arial"/>
          <w:b/>
          <w:bCs/>
          <w:color w:val="000000"/>
          <w:sz w:val="24"/>
          <w:szCs w:val="24"/>
          <w:lang w:eastAsia="ro-RO"/>
        </w:rPr>
      </w:pPr>
    </w:p>
    <w:p w14:paraId="2B5C604E" w14:textId="562AAC90" w:rsidR="00AE17B2" w:rsidRPr="004E068A" w:rsidRDefault="00AE17B2" w:rsidP="00AE17B2">
      <w:pPr>
        <w:autoSpaceDE w:val="0"/>
        <w:autoSpaceDN w:val="0"/>
        <w:adjustRightInd w:val="0"/>
        <w:spacing w:before="120" w:after="120" w:line="240" w:lineRule="auto"/>
        <w:jc w:val="both"/>
        <w:rPr>
          <w:rFonts w:ascii="Arial" w:hAnsi="Arial" w:cs="Arial"/>
          <w:color w:val="000000"/>
          <w:lang w:eastAsia="ro-RO"/>
        </w:rPr>
      </w:pPr>
      <w:r w:rsidRPr="004E068A">
        <w:rPr>
          <w:rFonts w:ascii="Arial" w:hAnsi="Arial" w:cs="Arial"/>
          <w:b/>
          <w:bCs/>
          <w:color w:val="000000"/>
          <w:lang w:eastAsia="ro-RO"/>
        </w:rPr>
        <w:lastRenderedPageBreak/>
        <w:t xml:space="preserve">Figura II.2.2.2.10. </w:t>
      </w:r>
      <w:r w:rsidRPr="004E068A">
        <w:rPr>
          <w:rFonts w:ascii="Arial" w:hAnsi="Arial" w:cs="Arial"/>
          <w:noProof/>
          <w:lang w:val="en-GB" w:eastAsia="en-GB"/>
        </w:rPr>
        <w:drawing>
          <wp:anchor distT="0" distB="0" distL="114300" distR="114300" simplePos="0" relativeHeight="251664384" behindDoc="1" locked="0" layoutInCell="1" allowOverlap="1" wp14:anchorId="4C31B114" wp14:editId="1AE82045">
            <wp:simplePos x="0" y="0"/>
            <wp:positionH relativeFrom="column">
              <wp:posOffset>822325</wp:posOffset>
            </wp:positionH>
            <wp:positionV relativeFrom="paragraph">
              <wp:posOffset>251460</wp:posOffset>
            </wp:positionV>
            <wp:extent cx="4124960" cy="2534920"/>
            <wp:effectExtent l="0" t="0" r="8890" b="0"/>
            <wp:wrapTight wrapText="bothSides">
              <wp:wrapPolygon edited="0">
                <wp:start x="0" y="0"/>
                <wp:lineTo x="0" y="21427"/>
                <wp:lineTo x="21547" y="21427"/>
                <wp:lineTo x="21547" y="0"/>
                <wp:lineTo x="0" y="0"/>
              </wp:wrapPolygon>
            </wp:wrapTight>
            <wp:docPr id="19" name="Picture 1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24960" cy="2534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068A">
        <w:rPr>
          <w:rFonts w:ascii="Arial" w:hAnsi="Arial" w:cs="Arial"/>
          <w:b/>
          <w:bCs/>
          <w:color w:val="000000"/>
          <w:lang w:eastAsia="ro-RO"/>
        </w:rPr>
        <w:t>Evoluţia cantităţilor de nămol generate de staţiile de epurare din România</w:t>
      </w:r>
    </w:p>
    <w:p w14:paraId="11E7598C" w14:textId="77777777" w:rsidR="00AE17B2" w:rsidRPr="00A831B1" w:rsidRDefault="00AE17B2" w:rsidP="00AE17B2">
      <w:pPr>
        <w:autoSpaceDE w:val="0"/>
        <w:autoSpaceDN w:val="0"/>
        <w:adjustRightInd w:val="0"/>
        <w:spacing w:before="120" w:after="120" w:line="240" w:lineRule="auto"/>
        <w:jc w:val="center"/>
        <w:rPr>
          <w:rFonts w:ascii="Arial" w:hAnsi="Arial" w:cs="Arial"/>
          <w:color w:val="000000"/>
          <w:sz w:val="24"/>
          <w:szCs w:val="24"/>
          <w:lang w:eastAsia="ro-RO"/>
        </w:rPr>
      </w:pPr>
    </w:p>
    <w:p w14:paraId="7362FA3B" w14:textId="77777777" w:rsidR="00AE17B2" w:rsidRDefault="00AE17B2" w:rsidP="00AE17B2">
      <w:pPr>
        <w:autoSpaceDE w:val="0"/>
        <w:autoSpaceDN w:val="0"/>
        <w:adjustRightInd w:val="0"/>
        <w:spacing w:before="120" w:after="120" w:line="240" w:lineRule="auto"/>
        <w:jc w:val="center"/>
        <w:rPr>
          <w:b/>
          <w:lang w:eastAsia="ro-RO"/>
        </w:rPr>
      </w:pPr>
    </w:p>
    <w:p w14:paraId="37268BA1" w14:textId="77777777" w:rsidR="00AE17B2" w:rsidRDefault="00AE17B2" w:rsidP="00AE17B2">
      <w:pPr>
        <w:autoSpaceDE w:val="0"/>
        <w:autoSpaceDN w:val="0"/>
        <w:adjustRightInd w:val="0"/>
        <w:spacing w:before="120" w:after="120" w:line="240" w:lineRule="auto"/>
        <w:jc w:val="center"/>
        <w:rPr>
          <w:b/>
          <w:lang w:eastAsia="ro-RO"/>
        </w:rPr>
      </w:pPr>
    </w:p>
    <w:p w14:paraId="5CC767CB" w14:textId="77777777" w:rsidR="00AE17B2" w:rsidRDefault="00AE17B2" w:rsidP="00AE17B2">
      <w:pPr>
        <w:autoSpaceDE w:val="0"/>
        <w:autoSpaceDN w:val="0"/>
        <w:adjustRightInd w:val="0"/>
        <w:spacing w:before="120" w:after="120" w:line="240" w:lineRule="auto"/>
        <w:jc w:val="center"/>
        <w:rPr>
          <w:b/>
          <w:lang w:eastAsia="ro-RO"/>
        </w:rPr>
      </w:pPr>
    </w:p>
    <w:p w14:paraId="68E5BB73" w14:textId="77777777" w:rsidR="00AE17B2" w:rsidRDefault="00AE17B2" w:rsidP="00AE17B2">
      <w:pPr>
        <w:autoSpaceDE w:val="0"/>
        <w:autoSpaceDN w:val="0"/>
        <w:adjustRightInd w:val="0"/>
        <w:spacing w:before="120" w:after="120" w:line="240" w:lineRule="auto"/>
        <w:jc w:val="center"/>
        <w:rPr>
          <w:b/>
          <w:lang w:eastAsia="ro-RO"/>
        </w:rPr>
      </w:pPr>
    </w:p>
    <w:p w14:paraId="50550969" w14:textId="77777777" w:rsidR="00AE17B2" w:rsidRDefault="00AE17B2" w:rsidP="00AE17B2">
      <w:pPr>
        <w:autoSpaceDE w:val="0"/>
        <w:autoSpaceDN w:val="0"/>
        <w:adjustRightInd w:val="0"/>
        <w:spacing w:before="120" w:after="120" w:line="240" w:lineRule="auto"/>
        <w:jc w:val="center"/>
        <w:rPr>
          <w:b/>
          <w:lang w:eastAsia="ro-RO"/>
        </w:rPr>
      </w:pPr>
    </w:p>
    <w:p w14:paraId="6956EACB" w14:textId="77777777" w:rsidR="00AE17B2" w:rsidRDefault="00AE17B2" w:rsidP="00AE17B2">
      <w:pPr>
        <w:autoSpaceDE w:val="0"/>
        <w:autoSpaceDN w:val="0"/>
        <w:adjustRightInd w:val="0"/>
        <w:spacing w:before="120" w:after="120" w:line="240" w:lineRule="auto"/>
        <w:jc w:val="center"/>
        <w:rPr>
          <w:b/>
          <w:lang w:eastAsia="ro-RO"/>
        </w:rPr>
      </w:pPr>
    </w:p>
    <w:p w14:paraId="467A4BEE" w14:textId="77777777" w:rsidR="00AE17B2" w:rsidRDefault="00AE17B2" w:rsidP="00AE17B2">
      <w:pPr>
        <w:pStyle w:val="Default"/>
        <w:spacing w:before="120" w:after="120"/>
        <w:jc w:val="both"/>
        <w:rPr>
          <w:i/>
          <w:iCs/>
          <w:sz w:val="20"/>
          <w:szCs w:val="20"/>
          <w:lang w:eastAsia="ro-RO"/>
        </w:rPr>
      </w:pPr>
    </w:p>
    <w:p w14:paraId="5CBFCFA9" w14:textId="77777777" w:rsidR="00AE17B2" w:rsidRDefault="00AE17B2" w:rsidP="00AE17B2">
      <w:pPr>
        <w:pStyle w:val="Default"/>
        <w:spacing w:before="120" w:after="120"/>
        <w:jc w:val="both"/>
        <w:rPr>
          <w:i/>
          <w:iCs/>
          <w:sz w:val="20"/>
          <w:szCs w:val="20"/>
          <w:lang w:eastAsia="ro-RO"/>
        </w:rPr>
      </w:pPr>
    </w:p>
    <w:p w14:paraId="458E7D4E" w14:textId="77777777" w:rsidR="00AE17B2" w:rsidRDefault="00AE17B2" w:rsidP="00AE17B2">
      <w:pPr>
        <w:pStyle w:val="Default"/>
        <w:spacing w:before="120" w:after="120"/>
        <w:jc w:val="both"/>
        <w:rPr>
          <w:i/>
          <w:iCs/>
          <w:sz w:val="20"/>
          <w:szCs w:val="20"/>
          <w:lang w:eastAsia="ro-RO"/>
        </w:rPr>
      </w:pPr>
    </w:p>
    <w:p w14:paraId="0669FD4B" w14:textId="77777777" w:rsidR="00AE17B2" w:rsidRPr="008047CD" w:rsidRDefault="00AE17B2" w:rsidP="00AE17B2">
      <w:pPr>
        <w:pStyle w:val="Default"/>
        <w:spacing w:before="120" w:after="120"/>
        <w:jc w:val="both"/>
        <w:rPr>
          <w:i/>
          <w:iCs/>
          <w:sz w:val="20"/>
          <w:szCs w:val="20"/>
          <w:lang w:eastAsia="ro-RO"/>
        </w:rPr>
      </w:pPr>
      <w:r w:rsidRPr="008047CD">
        <w:rPr>
          <w:i/>
          <w:iCs/>
          <w:sz w:val="20"/>
          <w:szCs w:val="20"/>
          <w:lang w:eastAsia="ro-RO"/>
        </w:rPr>
        <w:t>(Sursa: Administraţia Naţională “Apele Române”, Planul Naţional de  Management al bazinelor/spațiilor hidrografice din România aprobat prin HG nr. 80/2011)</w:t>
      </w:r>
    </w:p>
    <w:p w14:paraId="2B26E590" w14:textId="77777777" w:rsidR="00AE17B2" w:rsidRPr="003D5630" w:rsidRDefault="00AE17B2" w:rsidP="00AE17B2">
      <w:pPr>
        <w:pStyle w:val="Default"/>
        <w:ind w:firstLine="6379"/>
        <w:jc w:val="both"/>
        <w:rPr>
          <w:b/>
          <w:lang w:eastAsia="ro-RO"/>
        </w:rPr>
      </w:pPr>
    </w:p>
    <w:p w14:paraId="0E418B73" w14:textId="77777777" w:rsidR="00AE17B2" w:rsidRPr="00A831B1" w:rsidRDefault="00AE17B2" w:rsidP="00AE17B2">
      <w:pPr>
        <w:autoSpaceDE w:val="0"/>
        <w:autoSpaceDN w:val="0"/>
        <w:adjustRightInd w:val="0"/>
        <w:spacing w:before="120" w:after="120" w:line="240" w:lineRule="auto"/>
        <w:ind w:firstLine="567"/>
        <w:jc w:val="both"/>
        <w:rPr>
          <w:rFonts w:ascii="Arial" w:hAnsi="Arial" w:cs="Arial"/>
          <w:color w:val="000000"/>
          <w:sz w:val="24"/>
          <w:szCs w:val="24"/>
          <w:lang w:eastAsia="ro-RO"/>
        </w:rPr>
      </w:pPr>
      <w:r w:rsidRPr="00A831B1">
        <w:rPr>
          <w:rFonts w:ascii="Arial" w:hAnsi="Arial" w:cs="Arial"/>
          <w:color w:val="000000"/>
          <w:sz w:val="24"/>
          <w:szCs w:val="24"/>
          <w:lang w:eastAsia="ro-RO"/>
        </w:rPr>
        <w:t xml:space="preserve">În </w:t>
      </w:r>
      <w:r w:rsidRPr="00A831B1">
        <w:rPr>
          <w:rFonts w:ascii="Arial" w:hAnsi="Arial" w:cs="Arial"/>
          <w:i/>
          <w:sz w:val="24"/>
          <w:szCs w:val="24"/>
        </w:rPr>
        <w:t>Strategia naţională de gestionare a nămolurilor de epurare</w:t>
      </w:r>
      <w:r w:rsidRPr="00A831B1">
        <w:rPr>
          <w:rFonts w:ascii="Arial" w:hAnsi="Arial" w:cs="Arial"/>
          <w:sz w:val="24"/>
          <w:szCs w:val="24"/>
        </w:rPr>
        <w:t xml:space="preserve">, elaborată în cadrul </w:t>
      </w:r>
      <w:r>
        <w:rPr>
          <w:rFonts w:ascii="Arial" w:hAnsi="Arial" w:cs="Arial"/>
          <w:sz w:val="24"/>
          <w:szCs w:val="24"/>
        </w:rPr>
        <w:t>asistenței tehnice a POS Mediu</w:t>
      </w:r>
      <w:r w:rsidRPr="00A831B1">
        <w:rPr>
          <w:rFonts w:ascii="Arial" w:hAnsi="Arial" w:cs="Arial"/>
          <w:sz w:val="24"/>
          <w:szCs w:val="24"/>
        </w:rPr>
        <w:t xml:space="preserve">, oferă un cadru pentru planificarea și implementarea măsurilor pentru gestionarea volumelor în creștere de nămol de la stațiile de epurare urbane existente, reabilitate și noi din România. Cantitățile viitoare estimate de nămol produs au fost evaluate conform </w:t>
      </w:r>
      <w:r w:rsidRPr="00750082">
        <w:rPr>
          <w:rFonts w:ascii="Arial" w:hAnsi="Arial" w:cs="Arial"/>
          <w:i/>
          <w:sz w:val="24"/>
          <w:szCs w:val="24"/>
        </w:rPr>
        <w:t>Figurii II.2.2.2.</w:t>
      </w:r>
      <w:r>
        <w:rPr>
          <w:rFonts w:ascii="Arial" w:hAnsi="Arial" w:cs="Arial"/>
          <w:i/>
          <w:sz w:val="24"/>
          <w:szCs w:val="24"/>
        </w:rPr>
        <w:t>11</w:t>
      </w:r>
      <w:r w:rsidRPr="00A831B1">
        <w:rPr>
          <w:rFonts w:ascii="Arial" w:hAnsi="Arial" w:cs="Arial"/>
          <w:sz w:val="24"/>
          <w:szCs w:val="24"/>
        </w:rPr>
        <w:t>.</w:t>
      </w:r>
      <w:r>
        <w:rPr>
          <w:rFonts w:ascii="Arial" w:hAnsi="Arial" w:cs="Arial"/>
          <w:sz w:val="24"/>
          <w:szCs w:val="24"/>
        </w:rPr>
        <w:t xml:space="preserve"> </w:t>
      </w:r>
      <w:r>
        <w:rPr>
          <w:rFonts w:ascii="Arial" w:hAnsi="Arial" w:cs="Arial"/>
          <w:color w:val="000000"/>
          <w:sz w:val="24"/>
          <w:szCs w:val="24"/>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14:paraId="038F6EDB" w14:textId="77777777" w:rsidR="00AE17B2" w:rsidRDefault="00AE17B2" w:rsidP="00AE17B2">
      <w:pPr>
        <w:autoSpaceDE w:val="0"/>
        <w:autoSpaceDN w:val="0"/>
        <w:adjustRightInd w:val="0"/>
        <w:spacing w:after="0" w:line="240" w:lineRule="auto"/>
        <w:jc w:val="both"/>
        <w:rPr>
          <w:rFonts w:ascii="Arial" w:hAnsi="Arial" w:cs="Arial"/>
          <w:b/>
          <w:lang w:eastAsia="ro-RO"/>
        </w:rPr>
      </w:pPr>
    </w:p>
    <w:p w14:paraId="309C8440" w14:textId="77777777" w:rsidR="00AE17B2" w:rsidRDefault="00AE17B2" w:rsidP="00AE17B2">
      <w:pPr>
        <w:autoSpaceDE w:val="0"/>
        <w:autoSpaceDN w:val="0"/>
        <w:adjustRightInd w:val="0"/>
        <w:spacing w:after="0" w:line="240" w:lineRule="auto"/>
        <w:jc w:val="both"/>
        <w:rPr>
          <w:rFonts w:ascii="Arial" w:hAnsi="Arial" w:cs="Arial"/>
          <w:i/>
          <w:iCs/>
          <w:lang w:eastAsia="ro-RO"/>
        </w:rPr>
      </w:pPr>
      <w:r>
        <w:rPr>
          <w:rFonts w:ascii="Arial" w:hAnsi="Arial" w:cs="Arial"/>
          <w:b/>
          <w:lang w:eastAsia="ro-RO"/>
        </w:rPr>
        <w:t>Figura II.2.2.2.11.</w:t>
      </w:r>
      <w:r>
        <w:rPr>
          <w:rFonts w:ascii="Arial" w:hAnsi="Arial" w:cs="Arial"/>
          <w:i/>
          <w:iCs/>
          <w:lang w:eastAsia="ro-RO"/>
        </w:rPr>
        <w:t xml:space="preserve"> </w:t>
      </w:r>
      <w:r>
        <w:rPr>
          <w:rFonts w:ascii="Arial" w:hAnsi="Arial" w:cs="Arial"/>
          <w:b/>
          <w:bCs/>
          <w:color w:val="000000"/>
          <w:lang w:eastAsia="ro-RO"/>
        </w:rPr>
        <w:t>Evoluţia cantităţilor de nămol generate de staţiile de epurare din România</w:t>
      </w:r>
    </w:p>
    <w:p w14:paraId="7F8A6A08" w14:textId="1FDC1B9B" w:rsidR="00AE17B2" w:rsidRDefault="00AE17B2" w:rsidP="00AE17B2">
      <w:pPr>
        <w:autoSpaceDE w:val="0"/>
        <w:autoSpaceDN w:val="0"/>
        <w:adjustRightInd w:val="0"/>
        <w:spacing w:after="0" w:line="240" w:lineRule="auto"/>
        <w:ind w:firstLine="1440"/>
        <w:jc w:val="both"/>
        <w:rPr>
          <w:rFonts w:ascii="Arial" w:hAnsi="Arial" w:cs="Arial"/>
          <w:b/>
          <w:bCs/>
          <w:color w:val="000000"/>
          <w:sz w:val="24"/>
          <w:szCs w:val="24"/>
          <w:lang w:eastAsia="ro-RO"/>
        </w:rPr>
      </w:pPr>
      <w:r w:rsidRPr="00A831B1">
        <w:rPr>
          <w:rFonts w:ascii="Arial" w:hAnsi="Arial" w:cs="Arial"/>
          <w:b/>
          <w:bCs/>
          <w:noProof/>
          <w:color w:val="000000"/>
          <w:sz w:val="24"/>
          <w:szCs w:val="24"/>
          <w:lang w:val="en-GB" w:eastAsia="en-GB"/>
        </w:rPr>
        <w:drawing>
          <wp:inline distT="0" distB="0" distL="0" distR="0" wp14:anchorId="296325CE" wp14:editId="62778FFF">
            <wp:extent cx="4086860" cy="2847975"/>
            <wp:effectExtent l="0" t="0" r="88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86860" cy="2847975"/>
                    </a:xfrm>
                    <a:prstGeom prst="rect">
                      <a:avLst/>
                    </a:prstGeom>
                    <a:noFill/>
                  </pic:spPr>
                </pic:pic>
              </a:graphicData>
            </a:graphic>
          </wp:inline>
        </w:drawing>
      </w:r>
    </w:p>
    <w:p w14:paraId="7C12AC7D" w14:textId="77777777" w:rsidR="00AE17B2" w:rsidRPr="008047CD" w:rsidRDefault="00AE17B2" w:rsidP="00AE17B2">
      <w:pPr>
        <w:pStyle w:val="Default"/>
        <w:jc w:val="both"/>
        <w:rPr>
          <w:sz w:val="20"/>
          <w:szCs w:val="20"/>
          <w:lang w:eastAsia="ro-RO"/>
        </w:rPr>
      </w:pPr>
      <w:r w:rsidRPr="008047CD">
        <w:rPr>
          <w:i/>
          <w:iCs/>
          <w:sz w:val="20"/>
          <w:szCs w:val="20"/>
          <w:lang w:eastAsia="ro-RO"/>
        </w:rPr>
        <w:t>(Sursa: Ministerul Mediului, Apelor și Pădurilor,  Strategia naţională de gestionare a nămolurilor de epurare - proiect POSM/6/AT/I.1.2010, "Elaborarea politicii naționale de gestionare a nămolului de epurare")</w:t>
      </w:r>
    </w:p>
    <w:p w14:paraId="737033B7" w14:textId="77777777" w:rsidR="00AE17B2" w:rsidRDefault="00AE17B2" w:rsidP="00AE17B2">
      <w:pPr>
        <w:spacing w:after="0" w:line="240" w:lineRule="auto"/>
        <w:ind w:firstLine="720"/>
        <w:jc w:val="both"/>
        <w:rPr>
          <w:rFonts w:ascii="Arial" w:hAnsi="Arial" w:cs="Arial"/>
          <w:sz w:val="24"/>
          <w:szCs w:val="24"/>
          <w:lang w:val="it-IT"/>
        </w:rPr>
      </w:pPr>
    </w:p>
    <w:p w14:paraId="327CDA82" w14:textId="77777777" w:rsidR="00AE17B2" w:rsidRPr="00A642A3" w:rsidRDefault="00AE17B2" w:rsidP="00AE17B2">
      <w:pPr>
        <w:spacing w:after="120" w:line="240" w:lineRule="auto"/>
        <w:ind w:firstLine="720"/>
        <w:jc w:val="both"/>
        <w:rPr>
          <w:rFonts w:ascii="Arial" w:hAnsi="Arial" w:cs="Arial"/>
          <w:sz w:val="24"/>
          <w:szCs w:val="24"/>
          <w:lang w:val="it-IT"/>
        </w:rPr>
      </w:pPr>
      <w:r>
        <w:rPr>
          <w:rFonts w:ascii="Arial" w:hAnsi="Arial" w:cs="Arial"/>
          <w:sz w:val="24"/>
          <w:szCs w:val="24"/>
          <w:lang w:val="it-IT"/>
        </w:rPr>
        <w:t xml:space="preserve">Din analiza comparativă a datelor din </w:t>
      </w:r>
      <w:r w:rsidRPr="00D16238">
        <w:rPr>
          <w:rFonts w:ascii="Arial" w:hAnsi="Arial" w:cs="Arial"/>
          <w:sz w:val="24"/>
          <w:szCs w:val="24"/>
          <w:lang w:val="it-IT"/>
        </w:rPr>
        <w:t>Tabel</w:t>
      </w:r>
      <w:r>
        <w:rPr>
          <w:rFonts w:ascii="Arial" w:hAnsi="Arial" w:cs="Arial"/>
          <w:sz w:val="24"/>
          <w:szCs w:val="24"/>
          <w:lang w:val="it-IT"/>
        </w:rPr>
        <w:t xml:space="preserve">ul </w:t>
      </w:r>
      <w:r w:rsidRPr="00D16238">
        <w:rPr>
          <w:rFonts w:ascii="Arial" w:hAnsi="Arial" w:cs="Arial"/>
          <w:sz w:val="24"/>
          <w:szCs w:val="24"/>
          <w:lang w:val="it-IT"/>
        </w:rPr>
        <w:t>II.2.2.2.5</w:t>
      </w:r>
      <w:r>
        <w:rPr>
          <w:rFonts w:ascii="Arial" w:hAnsi="Arial" w:cs="Arial"/>
          <w:sz w:val="24"/>
          <w:szCs w:val="24"/>
          <w:lang w:val="it-IT"/>
        </w:rPr>
        <w:t xml:space="preserve"> și Figurile</w:t>
      </w:r>
      <w:r w:rsidRPr="00D16238">
        <w:t xml:space="preserve"> </w:t>
      </w:r>
      <w:r w:rsidRPr="00D16238">
        <w:rPr>
          <w:rFonts w:ascii="Arial" w:hAnsi="Arial" w:cs="Arial"/>
          <w:sz w:val="24"/>
          <w:szCs w:val="24"/>
          <w:lang w:val="it-IT"/>
        </w:rPr>
        <w:t>II.2.2.2.1</w:t>
      </w:r>
      <w:r>
        <w:rPr>
          <w:rFonts w:ascii="Arial" w:hAnsi="Arial" w:cs="Arial"/>
          <w:sz w:val="24"/>
          <w:szCs w:val="24"/>
          <w:lang w:val="it-IT"/>
        </w:rPr>
        <w:t xml:space="preserve">0 și </w:t>
      </w:r>
      <w:r w:rsidRPr="00D16238">
        <w:rPr>
          <w:rFonts w:ascii="Arial" w:hAnsi="Arial" w:cs="Arial"/>
          <w:sz w:val="24"/>
          <w:szCs w:val="24"/>
          <w:lang w:val="it-IT"/>
        </w:rPr>
        <w:t>II.2.2.2.1</w:t>
      </w:r>
      <w:r>
        <w:rPr>
          <w:rFonts w:ascii="Arial" w:hAnsi="Arial" w:cs="Arial"/>
          <w:sz w:val="24"/>
          <w:szCs w:val="24"/>
          <w:lang w:val="it-IT"/>
        </w:rPr>
        <w:t xml:space="preserve">1, scenariul planificării pentru </w:t>
      </w:r>
      <w:r w:rsidRPr="00A642A3">
        <w:rPr>
          <w:rFonts w:ascii="Arial" w:hAnsi="Arial" w:cs="Arial"/>
          <w:sz w:val="24"/>
          <w:szCs w:val="24"/>
          <w:lang w:val="it-IT"/>
        </w:rPr>
        <w:t>anul 2018 este</w:t>
      </w:r>
      <w:r>
        <w:rPr>
          <w:rFonts w:ascii="Arial" w:hAnsi="Arial" w:cs="Arial"/>
          <w:sz w:val="24"/>
          <w:szCs w:val="24"/>
          <w:lang w:val="it-IT"/>
        </w:rPr>
        <w:t xml:space="preserve"> optimist, având în vedere că acesta a plecat de la ipoteza că aglomerările umane cu mai mult de 2.000 l.e. vor fi dotate toate cu stații de epurare corespunzătoare, ceea ce de fapt nu s-a realizat practic. </w:t>
      </w:r>
      <w:r w:rsidRPr="00A642A3">
        <w:rPr>
          <w:rFonts w:ascii="Arial" w:hAnsi="Arial" w:cs="Arial"/>
          <w:sz w:val="24"/>
          <w:szCs w:val="24"/>
          <w:lang w:val="it-IT"/>
        </w:rPr>
        <w:t>Astfel, la nivelul anului 20</w:t>
      </w:r>
      <w:r>
        <w:rPr>
          <w:rFonts w:ascii="Arial" w:hAnsi="Arial" w:cs="Arial"/>
          <w:sz w:val="24"/>
          <w:szCs w:val="24"/>
          <w:lang w:val="it-IT"/>
        </w:rPr>
        <w:t>21</w:t>
      </w:r>
      <w:r w:rsidRPr="00A642A3">
        <w:rPr>
          <w:rFonts w:ascii="Arial" w:hAnsi="Arial" w:cs="Arial"/>
          <w:sz w:val="24"/>
          <w:szCs w:val="24"/>
          <w:lang w:val="it-IT"/>
        </w:rPr>
        <w:t xml:space="preserve">, cantitatea de nămol generată în stațiile de epurare urbană a atins </w:t>
      </w:r>
      <w:r w:rsidRPr="00A642A3">
        <w:rPr>
          <w:rFonts w:ascii="Arial" w:hAnsi="Arial" w:cs="Arial"/>
          <w:sz w:val="24"/>
          <w:szCs w:val="24"/>
          <w:lang w:val="it-IT"/>
        </w:rPr>
        <w:lastRenderedPageBreak/>
        <w:t>aprox</w:t>
      </w:r>
      <w:r w:rsidRPr="00E95E80">
        <w:rPr>
          <w:rFonts w:ascii="Arial" w:hAnsi="Arial" w:cs="Arial"/>
          <w:sz w:val="24"/>
          <w:szCs w:val="24"/>
          <w:lang w:val="it-IT"/>
        </w:rPr>
        <w:t xml:space="preserve">. </w:t>
      </w:r>
      <w:r>
        <w:rPr>
          <w:rFonts w:ascii="Arial" w:hAnsi="Arial" w:cs="Arial"/>
          <w:sz w:val="24"/>
          <w:szCs w:val="24"/>
          <w:lang w:val="it-IT"/>
        </w:rPr>
        <w:t>62</w:t>
      </w:r>
      <w:r w:rsidRPr="00D5087E">
        <w:rPr>
          <w:rFonts w:ascii="Arial" w:hAnsi="Arial" w:cs="Arial"/>
          <w:sz w:val="24"/>
          <w:szCs w:val="24"/>
          <w:lang w:val="it-IT"/>
        </w:rPr>
        <w:t>%</w:t>
      </w:r>
      <w:r w:rsidRPr="00A642A3">
        <w:rPr>
          <w:rFonts w:ascii="Arial" w:hAnsi="Arial" w:cs="Arial"/>
          <w:sz w:val="24"/>
          <w:szCs w:val="24"/>
          <w:lang w:val="it-IT"/>
        </w:rPr>
        <w:t xml:space="preserve"> valoarea planificată din anul 2015, valoare care se situează la cca. </w:t>
      </w:r>
      <w:r>
        <w:rPr>
          <w:rFonts w:ascii="Arial" w:hAnsi="Arial" w:cs="Arial"/>
          <w:sz w:val="24"/>
          <w:szCs w:val="24"/>
          <w:lang w:val="it-IT"/>
        </w:rPr>
        <w:t>51</w:t>
      </w:r>
      <w:r w:rsidRPr="00A642A3">
        <w:rPr>
          <w:rFonts w:ascii="Arial" w:hAnsi="Arial" w:cs="Arial"/>
          <w:sz w:val="24"/>
          <w:szCs w:val="24"/>
          <w:lang w:val="it-IT"/>
        </w:rPr>
        <w:t xml:space="preserve">% din valoarea aferentă anului 2018. </w:t>
      </w:r>
    </w:p>
    <w:p w14:paraId="7AD77DC5" w14:textId="77777777" w:rsidR="00AE17B2" w:rsidRPr="00FC6EFE" w:rsidRDefault="00AE17B2" w:rsidP="00AE17B2">
      <w:pPr>
        <w:spacing w:after="0" w:line="240" w:lineRule="auto"/>
        <w:ind w:firstLine="720"/>
        <w:jc w:val="both"/>
        <w:rPr>
          <w:rFonts w:ascii="Arial" w:hAnsi="Arial" w:cs="Arial"/>
          <w:sz w:val="24"/>
          <w:szCs w:val="24"/>
          <w:lang w:val="it-IT"/>
        </w:rPr>
      </w:pPr>
      <w:r w:rsidRPr="00A642A3">
        <w:rPr>
          <w:rFonts w:ascii="Arial" w:hAnsi="Arial" w:cs="Arial"/>
          <w:sz w:val="24"/>
          <w:szCs w:val="24"/>
          <w:lang w:val="it-IT"/>
        </w:rPr>
        <w:t>În vederea accelerării procesului de conformare, Planul</w:t>
      </w:r>
      <w:r w:rsidRPr="00E50B5E">
        <w:rPr>
          <w:rFonts w:ascii="Arial" w:hAnsi="Arial" w:cs="Arial"/>
          <w:sz w:val="24"/>
          <w:szCs w:val="24"/>
          <w:lang w:val="it-IT"/>
        </w:rPr>
        <w:t xml:space="preserve"> de conformare pentru implementare</w:t>
      </w:r>
      <w:r>
        <w:rPr>
          <w:rFonts w:ascii="Arial" w:hAnsi="Arial" w:cs="Arial"/>
          <w:sz w:val="24"/>
          <w:szCs w:val="24"/>
          <w:lang w:val="it-IT"/>
        </w:rPr>
        <w:t xml:space="preserve"> </w:t>
      </w:r>
      <w:r w:rsidRPr="00E50B5E">
        <w:rPr>
          <w:rFonts w:ascii="Arial" w:hAnsi="Arial" w:cs="Arial"/>
          <w:sz w:val="24"/>
          <w:szCs w:val="24"/>
          <w:lang w:val="it-IT"/>
        </w:rPr>
        <w:t xml:space="preserve">a directivei privind </w:t>
      </w:r>
      <w:r>
        <w:rPr>
          <w:rFonts w:ascii="Arial" w:hAnsi="Arial" w:cs="Arial"/>
          <w:sz w:val="24"/>
          <w:szCs w:val="24"/>
          <w:lang w:val="it-IT"/>
        </w:rPr>
        <w:t>epurarea</w:t>
      </w:r>
      <w:r w:rsidRPr="00E50B5E">
        <w:rPr>
          <w:rFonts w:ascii="Arial" w:hAnsi="Arial" w:cs="Arial"/>
          <w:sz w:val="24"/>
          <w:szCs w:val="24"/>
          <w:lang w:val="it-IT"/>
        </w:rPr>
        <w:t xml:space="preserve"> apelor </w:t>
      </w:r>
      <w:r>
        <w:rPr>
          <w:rFonts w:ascii="Arial" w:hAnsi="Arial" w:cs="Arial"/>
          <w:sz w:val="24"/>
          <w:szCs w:val="24"/>
          <w:lang w:val="it-IT"/>
        </w:rPr>
        <w:t xml:space="preserve">uzate </w:t>
      </w:r>
      <w:r w:rsidRPr="00E50B5E">
        <w:rPr>
          <w:rFonts w:ascii="Arial" w:hAnsi="Arial" w:cs="Arial"/>
          <w:sz w:val="24"/>
          <w:szCs w:val="24"/>
          <w:lang w:val="it-IT"/>
        </w:rPr>
        <w:t xml:space="preserve">urbane este în curs de actualizare, </w:t>
      </w:r>
      <w:r>
        <w:rPr>
          <w:rFonts w:ascii="Arial" w:hAnsi="Arial" w:cs="Arial"/>
          <w:sz w:val="24"/>
          <w:szCs w:val="24"/>
          <w:lang w:val="it-IT"/>
        </w:rPr>
        <w:t xml:space="preserve">constituind unul dintre obiectivele </w:t>
      </w:r>
      <w:r w:rsidRPr="00E50B5E">
        <w:rPr>
          <w:rFonts w:ascii="Arial" w:hAnsi="Arial" w:cs="Arial"/>
          <w:sz w:val="24"/>
          <w:szCs w:val="24"/>
          <w:lang w:val="it-IT"/>
        </w:rPr>
        <w:t>proiect</w:t>
      </w:r>
      <w:r>
        <w:rPr>
          <w:rFonts w:ascii="Arial" w:hAnsi="Arial" w:cs="Arial"/>
          <w:sz w:val="24"/>
          <w:szCs w:val="24"/>
          <w:lang w:val="it-IT"/>
        </w:rPr>
        <w:t>ului</w:t>
      </w:r>
      <w:r w:rsidRPr="00E50B5E">
        <w:rPr>
          <w:rFonts w:ascii="Arial" w:hAnsi="Arial" w:cs="Arial"/>
          <w:sz w:val="24"/>
          <w:szCs w:val="24"/>
          <w:lang w:val="it-IT"/>
        </w:rPr>
        <w:t xml:space="preserve"> de asistență tehnică, denumit </w:t>
      </w:r>
      <w:r w:rsidRPr="00E50B5E">
        <w:rPr>
          <w:rFonts w:ascii="Arial" w:hAnsi="Arial" w:cs="Arial"/>
          <w:b/>
          <w:bCs/>
          <w:sz w:val="24"/>
          <w:szCs w:val="24"/>
          <w:lang w:val="it-IT"/>
        </w:rPr>
        <w:t>„Îmbunătățirea capacității autorității publice centrale în domeniul managementului apelor în ceea ce privește  planificarea, implementarea și raportarea cerințelor europene din domeniul apelor”</w:t>
      </w:r>
      <w:r>
        <w:rPr>
          <w:rFonts w:ascii="Arial" w:hAnsi="Arial" w:cs="Arial"/>
          <w:b/>
          <w:bCs/>
          <w:sz w:val="24"/>
          <w:szCs w:val="24"/>
          <w:lang w:val="it-IT"/>
        </w:rPr>
        <w:t>.</w:t>
      </w:r>
      <w:r w:rsidRPr="00FC6EFE">
        <w:t xml:space="preserve"> </w:t>
      </w:r>
      <w:r w:rsidRPr="00FC6EFE">
        <w:rPr>
          <w:rFonts w:ascii="Arial" w:hAnsi="Arial" w:cs="Arial"/>
          <w:sz w:val="24"/>
          <w:szCs w:val="24"/>
          <w:lang w:val="it-IT"/>
        </w:rPr>
        <w:t xml:space="preserve">Proiectul este finanțat din fonduri europene prin Programul Operațional Capacitate Administrativă 2014-2020, Axa prioritară Administrație publică și sistem judiciar eficiente, obiectivul specific OS 1.1 Dezvoltarea și introducerea de sisteme și standarde comune în administrația publică ce optimizează procesele decizionale orientate către cetățeni și mediul de afaceri în concordanță cu SCAP.  Liderul de proiect este Ministerul Mediului, Apelor și Pădurilor, Administrația Națională  „Apele Române” partener de implementare, iar consultanții Băncii Mondiale asigură asistență  tehnică pe durata celor </w:t>
      </w:r>
      <w:r>
        <w:rPr>
          <w:rFonts w:ascii="Arial" w:hAnsi="Arial" w:cs="Arial"/>
          <w:sz w:val="24"/>
          <w:szCs w:val="24"/>
          <w:lang w:val="it-IT"/>
        </w:rPr>
        <w:t>31</w:t>
      </w:r>
      <w:r w:rsidRPr="00FC6EFE">
        <w:rPr>
          <w:rFonts w:ascii="Arial" w:hAnsi="Arial" w:cs="Arial"/>
          <w:sz w:val="24"/>
          <w:szCs w:val="24"/>
          <w:lang w:val="it-IT"/>
        </w:rPr>
        <w:t xml:space="preserve"> luni de desfășurare a proiectului (2019-202</w:t>
      </w:r>
      <w:r>
        <w:rPr>
          <w:rFonts w:ascii="Arial" w:hAnsi="Arial" w:cs="Arial"/>
          <w:sz w:val="24"/>
          <w:szCs w:val="24"/>
          <w:lang w:val="it-IT"/>
        </w:rPr>
        <w:t>2</w:t>
      </w:r>
      <w:r w:rsidRPr="00FC6EFE">
        <w:rPr>
          <w:rFonts w:ascii="Arial" w:hAnsi="Arial" w:cs="Arial"/>
          <w:sz w:val="24"/>
          <w:szCs w:val="24"/>
          <w:lang w:val="it-IT"/>
        </w:rPr>
        <w:t xml:space="preserve">). </w:t>
      </w:r>
    </w:p>
    <w:p w14:paraId="3800F8E3" w14:textId="77777777" w:rsidR="00AE17B2" w:rsidRPr="00FC6EFE" w:rsidRDefault="00AE17B2" w:rsidP="00AE17B2">
      <w:pPr>
        <w:spacing w:after="0" w:line="240" w:lineRule="auto"/>
        <w:ind w:firstLine="720"/>
        <w:jc w:val="both"/>
        <w:rPr>
          <w:rFonts w:ascii="Arial" w:hAnsi="Arial" w:cs="Arial"/>
          <w:sz w:val="24"/>
          <w:szCs w:val="24"/>
          <w:lang w:val="it-IT"/>
        </w:rPr>
      </w:pPr>
      <w:r w:rsidRPr="00FC6EFE">
        <w:rPr>
          <w:rFonts w:ascii="Arial" w:hAnsi="Arial" w:cs="Arial"/>
          <w:sz w:val="24"/>
          <w:szCs w:val="24"/>
          <w:lang w:val="it-IT"/>
        </w:rPr>
        <w:t xml:space="preserve">Proiectul contribuie la fundamentarea și sprijinirea măsurilor ce vizează adaptarea structurilor, optimizarea proceselor și pregătirea resurselor umane necesare îndeplinirii obligațiilor asumate prin aquis-ul comunitar, respectiv conformarea acceleartă cu cerințele Directivei 91/271/CEE privind epurarea apelor uzate provenite de la aglomerări umane în scopul consolidării capacității autorităților și instituțiilor publice din domeniul gospodăririi apelor. Obiectivele și activitățile specifice ale proiectului vizează în principal: reactualizarea Planului de Implementare al Directivei 91/271/CEE privind epurarea apelor uzate urbane, pe baza unei noi metodologii de delimitare a aglomerărilor umane și de calcul al încărcării acestora; elaborarea Strategiei naționale privind alimentarea cu apa, colectarea si epurarea apelor uzate urbane; dezvoltarea si implementarea la nivelul Administrației Naționale „Apele Române” a unui sistem electronic de colectare, prelucrare si raportare a datelor; elaborarea și promovarea unui proiect de act normativ pentru definirea obligațiilor și responsabilitățile legate de colectarea și epurarea apelor uzate urbane. </w:t>
      </w:r>
    </w:p>
    <w:p w14:paraId="1858DBEF" w14:textId="77777777" w:rsidR="00AE17B2" w:rsidRPr="00FC6EFE" w:rsidRDefault="00AE17B2" w:rsidP="00AE17B2">
      <w:pPr>
        <w:spacing w:after="0" w:line="240" w:lineRule="auto"/>
        <w:ind w:firstLine="720"/>
        <w:jc w:val="both"/>
        <w:rPr>
          <w:rFonts w:ascii="Arial" w:hAnsi="Arial" w:cs="Arial"/>
          <w:sz w:val="24"/>
          <w:szCs w:val="24"/>
          <w:lang w:val="it-IT"/>
        </w:rPr>
      </w:pPr>
      <w:r w:rsidRPr="00FC6EFE">
        <w:rPr>
          <w:rFonts w:ascii="Arial" w:hAnsi="Arial" w:cs="Arial"/>
          <w:sz w:val="24"/>
          <w:szCs w:val="24"/>
          <w:lang w:val="it-IT"/>
        </w:rPr>
        <w:t>Informații privind proiectul și derularea activităților de implementare pot fi accesate pe website-ul Administrației Naționale „Apele Române”, la adresa</w:t>
      </w:r>
      <w:r w:rsidRPr="00CF445F">
        <w:rPr>
          <w:rFonts w:ascii="Arial" w:hAnsi="Arial" w:cs="Arial"/>
          <w:lang w:val="it-IT"/>
        </w:rPr>
        <w:t xml:space="preserve">: </w:t>
      </w:r>
      <w:hyperlink r:id="rId78" w:history="1">
        <w:r w:rsidRPr="00163BCA">
          <w:rPr>
            <w:rStyle w:val="Hyperlink"/>
            <w:rFonts w:ascii="Arial" w:hAnsi="Arial" w:cs="Arial"/>
            <w:sz w:val="24"/>
            <w:szCs w:val="24"/>
          </w:rPr>
          <w:t>Proiectul SIPOCA 588 – Administrația Națională Apele Române (rowater.ro)</w:t>
        </w:r>
      </w:hyperlink>
      <w:r w:rsidRPr="00CF445F">
        <w:rPr>
          <w:rFonts w:ascii="Arial" w:hAnsi="Arial" w:cs="Arial"/>
          <w:sz w:val="24"/>
          <w:szCs w:val="24"/>
          <w:lang w:val="it-IT"/>
        </w:rPr>
        <w:t>,</w:t>
      </w:r>
      <w:r w:rsidRPr="00FC6EFE">
        <w:rPr>
          <w:rFonts w:ascii="Arial" w:hAnsi="Arial" w:cs="Arial"/>
          <w:sz w:val="24"/>
          <w:szCs w:val="24"/>
          <w:lang w:val="it-IT"/>
        </w:rPr>
        <w:t xml:space="preserve"> precum și pe cele ale Administrațiilor Bazinale de Apă.</w:t>
      </w:r>
    </w:p>
    <w:p w14:paraId="23FA0D88" w14:textId="77777777" w:rsidR="00AE17B2" w:rsidRDefault="00AE17B2" w:rsidP="00AE17B2">
      <w:pPr>
        <w:spacing w:after="0" w:line="240" w:lineRule="auto"/>
        <w:ind w:firstLine="634"/>
        <w:jc w:val="both"/>
        <w:rPr>
          <w:rFonts w:ascii="Arial" w:hAnsi="Arial" w:cs="Arial"/>
          <w:sz w:val="24"/>
          <w:szCs w:val="24"/>
          <w:lang w:val="it-IT"/>
        </w:rPr>
      </w:pPr>
      <w:r w:rsidRPr="00E50B5E">
        <w:rPr>
          <w:rFonts w:ascii="Arial" w:hAnsi="Arial" w:cs="Arial"/>
          <w:sz w:val="24"/>
          <w:szCs w:val="24"/>
          <w:lang w:val="it-IT"/>
        </w:rPr>
        <w:t xml:space="preserve">Autoritățile române competente </w:t>
      </w:r>
      <w:r>
        <w:rPr>
          <w:rFonts w:ascii="Arial" w:hAnsi="Arial" w:cs="Arial"/>
          <w:sz w:val="24"/>
          <w:szCs w:val="24"/>
          <w:lang w:val="it-IT"/>
        </w:rPr>
        <w:t xml:space="preserve">consideră </w:t>
      </w:r>
      <w:r w:rsidRPr="00E50B5E">
        <w:rPr>
          <w:rFonts w:ascii="Arial" w:hAnsi="Arial" w:cs="Arial"/>
          <w:sz w:val="24"/>
          <w:szCs w:val="24"/>
          <w:lang w:val="it-IT"/>
        </w:rPr>
        <w:t xml:space="preserve">că actualizarea Planului de </w:t>
      </w:r>
      <w:r w:rsidRPr="00FC6EFE">
        <w:rPr>
          <w:rFonts w:ascii="Arial" w:hAnsi="Arial" w:cs="Arial"/>
          <w:sz w:val="24"/>
          <w:szCs w:val="24"/>
          <w:lang w:val="it-IT"/>
        </w:rPr>
        <w:t xml:space="preserve">implementare  accelerată </w:t>
      </w:r>
      <w:r>
        <w:rPr>
          <w:rFonts w:ascii="Arial" w:hAnsi="Arial" w:cs="Arial"/>
          <w:sz w:val="24"/>
          <w:szCs w:val="24"/>
          <w:lang w:val="it-IT"/>
        </w:rPr>
        <w:t xml:space="preserve">este parte integrantă din </w:t>
      </w:r>
      <w:r w:rsidRPr="00E50B5E">
        <w:rPr>
          <w:rFonts w:ascii="Arial" w:hAnsi="Arial" w:cs="Arial"/>
          <w:sz w:val="24"/>
          <w:szCs w:val="24"/>
          <w:lang w:val="it-IT"/>
        </w:rPr>
        <w:t>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w:t>
      </w:r>
      <w:r>
        <w:rPr>
          <w:rFonts w:ascii="Arial" w:hAnsi="Arial" w:cs="Arial"/>
          <w:sz w:val="24"/>
          <w:szCs w:val="24"/>
          <w:lang w:val="it-IT"/>
        </w:rPr>
        <w:t xml:space="preserve"> </w:t>
      </w:r>
      <w:r w:rsidRPr="00E50B5E">
        <w:rPr>
          <w:rFonts w:ascii="Arial" w:hAnsi="Arial" w:cs="Arial"/>
          <w:sz w:val="24"/>
          <w:szCs w:val="24"/>
          <w:lang w:val="it-IT"/>
        </w:rPr>
        <w:t xml:space="preserve">De asemenea, în cadrul acestui proiect va fi dezvoltată, de </w:t>
      </w:r>
      <w:r>
        <w:rPr>
          <w:rFonts w:ascii="Arial" w:hAnsi="Arial" w:cs="Arial"/>
          <w:sz w:val="24"/>
          <w:szCs w:val="24"/>
          <w:lang w:val="it-IT"/>
        </w:rPr>
        <w:t xml:space="preserve">către </w:t>
      </w:r>
      <w:r w:rsidRPr="00E50B5E">
        <w:rPr>
          <w:rFonts w:ascii="Arial" w:hAnsi="Arial" w:cs="Arial"/>
          <w:sz w:val="24"/>
          <w:szCs w:val="24"/>
          <w:lang w:val="it-IT"/>
        </w:rPr>
        <w:t xml:space="preserve">Ministerul </w:t>
      </w:r>
      <w:r>
        <w:rPr>
          <w:rFonts w:ascii="Arial" w:hAnsi="Arial" w:cs="Arial"/>
          <w:sz w:val="24"/>
          <w:szCs w:val="24"/>
          <w:lang w:val="it-IT"/>
        </w:rPr>
        <w:t xml:space="preserve">Mediului, </w:t>
      </w:r>
      <w:r w:rsidRPr="00E50B5E">
        <w:rPr>
          <w:rFonts w:ascii="Arial" w:hAnsi="Arial" w:cs="Arial"/>
          <w:sz w:val="24"/>
          <w:szCs w:val="24"/>
          <w:lang w:val="it-IT"/>
        </w:rPr>
        <w:t xml:space="preserve">Apelor și Pădurilor o </w:t>
      </w:r>
      <w:r w:rsidRPr="00E50B5E">
        <w:rPr>
          <w:rFonts w:ascii="Arial" w:hAnsi="Arial" w:cs="Arial"/>
          <w:b/>
          <w:bCs/>
          <w:sz w:val="24"/>
          <w:szCs w:val="24"/>
          <w:lang w:val="it-IT"/>
        </w:rPr>
        <w:t>Strategie națională privind alimentarea cu apă, colectarea și epurarea apelor uzate și revizuirea reglementărilor în vederea creșterii eficienței în aplicarea legislației specifice</w:t>
      </w:r>
      <w:r w:rsidRPr="00E50B5E">
        <w:rPr>
          <w:rFonts w:ascii="Arial" w:hAnsi="Arial" w:cs="Arial"/>
          <w:sz w:val="24"/>
          <w:szCs w:val="24"/>
          <w:lang w:val="it-IT"/>
        </w:rPr>
        <w:t>. În cadrul Strategiei naționale se va stabili modul în care vor continua planificarea, finanțarea și realizarea infrastructurii specifice. Autoritățile române competente estimează că Strategia națională va fi finalizată, similar cu Planul de conformare, la un termen corelat cu termenul ce se va stabili în cadrul memorandumului pentru evaluarea națională și planul de acțiune privind îndeplinirea condiției favorizante.</w:t>
      </w:r>
    </w:p>
    <w:p w14:paraId="4AE5EC9A" w14:textId="77777777" w:rsidR="00AE17B2" w:rsidRPr="00E50B5E" w:rsidRDefault="00AE17B2" w:rsidP="00AE17B2">
      <w:pPr>
        <w:spacing w:before="120" w:after="0" w:line="240" w:lineRule="auto"/>
        <w:ind w:firstLine="634"/>
        <w:jc w:val="both"/>
        <w:rPr>
          <w:rFonts w:ascii="Arial" w:hAnsi="Arial" w:cs="Arial"/>
          <w:sz w:val="24"/>
          <w:szCs w:val="24"/>
          <w:lang w:val="it-IT"/>
        </w:rPr>
      </w:pPr>
      <w:r>
        <w:rPr>
          <w:rFonts w:ascii="Arial" w:hAnsi="Arial" w:cs="Arial"/>
          <w:sz w:val="24"/>
          <w:szCs w:val="24"/>
          <w:lang w:val="it-IT"/>
        </w:rPr>
        <w:t xml:space="preserve">Proiectul mai sus menționat se va sprijini pe rezultatele obținute din alt proiect </w:t>
      </w:r>
      <w:r w:rsidRPr="00E50B5E">
        <w:rPr>
          <w:rFonts w:ascii="Arial" w:hAnsi="Arial" w:cs="Arial"/>
          <w:sz w:val="24"/>
          <w:szCs w:val="24"/>
          <w:lang w:val="it-IT"/>
        </w:rPr>
        <w:t>de asistență tehnică finanțat din Programul Operațional Asistență Tehnică</w:t>
      </w:r>
      <w:r>
        <w:rPr>
          <w:rFonts w:ascii="Arial" w:hAnsi="Arial" w:cs="Arial"/>
          <w:sz w:val="24"/>
          <w:szCs w:val="24"/>
          <w:lang w:val="it-IT"/>
        </w:rPr>
        <w:t xml:space="preserve"> 2014-2020</w:t>
      </w:r>
      <w:r w:rsidRPr="00E50B5E">
        <w:rPr>
          <w:rFonts w:ascii="Arial" w:hAnsi="Arial" w:cs="Arial"/>
          <w:sz w:val="24"/>
          <w:szCs w:val="24"/>
          <w:lang w:val="it-IT"/>
        </w:rPr>
        <w:t xml:space="preserve">, implementat de Ministerul Fondurilor Europene, prin Autoritatea de Management pentru Programul Operațional Infrastructură Mare (AM POIM), </w:t>
      </w:r>
      <w:r w:rsidRPr="00FC6EFE">
        <w:rPr>
          <w:rFonts w:ascii="Arial" w:hAnsi="Arial" w:cs="Arial"/>
          <w:sz w:val="24"/>
          <w:szCs w:val="24"/>
          <w:lang w:val="it-IT"/>
        </w:rPr>
        <w:t>sub asistența tehnică a  Băncii Europene de Reconstrucție și Dezvoltare (BERD)</w:t>
      </w:r>
      <w:r>
        <w:rPr>
          <w:rFonts w:ascii="Arial" w:hAnsi="Arial" w:cs="Arial"/>
          <w:sz w:val="24"/>
          <w:szCs w:val="24"/>
          <w:lang w:val="it-IT"/>
        </w:rPr>
        <w:t xml:space="preserve"> și</w:t>
      </w:r>
      <w:r w:rsidRPr="00FC6EFE">
        <w:rPr>
          <w:rFonts w:ascii="Arial" w:hAnsi="Arial" w:cs="Arial"/>
          <w:sz w:val="24"/>
          <w:szCs w:val="24"/>
          <w:lang w:val="it-IT"/>
        </w:rPr>
        <w:t xml:space="preserve"> </w:t>
      </w:r>
      <w:r w:rsidRPr="00E50B5E">
        <w:rPr>
          <w:rFonts w:ascii="Arial" w:hAnsi="Arial" w:cs="Arial"/>
          <w:sz w:val="24"/>
          <w:szCs w:val="24"/>
          <w:lang w:val="it-IT"/>
        </w:rPr>
        <w:t xml:space="preserve">în colaborare cu Ministerul Apelor și </w:t>
      </w:r>
      <w:r w:rsidRPr="00E50B5E">
        <w:rPr>
          <w:rFonts w:ascii="Arial" w:hAnsi="Arial" w:cs="Arial"/>
          <w:sz w:val="24"/>
          <w:szCs w:val="24"/>
          <w:lang w:val="it-IT"/>
        </w:rPr>
        <w:lastRenderedPageBreak/>
        <w:t>Pădurilor, Asociația Română a Apei și Autoritatea Națională de Reglementare pentru Serviciile Comunitare de Utilități Publice.</w:t>
      </w:r>
      <w:r>
        <w:rPr>
          <w:rFonts w:ascii="Arial" w:hAnsi="Arial" w:cs="Arial"/>
          <w:sz w:val="24"/>
          <w:szCs w:val="24"/>
          <w:lang w:val="it-IT"/>
        </w:rPr>
        <w:t xml:space="preserve"> </w:t>
      </w:r>
      <w:r w:rsidRPr="00E50B5E">
        <w:rPr>
          <w:rFonts w:ascii="Arial" w:hAnsi="Arial" w:cs="Arial"/>
          <w:sz w:val="24"/>
          <w:szCs w:val="24"/>
          <w:lang w:val="it-IT"/>
        </w:rPr>
        <w:t>Proiectul prevede:</w:t>
      </w:r>
    </w:p>
    <w:p w14:paraId="71B2B3BF" w14:textId="77777777" w:rsidR="00AE17B2" w:rsidRPr="00E50B5E" w:rsidRDefault="00AE17B2" w:rsidP="0054709F">
      <w:pPr>
        <w:numPr>
          <w:ilvl w:val="0"/>
          <w:numId w:val="29"/>
        </w:numPr>
        <w:spacing w:after="0" w:line="240" w:lineRule="auto"/>
        <w:ind w:left="270" w:hanging="270"/>
        <w:jc w:val="both"/>
        <w:rPr>
          <w:rFonts w:ascii="Arial" w:hAnsi="Arial" w:cs="Arial"/>
          <w:sz w:val="24"/>
          <w:szCs w:val="24"/>
          <w:lang w:val="it-IT"/>
        </w:rPr>
      </w:pPr>
      <w:r w:rsidRPr="00E50B5E">
        <w:rPr>
          <w:rFonts w:ascii="Arial" w:hAnsi="Arial" w:cs="Arial"/>
          <w:sz w:val="24"/>
          <w:szCs w:val="24"/>
          <w:lang w:val="it-IT"/>
        </w:rPr>
        <w:t>o analiză completă a sectorului de apă și apă uzată;</w:t>
      </w:r>
    </w:p>
    <w:p w14:paraId="6FA6A47D" w14:textId="77777777" w:rsidR="00AE17B2" w:rsidRPr="00E50B5E" w:rsidRDefault="00AE17B2" w:rsidP="0054709F">
      <w:pPr>
        <w:numPr>
          <w:ilvl w:val="0"/>
          <w:numId w:val="29"/>
        </w:numPr>
        <w:spacing w:after="0" w:line="240" w:lineRule="auto"/>
        <w:ind w:left="270" w:hanging="270"/>
        <w:jc w:val="both"/>
        <w:rPr>
          <w:rFonts w:ascii="Arial" w:hAnsi="Arial" w:cs="Arial"/>
          <w:sz w:val="24"/>
          <w:szCs w:val="24"/>
          <w:lang w:val="it-IT"/>
        </w:rPr>
      </w:pPr>
      <w:r w:rsidRPr="00E50B5E">
        <w:rPr>
          <w:rFonts w:ascii="Arial" w:hAnsi="Arial" w:cs="Arial"/>
          <w:sz w:val="24"/>
          <w:szCs w:val="24"/>
          <w:lang w:val="it-IT"/>
        </w:rPr>
        <w:t>opțiuni strategice privind dezvoltarea și consolidarea politicii de regionalizare;</w:t>
      </w:r>
    </w:p>
    <w:p w14:paraId="67014439" w14:textId="77777777" w:rsidR="00AE17B2" w:rsidRPr="00E50B5E" w:rsidRDefault="00AE17B2" w:rsidP="0054709F">
      <w:pPr>
        <w:numPr>
          <w:ilvl w:val="0"/>
          <w:numId w:val="29"/>
        </w:numPr>
        <w:spacing w:after="0" w:line="240" w:lineRule="auto"/>
        <w:ind w:left="270" w:hanging="270"/>
        <w:jc w:val="both"/>
        <w:rPr>
          <w:rFonts w:ascii="Arial" w:hAnsi="Arial" w:cs="Arial"/>
          <w:sz w:val="24"/>
          <w:szCs w:val="24"/>
          <w:lang w:val="it-IT"/>
        </w:rPr>
      </w:pPr>
      <w:r w:rsidRPr="00E50B5E">
        <w:rPr>
          <w:rFonts w:ascii="Arial" w:hAnsi="Arial" w:cs="Arial"/>
          <w:sz w:val="24"/>
          <w:szCs w:val="24"/>
          <w:lang w:val="it-IT"/>
        </w:rPr>
        <w:t>stabilirea acelorași tipuri de indicatori în contractul de delegare, calculați în baza unei metodologii comune;</w:t>
      </w:r>
    </w:p>
    <w:p w14:paraId="36A31F71" w14:textId="77777777" w:rsidR="00AE17B2" w:rsidRPr="00E50B5E" w:rsidRDefault="00AE17B2" w:rsidP="0054709F">
      <w:pPr>
        <w:numPr>
          <w:ilvl w:val="0"/>
          <w:numId w:val="29"/>
        </w:numPr>
        <w:spacing w:after="0" w:line="240" w:lineRule="auto"/>
        <w:ind w:left="270" w:hanging="270"/>
        <w:jc w:val="both"/>
        <w:rPr>
          <w:rFonts w:ascii="Arial" w:hAnsi="Arial" w:cs="Arial"/>
          <w:sz w:val="24"/>
          <w:szCs w:val="24"/>
          <w:lang w:val="it-IT"/>
        </w:rPr>
      </w:pPr>
      <w:r w:rsidRPr="00E50B5E">
        <w:rPr>
          <w:rFonts w:ascii="Arial" w:hAnsi="Arial" w:cs="Arial"/>
          <w:sz w:val="24"/>
          <w:szCs w:val="24"/>
          <w:lang w:val="it-IT"/>
        </w:rPr>
        <w:t>dezvoltarea actualei platforme de benchmarking;</w:t>
      </w:r>
    </w:p>
    <w:p w14:paraId="2AF9F8A3" w14:textId="77777777" w:rsidR="00AE17B2" w:rsidRPr="00E50B5E" w:rsidRDefault="00AE17B2" w:rsidP="0054709F">
      <w:pPr>
        <w:numPr>
          <w:ilvl w:val="0"/>
          <w:numId w:val="29"/>
        </w:numPr>
        <w:spacing w:after="0" w:line="240" w:lineRule="auto"/>
        <w:ind w:left="270" w:hanging="270"/>
        <w:jc w:val="both"/>
        <w:rPr>
          <w:rFonts w:ascii="Arial" w:hAnsi="Arial" w:cs="Arial"/>
          <w:sz w:val="24"/>
          <w:szCs w:val="24"/>
          <w:lang w:val="it-IT"/>
        </w:rPr>
      </w:pPr>
      <w:r w:rsidRPr="00E50B5E">
        <w:rPr>
          <w:rFonts w:ascii="Arial" w:hAnsi="Arial" w:cs="Arial"/>
          <w:sz w:val="24"/>
          <w:szCs w:val="24"/>
          <w:lang w:val="it-IT"/>
        </w:rPr>
        <w:t>analiza și revizuirea contractului-cadru de delegare, inclusiv elaborarea unei metodologii de revizuire a acestuia la fiecare 5 ani.</w:t>
      </w:r>
    </w:p>
    <w:p w14:paraId="52C43CBC" w14:textId="77777777" w:rsidR="00AE17B2" w:rsidRDefault="00AE17B2" w:rsidP="00AE17B2">
      <w:pPr>
        <w:spacing w:after="0" w:line="240" w:lineRule="auto"/>
        <w:jc w:val="both"/>
        <w:rPr>
          <w:rFonts w:ascii="Arial" w:hAnsi="Arial" w:cs="Arial"/>
          <w:sz w:val="24"/>
          <w:szCs w:val="24"/>
          <w:lang w:val="it-IT"/>
        </w:rPr>
      </w:pPr>
      <w:r w:rsidRPr="00E50B5E">
        <w:rPr>
          <w:rFonts w:ascii="Arial" w:hAnsi="Arial" w:cs="Arial"/>
          <w:sz w:val="24"/>
          <w:szCs w:val="24"/>
          <w:lang w:val="it-IT"/>
        </w:rPr>
        <w:t>Până în prezent, în cadrul proiectului a fost implementată acțiunea privind analiza sectorului de apă și apă uzată, precum și realizarea documentului privind opțiunile strategice, documente ce au fost circulate pentru observații și comentarii către toți factorii implicați în sectorul de apă. De asemenea, au fost realizate rapoartele privind metodologia de benchmarking si a avut loc seri</w:t>
      </w:r>
      <w:r>
        <w:rPr>
          <w:rFonts w:ascii="Arial" w:hAnsi="Arial" w:cs="Arial"/>
          <w:sz w:val="24"/>
          <w:szCs w:val="24"/>
          <w:lang w:val="it-IT"/>
        </w:rPr>
        <w:t>i</w:t>
      </w:r>
      <w:r w:rsidRPr="00E50B5E">
        <w:rPr>
          <w:rFonts w:ascii="Arial" w:hAnsi="Arial" w:cs="Arial"/>
          <w:sz w:val="24"/>
          <w:szCs w:val="24"/>
          <w:lang w:val="it-IT"/>
        </w:rPr>
        <w:t xml:space="preserve"> de seminarii regionale având ca temă apa nefacturată</w:t>
      </w:r>
      <w:r>
        <w:rPr>
          <w:rFonts w:ascii="Arial" w:hAnsi="Arial" w:cs="Arial"/>
          <w:sz w:val="24"/>
          <w:szCs w:val="24"/>
          <w:lang w:val="it-IT"/>
        </w:rPr>
        <w:t>,</w:t>
      </w:r>
      <w:r w:rsidRPr="00E50B5E">
        <w:rPr>
          <w:rFonts w:ascii="Arial" w:hAnsi="Arial" w:cs="Arial"/>
          <w:sz w:val="24"/>
          <w:szCs w:val="24"/>
          <w:lang w:val="it-IT"/>
        </w:rPr>
        <w:t xml:space="preserve"> contractele pe bază de performanță</w:t>
      </w:r>
      <w:r>
        <w:rPr>
          <w:rFonts w:ascii="Arial" w:hAnsi="Arial" w:cs="Arial"/>
          <w:sz w:val="24"/>
          <w:szCs w:val="24"/>
          <w:lang w:val="it-IT"/>
        </w:rPr>
        <w:t>, m</w:t>
      </w:r>
      <w:r w:rsidRPr="00746235">
        <w:rPr>
          <w:rFonts w:ascii="Arial" w:hAnsi="Arial" w:cs="Arial"/>
          <w:sz w:val="24"/>
          <w:szCs w:val="24"/>
          <w:lang w:val="it-IT"/>
        </w:rPr>
        <w:t xml:space="preserve">anagementul </w:t>
      </w:r>
      <w:r>
        <w:rPr>
          <w:rFonts w:ascii="Arial" w:hAnsi="Arial" w:cs="Arial"/>
          <w:sz w:val="24"/>
          <w:szCs w:val="24"/>
          <w:lang w:val="it-IT"/>
        </w:rPr>
        <w:t>a</w:t>
      </w:r>
      <w:r w:rsidRPr="00746235">
        <w:rPr>
          <w:rFonts w:ascii="Arial" w:hAnsi="Arial" w:cs="Arial"/>
          <w:sz w:val="24"/>
          <w:szCs w:val="24"/>
          <w:lang w:val="it-IT"/>
        </w:rPr>
        <w:t>ctivelor și</w:t>
      </w:r>
      <w:r>
        <w:rPr>
          <w:rFonts w:ascii="Arial" w:hAnsi="Arial" w:cs="Arial"/>
          <w:sz w:val="24"/>
          <w:szCs w:val="24"/>
          <w:lang w:val="it-IT"/>
        </w:rPr>
        <w:t xml:space="preserve"> m</w:t>
      </w:r>
      <w:r w:rsidRPr="00746235">
        <w:rPr>
          <w:rFonts w:ascii="Arial" w:hAnsi="Arial" w:cs="Arial"/>
          <w:sz w:val="24"/>
          <w:szCs w:val="24"/>
          <w:lang w:val="it-IT"/>
        </w:rPr>
        <w:t>anagementul contractului de delegare</w:t>
      </w:r>
      <w:r>
        <w:rPr>
          <w:rFonts w:ascii="Arial" w:hAnsi="Arial" w:cs="Arial"/>
          <w:sz w:val="24"/>
          <w:szCs w:val="24"/>
          <w:lang w:val="it-IT"/>
        </w:rPr>
        <w:t xml:space="preserve">, precum și </w:t>
      </w:r>
      <w:r w:rsidRPr="00746235">
        <w:rPr>
          <w:rFonts w:ascii="Arial" w:hAnsi="Arial" w:cs="Arial"/>
          <w:sz w:val="24"/>
          <w:szCs w:val="24"/>
          <w:lang w:val="it-IT"/>
        </w:rPr>
        <w:t>îmbunătățirea relațiilor instituționale</w:t>
      </w:r>
      <w:r w:rsidRPr="00E50B5E">
        <w:rPr>
          <w:rFonts w:ascii="Arial" w:hAnsi="Arial" w:cs="Arial"/>
          <w:sz w:val="24"/>
          <w:szCs w:val="24"/>
          <w:lang w:val="it-IT"/>
        </w:rPr>
        <w:t>.</w:t>
      </w:r>
      <w:r>
        <w:rPr>
          <w:rFonts w:ascii="Arial" w:hAnsi="Arial" w:cs="Arial"/>
          <w:sz w:val="24"/>
          <w:szCs w:val="24"/>
          <w:lang w:val="it-IT"/>
        </w:rPr>
        <w:t xml:space="preserve"> </w:t>
      </w:r>
      <w:r w:rsidRPr="00CF445F">
        <w:rPr>
          <w:rFonts w:ascii="Arial" w:hAnsi="Arial" w:cs="Arial"/>
          <w:sz w:val="24"/>
          <w:szCs w:val="24"/>
          <w:lang w:val="it-IT"/>
        </w:rPr>
        <w:t xml:space="preserve">Principalele rezultate finale ale proiectului au constat în: elaborarea „Raportului privind optiunile strategice pentru consolidarea si dezvoltarea sectorului de apa din Romania 2020-2035”, actualizarea platformei de benchmarking (H2O BENCHMARK </w:t>
      </w:r>
      <w:hyperlink r:id="rId79" w:anchor="!/Pages/Proiecte" w:history="1">
        <w:r w:rsidRPr="007E586C">
          <w:rPr>
            <w:rStyle w:val="Hyperlink"/>
            <w:rFonts w:ascii="Arial" w:hAnsi="Arial" w:cs="Arial"/>
            <w:sz w:val="24"/>
            <w:szCs w:val="24"/>
            <w:lang w:val="it-IT"/>
          </w:rPr>
          <w:t>http://h2obenchmark.org/#!/Pages/Proiecte</w:t>
        </w:r>
      </w:hyperlink>
      <w:r w:rsidRPr="00CF445F">
        <w:rPr>
          <w:rFonts w:ascii="Arial" w:hAnsi="Arial" w:cs="Arial"/>
          <w:sz w:val="24"/>
          <w:szCs w:val="24"/>
          <w:lang w:val="it-IT"/>
        </w:rPr>
        <w:t>), raport privind metodologia de tarifare, etc.</w:t>
      </w:r>
    </w:p>
    <w:p w14:paraId="4D5AE8FD" w14:textId="77777777" w:rsidR="00AE17B2" w:rsidRPr="005B534D" w:rsidRDefault="00AE17B2" w:rsidP="00AE17B2">
      <w:pPr>
        <w:spacing w:after="0" w:line="240" w:lineRule="auto"/>
        <w:jc w:val="both"/>
        <w:rPr>
          <w:rFonts w:ascii="Arial" w:hAnsi="Arial" w:cs="Arial"/>
          <w:sz w:val="24"/>
          <w:szCs w:val="24"/>
          <w:lang w:val="it-IT"/>
        </w:rPr>
      </w:pPr>
    </w:p>
    <w:p w14:paraId="0B8EE854" w14:textId="77777777" w:rsidR="005E5343" w:rsidRPr="00C32757" w:rsidRDefault="005E5343" w:rsidP="005E5343">
      <w:pPr>
        <w:rPr>
          <w:rFonts w:asciiTheme="minorBidi" w:hAnsiTheme="minorBidi"/>
          <w:b/>
          <w:bCs/>
          <w:sz w:val="24"/>
          <w:szCs w:val="24"/>
        </w:rPr>
      </w:pPr>
      <w:bookmarkStart w:id="43" w:name="_GoBack"/>
      <w:bookmarkEnd w:id="43"/>
      <w:r w:rsidRPr="00C32757">
        <w:rPr>
          <w:rFonts w:asciiTheme="minorBidi" w:hAnsiTheme="minorBidi"/>
          <w:b/>
          <w:bCs/>
          <w:sz w:val="24"/>
          <w:szCs w:val="24"/>
        </w:rPr>
        <w:t>II.2.3 Tendinţe şi prognoze privind calitatea apei</w:t>
      </w:r>
    </w:p>
    <w:p w14:paraId="047391D8"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Având în vedere natura substanţelor poluante din apele uzate, cât şi sursele de poluare aferente, gospodărirea apelor uzate se realizează în acord cu prevederile europene în domeniul apelor, în special cu cele ale Directivei Cadru a Apei (Directiva 2000/60/CE), care stabileşte cadrul politic de gestionare a apelor în Uniunea Europeană, bazat pe principiile dezvoltării durabile şi care integrează toate problemele apei. Sub umbrela Directivei Cadru a Apei sunt reunite cerinţele de calitate a apei corespunzătoare şi celorlalte cerinţe ale directivelor europene în domeniul apelor. </w:t>
      </w:r>
    </w:p>
    <w:p w14:paraId="60AECF34"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Planurile de management ale bazinelor hirografice reprezintă principalul instrument de implementare a Directivei Cadru privind Apa 2000/60/CE și a majorităţii prevederilor din celelalte directive europene din domeniul calităţii apei. Cele mai importante directive a căror implementare asigură reducerea poluării apelor uzate sunt Directiva 91/271/CEE privind epurarea apelor uzate urbane, amendată de Directiva 98/15/EC şi de Regulamentul (CE) nr. 1882/2003, Directiva 2006/11/CE privind poluarea cauzată de anumite substanţe periculoase evacuate în mediul acvatic al Comunităţii şi Directivele “fiice” 82/176/CEE, 83/513/CEE, 84/156/CEE, 84/491/CEE și 86/280/CEE, modificate prin 88/347/CEE și 90/415/CEE, Directiva 91/676/CEE privind protecția apelor împotriva poluării cauzate de nitraţii proveniţi din surse agricole, amendată de Regulamentul (CE) nr. 1882/2003.</w:t>
      </w:r>
    </w:p>
    <w:p w14:paraId="2D4FDF86"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Directiva Cadru 2000/60/CE în domeniul apei constituie o abordare nouă în domeniul gospodăririi apelor, bazându-se pe principiul bazinal şi impunând termene stricte pentru realizarea programului de măsuri. Obiectivul central al Directivei Cadru în domeniul Apei (DCA) este acela de a obţine o „stare bună” pentru toate corpurile de apă, atât pentru cele de suprafaţă cât şi pentru cele subterane, cu excepţia corpurilor puternic modificate și artificiale, pentru care se defineşte „potenţialul ecologic bun”. Conform acestei Directive, Statele Membre din Uniunea Europeană trebuie să asigure atingerea stării bune a tuturor apelor de suprafaţă până în anul 2015, mai puţin corpurile de apă pentru care se cer excepţii de la atingerea obiectivelor de mediu.</w:t>
      </w:r>
    </w:p>
    <w:p w14:paraId="6C3EE527"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În conformitate cu cerinţele art. 14(1b) al Directivei Cadru Apă, la 22 decembrie 2019 a fost publicat </w:t>
      </w:r>
      <w:r w:rsidRPr="00C32757">
        <w:rPr>
          <w:rFonts w:asciiTheme="minorBidi" w:hAnsiTheme="minorBidi"/>
          <w:b/>
          <w:i/>
          <w:sz w:val="24"/>
          <w:szCs w:val="24"/>
          <w:lang w:val="it-IT"/>
        </w:rPr>
        <w:t xml:space="preserve">Documentul privind problemele importante de gospodărirea </w:t>
      </w:r>
      <w:r w:rsidRPr="00C32757">
        <w:rPr>
          <w:rFonts w:asciiTheme="minorBidi" w:hAnsiTheme="minorBidi"/>
          <w:b/>
          <w:i/>
          <w:sz w:val="24"/>
          <w:szCs w:val="24"/>
          <w:lang w:val="it-IT"/>
        </w:rPr>
        <w:lastRenderedPageBreak/>
        <w:t xml:space="preserve">apelor </w:t>
      </w:r>
      <w:r w:rsidRPr="00C32757">
        <w:rPr>
          <w:rFonts w:asciiTheme="minorBidi" w:hAnsiTheme="minorBidi"/>
          <w:sz w:val="24"/>
          <w:szCs w:val="24"/>
          <w:lang w:val="it-IT"/>
        </w:rPr>
        <w:t>realizat la nivel bazinal şi naţional, care a inclus și rezultatele procesului de informare şi consultare a publicului pe o durată de 6 luni (iunie - decembrie 2019).</w:t>
      </w:r>
    </w:p>
    <w:p w14:paraId="43EA0254"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 (</w:t>
      </w:r>
      <w:hyperlink r:id="rId80" w:history="1">
        <w:r w:rsidRPr="00C32757">
          <w:rPr>
            <w:rStyle w:val="Hyperlink"/>
            <w:rFonts w:asciiTheme="minorBidi" w:hAnsiTheme="minorBidi"/>
            <w:i/>
            <w:iCs/>
            <w:sz w:val="24"/>
            <w:szCs w:val="24"/>
            <w:lang w:val="it-IT"/>
          </w:rPr>
          <w:t>https://rowater.ro/wp-content/uploads/2020/12/Probleme-Importante-de-Gospodarire-a-Apelor-Sinteza-Nationala-2019.pdf</w:t>
        </w:r>
      </w:hyperlink>
      <w:r w:rsidRPr="00C32757">
        <w:rPr>
          <w:rFonts w:asciiTheme="minorBidi" w:hAnsiTheme="minorBidi"/>
          <w:i/>
          <w:sz w:val="24"/>
          <w:szCs w:val="24"/>
          <w:lang w:val="it-IT"/>
        </w:rPr>
        <w:t>).</w:t>
      </w:r>
      <w:r w:rsidRPr="00C32757">
        <w:rPr>
          <w:rFonts w:asciiTheme="minorBidi" w:hAnsiTheme="minorBidi"/>
          <w:sz w:val="24"/>
          <w:szCs w:val="24"/>
          <w:lang w:val="it-IT"/>
        </w:rPr>
        <w:t xml:space="preserve"> </w:t>
      </w:r>
    </w:p>
    <w:p w14:paraId="03681F6B"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Documentul își propune să evidențieze problemele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 și sunt în concordanță cu problemele de gospodărire a apelor de la nivelul Districtului Internațional al Dunării în cadrul documentului Significant Water Management Issues 2019, elaborat de către  Comisia Internațională pentru Protecția fluviului Dunărea (ICPDR), cu contribuția țărilor dunărene (</w:t>
      </w:r>
      <w:hyperlink r:id="rId81" w:history="1">
        <w:r w:rsidRPr="00C32757">
          <w:rPr>
            <w:rStyle w:val="Hyperlink"/>
            <w:rFonts w:asciiTheme="minorBidi" w:hAnsiTheme="minorBidi"/>
            <w:i/>
            <w:iCs/>
            <w:sz w:val="24"/>
            <w:szCs w:val="24"/>
            <w:lang w:val="it-IT"/>
          </w:rPr>
          <w:t>https://www.icpdr.org/main/public-participation-interim-overview-swmi</w:t>
        </w:r>
      </w:hyperlink>
      <w:r w:rsidRPr="00C32757">
        <w:rPr>
          <w:rFonts w:asciiTheme="minorBidi" w:hAnsiTheme="minorBidi"/>
          <w:sz w:val="24"/>
          <w:szCs w:val="24"/>
          <w:lang w:val="it-IT"/>
        </w:rPr>
        <w:t>).</w:t>
      </w:r>
    </w:p>
    <w:p w14:paraId="4C8A099D"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Următoarele problematici importante privind gospodărirea apelor care afectează în mod direct sau indirect starea apelor de suprafaţă şi apelor subterane, cu impact major în gestiunea resurselor de apă au fost identificate: poluarea cu substanţe organice, poluarea cu nutrienţi, poluarea cu substanţe periculoase și alterările hidromorfologice. </w:t>
      </w:r>
    </w:p>
    <w:p w14:paraId="669F9949"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b/>
          <w:i/>
          <w:sz w:val="24"/>
          <w:szCs w:val="24"/>
          <w:lang w:val="it-IT"/>
        </w:rPr>
        <w:t>Poluarea cu substanţe organice</w:t>
      </w:r>
      <w:r w:rsidRPr="00C32757">
        <w:rPr>
          <w:rFonts w:asciiTheme="minorBidi" w:hAnsiTheme="minorBidi"/>
          <w:sz w:val="24"/>
          <w:szCs w:val="24"/>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14:paraId="13C869C7"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O problemă importantă de gospodărirea apelor este </w:t>
      </w:r>
      <w:r w:rsidRPr="00C32757">
        <w:rPr>
          <w:rFonts w:asciiTheme="minorBidi" w:hAnsiTheme="minorBidi"/>
          <w:b/>
          <w:i/>
          <w:sz w:val="24"/>
          <w:szCs w:val="24"/>
          <w:lang w:val="it-IT"/>
        </w:rPr>
        <w:t>poluarea cu nutrienți</w:t>
      </w:r>
      <w:r w:rsidRPr="00C32757">
        <w:rPr>
          <w:rFonts w:asciiTheme="minorBidi" w:hAnsiTheme="minorBidi"/>
          <w:sz w:val="24"/>
          <w:szCs w:val="24"/>
          <w:lang w:val="it-IT"/>
        </w:rPr>
        <w:t>, în special cu azot și fosfor. Nutrienţii în exces conduc la eutrofizarea apelor, ceea ce determină schimbarea compoziţiei și scăderea biodiversității speciilor, precum şi reducerea posibilității de utilizare a resurselor de apă în scop potabil, recreațional, etc. Ca şi în cazul substanţelor organice, emisiile de nutrienţi provin atât din surse punctiforme (ape uzate urbane, industriale şi agricole neepurate sau insuficient epurate), cât şi din surse difuze (în special, cele agricole: creşterea animalelor, utilizarea fertilizanţilor, etc).</w:t>
      </w:r>
    </w:p>
    <w:p w14:paraId="0A8EAC1F"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Directiva </w:t>
      </w:r>
      <w:r w:rsidRPr="00C32757">
        <w:rPr>
          <w:rFonts w:asciiTheme="minorBidi" w:hAnsiTheme="minorBidi"/>
          <w:i/>
          <w:sz w:val="24"/>
          <w:szCs w:val="24"/>
          <w:lang w:val="it-IT"/>
        </w:rPr>
        <w:t>Consiliului 91/676/EEC privind Protecţia apelor împotriva poluării cu nitraţi din surse agricole</w:t>
      </w:r>
      <w:r w:rsidRPr="00C32757">
        <w:rPr>
          <w:rFonts w:asciiTheme="minorBidi" w:hAnsiTheme="minorBidi"/>
          <w:sz w:val="24"/>
          <w:szCs w:val="24"/>
          <w:lang w:val="it-IT"/>
        </w:rPr>
        <w:t xml:space="preserve"> </w:t>
      </w:r>
      <w:r w:rsidRPr="00C32757">
        <w:rPr>
          <w:rFonts w:asciiTheme="minorBidi" w:hAnsiTheme="minorBidi"/>
          <w:color w:val="000000"/>
          <w:sz w:val="24"/>
          <w:szCs w:val="24"/>
        </w:rPr>
        <w:t>(numită Directiva Nitrați)</w:t>
      </w:r>
      <w:r w:rsidRPr="00C32757">
        <w:rPr>
          <w:rFonts w:asciiTheme="minorBidi" w:hAnsiTheme="minorBidi"/>
          <w:b/>
          <w:color w:val="000000"/>
          <w:sz w:val="24"/>
          <w:szCs w:val="24"/>
        </w:rPr>
        <w:t xml:space="preserve"> </w:t>
      </w:r>
      <w:r w:rsidRPr="00C32757">
        <w:rPr>
          <w:rFonts w:asciiTheme="minorBidi" w:hAnsiTheme="minorBidi"/>
          <w:sz w:val="24"/>
          <w:szCs w:val="24"/>
          <w:lang w:val="it-IT"/>
        </w:rPr>
        <w:t>este principalul instrument comunitar care reglementează poluarea cu nitrați provenită din agricultură. Principalele obiective ale acestei directive sunt reducerea poluării produsă sau indusă de nitraţii proveni</w:t>
      </w:r>
      <w:r w:rsidRPr="00C32757">
        <w:rPr>
          <w:rFonts w:asciiTheme="minorBidi" w:hAnsiTheme="minorBidi"/>
          <w:sz w:val="24"/>
          <w:szCs w:val="24"/>
        </w:rPr>
        <w:t>ți</w:t>
      </w:r>
      <w:r w:rsidRPr="00C32757">
        <w:rPr>
          <w:rFonts w:asciiTheme="minorBidi" w:hAnsiTheme="minorBidi"/>
          <w:sz w:val="24"/>
          <w:szCs w:val="24"/>
          <w:lang w:val="it-IT"/>
        </w:rPr>
        <w:t xml:space="preserve"> din surse agricole, raţionalizarea şi optimizarea utilizării îngrăşămintelor chimice şi organice ce conţin compuşi ai azotului şi prevenirea poluării apelor cu nitraţi. Aceste obiective sunt cuprinse în planuri de acţiune.</w:t>
      </w:r>
    </w:p>
    <w:p w14:paraId="1E6DD6EA"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Conform planului de acțiune și articolelor 4 și 5 ale Directivei 91/676/EEC au fost elaborate şi aplicate Coduri de bune practici agricole,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având, în principal, în vedere aplicarea principiului de prevenire a poluării. </w:t>
      </w:r>
    </w:p>
    <w:p w14:paraId="76DA8494"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lastRenderedPageBreak/>
        <w:t xml:space="preserve">Implementarea Directivei 91/676/EEC este pusă în practică în România prin Planul de acţiune pentru protecţia apelor împotriva poluării cu nitrati proveniţi din surse agricole, aprobat prin HG 964/2000 </w:t>
      </w:r>
      <w:r w:rsidRPr="00C32757">
        <w:rPr>
          <w:rFonts w:asciiTheme="minorBidi" w:hAnsiTheme="minorBidi"/>
          <w:color w:val="000000"/>
          <w:sz w:val="24"/>
          <w:szCs w:val="24"/>
        </w:rPr>
        <w:t xml:space="preserve">și HG nr. 587/2021 pentru modificarea şi completarea anexei la Hotărârea Guvernului nr. 964/2000 </w:t>
      </w:r>
      <w:r w:rsidRPr="00C32757">
        <w:rPr>
          <w:rFonts w:asciiTheme="minorBidi" w:hAnsiTheme="minorBidi"/>
          <w:sz w:val="24"/>
          <w:szCs w:val="24"/>
          <w:lang w:val="it-IT"/>
        </w:rPr>
        <w:t>privind aprobarea Planului de acţiune pentru protecţia apelor împotriva poluării cu nitrați proveniţi din surse agricole, cu completările şi modificările ulterioare, survenite în urma deciziei de aplicare a Programului de Acțiune pe întreg teritoriul României.</w:t>
      </w:r>
    </w:p>
    <w:p w14:paraId="381D1D19"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14:paraId="4FF22152"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În vederea reducerii și prevenirii poluării cu nitraţi din surse agricole, s-a prevăzut ca măsură generală de bază, pe întreg teritoriul României, aplicarea programelor de acţiune pe întreg teritoriul României.</w:t>
      </w:r>
    </w:p>
    <w:p w14:paraId="16F52D72"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Hotărârea de Guvern nr. 964/2000, prin care Directiva 91/676/CEE privind protecția apelor împotriva poluării cu nitrați din surse agricole a fost transpusă în legislația internă din România a suferit modificări ce au intrat în vigoare începând cu data de 4 iunie 2021, când HG nr. 587/2021 a fost publicată în Monitorul Oficial. </w:t>
      </w:r>
    </w:p>
    <w:p w14:paraId="56DD1C0B"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Cea mai importantă modificare, în ceea ce îi privește pe fermieri, se referă la obligațiile legale ale acestora, care sunt acum cuprinse în Programul de acțiune pentru protecția apelor împotriva poluării cu nitrați proveniți din surse agricole (Programul de acțiune). Până la modificarea adusă de această Hotărâre de Guvern, prevederile obligatorii erau cuprinse în Codul de bune practici agricole. Prin separarea normelor obligatorii de recomandări se simplifică textul legislativ și, pe cale de consecință, se ușurează înțelegerea și aplicarea prevederilor legale. </w:t>
      </w:r>
    </w:p>
    <w:p w14:paraId="7B89C396"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Totodată, Codul de bune practici agricole a devenit un document consultativ pentru fermieri. Trebuie avut în vedere că aplicarea de agricultori în mod voluntar nu se referă și la acele măsuri care sunt cuprinse și în Programul de acțiune, acestea din urmă fiind obligatorii. De asemenea, în legătură cu codul de bune practici agricole, în cazul când prevederile acestuia sunt parte din cerinţele legale în materie de gestionare (SMR) şi standardele privind bunele condiţii agricole şi de mediu (GAEC), acestea sunt obligatorii în condițiile solicitării și aprobării oricărei forme de sprijin financiar.</w:t>
      </w:r>
    </w:p>
    <w:p w14:paraId="6F21396A"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De asemenea, implementarea măsurilor conform cerințelor Directivei 91/271/CEE privind epurarea apelor uzate urbane, modificată și completată prin directiva 98/15/CE, contribuie la reducerea emisiilor de nutrienți. </w:t>
      </w:r>
    </w:p>
    <w:p w14:paraId="68A4954F" w14:textId="77777777" w:rsidR="005E5343" w:rsidRPr="00C32757" w:rsidRDefault="005E5343" w:rsidP="005E5343">
      <w:pPr>
        <w:spacing w:before="120" w:after="120" w:line="240" w:lineRule="auto"/>
        <w:ind w:firstLine="720"/>
        <w:jc w:val="both"/>
        <w:rPr>
          <w:rFonts w:asciiTheme="minorBidi" w:hAnsiTheme="minorBidi"/>
          <w:color w:val="000000"/>
          <w:sz w:val="24"/>
          <w:szCs w:val="24"/>
        </w:rPr>
      </w:pPr>
      <w:r w:rsidRPr="00C32757">
        <w:rPr>
          <w:rFonts w:asciiTheme="minorBidi" w:hAnsiTheme="minorBidi"/>
          <w:color w:val="000000"/>
          <w:sz w:val="24"/>
          <w:szCs w:val="24"/>
        </w:rPr>
        <w:t xml:space="preserve">La nivel național sunt necesare </w:t>
      </w:r>
      <w:r w:rsidRPr="00C32757">
        <w:rPr>
          <w:rFonts w:asciiTheme="minorBidi" w:hAnsiTheme="minorBidi"/>
          <w:b/>
          <w:color w:val="000000"/>
          <w:sz w:val="24"/>
          <w:szCs w:val="24"/>
        </w:rPr>
        <w:t xml:space="preserve">măsuri suplimentare pentru </w:t>
      </w:r>
      <w:r w:rsidRPr="00C32757">
        <w:rPr>
          <w:rFonts w:asciiTheme="minorBidi" w:hAnsiTheme="minorBidi"/>
          <w:b/>
          <w:sz w:val="24"/>
          <w:szCs w:val="24"/>
        </w:rPr>
        <w:t xml:space="preserve">reducerea poluării generate de activitățile agricole (ferme zootehnice - poluare punctiformă, măsuri pentru reducerea poluării difuze generate de ferme zootehnice, vegetale și asupra terenurilor agricole), </w:t>
      </w:r>
      <w:r w:rsidRPr="00C32757">
        <w:rPr>
          <w:rFonts w:asciiTheme="minorBidi" w:hAnsiTheme="minorBidi"/>
          <w:sz w:val="24"/>
          <w:szCs w:val="24"/>
        </w:rPr>
        <w:t xml:space="preserve">în </w:t>
      </w:r>
      <w:r w:rsidRPr="00C32757">
        <w:rPr>
          <w:rFonts w:asciiTheme="minorBidi" w:hAnsiTheme="minorBidi"/>
          <w:color w:val="000000"/>
          <w:sz w:val="24"/>
          <w:szCs w:val="24"/>
        </w:rPr>
        <w:t xml:space="preserve">vederea atingerii obiectivelor de mediu ale corpurilor de apă. Măsurile propuse sunt altele decât măsurile de bază pentru punerea în aplicare a Directivelor europene, în principal Directiva Consiliului 91/676/EEC privind protecţia apelor împotriva poluării cu nitraţi proveniți din surse agricole, Directiva 2009/128/CE de stabilire a unui cadru de acțiune comunitară în vederea utilizării durabile a pesticidelor și Regulamentul (CE) nr. 1.107/2009 al Parlamentului European și al Consiliului din 21 octombrie 2009 privind introducerea pe piață a produselor fitosanitare și de abrogare a Directivelor 79/117/CEE și 91/414/ CEE ale Consiliului. </w:t>
      </w:r>
    </w:p>
    <w:p w14:paraId="0D00F701" w14:textId="77777777" w:rsidR="005E5343" w:rsidRPr="00C32757" w:rsidRDefault="005E5343" w:rsidP="005E5343">
      <w:pPr>
        <w:spacing w:before="120" w:after="120" w:line="240" w:lineRule="auto"/>
        <w:ind w:firstLine="720"/>
        <w:jc w:val="both"/>
        <w:rPr>
          <w:rFonts w:asciiTheme="minorBidi" w:hAnsiTheme="minorBidi"/>
          <w:b/>
          <w:color w:val="000000"/>
          <w:sz w:val="24"/>
          <w:szCs w:val="24"/>
        </w:rPr>
      </w:pPr>
      <w:r w:rsidRPr="00C32757">
        <w:rPr>
          <w:rFonts w:asciiTheme="minorBidi" w:hAnsiTheme="minorBidi"/>
          <w:b/>
          <w:color w:val="000000"/>
          <w:sz w:val="24"/>
          <w:szCs w:val="24"/>
        </w:rPr>
        <w:t xml:space="preserve">În contextul actualizării legislației în ceea ce privește aplicarea Codului de bune practici agricole, prin </w:t>
      </w:r>
      <w:r w:rsidRPr="00C32757">
        <w:rPr>
          <w:rFonts w:asciiTheme="minorBidi" w:hAnsiTheme="minorBidi"/>
          <w:b/>
          <w:i/>
          <w:iCs/>
          <w:color w:val="000000"/>
          <w:sz w:val="24"/>
          <w:szCs w:val="24"/>
        </w:rPr>
        <w:t>HG nr. 587/2021 pentru modificarea şi completarea anexei la Hotărârea Guvernului nr. 964/2000 privind aprobarea Planului de acţiune pentru protecţia apelor împotriva poluării cu nitraţi proveniţi din surse agricole</w:t>
      </w:r>
      <w:r w:rsidRPr="00C32757">
        <w:rPr>
          <w:rFonts w:asciiTheme="minorBidi" w:hAnsiTheme="minorBidi"/>
          <w:b/>
          <w:color w:val="000000"/>
          <w:sz w:val="24"/>
          <w:szCs w:val="24"/>
        </w:rPr>
        <w:t xml:space="preserve">, la art. 5, aliniat (1), pct. a) al Anexei la Hotărârea Guvernului nr. 964/2000, se precizează că aplicarea Codului de bune practici agricole (CBPA)  se face în mod </w:t>
      </w:r>
      <w:r w:rsidRPr="00C32757">
        <w:rPr>
          <w:rFonts w:asciiTheme="minorBidi" w:hAnsiTheme="minorBidi"/>
          <w:b/>
          <w:color w:val="000000"/>
          <w:sz w:val="24"/>
          <w:szCs w:val="24"/>
        </w:rPr>
        <w:lastRenderedPageBreak/>
        <w:t xml:space="preserve">voluntar de către fermieri. În acest context, măsurile sub CBPA care în Planul Național de management actualizat, aprobat prin HG nr. 859/2016, erau considerate măsuri de bază pentru implementarea cerințelor Directivei Nitrați, începând cu 2021 devin măsuri suplimentare. </w:t>
      </w:r>
    </w:p>
    <w:p w14:paraId="7910AC23" w14:textId="77777777" w:rsidR="005E5343" w:rsidRPr="00C32757" w:rsidRDefault="005E5343" w:rsidP="005E5343">
      <w:pPr>
        <w:pStyle w:val="Default"/>
        <w:spacing w:before="120" w:after="120"/>
        <w:ind w:firstLine="720"/>
        <w:jc w:val="both"/>
        <w:rPr>
          <w:rFonts w:asciiTheme="minorBidi" w:hAnsiTheme="minorBidi" w:cstheme="minorBidi"/>
        </w:rPr>
      </w:pPr>
      <w:r w:rsidRPr="00C32757">
        <w:rPr>
          <w:rFonts w:asciiTheme="minorBidi" w:hAnsiTheme="minorBidi" w:cstheme="minorBidi"/>
          <w:b/>
        </w:rPr>
        <w:t>Măsurile suplimentare pentru activităţile agricole planificate pentru perioada 2022-2027 se referă în general la</w:t>
      </w:r>
      <w:r w:rsidRPr="00C32757">
        <w:rPr>
          <w:rFonts w:asciiTheme="minorBidi" w:hAnsiTheme="minorBidi" w:cstheme="minorBidi"/>
        </w:rPr>
        <w:t xml:space="preserve">: reducerea eroziunii solului, aplicarea practicilor de cultivare pentru reducerea utilizării/poluării cu produse fitosanitare, protejarea corpurilor de apă împotriva poluării cu pesticide, aplicarea codului de bune practici agricole, respectiv alte măsuri decât cele din Programul de Acțiune (descrise în Anexa 9.4), aplicarea codului de bune condiţii agricole şi de mediu şi a altor coduri de bună practică în ferme, consultanță / instruiri pentru fermieri, conversia terenurilor arabile în păşuni, realizarea şi menţinerea zonelor tampon de-a lungul apelor la o distanță mai mare decât cea prevăzută în legislația în vigoare, aplicarea agriculturii organice, prevenirea și combaterea poluării din activitățile agricole în zonele care se confruntă cu constrângeri naturale, constrângeri naturale semnificative sau cu alte constrângeri specifice (de ex. conversia terenurilor arabile în păşuni). </w:t>
      </w:r>
    </w:p>
    <w:p w14:paraId="0FA8C58F" w14:textId="77777777" w:rsidR="005E5343" w:rsidRPr="00C32757" w:rsidRDefault="005E5343" w:rsidP="005E5343">
      <w:pPr>
        <w:pStyle w:val="Default"/>
        <w:spacing w:before="120" w:after="120"/>
        <w:ind w:firstLine="720"/>
        <w:jc w:val="both"/>
        <w:rPr>
          <w:rFonts w:asciiTheme="minorBidi" w:hAnsiTheme="minorBidi" w:cstheme="minorBidi"/>
        </w:rPr>
      </w:pPr>
      <w:r w:rsidRPr="00C32757">
        <w:rPr>
          <w:rFonts w:asciiTheme="minorBidi" w:hAnsiTheme="minorBidi" w:cstheme="minorBidi"/>
        </w:rPr>
        <w:t xml:space="preserve">Măsurile necesare a fi luate de către fermieri pentru atingerea obiectivelor Directivei Cadru Apă pot fi finanţate prin Fondul European Agricol pentru Dezvoltare Rurală 2014-2020 (FEADR), în conformitate cu prevederile Regulamentelor Consiliului privind sprijinul pentru dezvoltare rurală. Acest sprijin are la bază </w:t>
      </w:r>
      <w:r w:rsidRPr="00C32757">
        <w:rPr>
          <w:rFonts w:asciiTheme="minorBidi" w:hAnsiTheme="minorBidi" w:cstheme="minorBidi"/>
          <w:b/>
          <w:bCs/>
        </w:rPr>
        <w:t>Programul Național de Dezvoltare Rurală (PNDR)</w:t>
      </w:r>
      <w:r w:rsidRPr="00C32757">
        <w:rPr>
          <w:rFonts w:asciiTheme="minorBidi" w:hAnsiTheme="minorBidi" w:cstheme="minorBidi"/>
        </w:rPr>
        <w:t xml:space="preserve"> care acoperă perioada 2014-2020 și care conţine domeniile de intervenție şi măsurile care răspund acestor domenii de intervenție, precum şi un plan de finanţare. Prin PNDR 2014-2020 se implementează o serie de măsuri de mediu şi climă care contribuie direct sau indirect la Prioritatea 4 (P4) - Refacerea, conservarea şi consolidarea ecosistemelor care sunt legate de agricultură și silvicultură, Domeniul de Intervenție 4B - Ameliorarea gestionării apelor, inclusiv gestionarea îngrășămintelor și a pesticidelor. În PNDR 2014-2020 este disponibilă finanțarea măsurilor agricole pentru protejarea corpurilor de apă, prin intermediul domeniilor de intervenție, care pot sprijini atingerea obiectivelor Directivei Cadru Apă.</w:t>
      </w:r>
    </w:p>
    <w:p w14:paraId="58AFC8C1" w14:textId="77777777" w:rsidR="005E5343" w:rsidRPr="00C32757" w:rsidRDefault="005E5343" w:rsidP="005E5343">
      <w:pPr>
        <w:pStyle w:val="Default"/>
        <w:spacing w:before="120" w:after="120"/>
        <w:ind w:firstLine="720"/>
        <w:jc w:val="both"/>
        <w:rPr>
          <w:rFonts w:asciiTheme="minorBidi" w:hAnsiTheme="minorBidi" w:cstheme="minorBidi"/>
        </w:rPr>
      </w:pPr>
      <w:r w:rsidRPr="00C32757">
        <w:rPr>
          <w:rFonts w:asciiTheme="minorBidi" w:hAnsiTheme="minorBidi" w:cstheme="minorBidi"/>
          <w:b/>
          <w:bCs/>
        </w:rPr>
        <w:t>Planul Național Strategic pentru PAC 2023-2027 (PNS)</w:t>
      </w:r>
      <w:r w:rsidRPr="00C32757">
        <w:rPr>
          <w:rFonts w:asciiTheme="minorBidi" w:hAnsiTheme="minorBidi" w:cstheme="minorBidi"/>
        </w:rPr>
        <w:t>, aflat în procedura de evaluare strategică de mediu, reunește obiectivele și activitățile țintă pentru îmbunătățirea performanței socio-economice și de mediu a sectorului agricol și a zonelor rurale. PNS acordă o atenție deosebită criteriilor de referință și cerințelor privind obiectivele legate de mediu și climă. În plus, Comisia Europeană recomandă să fie incluse și criterii solide privind schimbările climatice pentru a reflecta pe deplin obiectivele strategice din Pactul Ecologic European, cu referire în special la strategia „De la fermă la consumator”.  Introducerea cerințelor Directivei cadru Apă și a Directivei privind utilizarea sustenabilă a pesticidelor în eco-condiționalitate sprijină punerea în aplicare și realizarea obiectivelor lor specifice. În plus, noul Cod de Bune Practici Agricole  ar putea avea un impact pozitiv asupra calității apei, prin optimizarea gestionării nutrienților la fermă, și a sechestrării dioxidului de carbon din soluri. Condiționalitatea îmbunătățită ar fi obligatorie pentru punere în aplicare și respectare de către fermierii care primesc plăți directe de la AFIR. Astfel, în cadrul obiectivului specific 5 - Promovarea dezvoltării durabile și a gestionării eficiente a resurselor naturale, cum ar fi apa, solul și aerul, inclusiv prin reducerea dependenței de substanțe chimice, promovarea de practici agricole extensive prin intervenția de agro-mediu și climă contribuie, totodată, la atingerea obiectivelor de mediu în cadrul Directivei Cadru Apă, Directivei Nitraţi şi Directivei privind gestionarea durabilă a pesticidelor, prin reducerea poluării apelor și atenuarea efectelor negative ale viiturilor.</w:t>
      </w:r>
    </w:p>
    <w:p w14:paraId="6AB56ABA" w14:textId="77777777" w:rsidR="005E5343" w:rsidRPr="00C32757" w:rsidRDefault="005E5343" w:rsidP="005E5343">
      <w:pPr>
        <w:pStyle w:val="Default"/>
        <w:spacing w:before="120" w:after="120"/>
        <w:ind w:firstLine="720"/>
        <w:jc w:val="both"/>
        <w:rPr>
          <w:rFonts w:asciiTheme="minorBidi" w:hAnsiTheme="minorBidi" w:cstheme="minorBidi"/>
        </w:rPr>
      </w:pPr>
      <w:r w:rsidRPr="00C32757">
        <w:rPr>
          <w:rFonts w:asciiTheme="minorBidi" w:hAnsiTheme="minorBidi" w:cstheme="minorBidi"/>
        </w:rPr>
        <w:t xml:space="preserve">Una dintre măsurile suplimentare importante este </w:t>
      </w:r>
      <w:r w:rsidRPr="00C32757">
        <w:rPr>
          <w:rFonts w:asciiTheme="minorBidi" w:hAnsiTheme="minorBidi" w:cstheme="minorBidi"/>
          <w:b/>
        </w:rPr>
        <w:t>construirea platformelor comunale de stocare a gunoiului de grajd.</w:t>
      </w:r>
      <w:r w:rsidRPr="00C32757">
        <w:rPr>
          <w:rFonts w:asciiTheme="minorBidi" w:hAnsiTheme="minorBidi" w:cstheme="minorBidi"/>
        </w:rPr>
        <w:t xml:space="preserve"> Prin intermediul proiectului “</w:t>
      </w:r>
      <w:r w:rsidRPr="00C32757">
        <w:rPr>
          <w:rFonts w:asciiTheme="minorBidi" w:hAnsiTheme="minorBidi" w:cstheme="minorBidi"/>
          <w:i/>
        </w:rPr>
        <w:t>Controlul integrat al poluării cu nutrienți din România</w:t>
      </w:r>
      <w:r w:rsidRPr="00C32757">
        <w:rPr>
          <w:rFonts w:asciiTheme="minorBidi" w:hAnsiTheme="minorBidi" w:cstheme="minorBidi"/>
        </w:rPr>
        <w:t xml:space="preserve">” s-au realizat la nivel național costuri de investiții în perioada 2016-2021 pentru un număr de 79 platforme comunale de depozitare și managementul gunoiului de grajd în valoare de 33.200.575 Euro. Se precizează că </w:t>
      </w:r>
      <w:r w:rsidRPr="00C32757">
        <w:rPr>
          <w:rFonts w:asciiTheme="minorBidi" w:hAnsiTheme="minorBidi" w:cstheme="minorBidi"/>
        </w:rPr>
        <w:lastRenderedPageBreak/>
        <w:t>pentru operarea și întreținerea platformelor comunale de stocare a gunoiului de grajd a fost estimat un cost mediu de cca. 25.000 euro/an/platformă. În perioada 2022-2027 sunt planificate să se realizeze 298</w:t>
      </w:r>
      <w:r w:rsidRPr="00C32757">
        <w:rPr>
          <w:rFonts w:asciiTheme="minorBidi" w:hAnsiTheme="minorBidi" w:cstheme="minorBidi"/>
          <w:b/>
        </w:rPr>
        <w:t xml:space="preserve"> platforme comunale</w:t>
      </w:r>
      <w:r w:rsidRPr="00C32757">
        <w:rPr>
          <w:rFonts w:asciiTheme="minorBidi" w:hAnsiTheme="minorBidi" w:cstheme="minorBidi"/>
        </w:rPr>
        <w:t xml:space="preserve"> de depozitare și managementul gunoiului de grajd în valoare de </w:t>
      </w:r>
      <w:r w:rsidRPr="00C32757">
        <w:rPr>
          <w:rFonts w:asciiTheme="minorBidi" w:hAnsiTheme="minorBidi" w:cstheme="minorBidi"/>
          <w:bCs/>
        </w:rPr>
        <w:t>128.893.358 Euro</w:t>
      </w:r>
      <w:r w:rsidRPr="00C32757">
        <w:rPr>
          <w:rFonts w:asciiTheme="minorBidi" w:hAnsiTheme="minorBidi" w:cstheme="minorBidi"/>
          <w:b/>
        </w:rPr>
        <w:t xml:space="preserve"> </w:t>
      </w:r>
      <w:r w:rsidRPr="00C32757">
        <w:rPr>
          <w:rFonts w:asciiTheme="minorBidi" w:hAnsiTheme="minorBidi" w:cstheme="minorBidi"/>
        </w:rPr>
        <w:t xml:space="preserve">costuri de investiții și alte costuri. Se menționează faptul că în cadrul </w:t>
      </w:r>
      <w:r w:rsidRPr="00C32757">
        <w:rPr>
          <w:rFonts w:asciiTheme="minorBidi" w:hAnsiTheme="minorBidi" w:cstheme="minorBidi"/>
          <w:b/>
          <w:bCs/>
        </w:rPr>
        <w:t>Planului Național de Redresare și Reziliență 2021-2026</w:t>
      </w:r>
      <w:r w:rsidRPr="00C32757">
        <w:rPr>
          <w:rFonts w:asciiTheme="minorBidi" w:hAnsiTheme="minorBidi" w:cstheme="minorBidi"/>
        </w:rPr>
        <w:t>, sunt planificate să fie finanțate în perioada 2022-2026 măsuri pentru dezvoltarea infrastructurii pentru gunoiul de grajd (platforme comunale și echipamente) și managementul deșeurilor agricole compostabile, în valoare de 255 milioane Euro (fără TVA).</w:t>
      </w:r>
    </w:p>
    <w:p w14:paraId="4CCC60DF" w14:textId="77777777" w:rsidR="005E5343" w:rsidRPr="00C32757" w:rsidRDefault="005E5343" w:rsidP="005E5343">
      <w:pPr>
        <w:pStyle w:val="Default"/>
        <w:spacing w:before="120" w:after="120"/>
        <w:ind w:firstLine="720"/>
        <w:jc w:val="both"/>
        <w:rPr>
          <w:rFonts w:asciiTheme="minorBidi" w:hAnsiTheme="minorBidi" w:cstheme="minorBidi"/>
        </w:rPr>
      </w:pPr>
      <w:r w:rsidRPr="00C32757">
        <w:rPr>
          <w:rFonts w:asciiTheme="minorBidi" w:hAnsiTheme="minorBidi" w:cstheme="minorBidi"/>
        </w:rPr>
        <w:t xml:space="preserve">Finanțarea măsurilor privind prevenirea și controlul poluării în agricultură va continua după anul 2022 în cadrul </w:t>
      </w:r>
      <w:r w:rsidRPr="00C32757">
        <w:rPr>
          <w:rFonts w:asciiTheme="minorBidi" w:hAnsiTheme="minorBidi" w:cstheme="minorBidi"/>
          <w:b/>
          <w:bCs/>
        </w:rPr>
        <w:t>proiectului „Extinderea eforturilor de prevenire și reducere a poluării” (SUPPRES)</w:t>
      </w:r>
      <w:r w:rsidRPr="00C32757">
        <w:rPr>
          <w:rFonts w:asciiTheme="minorBidi" w:hAnsiTheme="minorBidi" w:cstheme="minorBidi"/>
        </w:rPr>
        <w:t>, care este continuatorul proiectului „ Controlul Integrat al Poluării cu Nutrienți” pe urm[tii ani, măsuri care vor sprijini România pentru atingerea țintelor de reducere a poluării agricole stipulate în Strategia UE „De la fermă la consumator”. Sunt avute în vedere măsuri de management, monitorizare și raportare a poluanților agricoli (pesticide, plastic și microplastice, alți poluanți emergenți), precum și captarea deșeurilor plutitoare pe cursurile de apă, dezvoltarea rețelei naționale de transfer de cunoștințe (servicii de consultanță pentru fermieri privind ecoschemele și condiționalitatea PAC, agricultură ecologică și eco-inovație), campanii de conștientizare a publicului pentru prevenirea și reducerea poluării din agricultură etc, în valoare de circa 27 milioane Euro.</w:t>
      </w:r>
    </w:p>
    <w:p w14:paraId="57AD3C27"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Pentru a aborda provocările multidimensionale și pentru a atinge obiectivele ambițioase ale Directivei Cadru Apă și ale noii Politiici Agricole Comune, gestionarea apei agricultura și agricultura trebuie să fie bine aliniate prin strategii coordonate și acțiuni comune pentru a asigura atât protecția resurselor de apă, cât și mijloacele de trai economice a fermierilor și producția de alimente de înaltă calitate. În acest sens, un bun exemplu este  elaborarea la nivelul bazinului Dunării a unor documente de politică privind apa și agricultura și referitoare la aspecte practice, respectiv </w:t>
      </w:r>
      <w:r w:rsidRPr="00C32757">
        <w:rPr>
          <w:rFonts w:asciiTheme="minorBidi" w:hAnsiTheme="minorBidi"/>
          <w:b/>
          <w:bCs/>
          <w:i/>
          <w:iCs/>
          <w:sz w:val="24"/>
          <w:szCs w:val="24"/>
          <w:lang w:val="it-IT"/>
        </w:rPr>
        <w:t>Documentul de politică privind Agricolă Comună după 2020 și Managementul Apei în Bazinul Fluviului Dunărea</w:t>
      </w:r>
      <w:r w:rsidRPr="00C32757">
        <w:rPr>
          <w:rFonts w:asciiTheme="minorBidi" w:hAnsiTheme="minorBidi"/>
          <w:sz w:val="24"/>
          <w:szCs w:val="24"/>
          <w:lang w:val="it-IT"/>
        </w:rPr>
        <w:t xml:space="preserve"> și </w:t>
      </w:r>
      <w:r w:rsidRPr="00C32757">
        <w:rPr>
          <w:rFonts w:asciiTheme="minorBidi" w:hAnsiTheme="minorBidi"/>
          <w:b/>
          <w:bCs/>
          <w:i/>
          <w:iCs/>
          <w:sz w:val="24"/>
          <w:szCs w:val="24"/>
          <w:lang w:val="it-IT"/>
        </w:rPr>
        <w:t xml:space="preserve">Ghidul privind agricultură durabilă la nivelul bazinului Dunării </w:t>
      </w:r>
      <w:r w:rsidRPr="00C32757">
        <w:rPr>
          <w:rFonts w:asciiTheme="minorBidi" w:hAnsiTheme="minorBidi"/>
          <w:sz w:val="24"/>
          <w:szCs w:val="24"/>
          <w:lang w:val="it-IT"/>
        </w:rPr>
        <w:t>(https://www.icpdr.org/main/issues/agriculture). Documentul oferă țărilor dunărene sprijin pentru pregătirea și implementarea politicilor naționale de agro-mediu, a Planurilor Strategice ale PAC și a strategiilor relevante ale Planurilor de Management actualizate ale Bazinelor/Spațiilor Hidrografice. Acesta va oferi un cadru politic potrivit cu un set de instrumente recomandate, care să faciliteze luarea deciziilor la nivel național în domeniul apei și al agriculturii și să identifice obiective comune, să stabilească politici adecvate și să implementeze acțiuni comune și măsuri eficiente din punct de vedere al costurilor.</w:t>
      </w:r>
    </w:p>
    <w:p w14:paraId="2BE988A6"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Potrivit Planului Național de management actualizat aprobat prin HG nr. 859/2016 pentru aprobarea Planului naţional de management actualizat aferent porţiunii din bazinul hidrografic internaţional al fluviului Dunărea care este cuprinsă în teritoriul României, prin aplicarea </w:t>
      </w:r>
      <w:r w:rsidRPr="00C32757">
        <w:rPr>
          <w:rFonts w:asciiTheme="minorBidi" w:hAnsiTheme="minorBidi"/>
          <w:b/>
          <w:sz w:val="24"/>
          <w:szCs w:val="24"/>
          <w:lang w:val="it-IT"/>
        </w:rPr>
        <w:t xml:space="preserve">modelului MONERIS </w:t>
      </w:r>
      <w:r w:rsidRPr="00C32757">
        <w:rPr>
          <w:rFonts w:asciiTheme="minorBidi" w:hAnsiTheme="minorBidi"/>
          <w:sz w:val="24"/>
          <w:szCs w:val="24"/>
          <w:lang w:val="it-IT"/>
        </w:rPr>
        <w:t>(</w:t>
      </w:r>
      <w:r w:rsidRPr="00C32757">
        <w:rPr>
          <w:rFonts w:asciiTheme="minorBidi" w:hAnsiTheme="minorBidi"/>
          <w:b/>
          <w:sz w:val="24"/>
          <w:szCs w:val="24"/>
          <w:lang w:val="it-IT"/>
        </w:rPr>
        <w:t>MO</w:t>
      </w:r>
      <w:r w:rsidRPr="00C32757">
        <w:rPr>
          <w:rFonts w:asciiTheme="minorBidi" w:hAnsiTheme="minorBidi"/>
          <w:sz w:val="24"/>
          <w:szCs w:val="24"/>
          <w:lang w:val="it-IT"/>
        </w:rPr>
        <w:t xml:space="preserve">delling </w:t>
      </w:r>
      <w:r w:rsidRPr="00C32757">
        <w:rPr>
          <w:rFonts w:asciiTheme="minorBidi" w:hAnsiTheme="minorBidi"/>
          <w:b/>
          <w:sz w:val="24"/>
          <w:szCs w:val="24"/>
          <w:lang w:val="it-IT"/>
        </w:rPr>
        <w:t>N</w:t>
      </w:r>
      <w:r w:rsidRPr="00C32757">
        <w:rPr>
          <w:rFonts w:asciiTheme="minorBidi" w:hAnsiTheme="minorBidi"/>
          <w:sz w:val="24"/>
          <w:szCs w:val="24"/>
          <w:lang w:val="it-IT"/>
        </w:rPr>
        <w:t xml:space="preserve">utrient </w:t>
      </w:r>
      <w:r w:rsidRPr="00C32757">
        <w:rPr>
          <w:rFonts w:asciiTheme="minorBidi" w:hAnsiTheme="minorBidi"/>
          <w:b/>
          <w:sz w:val="24"/>
          <w:szCs w:val="24"/>
          <w:lang w:val="it-IT"/>
        </w:rPr>
        <w:t>E</w:t>
      </w:r>
      <w:r w:rsidRPr="00C32757">
        <w:rPr>
          <w:rFonts w:asciiTheme="minorBidi" w:hAnsiTheme="minorBidi"/>
          <w:sz w:val="24"/>
          <w:szCs w:val="24"/>
          <w:lang w:val="it-IT"/>
        </w:rPr>
        <w:t xml:space="preserve">missions in </w:t>
      </w:r>
      <w:r w:rsidRPr="00C32757">
        <w:rPr>
          <w:rFonts w:asciiTheme="minorBidi" w:hAnsiTheme="minorBidi"/>
          <w:b/>
          <w:sz w:val="24"/>
          <w:szCs w:val="24"/>
          <w:lang w:val="it-IT"/>
        </w:rPr>
        <w:t>RI</w:t>
      </w:r>
      <w:r w:rsidRPr="00C32757">
        <w:rPr>
          <w:rFonts w:asciiTheme="minorBidi" w:hAnsiTheme="minorBidi"/>
          <w:sz w:val="24"/>
          <w:szCs w:val="24"/>
          <w:lang w:val="it-IT"/>
        </w:rPr>
        <w:t xml:space="preserve">ver </w:t>
      </w:r>
      <w:r w:rsidRPr="00C32757">
        <w:rPr>
          <w:rFonts w:asciiTheme="minorBidi" w:hAnsiTheme="minorBidi"/>
          <w:b/>
          <w:sz w:val="24"/>
          <w:szCs w:val="24"/>
          <w:lang w:val="it-IT"/>
        </w:rPr>
        <w:t>S</w:t>
      </w:r>
      <w:r w:rsidRPr="00C32757">
        <w:rPr>
          <w:rFonts w:asciiTheme="minorBidi" w:hAnsiTheme="minorBidi"/>
          <w:sz w:val="24"/>
          <w:szCs w:val="24"/>
          <w:lang w:val="it-IT"/>
        </w:rPr>
        <w:t>ystems) se pot realiza același tip de scenarii privind prognoza calității apelor, respectiv evaluarea emisiilor de nutrienți și a potențialul și efectului măsurilor de bază și suplimentare de reducere a nutrienților. Modelul MONERIS este folosit pentru estimarea emisiilor provenind de la sursele de poluare punctiforme şi difuze. Modelul a fost elaborat şi aplicat în Planul Național de Management 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aprobate prin HG nr. 392/2023,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14:paraId="392C1209"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lastRenderedPageBreak/>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14:paraId="6ABCB2EB" w14:textId="77777777" w:rsidR="005E5343" w:rsidRPr="00C32757" w:rsidRDefault="005E5343" w:rsidP="005E5343">
      <w:pPr>
        <w:spacing w:before="120" w:after="120" w:line="240" w:lineRule="auto"/>
        <w:ind w:firstLine="720"/>
        <w:jc w:val="both"/>
        <w:rPr>
          <w:rFonts w:asciiTheme="minorBidi" w:eastAsia="Times New Roman" w:hAnsiTheme="minorBidi"/>
          <w:sz w:val="24"/>
          <w:szCs w:val="24"/>
          <w:lang w:val="it-IT"/>
        </w:rPr>
      </w:pPr>
      <w:r w:rsidRPr="00C32757">
        <w:rPr>
          <w:rFonts w:asciiTheme="minorBidi" w:eastAsia="Times New Roman" w:hAnsiTheme="minorBidi"/>
          <w:sz w:val="24"/>
          <w:szCs w:val="24"/>
          <w:lang w:val="it-IT"/>
        </w:rPr>
        <w:t>Pentru estimarea modurilor (căilor) de producere a poluării difuze cu nutrienți și a emisiilor de nutrienți de la surse, precum și aportul acestora la emisiile totale, modelul MONERIS verisunea 3.0 (Venohr et al., 2017) a fost aplicat la nivelul întregului district internațional al Dunării și a avut în vedere condițiile hidrologice medii multianuale din perioada de referință 2015-2018. MONERIS necesită o varietate de date de intrare cuprinzând informații despre condiţiile hidro-climatice, geo-fizice și administrativ-demografice, care au fost actualizate pentru perioada de referință 2015-2018. Astfel, modelul poate estima distribuția regională a emisiilor de nutrienți care intră în apele de suprafață la scară de sub-bazin și poate determina cele mai importante surse și căi ale acestora cu o acuratețe rezonabilă. Mai mult, ținând cont de principalele procese de reținere în flux, pot fi calculate încărcările râului la capătul bazinului hidrografic, care pot fi apoi utilizate pentru calibrarea și validarea modelului.</w:t>
      </w:r>
    </w:p>
    <w:p w14:paraId="6428BE6E" w14:textId="77777777" w:rsidR="005E5343" w:rsidRPr="00C32757" w:rsidRDefault="005E5343" w:rsidP="005E5343">
      <w:pPr>
        <w:spacing w:before="120" w:after="120" w:line="240" w:lineRule="auto"/>
        <w:ind w:firstLine="720"/>
        <w:jc w:val="both"/>
        <w:rPr>
          <w:rFonts w:asciiTheme="minorBidi" w:hAnsiTheme="minorBidi"/>
          <w:sz w:val="24"/>
          <w:szCs w:val="24"/>
        </w:rPr>
      </w:pPr>
      <w:r w:rsidRPr="00C32757">
        <w:rPr>
          <w:rFonts w:asciiTheme="minorBidi" w:hAnsiTheme="minorBidi"/>
          <w:sz w:val="24"/>
          <w:szCs w:val="24"/>
        </w:rPr>
        <w:t>Modelul MONERIS este utilizat pentru aplicarea scenariilor de bază pentru reducerea emisiilor de  nutrienți din surse punctiforme și difuze pentru orizontul de timp 2027. Scenariul utilizat are la bază condițiile hidrologice din perioada 2015-2018, iar datele utilizate privind încărcările de nutrienți au avut ca an de referință anul 2018. Astfel,  sunt stabilite viziuni și obiective de management care să conducă la reducerea emisiilor de nutrienți prin aplicarea de măsuri și pentru care s-au realizat scenariile, și anume:</w:t>
      </w:r>
    </w:p>
    <w:p w14:paraId="0A1E72BB"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scenariul de bază se referă în principal la implementarea până în anul 2027 a obligațiilor ce decurg din legislația europeană și națională (Directiva 91/271/CEE privind epurarea apelor uzate urbane, Directiva Nitrați, Regulamentul E-PRTR,  măsuri de agromediu sprijinite prin programele de dezvoltare rurală ale Politicii Agricole Comune, măsuri privind reducerea surplusului de azot, controlul erroziunii solului, zone tampon/fâșii de protecție în lungul cursurilor de apă, etc.);</w:t>
      </w:r>
    </w:p>
    <w:p w14:paraId="4D243192"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scenariul de viziune I – pe lângă scenariul de bază și măsurile aferente (mai sus descrise), sunt avute în vedere și alte tipuri de măsuri specifice, în funcție de sursele de emisii difuze și punctiforme (aglomerări, agricultură, industrie); de ex. utilizarea sistemelor individuale de colectare în diferite proporții, dezvoltarea agricolă durabilă și managementul echilibrat al nutrienților pentru realizarea țintelor din Pactul Ecologic European pentru nutrienți: reducere pierderi de nutrienți cu 50 %, până la o valoare medie a surplusului de azot la nivelul întregului bazin de 7,5 kg N/ha și an (plus depunerea atmosferică diferită la nivel regional), precum și pentru fosfor reducerea eroziunii solului până la maxim 1 tonă sol per hectar și an;</w:t>
      </w:r>
    </w:p>
    <w:p w14:paraId="008E8C61"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scenariul de viziune II – pe lângă scenariul de viziune I se adaugă îmbunătățirea capacității de retenție prin stabilirea zonelor ripariene/eficiente prin fâșii tampon/cu vegetație pentru 50 % din corpurile de apă de suprafață aflate în zonele vulnerabile la nitrați;</w:t>
      </w:r>
    </w:p>
    <w:p w14:paraId="77AC0CA6"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scenariul schimbări climatice (an cu ape mari și an secetos/„wet” și „dry”) ia în considerare efectele schimbărilor climatice prin calcularea emisiilor difuze de nutrienți pentru un regim hidrologic cu scurgere maximă (ape mari) și regim hidrologic cu scurgere minimă (ape mici), ambele luate ca extreme din ultimele două decenii, prin înlocuirea regimului hidrologic mediu cu precipitaţiile şi scurgerile anilor extremi şi presupunând implementarea măsurilor conform scenariului de viziune I.</w:t>
      </w:r>
    </w:p>
    <w:p w14:paraId="1E6E2AFA" w14:textId="77777777" w:rsidR="005E5343" w:rsidRPr="00C32757" w:rsidRDefault="005E5343" w:rsidP="005E5343">
      <w:pPr>
        <w:spacing w:before="120" w:after="120" w:line="240" w:lineRule="auto"/>
        <w:ind w:firstLine="720"/>
        <w:jc w:val="both"/>
        <w:rPr>
          <w:rFonts w:asciiTheme="minorBidi" w:eastAsia="Times New Roman" w:hAnsiTheme="minorBidi"/>
          <w:sz w:val="24"/>
          <w:szCs w:val="24"/>
          <w:lang w:val="it-IT"/>
        </w:rPr>
      </w:pPr>
      <w:r w:rsidRPr="00C32757">
        <w:rPr>
          <w:rFonts w:asciiTheme="minorBidi" w:eastAsia="Times New Roman" w:hAnsiTheme="minorBidi"/>
          <w:sz w:val="24"/>
          <w:szCs w:val="24"/>
          <w:lang w:val="it-IT"/>
        </w:rPr>
        <w:t xml:space="preserve">Scenariul de bază pentru anul 2027 se axează pe asumări privind implementarea măsurilor pentru sectoarele ape uzate urbane, activități industriale și agricole, în principal măsurile care conduc la creșterea nivelurilor de colectare și epurare a apelor uzate, </w:t>
      </w:r>
      <w:r w:rsidRPr="00C32757">
        <w:rPr>
          <w:rFonts w:asciiTheme="minorBidi" w:eastAsia="Times New Roman" w:hAnsiTheme="minorBidi"/>
          <w:sz w:val="24"/>
          <w:szCs w:val="24"/>
          <w:lang w:val="it-IT"/>
        </w:rPr>
        <w:lastRenderedPageBreak/>
        <w:t>modificări ale utilizării terenurilor, îmbunătățirea practicilor de rotație a culturilor și schimbarea emisiilor specifice de fosfor pe locuitor.</w:t>
      </w:r>
    </w:p>
    <w:p w14:paraId="037382C7" w14:textId="77777777" w:rsidR="005E5343" w:rsidRPr="00C32757" w:rsidRDefault="005E5343" w:rsidP="005E5343">
      <w:pPr>
        <w:spacing w:before="120" w:after="120" w:line="240" w:lineRule="auto"/>
        <w:ind w:firstLine="720"/>
        <w:jc w:val="both"/>
        <w:rPr>
          <w:rFonts w:asciiTheme="minorBidi" w:eastAsia="Times New Roman" w:hAnsiTheme="minorBidi"/>
          <w:sz w:val="24"/>
          <w:szCs w:val="24"/>
          <w:lang w:val="it-IT"/>
        </w:rPr>
      </w:pPr>
      <w:r w:rsidRPr="00C32757">
        <w:rPr>
          <w:rFonts w:asciiTheme="minorBidi" w:eastAsia="Times New Roman" w:hAnsiTheme="minorBidi"/>
          <w:sz w:val="24"/>
          <w:szCs w:val="24"/>
          <w:lang w:val="it-IT"/>
        </w:rPr>
        <w:t xml:space="preserve">S-a preconizat implementarea integrală a măsurilor de control la sursă pentru reducerea emisiilor de fosfor rezultate prin implementarea prevederilor Regulamentului (CE) nr. 648/2004 în ceea ce privește utilizarea fosfaților și a altor compuși ai fosforului în detergenții de rufe destinați consumatorilor și în detergenții pentru mașini automate de spălat vase destinați consumatorilor, ceea ce se reflectă în reducerea emisiei specifice de fosfor pe persoană. </w:t>
      </w:r>
    </w:p>
    <w:p w14:paraId="016CCA7D" w14:textId="77777777" w:rsidR="005E5343" w:rsidRPr="00C32757" w:rsidRDefault="005E5343" w:rsidP="005E5343">
      <w:pPr>
        <w:spacing w:before="120" w:after="120" w:line="240" w:lineRule="auto"/>
        <w:ind w:firstLine="720"/>
        <w:jc w:val="both"/>
        <w:rPr>
          <w:rFonts w:asciiTheme="minorBidi" w:eastAsia="Times New Roman" w:hAnsiTheme="minorBidi"/>
          <w:sz w:val="24"/>
          <w:szCs w:val="24"/>
          <w:lang w:val="it-IT"/>
        </w:rPr>
      </w:pPr>
      <w:r w:rsidRPr="00C32757">
        <w:rPr>
          <w:rFonts w:asciiTheme="minorBidi" w:eastAsia="Times New Roman" w:hAnsiTheme="minorBidi"/>
          <w:sz w:val="24"/>
          <w:szCs w:val="24"/>
          <w:lang w:val="it-IT"/>
        </w:rPr>
        <w:t xml:space="preserve">Astfel, se aplică o gamă largă de măsuri, inclusiv managementul nutrienților (de exemplu, calculul balanței de nutrienți, optimizarea fertilizării), modificarea metodelor de cultivare (conversia terenurilor arabile în pășuni, cultivarea terenurilor agricole fără utilizarea utilajelor), modificări în utilizare  terenurilor (întreținerea pajiștilor, realizarea benzilor tampon de-a lungul cursurilor de apă), conservarea solului (tehnici de control a eroziunii solului – rotația culturilor, eliminarea scurgerilor din rețele de drenaj de la ferme) și măsuri de retenție naturală a apei (zone umede, căi navigabile înierbate) și măsuri de protecție împotriva inundațiilor (de exemplu, refacerea și conservarea zonelor umede și a zonelor inundabile, stabilirea zonelor tampon riverane) au impact pozitiv asupra retenției de nutrienți în zonele adiacente ale cursurilor de apă. </w:t>
      </w:r>
    </w:p>
    <w:p w14:paraId="45A0C7BF" w14:textId="77777777" w:rsidR="005E5343" w:rsidRPr="00C32757" w:rsidRDefault="005E5343" w:rsidP="005E5343">
      <w:pPr>
        <w:spacing w:before="120" w:after="0" w:line="240" w:lineRule="auto"/>
        <w:ind w:firstLine="720"/>
        <w:jc w:val="both"/>
        <w:rPr>
          <w:rFonts w:asciiTheme="minorBidi" w:hAnsiTheme="minorBidi"/>
          <w:sz w:val="24"/>
          <w:szCs w:val="24"/>
        </w:rPr>
      </w:pPr>
      <w:r w:rsidRPr="00C32757">
        <w:rPr>
          <w:rFonts w:asciiTheme="minorBidi" w:hAnsiTheme="minorBidi"/>
          <w:sz w:val="24"/>
          <w:szCs w:val="24"/>
        </w:rPr>
        <w:t>Modificările emisiilor totale de azot în funcție de scenariile viitoare și căile de emisie, în comparație cu starea de referință, indică faptul că emisiile au scăzut cu:</w:t>
      </w:r>
    </w:p>
    <w:p w14:paraId="441BB5EA"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13,9 % în scenariul de bază;</w:t>
      </w:r>
    </w:p>
    <w:p w14:paraId="761EBAE8"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17,2 % în scenariul de viziune I;</w:t>
      </w:r>
    </w:p>
    <w:p w14:paraId="13F53B83"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19,4 % în scenariul de viziune II;</w:t>
      </w:r>
    </w:p>
    <w:p w14:paraId="41F8D35A"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23,4 % în scenariul de viziune I - regim hidrologic cu scurgere minimă (ape mici).</w:t>
      </w:r>
    </w:p>
    <w:p w14:paraId="01D0F778" w14:textId="77777777" w:rsidR="005E5343" w:rsidRPr="00C32757" w:rsidRDefault="005E5343" w:rsidP="005E5343">
      <w:pPr>
        <w:spacing w:after="0" w:line="240" w:lineRule="auto"/>
        <w:jc w:val="both"/>
        <w:rPr>
          <w:rFonts w:asciiTheme="minorBidi" w:hAnsiTheme="minorBidi"/>
          <w:sz w:val="24"/>
          <w:szCs w:val="24"/>
        </w:rPr>
      </w:pPr>
      <w:r w:rsidRPr="00C32757">
        <w:rPr>
          <w:rFonts w:asciiTheme="minorBidi" w:hAnsiTheme="minorBidi"/>
          <w:sz w:val="24"/>
          <w:szCs w:val="24"/>
        </w:rPr>
        <w:t>În scenariul de viziune I - regim hidrologic cu scurgere maximă (ape mari), emisiile totale de azot au crescut cu 2 %.</w:t>
      </w:r>
    </w:p>
    <w:p w14:paraId="48B26CEB" w14:textId="77777777" w:rsidR="005E5343" w:rsidRPr="00C32757" w:rsidRDefault="005E5343" w:rsidP="005E5343">
      <w:pPr>
        <w:spacing w:after="0" w:line="240" w:lineRule="auto"/>
        <w:jc w:val="both"/>
        <w:rPr>
          <w:rFonts w:asciiTheme="minorBidi" w:hAnsiTheme="minorBidi"/>
          <w:sz w:val="24"/>
          <w:szCs w:val="24"/>
        </w:rPr>
      </w:pPr>
      <w:r w:rsidRPr="00C32757">
        <w:rPr>
          <w:rFonts w:asciiTheme="minorBidi" w:hAnsiTheme="minorBidi"/>
          <w:sz w:val="24"/>
          <w:szCs w:val="24"/>
        </w:rPr>
        <w:t>De asemenea, modificările emisiilor totale de fosfor în funcție de scenariile viitoare, în comparație cu starea de referință, indică faptul că reducerea emisiilor cu:</w:t>
      </w:r>
    </w:p>
    <w:p w14:paraId="0009414E"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5,4 % în scenariul de bază;</w:t>
      </w:r>
    </w:p>
    <w:p w14:paraId="7E1AEDDA"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15,4 %în scenariul de viziune I;</w:t>
      </w:r>
    </w:p>
    <w:p w14:paraId="6A23BDF4"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26,8 % în scenariul de viziune II;</w:t>
      </w:r>
    </w:p>
    <w:p w14:paraId="783B278F" w14:textId="77777777" w:rsidR="005E5343" w:rsidRPr="00C32757" w:rsidRDefault="005E5343" w:rsidP="005E5343">
      <w:pPr>
        <w:spacing w:after="0" w:line="240" w:lineRule="auto"/>
        <w:ind w:left="270" w:hanging="27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22,4 % în scenariul de viziune I - regim hidrologic cu scurgere minimă (ape mici).</w:t>
      </w:r>
    </w:p>
    <w:p w14:paraId="106984B3" w14:textId="77777777" w:rsidR="005E5343" w:rsidRPr="00C32757" w:rsidRDefault="005E5343" w:rsidP="005E5343">
      <w:pPr>
        <w:spacing w:after="0" w:line="240" w:lineRule="auto"/>
        <w:jc w:val="both"/>
        <w:rPr>
          <w:rFonts w:asciiTheme="minorBidi" w:hAnsiTheme="minorBidi"/>
          <w:sz w:val="24"/>
          <w:szCs w:val="24"/>
        </w:rPr>
      </w:pPr>
      <w:r w:rsidRPr="00C32757">
        <w:rPr>
          <w:rFonts w:asciiTheme="minorBidi" w:hAnsiTheme="minorBidi"/>
          <w:sz w:val="24"/>
          <w:szCs w:val="24"/>
        </w:rPr>
        <w:t>În scenariul de viziune I - regim hidrologic cu scurgere maximă (ape mari), emisiile totale de fosfor aucrescut cu cca. 3 %.</w:t>
      </w:r>
    </w:p>
    <w:p w14:paraId="3B14824C" w14:textId="77777777" w:rsidR="005E5343" w:rsidRPr="00C32757" w:rsidRDefault="005E5343" w:rsidP="005E5343">
      <w:pPr>
        <w:spacing w:before="120" w:after="120" w:line="240" w:lineRule="auto"/>
        <w:ind w:firstLine="720"/>
        <w:jc w:val="both"/>
        <w:rPr>
          <w:rFonts w:asciiTheme="minorBidi" w:hAnsiTheme="minorBidi"/>
          <w:iCs/>
          <w:sz w:val="24"/>
          <w:szCs w:val="24"/>
        </w:rPr>
      </w:pPr>
      <w:r w:rsidRPr="00C32757">
        <w:rPr>
          <w:rFonts w:asciiTheme="minorBidi" w:hAnsiTheme="minorBidi"/>
          <w:iCs/>
          <w:sz w:val="24"/>
          <w:szCs w:val="24"/>
        </w:rPr>
        <w:t>Comparativ cu situația de referință pentru azot total, în anul 2027 (scenariu de bază) depunerile atmosferice rămân relativ constante, scurgerea de suprafață crește cu 9,53 %, iar scurgerea subterană scade cu 21,3 %. Aceste tendințe confirmă efectul implementării măsurilor de realizare a sistemelor de colectare și epurare a apelor uzate care contribuie la scăderea scurgerii subterane.</w:t>
      </w:r>
    </w:p>
    <w:p w14:paraId="1CD76B16" w14:textId="77777777" w:rsidR="005E5343" w:rsidRPr="00C32757" w:rsidRDefault="005E5343" w:rsidP="005E5343">
      <w:pPr>
        <w:spacing w:before="120" w:after="120" w:line="240" w:lineRule="auto"/>
        <w:ind w:firstLine="720"/>
        <w:jc w:val="both"/>
        <w:rPr>
          <w:rFonts w:asciiTheme="minorBidi" w:hAnsiTheme="minorBidi"/>
          <w:iCs/>
          <w:sz w:val="24"/>
          <w:szCs w:val="24"/>
        </w:rPr>
      </w:pPr>
      <w:r w:rsidRPr="00C32757">
        <w:rPr>
          <w:rFonts w:asciiTheme="minorBidi" w:hAnsiTheme="minorBidi"/>
          <w:iCs/>
          <w:sz w:val="24"/>
          <w:szCs w:val="24"/>
        </w:rPr>
        <w:t>Similar, comparativ cu situația de referință pentru fosfor total, în anul 2027 (scenariu de bază) se observă că eroziunea solului/transportul sedimentelor se reduce cu 10,8 %, scurgerea din zone impermeabile orășenești scade cu 52,1 %, în timp ce crește aportul surselor punctiforme cu 43,6 %, ceea ce confirmă reducerea poluării difuze și creșterea poluării punctiforme produsă în zonele urbane, urmare a construirii rețelelor de canalizare și stațiilor de epurare în zonele urbane.</w:t>
      </w:r>
    </w:p>
    <w:p w14:paraId="0F33FDCB" w14:textId="77777777" w:rsidR="005E5343" w:rsidRPr="00C32757" w:rsidRDefault="005E5343" w:rsidP="005E5343">
      <w:pPr>
        <w:spacing w:before="120" w:after="120" w:line="240" w:lineRule="auto"/>
        <w:ind w:firstLine="567"/>
        <w:jc w:val="both"/>
        <w:rPr>
          <w:rFonts w:asciiTheme="minorBidi" w:hAnsiTheme="minorBidi"/>
          <w:sz w:val="24"/>
          <w:szCs w:val="24"/>
        </w:rPr>
      </w:pPr>
      <w:r w:rsidRPr="00C32757">
        <w:rPr>
          <w:rFonts w:asciiTheme="minorBidi" w:hAnsiTheme="minorBidi"/>
          <w:sz w:val="24"/>
          <w:szCs w:val="24"/>
        </w:rPr>
        <w:t>În Figurile II.2.3.1 și II.2.3.2 sunt prezentate comparativ rezultatele aplicării scenariilor cu referire la căile de producere a poluării cu nutrienți.</w:t>
      </w:r>
    </w:p>
    <w:p w14:paraId="589BFD35" w14:textId="77777777" w:rsidR="005E5343" w:rsidRPr="00C32757" w:rsidRDefault="005E5343" w:rsidP="005E5343">
      <w:pPr>
        <w:spacing w:before="120" w:after="120" w:line="240" w:lineRule="auto"/>
        <w:ind w:firstLine="567"/>
        <w:jc w:val="both"/>
        <w:rPr>
          <w:rFonts w:asciiTheme="minorBidi" w:hAnsiTheme="minorBidi"/>
          <w:sz w:val="24"/>
          <w:szCs w:val="24"/>
        </w:rPr>
      </w:pPr>
      <w:r w:rsidRPr="00C32757">
        <w:rPr>
          <w:rFonts w:asciiTheme="minorBidi" w:hAnsiTheme="minorBidi"/>
          <w:sz w:val="24"/>
          <w:szCs w:val="24"/>
        </w:rPr>
        <w:t xml:space="preserve">De asemenea, din Figurile II.2.3.3 și II.2.3.4 se observă evoluția privind sursele de emisii totale de azot și fosfor până în anul 2027 (scenariu de bază) și după (scenarii de viziune). În ceea ce privește aplicarea scenariilor de bază pentru emisiile totale de nutrienți la nivel național, se observă modificarea cantităților de nutrienți emise în anul </w:t>
      </w:r>
      <w:r w:rsidRPr="00C32757">
        <w:rPr>
          <w:rFonts w:asciiTheme="minorBidi" w:hAnsiTheme="minorBidi"/>
          <w:sz w:val="24"/>
          <w:szCs w:val="24"/>
        </w:rPr>
        <w:lastRenderedPageBreak/>
        <w:t>2027, comparativ cu perioada 2015-2018, respectiv cu 12.341 tone N/an (scădere cu cca. 13,9 %) și cu 356,9 tone P/an (scădere cu cca. 5,5 %).</w:t>
      </w:r>
    </w:p>
    <w:p w14:paraId="734DB763" w14:textId="77777777" w:rsidR="005E5343" w:rsidRPr="00C32757" w:rsidRDefault="005E5343" w:rsidP="005E5343">
      <w:pPr>
        <w:spacing w:before="120" w:after="120" w:line="240" w:lineRule="auto"/>
        <w:ind w:firstLine="567"/>
        <w:jc w:val="both"/>
        <w:rPr>
          <w:rFonts w:asciiTheme="minorBidi" w:hAnsiTheme="minorBidi"/>
          <w:sz w:val="24"/>
          <w:szCs w:val="24"/>
        </w:rPr>
      </w:pPr>
    </w:p>
    <w:p w14:paraId="078148B4" w14:textId="77777777" w:rsidR="005E5343" w:rsidRPr="00C32757" w:rsidRDefault="005E5343" w:rsidP="005E5343">
      <w:pPr>
        <w:spacing w:before="120" w:after="120" w:line="240" w:lineRule="auto"/>
        <w:ind w:firstLine="567"/>
        <w:jc w:val="both"/>
        <w:rPr>
          <w:rFonts w:asciiTheme="minorBidi" w:hAnsiTheme="minorBidi"/>
          <w:sz w:val="24"/>
          <w:szCs w:val="24"/>
        </w:rPr>
      </w:pPr>
    </w:p>
    <w:p w14:paraId="05CEDF0F" w14:textId="77777777" w:rsidR="005E5343" w:rsidRPr="00C32757" w:rsidRDefault="005E5343" w:rsidP="005E5343">
      <w:pPr>
        <w:spacing w:before="120" w:after="120" w:line="240" w:lineRule="auto"/>
        <w:ind w:firstLine="567"/>
        <w:jc w:val="both"/>
        <w:rPr>
          <w:rFonts w:asciiTheme="minorBidi" w:hAnsiTheme="minorBidi"/>
          <w:sz w:val="24"/>
          <w:szCs w:val="24"/>
        </w:rPr>
      </w:pPr>
    </w:p>
    <w:p w14:paraId="6C5008BB" w14:textId="77777777" w:rsidR="005E5343" w:rsidRPr="00C32757" w:rsidRDefault="005E5343" w:rsidP="005E5343">
      <w:pPr>
        <w:spacing w:after="0" w:line="240" w:lineRule="auto"/>
        <w:jc w:val="both"/>
        <w:rPr>
          <w:rFonts w:asciiTheme="minorBidi" w:hAnsiTheme="minorBidi"/>
          <w:b/>
          <w:bCs/>
          <w:sz w:val="24"/>
          <w:szCs w:val="24"/>
        </w:rPr>
      </w:pPr>
      <w:r w:rsidRPr="00C32757">
        <w:rPr>
          <w:rFonts w:asciiTheme="minorBidi" w:hAnsiTheme="minorBidi"/>
          <w:b/>
          <w:bCs/>
          <w:sz w:val="24"/>
          <w:szCs w:val="24"/>
        </w:rPr>
        <w:t>Figura II.2.3.1</w:t>
      </w:r>
      <w:r>
        <w:rPr>
          <w:rFonts w:asciiTheme="minorBidi" w:hAnsiTheme="minorBidi"/>
          <w:b/>
          <w:bCs/>
          <w:sz w:val="24"/>
          <w:szCs w:val="24"/>
        </w:rPr>
        <w:t xml:space="preserve"> </w:t>
      </w:r>
      <w:r w:rsidRPr="00C32757">
        <w:rPr>
          <w:rFonts w:asciiTheme="minorBidi" w:hAnsiTheme="minorBidi"/>
          <w:b/>
          <w:bCs/>
          <w:sz w:val="24"/>
          <w:szCs w:val="24"/>
        </w:rPr>
        <w:t>Evoluția emisiilor de azot total și a căilor de emisie în funcție de scenarii (exprimate în tone N pe an)</w:t>
      </w:r>
    </w:p>
    <w:p w14:paraId="556BD64F" w14:textId="77777777" w:rsidR="005E5343" w:rsidRPr="00C32757" w:rsidRDefault="005E5343" w:rsidP="005E5343">
      <w:pPr>
        <w:spacing w:after="0" w:line="240" w:lineRule="auto"/>
        <w:jc w:val="both"/>
        <w:rPr>
          <w:rFonts w:asciiTheme="minorBidi" w:hAnsiTheme="minorBidi"/>
          <w:sz w:val="24"/>
          <w:szCs w:val="24"/>
        </w:rPr>
      </w:pPr>
      <w:r w:rsidRPr="00C32757">
        <w:rPr>
          <w:rFonts w:asciiTheme="minorBidi" w:hAnsiTheme="minorBidi"/>
          <w:noProof/>
          <w:sz w:val="24"/>
          <w:szCs w:val="24"/>
          <w:lang w:val="en-GB" w:eastAsia="en-GB"/>
        </w:rPr>
        <w:drawing>
          <wp:inline distT="0" distB="0" distL="0" distR="0" wp14:anchorId="1136CDAC" wp14:editId="7E7CFB50">
            <wp:extent cx="5898515" cy="3035431"/>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8939" cy="3035649"/>
                    </a:xfrm>
                    <a:prstGeom prst="rect">
                      <a:avLst/>
                    </a:prstGeom>
                    <a:noFill/>
                  </pic:spPr>
                </pic:pic>
              </a:graphicData>
            </a:graphic>
          </wp:inline>
        </w:drawing>
      </w:r>
    </w:p>
    <w:p w14:paraId="25096F97" w14:textId="77777777" w:rsidR="005E5343" w:rsidRPr="00C32757" w:rsidRDefault="005E5343" w:rsidP="005E5343">
      <w:pPr>
        <w:spacing w:before="120" w:after="120" w:line="240" w:lineRule="auto"/>
        <w:jc w:val="both"/>
        <w:rPr>
          <w:rFonts w:asciiTheme="minorBidi" w:hAnsiTheme="minorBidi"/>
          <w:i/>
          <w:sz w:val="20"/>
          <w:szCs w:val="20"/>
        </w:rPr>
      </w:pPr>
      <w:r w:rsidRPr="00C32757">
        <w:rPr>
          <w:rFonts w:asciiTheme="minorBidi" w:hAnsiTheme="minorBidi"/>
          <w:i/>
          <w:sz w:val="20"/>
          <w:szCs w:val="20"/>
        </w:rPr>
        <w:t>(Sursa datelor: Administrația Națională „Apele Române”, Planul Național de Management actualizat)</w:t>
      </w:r>
    </w:p>
    <w:p w14:paraId="760AB3FE" w14:textId="77777777" w:rsidR="005E5343" w:rsidRPr="00C32757" w:rsidRDefault="005E5343" w:rsidP="005E5343">
      <w:pPr>
        <w:spacing w:after="0" w:line="240" w:lineRule="auto"/>
        <w:ind w:firstLine="567"/>
        <w:jc w:val="both"/>
        <w:rPr>
          <w:rFonts w:asciiTheme="minorBidi" w:hAnsiTheme="minorBidi"/>
          <w:sz w:val="24"/>
          <w:szCs w:val="24"/>
        </w:rPr>
      </w:pPr>
    </w:p>
    <w:p w14:paraId="13A803B3" w14:textId="77777777" w:rsidR="005E5343" w:rsidRPr="00C32757" w:rsidRDefault="005E5343" w:rsidP="005E5343">
      <w:pPr>
        <w:spacing w:after="0" w:line="240" w:lineRule="auto"/>
        <w:ind w:firstLine="567"/>
        <w:jc w:val="both"/>
        <w:rPr>
          <w:rFonts w:asciiTheme="minorBidi" w:hAnsiTheme="minorBidi"/>
          <w:sz w:val="24"/>
          <w:szCs w:val="24"/>
        </w:rPr>
      </w:pPr>
    </w:p>
    <w:p w14:paraId="2FA29736" w14:textId="77777777" w:rsidR="005E5343" w:rsidRPr="00C32757" w:rsidRDefault="005E5343" w:rsidP="005E5343">
      <w:pPr>
        <w:spacing w:after="0" w:line="240" w:lineRule="auto"/>
        <w:ind w:firstLine="567"/>
        <w:jc w:val="both"/>
        <w:rPr>
          <w:rFonts w:asciiTheme="minorBidi" w:hAnsiTheme="minorBidi"/>
          <w:sz w:val="24"/>
          <w:szCs w:val="24"/>
        </w:rPr>
      </w:pPr>
    </w:p>
    <w:p w14:paraId="0B8FBA67" w14:textId="77777777" w:rsidR="005E5343" w:rsidRPr="008F338D" w:rsidRDefault="005E5343" w:rsidP="005E5343">
      <w:pPr>
        <w:spacing w:after="0" w:line="240" w:lineRule="auto"/>
        <w:rPr>
          <w:rFonts w:asciiTheme="minorBidi" w:hAnsiTheme="minorBidi"/>
          <w:b/>
          <w:bCs/>
          <w:sz w:val="24"/>
          <w:szCs w:val="24"/>
        </w:rPr>
      </w:pPr>
      <w:r w:rsidRPr="00C32757">
        <w:rPr>
          <w:rFonts w:asciiTheme="minorBidi" w:hAnsiTheme="minorBidi"/>
          <w:b/>
          <w:bCs/>
          <w:sz w:val="24"/>
          <w:szCs w:val="24"/>
        </w:rPr>
        <w:t>Figura II.2.3.2</w:t>
      </w:r>
      <w:r>
        <w:rPr>
          <w:rFonts w:asciiTheme="minorBidi" w:hAnsiTheme="minorBidi"/>
          <w:b/>
          <w:bCs/>
          <w:sz w:val="24"/>
          <w:szCs w:val="24"/>
        </w:rPr>
        <w:t xml:space="preserve"> </w:t>
      </w:r>
      <w:r w:rsidRPr="00C32757">
        <w:rPr>
          <w:rFonts w:asciiTheme="minorBidi" w:hAnsiTheme="minorBidi"/>
          <w:b/>
          <w:bCs/>
          <w:sz w:val="24"/>
          <w:szCs w:val="24"/>
        </w:rPr>
        <w:t>Evoluția emisiilor de fosfor total și a căilor de emisie în funcție de scenarii (exprimate în tone P pe an)</w:t>
      </w:r>
    </w:p>
    <w:p w14:paraId="23EEB558" w14:textId="77777777" w:rsidR="005E5343" w:rsidRPr="00C32757" w:rsidRDefault="005E5343" w:rsidP="005E5343">
      <w:pPr>
        <w:spacing w:after="0" w:line="240" w:lineRule="auto"/>
        <w:jc w:val="both"/>
        <w:rPr>
          <w:rFonts w:asciiTheme="minorBidi" w:hAnsiTheme="minorBidi"/>
          <w:sz w:val="24"/>
          <w:szCs w:val="24"/>
        </w:rPr>
      </w:pPr>
      <w:r>
        <w:rPr>
          <w:rFonts w:ascii="Arial" w:hAnsi="Arial" w:cs="Arial"/>
          <w:noProof/>
          <w:sz w:val="24"/>
          <w:szCs w:val="24"/>
          <w:lang w:val="en-GB" w:eastAsia="en-GB"/>
        </w:rPr>
        <w:drawing>
          <wp:inline distT="0" distB="0" distL="0" distR="0" wp14:anchorId="1BC21A9F" wp14:editId="00840CDF">
            <wp:extent cx="5939790" cy="2926972"/>
            <wp:effectExtent l="0" t="0" r="381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2926972"/>
                    </a:xfrm>
                    <a:prstGeom prst="rect">
                      <a:avLst/>
                    </a:prstGeom>
                    <a:noFill/>
                  </pic:spPr>
                </pic:pic>
              </a:graphicData>
            </a:graphic>
          </wp:inline>
        </w:drawing>
      </w:r>
    </w:p>
    <w:p w14:paraId="17AFC617" w14:textId="77777777" w:rsidR="005E5343" w:rsidRPr="008F338D" w:rsidRDefault="005E5343" w:rsidP="005E5343">
      <w:pPr>
        <w:spacing w:after="0" w:line="240" w:lineRule="auto"/>
        <w:jc w:val="both"/>
        <w:rPr>
          <w:rFonts w:asciiTheme="minorBidi" w:hAnsiTheme="minorBidi"/>
          <w:i/>
          <w:sz w:val="20"/>
          <w:szCs w:val="20"/>
        </w:rPr>
      </w:pPr>
      <w:r w:rsidRPr="008F338D">
        <w:rPr>
          <w:rFonts w:asciiTheme="minorBidi" w:hAnsiTheme="minorBidi"/>
          <w:i/>
          <w:sz w:val="20"/>
          <w:szCs w:val="20"/>
        </w:rPr>
        <w:t>(Sursa datelor: Administrația Națională „Apele Române”, Planul Național de Management actualizat)</w:t>
      </w:r>
    </w:p>
    <w:p w14:paraId="4D4F2105" w14:textId="77777777" w:rsidR="005E5343" w:rsidRPr="00C32757" w:rsidRDefault="005E5343" w:rsidP="005E5343">
      <w:pPr>
        <w:spacing w:after="0" w:line="240" w:lineRule="auto"/>
        <w:ind w:firstLine="567"/>
        <w:jc w:val="both"/>
        <w:rPr>
          <w:rFonts w:asciiTheme="minorBidi" w:hAnsiTheme="minorBidi"/>
          <w:sz w:val="24"/>
          <w:szCs w:val="24"/>
        </w:rPr>
      </w:pPr>
    </w:p>
    <w:p w14:paraId="6FB28D49" w14:textId="77777777" w:rsidR="005E5343" w:rsidRPr="00C32757" w:rsidRDefault="005E5343" w:rsidP="005E5343">
      <w:pPr>
        <w:spacing w:after="0" w:line="240" w:lineRule="auto"/>
        <w:jc w:val="both"/>
        <w:rPr>
          <w:rFonts w:asciiTheme="minorBidi" w:hAnsiTheme="minorBidi"/>
          <w:b/>
          <w:bCs/>
          <w:sz w:val="24"/>
          <w:szCs w:val="24"/>
        </w:rPr>
      </w:pPr>
    </w:p>
    <w:p w14:paraId="2FE32CDF" w14:textId="77777777" w:rsidR="005E5343" w:rsidRPr="00C32757" w:rsidRDefault="005E5343" w:rsidP="005E5343">
      <w:pPr>
        <w:spacing w:after="0" w:line="240" w:lineRule="auto"/>
        <w:jc w:val="both"/>
        <w:rPr>
          <w:rFonts w:asciiTheme="minorBidi" w:hAnsiTheme="minorBidi"/>
          <w:b/>
          <w:bCs/>
          <w:sz w:val="24"/>
          <w:szCs w:val="24"/>
        </w:rPr>
      </w:pPr>
    </w:p>
    <w:p w14:paraId="393D2A86" w14:textId="77777777" w:rsidR="005E5343" w:rsidRPr="00C32757" w:rsidRDefault="005E5343" w:rsidP="005E5343">
      <w:pPr>
        <w:spacing w:after="0" w:line="240" w:lineRule="auto"/>
        <w:jc w:val="both"/>
        <w:rPr>
          <w:rFonts w:asciiTheme="minorBidi" w:hAnsiTheme="minorBidi"/>
          <w:b/>
          <w:bCs/>
          <w:sz w:val="24"/>
          <w:szCs w:val="24"/>
        </w:rPr>
      </w:pPr>
    </w:p>
    <w:p w14:paraId="7A952367" w14:textId="77777777" w:rsidR="005E5343" w:rsidRPr="00C32757" w:rsidRDefault="005E5343" w:rsidP="005E5343">
      <w:pPr>
        <w:spacing w:after="0" w:line="240" w:lineRule="auto"/>
        <w:jc w:val="both"/>
        <w:rPr>
          <w:rFonts w:asciiTheme="minorBidi" w:hAnsiTheme="minorBidi"/>
          <w:b/>
          <w:bCs/>
          <w:sz w:val="24"/>
          <w:szCs w:val="24"/>
        </w:rPr>
      </w:pPr>
    </w:p>
    <w:p w14:paraId="467C269F" w14:textId="77777777" w:rsidR="005E5343" w:rsidRPr="00C32757" w:rsidRDefault="005E5343" w:rsidP="005E5343">
      <w:pPr>
        <w:spacing w:after="0" w:line="240" w:lineRule="auto"/>
        <w:jc w:val="both"/>
        <w:rPr>
          <w:rFonts w:asciiTheme="minorBidi" w:hAnsiTheme="minorBidi"/>
          <w:b/>
          <w:bCs/>
          <w:sz w:val="24"/>
          <w:szCs w:val="24"/>
        </w:rPr>
      </w:pPr>
    </w:p>
    <w:p w14:paraId="23E27383" w14:textId="77777777" w:rsidR="005E5343" w:rsidRPr="00C32757" w:rsidRDefault="005E5343" w:rsidP="005E5343">
      <w:pPr>
        <w:spacing w:after="0" w:line="240" w:lineRule="auto"/>
        <w:rPr>
          <w:rFonts w:asciiTheme="minorBidi" w:hAnsiTheme="minorBidi"/>
          <w:b/>
          <w:bCs/>
          <w:sz w:val="24"/>
          <w:szCs w:val="24"/>
        </w:rPr>
      </w:pPr>
      <w:r w:rsidRPr="00C32757">
        <w:rPr>
          <w:rFonts w:asciiTheme="minorBidi" w:hAnsiTheme="minorBidi"/>
          <w:b/>
          <w:bCs/>
          <w:noProof/>
          <w:sz w:val="24"/>
          <w:szCs w:val="24"/>
          <w:lang w:val="en-GB" w:eastAsia="en-GB"/>
        </w:rPr>
        <w:drawing>
          <wp:anchor distT="0" distB="0" distL="114300" distR="114300" simplePos="0" relativeHeight="251669504" behindDoc="0" locked="0" layoutInCell="1" allowOverlap="1" wp14:anchorId="64EE88F2" wp14:editId="2E08A620">
            <wp:simplePos x="0" y="0"/>
            <wp:positionH relativeFrom="margin">
              <wp:align>left</wp:align>
            </wp:positionH>
            <wp:positionV relativeFrom="margin">
              <wp:posOffset>480898</wp:posOffset>
            </wp:positionV>
            <wp:extent cx="5928360" cy="3166110"/>
            <wp:effectExtent l="0" t="0" r="0" b="0"/>
            <wp:wrapSquare wrapText="bothSides"/>
            <wp:docPr id="33"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28360"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2757">
        <w:rPr>
          <w:rFonts w:asciiTheme="minorBidi" w:hAnsiTheme="minorBidi"/>
          <w:b/>
          <w:bCs/>
          <w:sz w:val="24"/>
          <w:szCs w:val="24"/>
        </w:rPr>
        <w:t>Figura II.2.3.3</w:t>
      </w:r>
      <w:r>
        <w:rPr>
          <w:rFonts w:asciiTheme="minorBidi" w:hAnsiTheme="minorBidi"/>
          <w:b/>
          <w:bCs/>
          <w:sz w:val="24"/>
          <w:szCs w:val="24"/>
        </w:rPr>
        <w:t xml:space="preserve"> </w:t>
      </w:r>
      <w:r w:rsidRPr="00C32757">
        <w:rPr>
          <w:rFonts w:asciiTheme="minorBidi" w:hAnsiTheme="minorBidi"/>
          <w:b/>
          <w:bCs/>
          <w:sz w:val="24"/>
          <w:szCs w:val="24"/>
        </w:rPr>
        <w:t>Evoluția emisiilor de azot total (pe surse) în funcție de scenarii (exprimate în tone N pe an)</w:t>
      </w:r>
    </w:p>
    <w:p w14:paraId="41762296" w14:textId="77777777" w:rsidR="005E5343" w:rsidRPr="002E59A6" w:rsidRDefault="005E5343" w:rsidP="005E5343">
      <w:pPr>
        <w:spacing w:after="0" w:line="240" w:lineRule="auto"/>
        <w:jc w:val="both"/>
        <w:rPr>
          <w:rFonts w:asciiTheme="minorBidi" w:hAnsiTheme="minorBidi"/>
          <w:i/>
          <w:sz w:val="20"/>
          <w:szCs w:val="20"/>
        </w:rPr>
      </w:pPr>
      <w:r w:rsidRPr="002E59A6">
        <w:rPr>
          <w:rFonts w:asciiTheme="minorBidi" w:hAnsiTheme="minorBidi"/>
          <w:i/>
          <w:sz w:val="20"/>
          <w:szCs w:val="20"/>
        </w:rPr>
        <w:t>(Sursa datelor: Administrația Națională „Apele Române”, Planul Național de Management actualizat)</w:t>
      </w:r>
    </w:p>
    <w:p w14:paraId="6C199E98" w14:textId="77777777" w:rsidR="005E5343" w:rsidRPr="00C32757" w:rsidRDefault="005E5343" w:rsidP="005E5343">
      <w:pPr>
        <w:spacing w:before="120" w:after="120" w:line="240" w:lineRule="auto"/>
        <w:jc w:val="both"/>
        <w:rPr>
          <w:rFonts w:asciiTheme="minorBidi" w:hAnsiTheme="minorBidi"/>
          <w:i/>
          <w:sz w:val="24"/>
          <w:szCs w:val="24"/>
        </w:rPr>
      </w:pPr>
    </w:p>
    <w:p w14:paraId="2DE61FB6" w14:textId="77777777" w:rsidR="005E5343" w:rsidRPr="00C32757" w:rsidRDefault="005E5343" w:rsidP="005E5343">
      <w:pPr>
        <w:spacing w:after="0" w:line="240" w:lineRule="auto"/>
        <w:rPr>
          <w:rFonts w:asciiTheme="minorBidi" w:hAnsiTheme="minorBidi"/>
          <w:b/>
          <w:bCs/>
          <w:iCs/>
          <w:sz w:val="24"/>
          <w:szCs w:val="24"/>
        </w:rPr>
      </w:pPr>
      <w:r w:rsidRPr="00C32757">
        <w:rPr>
          <w:rFonts w:asciiTheme="minorBidi" w:hAnsiTheme="minorBidi"/>
          <w:b/>
          <w:bCs/>
          <w:sz w:val="24"/>
          <w:szCs w:val="24"/>
        </w:rPr>
        <w:t>Figura II.2.3.</w:t>
      </w:r>
      <w:r>
        <w:rPr>
          <w:rFonts w:asciiTheme="minorBidi" w:hAnsiTheme="minorBidi"/>
          <w:b/>
          <w:bCs/>
          <w:sz w:val="24"/>
          <w:szCs w:val="24"/>
        </w:rPr>
        <w:t xml:space="preserve">4 </w:t>
      </w:r>
      <w:r w:rsidRPr="00C32757">
        <w:rPr>
          <w:rFonts w:asciiTheme="minorBidi" w:hAnsiTheme="minorBidi"/>
          <w:b/>
          <w:bCs/>
          <w:iCs/>
          <w:sz w:val="24"/>
          <w:szCs w:val="24"/>
        </w:rPr>
        <w:t xml:space="preserve">Evoluția emisiilor de fosfor total (pe surse) în funcție de scenarii </w:t>
      </w:r>
    </w:p>
    <w:p w14:paraId="705B5192" w14:textId="77777777" w:rsidR="005E5343" w:rsidRPr="00C32757" w:rsidRDefault="005E5343" w:rsidP="005E5343">
      <w:pPr>
        <w:spacing w:after="0" w:line="240" w:lineRule="auto"/>
        <w:jc w:val="both"/>
        <w:rPr>
          <w:rFonts w:asciiTheme="minorBidi" w:hAnsiTheme="minorBidi"/>
          <w:b/>
          <w:bCs/>
          <w:iCs/>
          <w:sz w:val="24"/>
          <w:szCs w:val="24"/>
        </w:rPr>
      </w:pPr>
      <w:r w:rsidRPr="00C32757">
        <w:rPr>
          <w:rFonts w:asciiTheme="minorBidi" w:hAnsiTheme="minorBidi"/>
          <w:b/>
          <w:bCs/>
          <w:iCs/>
          <w:sz w:val="24"/>
          <w:szCs w:val="24"/>
        </w:rPr>
        <w:t>(exprimate în tone P pe an)</w:t>
      </w:r>
    </w:p>
    <w:p w14:paraId="7A5540AD" w14:textId="77777777" w:rsidR="005E5343" w:rsidRPr="00C32757" w:rsidRDefault="005E5343" w:rsidP="005E5343">
      <w:pPr>
        <w:spacing w:after="0" w:line="240" w:lineRule="auto"/>
        <w:jc w:val="both"/>
        <w:rPr>
          <w:rFonts w:asciiTheme="minorBidi" w:hAnsiTheme="minorBidi"/>
          <w:iCs/>
          <w:sz w:val="24"/>
          <w:szCs w:val="24"/>
        </w:rPr>
      </w:pPr>
      <w:r w:rsidRPr="00C32757">
        <w:rPr>
          <w:rFonts w:asciiTheme="minorBidi" w:hAnsiTheme="minorBidi"/>
          <w:noProof/>
          <w:sz w:val="24"/>
          <w:szCs w:val="24"/>
          <w:lang w:val="en-GB" w:eastAsia="en-GB"/>
        </w:rPr>
        <w:drawing>
          <wp:inline distT="0" distB="0" distL="0" distR="0" wp14:anchorId="1CD9E262" wp14:editId="6DCE8B63">
            <wp:extent cx="5918835" cy="31419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18835" cy="3141980"/>
                    </a:xfrm>
                    <a:prstGeom prst="rect">
                      <a:avLst/>
                    </a:prstGeom>
                    <a:noFill/>
                  </pic:spPr>
                </pic:pic>
              </a:graphicData>
            </a:graphic>
          </wp:inline>
        </w:drawing>
      </w:r>
    </w:p>
    <w:p w14:paraId="339F29C1" w14:textId="77777777" w:rsidR="005E5343" w:rsidRPr="002E59A6" w:rsidRDefault="005E5343" w:rsidP="005E5343">
      <w:pPr>
        <w:spacing w:after="0" w:line="240" w:lineRule="auto"/>
        <w:jc w:val="both"/>
        <w:rPr>
          <w:rFonts w:asciiTheme="minorBidi" w:hAnsiTheme="minorBidi"/>
          <w:i/>
          <w:sz w:val="20"/>
          <w:szCs w:val="20"/>
        </w:rPr>
      </w:pPr>
      <w:r w:rsidRPr="002E59A6">
        <w:rPr>
          <w:rFonts w:asciiTheme="minorBidi" w:hAnsiTheme="minorBidi"/>
          <w:i/>
          <w:sz w:val="20"/>
          <w:szCs w:val="20"/>
        </w:rPr>
        <w:t>(Sursa datelor: Administrația Națională „Apele Române”, Planul Național de Management actualizat)</w:t>
      </w:r>
    </w:p>
    <w:p w14:paraId="7C11A328" w14:textId="77777777" w:rsidR="005E5343" w:rsidRPr="00C32757" w:rsidRDefault="005E5343" w:rsidP="005E5343">
      <w:pPr>
        <w:tabs>
          <w:tab w:val="left" w:pos="6900"/>
        </w:tabs>
        <w:spacing w:before="120" w:after="120" w:line="240" w:lineRule="auto"/>
        <w:ind w:firstLine="720"/>
        <w:jc w:val="both"/>
        <w:rPr>
          <w:rFonts w:asciiTheme="minorBidi" w:eastAsia="Times New Roman" w:hAnsiTheme="minorBidi"/>
          <w:sz w:val="24"/>
          <w:szCs w:val="24"/>
        </w:rPr>
      </w:pPr>
    </w:p>
    <w:p w14:paraId="4BAD31C3" w14:textId="77777777" w:rsidR="005E5343" w:rsidRPr="00C32757" w:rsidRDefault="005E5343" w:rsidP="005E5343">
      <w:pPr>
        <w:tabs>
          <w:tab w:val="left" w:pos="6900"/>
        </w:tabs>
        <w:spacing w:before="120" w:after="120" w:line="240" w:lineRule="auto"/>
        <w:ind w:firstLine="720"/>
        <w:jc w:val="both"/>
        <w:rPr>
          <w:rFonts w:asciiTheme="minorBidi" w:eastAsia="Times New Roman" w:hAnsiTheme="minorBidi"/>
          <w:sz w:val="24"/>
          <w:szCs w:val="24"/>
          <w:lang w:val="fr-FR"/>
        </w:rPr>
      </w:pPr>
      <w:r w:rsidRPr="00C32757">
        <w:rPr>
          <w:rFonts w:asciiTheme="minorBidi" w:eastAsia="Times New Roman" w:hAnsiTheme="minorBidi"/>
          <w:sz w:val="24"/>
          <w:szCs w:val="24"/>
        </w:rPr>
        <w:t xml:space="preserve">Scenariul de viziune I, care presupune surplusuri scăzute pe termen lung și utilizarea pe scară largă a celor mai bune practice agricole, previzionează o scădere substanțială a emisiilor din agricultură în apele de suprafață. Conform simulările modelului MONERIS, scăderea emisiilor față de situația de referință cu 41 % (N) și 29 % (P) din emisiile surselor agricole ar putea fi realizată la nivel de bazin prin aplicarea unui management agricol adecvat. Cu toate acestea, regiunile cu surplus de azot foarte scăzut </w:t>
      </w:r>
      <w:r w:rsidRPr="00C32757">
        <w:rPr>
          <w:rFonts w:asciiTheme="minorBidi" w:eastAsia="Times New Roman" w:hAnsiTheme="minorBidi"/>
          <w:sz w:val="24"/>
          <w:szCs w:val="24"/>
        </w:rPr>
        <w:lastRenderedPageBreak/>
        <w:t xml:space="preserve">în prezent vor indica o creșterea emisiilor de azot din agricultură ca urmare a intensificării (surplus de nutrienți mai mare) activităților agricole în scenariul de viziune I (după anul 2027), comparativ cu scenariul de referință (2015-2018). </w:t>
      </w:r>
      <w:r w:rsidRPr="00C32757">
        <w:rPr>
          <w:rFonts w:asciiTheme="minorBidi" w:eastAsia="Times New Roman" w:hAnsiTheme="minorBidi"/>
          <w:sz w:val="24"/>
          <w:szCs w:val="24"/>
          <w:lang w:val="fr-FR"/>
        </w:rPr>
        <w:t>Emisiile de fosfor vor scădea datorită aplicării măsurilor eficiente de protecţie a solului.</w:t>
      </w:r>
    </w:p>
    <w:p w14:paraId="4E5AE5F9" w14:textId="77777777" w:rsidR="005E5343" w:rsidRPr="00C32757" w:rsidRDefault="005E5343" w:rsidP="005E5343">
      <w:pPr>
        <w:spacing w:before="120" w:after="120" w:line="240" w:lineRule="auto"/>
        <w:ind w:firstLine="720"/>
        <w:jc w:val="both"/>
        <w:rPr>
          <w:rFonts w:asciiTheme="minorBidi" w:eastAsia="Times New Roman" w:hAnsiTheme="minorBidi"/>
          <w:sz w:val="24"/>
          <w:szCs w:val="24"/>
          <w:lang w:val="fr-FR"/>
        </w:rPr>
      </w:pPr>
      <w:r w:rsidRPr="00C32757">
        <w:rPr>
          <w:rFonts w:asciiTheme="minorBidi" w:eastAsia="Times New Roman" w:hAnsiTheme="minorBidi"/>
          <w:sz w:val="24"/>
          <w:szCs w:val="24"/>
          <w:lang w:val="fr-FR"/>
        </w:rPr>
        <w:t>În ceea ce privește scenariile de viziune I pentru regimul hidrologic cu scurgere maximă (ape mari) și regimul hidrologic cu scurgere minimă (ape mici), acestea reprezintă impactul schimbării regimului hidrologic asupra emisiilor difuze. Pentru condițiile de ape mici (dry), sunt de așteptat emisii mai mici, prognozându-se o reducere a emisiilor cu 7,5 % (N) și 10 % (P) din totalul emisiilor de nutrienți în comparație cu scenariul de viziune I. Pe de altă parte, în anii cu scurgere maximă (ape mari), scurgerea și potențial eroziunea solului sunt mai importante, ducând la creșterea emisiilor. Astfel, în cazul condițiilor de scurgere maximă (wet), se preconizează o creștere față de scenariul de viziune I a emisiilor cu 23 % (N) și 20,2 % (P) din totalul emisiilor de nutrienți. Față de situația de referință (2015-2018), măsurile pentru scenariul de viziune I și impactul schimbărilor climatice (dry) ar putea reduce semnificativ emisiile difuze de nutrienți, în timp ce în anii ploioși emisiile ar putea fi similare cu valorile de referință.</w:t>
      </w:r>
    </w:p>
    <w:p w14:paraId="10355D06" w14:textId="77777777" w:rsidR="005E5343" w:rsidRPr="00C32757" w:rsidRDefault="005E5343" w:rsidP="005E5343">
      <w:pPr>
        <w:tabs>
          <w:tab w:val="left" w:pos="6900"/>
        </w:tabs>
        <w:spacing w:before="120" w:after="120" w:line="240" w:lineRule="auto"/>
        <w:ind w:firstLine="720"/>
        <w:jc w:val="both"/>
        <w:rPr>
          <w:rFonts w:asciiTheme="minorBidi" w:eastAsia="Times New Roman" w:hAnsiTheme="minorBidi"/>
          <w:sz w:val="24"/>
          <w:szCs w:val="24"/>
          <w:lang w:val="fr-FR"/>
        </w:rPr>
      </w:pPr>
      <w:r w:rsidRPr="00C32757">
        <w:rPr>
          <w:rFonts w:asciiTheme="minorBidi" w:eastAsia="Times New Roman" w:hAnsiTheme="minorBidi"/>
          <w:sz w:val="24"/>
          <w:szCs w:val="24"/>
          <w:lang w:val="fr-FR"/>
        </w:rPr>
        <w:t>Scenariul de viziune II ar conduce la o reducere mai mare a emisiilor față de scenariul de viziune I, de 44,5 % (N) și 40,3 % (P) din emisiile totale de nutrienți din agricultură, datorită aplicării măsurilor de retenție mai eficientă a nutrienților asigurată de zonele tampon riverane.</w:t>
      </w:r>
    </w:p>
    <w:p w14:paraId="6A3E614E" w14:textId="77777777" w:rsidR="005E5343" w:rsidRPr="00C32757" w:rsidRDefault="005E5343" w:rsidP="005E5343">
      <w:pPr>
        <w:widowControl w:val="0"/>
        <w:autoSpaceDE w:val="0"/>
        <w:autoSpaceDN w:val="0"/>
        <w:adjustRightInd w:val="0"/>
        <w:spacing w:before="120" w:after="120" w:line="240" w:lineRule="auto"/>
        <w:ind w:firstLine="720"/>
        <w:jc w:val="both"/>
        <w:rPr>
          <w:rFonts w:asciiTheme="minorBidi" w:eastAsia="Times New Roman" w:hAnsiTheme="minorBidi"/>
          <w:sz w:val="24"/>
          <w:szCs w:val="24"/>
          <w:lang w:val="fr-FR"/>
        </w:rPr>
      </w:pPr>
      <w:r w:rsidRPr="00C32757">
        <w:rPr>
          <w:rFonts w:asciiTheme="minorBidi" w:eastAsia="Times New Roman" w:hAnsiTheme="minorBidi"/>
          <w:sz w:val="24"/>
          <w:szCs w:val="24"/>
          <w:lang w:val="fr-FR"/>
        </w:rPr>
        <w:t xml:space="preserve">În </w:t>
      </w:r>
      <w:r w:rsidRPr="00C32757">
        <w:rPr>
          <w:rFonts w:asciiTheme="minorBidi" w:eastAsia="Times New Roman" w:hAnsiTheme="minorBidi"/>
          <w:i/>
          <w:iCs/>
          <w:sz w:val="24"/>
          <w:szCs w:val="24"/>
          <w:lang w:val="fr-FR"/>
        </w:rPr>
        <w:t>Figurile II.2.3.5-</w:t>
      </w:r>
      <w:r w:rsidRPr="00C32757">
        <w:rPr>
          <w:rFonts w:asciiTheme="minorBidi" w:hAnsiTheme="minorBidi"/>
          <w:sz w:val="24"/>
          <w:szCs w:val="24"/>
        </w:rPr>
        <w:t xml:space="preserve"> </w:t>
      </w:r>
      <w:r w:rsidRPr="00C32757">
        <w:rPr>
          <w:rFonts w:asciiTheme="minorBidi" w:eastAsia="Times New Roman" w:hAnsiTheme="minorBidi"/>
          <w:i/>
          <w:iCs/>
          <w:sz w:val="24"/>
          <w:szCs w:val="24"/>
          <w:lang w:val="fr-FR"/>
        </w:rPr>
        <w:t xml:space="preserve">II.2.3.8 </w:t>
      </w:r>
      <w:r w:rsidRPr="00C32757">
        <w:rPr>
          <w:rFonts w:asciiTheme="minorBidi" w:eastAsia="Times New Roman" w:hAnsiTheme="minorBidi"/>
          <w:sz w:val="24"/>
          <w:szCs w:val="24"/>
          <w:lang w:val="fr-FR"/>
        </w:rPr>
        <w:t>sunt reprezentate comparativ distribuțiile spațiale ale emisiilor de nutrienți, la nivel de sub-bazine (unități analitice) și la nivel de utilizare a terenului, pentru situația de referință (2015-2018) și scenariul de bază (2027). Se observă o scădere a emisiilor totale de nutrienți din surse difuze și punctiforme (cu 14 %N și 5,5 % P).</w:t>
      </w:r>
    </w:p>
    <w:p w14:paraId="7627DB07" w14:textId="77777777" w:rsidR="005E5343" w:rsidRPr="00C32757" w:rsidRDefault="005E5343" w:rsidP="005E5343">
      <w:pPr>
        <w:widowControl w:val="0"/>
        <w:autoSpaceDE w:val="0"/>
        <w:autoSpaceDN w:val="0"/>
        <w:adjustRightInd w:val="0"/>
        <w:spacing w:after="0" w:line="240" w:lineRule="auto"/>
        <w:ind w:firstLine="720"/>
        <w:jc w:val="both"/>
        <w:rPr>
          <w:rFonts w:asciiTheme="minorBidi" w:eastAsia="Times New Roman" w:hAnsiTheme="minorBidi"/>
          <w:sz w:val="24"/>
          <w:szCs w:val="24"/>
          <w:lang w:val="fr-FR"/>
        </w:rPr>
      </w:pPr>
    </w:p>
    <w:p w14:paraId="720A98BF" w14:textId="77777777" w:rsidR="005E5343" w:rsidRPr="0006475A" w:rsidRDefault="005E5343" w:rsidP="005E5343">
      <w:pPr>
        <w:widowControl w:val="0"/>
        <w:autoSpaceDE w:val="0"/>
        <w:autoSpaceDN w:val="0"/>
        <w:adjustRightInd w:val="0"/>
        <w:spacing w:after="0" w:line="240" w:lineRule="auto"/>
        <w:jc w:val="both"/>
        <w:rPr>
          <w:rFonts w:asciiTheme="minorBidi" w:eastAsia="Times New Roman" w:hAnsiTheme="minorBidi"/>
          <w:b/>
          <w:bCs/>
          <w:sz w:val="24"/>
          <w:szCs w:val="24"/>
          <w:lang w:val="fr-FR"/>
        </w:rPr>
      </w:pPr>
      <w:r w:rsidRPr="00C32757">
        <w:rPr>
          <w:rFonts w:asciiTheme="minorBidi" w:eastAsia="Times New Roman" w:hAnsiTheme="minorBidi"/>
          <w:b/>
          <w:bCs/>
          <w:i/>
          <w:iCs/>
          <w:sz w:val="24"/>
          <w:szCs w:val="24"/>
          <w:lang w:val="fr-FR" w:eastAsia="x-none"/>
        </w:rPr>
        <w:br w:type="page"/>
      </w:r>
      <w:r w:rsidRPr="00C32757">
        <w:rPr>
          <w:rFonts w:asciiTheme="minorBidi" w:eastAsia="Times New Roman" w:hAnsiTheme="minorBidi"/>
          <w:b/>
          <w:bCs/>
          <w:sz w:val="24"/>
          <w:szCs w:val="24"/>
          <w:lang w:val="fr-FR"/>
        </w:rPr>
        <w:lastRenderedPageBreak/>
        <w:t>Figura II.2.3.5</w:t>
      </w:r>
      <w:r>
        <w:rPr>
          <w:rFonts w:asciiTheme="minorBidi" w:eastAsia="Times New Roman" w:hAnsiTheme="minorBidi"/>
          <w:b/>
          <w:bCs/>
          <w:sz w:val="24"/>
          <w:szCs w:val="24"/>
          <w:lang w:val="fr-FR"/>
        </w:rPr>
        <w:t xml:space="preserve"> </w:t>
      </w:r>
      <w:r w:rsidRPr="00C32757">
        <w:rPr>
          <w:rFonts w:asciiTheme="minorBidi" w:eastAsia="Times New Roman" w:hAnsiTheme="minorBidi"/>
          <w:b/>
          <w:bCs/>
          <w:i/>
          <w:iCs/>
          <w:sz w:val="24"/>
          <w:szCs w:val="24"/>
          <w:lang w:val="fr-FR" w:eastAsia="x-none"/>
        </w:rPr>
        <w:t>Emisia specifică de azot total din surse punctiforme și difuze la nivel de sub-bazine hidrografice:situația de referință 2015-2018 (stânga) și scenariu de bază 2027 (dreapta)</w:t>
      </w:r>
    </w:p>
    <w:p w14:paraId="1B92C54F" w14:textId="77777777" w:rsidR="005E5343" w:rsidRPr="00C32757" w:rsidRDefault="005E5343" w:rsidP="005E5343">
      <w:pPr>
        <w:tabs>
          <w:tab w:val="left" w:pos="6900"/>
        </w:tabs>
        <w:spacing w:after="0" w:line="240" w:lineRule="auto"/>
        <w:jc w:val="center"/>
        <w:rPr>
          <w:rFonts w:asciiTheme="minorBidi" w:eastAsia="Times New Roman" w:hAnsiTheme="minorBidi"/>
          <w:noProof/>
          <w:sz w:val="24"/>
          <w:szCs w:val="24"/>
          <w:lang w:val="en-US"/>
        </w:rPr>
      </w:pPr>
      <w:r w:rsidRPr="00C32757">
        <w:rPr>
          <w:rFonts w:asciiTheme="minorBidi" w:eastAsia="Times New Roman" w:hAnsiTheme="minorBidi"/>
          <w:noProof/>
          <w:sz w:val="24"/>
          <w:szCs w:val="24"/>
          <w:lang w:val="en-GB" w:eastAsia="en-GB"/>
        </w:rPr>
        <w:drawing>
          <wp:inline distT="0" distB="0" distL="0" distR="0" wp14:anchorId="27C6413D" wp14:editId="7BC186C4">
            <wp:extent cx="2880360" cy="2065020"/>
            <wp:effectExtent l="0" t="0" r="0" b="0"/>
            <wp:docPr id="35"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0360" cy="2065020"/>
                    </a:xfrm>
                    <a:prstGeom prst="rect">
                      <a:avLst/>
                    </a:prstGeom>
                    <a:noFill/>
                    <a:ln>
                      <a:noFill/>
                    </a:ln>
                  </pic:spPr>
                </pic:pic>
              </a:graphicData>
            </a:graphic>
          </wp:inline>
        </w:drawing>
      </w:r>
      <w:r w:rsidRPr="00C32757">
        <w:rPr>
          <w:rFonts w:asciiTheme="minorBidi" w:eastAsia="Times New Roman" w:hAnsiTheme="minorBidi"/>
          <w:noProof/>
          <w:sz w:val="24"/>
          <w:szCs w:val="24"/>
          <w:lang w:val="en-GB" w:eastAsia="en-GB"/>
        </w:rPr>
        <w:drawing>
          <wp:inline distT="0" distB="0" distL="0" distR="0" wp14:anchorId="4A5C0397" wp14:editId="47029165">
            <wp:extent cx="2941320" cy="2049780"/>
            <wp:effectExtent l="0" t="0" r="0" b="0"/>
            <wp:docPr id="36"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41320" cy="2049780"/>
                    </a:xfrm>
                    <a:prstGeom prst="rect">
                      <a:avLst/>
                    </a:prstGeom>
                    <a:noFill/>
                    <a:ln>
                      <a:noFill/>
                    </a:ln>
                  </pic:spPr>
                </pic:pic>
              </a:graphicData>
            </a:graphic>
          </wp:inline>
        </w:drawing>
      </w:r>
    </w:p>
    <w:p w14:paraId="68A82D28" w14:textId="77777777" w:rsidR="005E5343" w:rsidRPr="00C32757" w:rsidRDefault="005E5343" w:rsidP="005E5343">
      <w:pPr>
        <w:spacing w:after="0" w:line="240" w:lineRule="auto"/>
        <w:jc w:val="both"/>
        <w:rPr>
          <w:rFonts w:asciiTheme="minorBidi" w:hAnsiTheme="minorBidi"/>
          <w:i/>
          <w:sz w:val="24"/>
          <w:szCs w:val="24"/>
        </w:rPr>
      </w:pPr>
      <w:r w:rsidRPr="00C32757">
        <w:rPr>
          <w:rFonts w:asciiTheme="minorBidi" w:hAnsiTheme="minorBidi"/>
          <w:i/>
          <w:sz w:val="24"/>
          <w:szCs w:val="24"/>
        </w:rPr>
        <w:t>(</w:t>
      </w:r>
      <w:r w:rsidRPr="0006475A">
        <w:rPr>
          <w:rFonts w:asciiTheme="minorBidi" w:hAnsiTheme="minorBidi"/>
          <w:i/>
          <w:sz w:val="20"/>
          <w:szCs w:val="20"/>
        </w:rPr>
        <w:t>Sursa datelor: Administrația Națională „Apele Române”, Planul Național de Management actualizat</w:t>
      </w:r>
      <w:r w:rsidRPr="00C32757">
        <w:rPr>
          <w:rFonts w:asciiTheme="minorBidi" w:hAnsiTheme="minorBidi"/>
          <w:i/>
          <w:sz w:val="24"/>
          <w:szCs w:val="24"/>
        </w:rPr>
        <w:t>)</w:t>
      </w:r>
    </w:p>
    <w:p w14:paraId="16D93FFC" w14:textId="77777777" w:rsidR="005E5343" w:rsidRPr="00C32757" w:rsidRDefault="005E5343" w:rsidP="005E5343">
      <w:pPr>
        <w:spacing w:before="120" w:after="0" w:line="240" w:lineRule="auto"/>
        <w:jc w:val="center"/>
        <w:rPr>
          <w:rFonts w:asciiTheme="minorBidi" w:eastAsia="Times New Roman" w:hAnsiTheme="minorBidi"/>
          <w:b/>
          <w:bCs/>
          <w:i/>
          <w:iCs/>
          <w:sz w:val="24"/>
          <w:szCs w:val="24"/>
          <w:lang w:val="fr-FR" w:eastAsia="x-none"/>
        </w:rPr>
      </w:pPr>
    </w:p>
    <w:p w14:paraId="277861F8" w14:textId="77777777" w:rsidR="005E5343" w:rsidRPr="0006475A" w:rsidRDefault="005E5343" w:rsidP="005E5343">
      <w:pPr>
        <w:widowControl w:val="0"/>
        <w:autoSpaceDE w:val="0"/>
        <w:autoSpaceDN w:val="0"/>
        <w:adjustRightInd w:val="0"/>
        <w:spacing w:after="0" w:line="240" w:lineRule="auto"/>
        <w:jc w:val="both"/>
        <w:rPr>
          <w:rFonts w:asciiTheme="minorBidi" w:eastAsia="Times New Roman" w:hAnsiTheme="minorBidi"/>
          <w:b/>
          <w:bCs/>
          <w:sz w:val="24"/>
          <w:szCs w:val="24"/>
          <w:lang w:val="fr-FR"/>
        </w:rPr>
      </w:pPr>
      <w:r w:rsidRPr="00C32757">
        <w:rPr>
          <w:rFonts w:asciiTheme="minorBidi" w:eastAsia="Times New Roman" w:hAnsiTheme="minorBidi"/>
          <w:b/>
          <w:bCs/>
          <w:sz w:val="24"/>
          <w:szCs w:val="24"/>
          <w:lang w:val="fr-FR"/>
        </w:rPr>
        <w:t>Figura II.2.3.6</w:t>
      </w:r>
      <w:r>
        <w:rPr>
          <w:rFonts w:asciiTheme="minorBidi" w:eastAsia="Times New Roman" w:hAnsiTheme="minorBidi"/>
          <w:b/>
          <w:bCs/>
          <w:sz w:val="24"/>
          <w:szCs w:val="24"/>
          <w:lang w:val="fr-FR"/>
        </w:rPr>
        <w:t xml:space="preserve"> </w:t>
      </w:r>
      <w:r w:rsidRPr="00C32757">
        <w:rPr>
          <w:rFonts w:asciiTheme="minorBidi" w:eastAsia="Times New Roman" w:hAnsiTheme="minorBidi"/>
          <w:b/>
          <w:bCs/>
          <w:i/>
          <w:iCs/>
          <w:sz w:val="24"/>
          <w:szCs w:val="24"/>
          <w:lang w:val="fr-FR" w:eastAsia="x-none"/>
        </w:rPr>
        <w:t>Emisia specifică de azot total din surse punctiforme și difuze la nivel de utilizare a terenului:  situația de referință 2015-2018 (stânga) și scenariu de bază 2027 (dreapta)</w:t>
      </w:r>
    </w:p>
    <w:p w14:paraId="50531C24" w14:textId="77777777" w:rsidR="005E5343" w:rsidRPr="00C32757" w:rsidRDefault="005E5343" w:rsidP="005E5343">
      <w:pPr>
        <w:tabs>
          <w:tab w:val="left" w:pos="6900"/>
        </w:tabs>
        <w:spacing w:after="0" w:line="240" w:lineRule="auto"/>
        <w:jc w:val="center"/>
        <w:rPr>
          <w:rFonts w:asciiTheme="minorBidi" w:eastAsia="Times New Roman" w:hAnsiTheme="minorBidi"/>
          <w:sz w:val="24"/>
          <w:szCs w:val="24"/>
          <w:lang w:val="en-GB"/>
        </w:rPr>
      </w:pPr>
      <w:r w:rsidRPr="00C32757">
        <w:rPr>
          <w:rFonts w:asciiTheme="minorBidi" w:eastAsia="Times New Roman" w:hAnsiTheme="minorBidi"/>
          <w:noProof/>
          <w:sz w:val="24"/>
          <w:szCs w:val="24"/>
          <w:lang w:val="en-GB" w:eastAsia="en-GB"/>
        </w:rPr>
        <w:drawing>
          <wp:inline distT="0" distB="0" distL="0" distR="0" wp14:anchorId="4890ABDA" wp14:editId="711DB411">
            <wp:extent cx="2895600" cy="2042160"/>
            <wp:effectExtent l="0" t="0" r="0" b="0"/>
            <wp:docPr id="37"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95600" cy="2042160"/>
                    </a:xfrm>
                    <a:prstGeom prst="rect">
                      <a:avLst/>
                    </a:prstGeom>
                    <a:noFill/>
                    <a:ln>
                      <a:noFill/>
                    </a:ln>
                  </pic:spPr>
                </pic:pic>
              </a:graphicData>
            </a:graphic>
          </wp:inline>
        </w:drawing>
      </w:r>
      <w:r w:rsidRPr="00C32757">
        <w:rPr>
          <w:rFonts w:asciiTheme="minorBidi" w:eastAsia="Times New Roman" w:hAnsiTheme="minorBidi"/>
          <w:noProof/>
          <w:sz w:val="24"/>
          <w:szCs w:val="24"/>
          <w:lang w:val="en-GB" w:eastAsia="en-GB"/>
        </w:rPr>
        <w:drawing>
          <wp:inline distT="0" distB="0" distL="0" distR="0" wp14:anchorId="1B91E345" wp14:editId="46C8818B">
            <wp:extent cx="2918460" cy="2057400"/>
            <wp:effectExtent l="0" t="0" r="0" b="0"/>
            <wp:docPr id="38"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18460" cy="2057400"/>
                    </a:xfrm>
                    <a:prstGeom prst="rect">
                      <a:avLst/>
                    </a:prstGeom>
                    <a:noFill/>
                    <a:ln>
                      <a:noFill/>
                    </a:ln>
                  </pic:spPr>
                </pic:pic>
              </a:graphicData>
            </a:graphic>
          </wp:inline>
        </w:drawing>
      </w:r>
    </w:p>
    <w:p w14:paraId="1F6B81FF" w14:textId="77777777" w:rsidR="005E5343" w:rsidRPr="0006475A" w:rsidRDefault="005E5343" w:rsidP="005E5343">
      <w:pPr>
        <w:spacing w:after="0" w:line="240" w:lineRule="auto"/>
        <w:jc w:val="both"/>
        <w:rPr>
          <w:rFonts w:asciiTheme="minorBidi" w:hAnsiTheme="minorBidi"/>
          <w:i/>
          <w:sz w:val="20"/>
          <w:szCs w:val="20"/>
        </w:rPr>
      </w:pPr>
      <w:r w:rsidRPr="0006475A">
        <w:rPr>
          <w:rFonts w:asciiTheme="minorBidi" w:hAnsiTheme="minorBidi"/>
          <w:i/>
          <w:sz w:val="20"/>
          <w:szCs w:val="20"/>
        </w:rPr>
        <w:t>(Sursa datelor: Administrația Națională „Apele Române”, Planul Național de Management actualizat)</w:t>
      </w:r>
    </w:p>
    <w:p w14:paraId="7A66E335" w14:textId="77777777" w:rsidR="005E5343" w:rsidRPr="00C32757" w:rsidRDefault="005E5343" w:rsidP="005E5343">
      <w:pPr>
        <w:spacing w:before="120" w:after="0" w:line="240" w:lineRule="auto"/>
        <w:jc w:val="center"/>
        <w:rPr>
          <w:rFonts w:asciiTheme="minorBidi" w:eastAsia="Times New Roman" w:hAnsiTheme="minorBidi"/>
          <w:b/>
          <w:bCs/>
          <w:i/>
          <w:iCs/>
          <w:sz w:val="24"/>
          <w:szCs w:val="24"/>
          <w:lang w:val="fr-FR" w:eastAsia="x-none"/>
        </w:rPr>
      </w:pPr>
    </w:p>
    <w:p w14:paraId="582764B5" w14:textId="77777777" w:rsidR="005E5343" w:rsidRPr="00C32757" w:rsidRDefault="005E5343" w:rsidP="005E5343">
      <w:pPr>
        <w:tabs>
          <w:tab w:val="left" w:pos="6900"/>
        </w:tabs>
        <w:spacing w:after="0" w:line="240" w:lineRule="auto"/>
        <w:jc w:val="center"/>
        <w:rPr>
          <w:rFonts w:asciiTheme="minorBidi" w:eastAsia="Times New Roman" w:hAnsiTheme="minorBidi"/>
          <w:sz w:val="24"/>
          <w:szCs w:val="24"/>
          <w:lang w:val="fr-FR"/>
        </w:rPr>
      </w:pPr>
    </w:p>
    <w:p w14:paraId="7A4F68B7" w14:textId="77777777" w:rsidR="005E5343" w:rsidRPr="00C32757" w:rsidRDefault="005E5343" w:rsidP="005E5343">
      <w:pPr>
        <w:spacing w:after="0" w:line="240" w:lineRule="auto"/>
        <w:jc w:val="center"/>
        <w:rPr>
          <w:rFonts w:asciiTheme="minorBidi" w:eastAsia="Times New Roman" w:hAnsiTheme="minorBidi"/>
          <w:b/>
          <w:bCs/>
          <w:i/>
          <w:iCs/>
          <w:sz w:val="24"/>
          <w:szCs w:val="24"/>
          <w:lang w:val="fr-FR" w:eastAsia="x-none"/>
        </w:rPr>
      </w:pPr>
    </w:p>
    <w:p w14:paraId="53712313" w14:textId="77777777" w:rsidR="005E5343" w:rsidRPr="0006475A" w:rsidRDefault="005E5343" w:rsidP="005E5343">
      <w:pPr>
        <w:widowControl w:val="0"/>
        <w:autoSpaceDE w:val="0"/>
        <w:autoSpaceDN w:val="0"/>
        <w:adjustRightInd w:val="0"/>
        <w:spacing w:after="0" w:line="240" w:lineRule="auto"/>
        <w:jc w:val="both"/>
        <w:rPr>
          <w:rFonts w:asciiTheme="minorBidi" w:eastAsia="Times New Roman" w:hAnsiTheme="minorBidi"/>
          <w:b/>
          <w:bCs/>
          <w:sz w:val="24"/>
          <w:szCs w:val="24"/>
          <w:lang w:val="fr-FR"/>
        </w:rPr>
      </w:pPr>
      <w:r w:rsidRPr="00C32757">
        <w:rPr>
          <w:rFonts w:asciiTheme="minorBidi" w:eastAsia="Times New Roman" w:hAnsiTheme="minorBidi"/>
          <w:b/>
          <w:bCs/>
          <w:i/>
          <w:iCs/>
          <w:sz w:val="24"/>
          <w:szCs w:val="24"/>
          <w:lang w:val="fr-FR" w:eastAsia="x-none"/>
        </w:rPr>
        <w:br w:type="page"/>
      </w:r>
      <w:r w:rsidRPr="00C32757">
        <w:rPr>
          <w:rFonts w:asciiTheme="minorBidi" w:eastAsia="Times New Roman" w:hAnsiTheme="minorBidi"/>
          <w:b/>
          <w:bCs/>
          <w:sz w:val="24"/>
          <w:szCs w:val="24"/>
          <w:lang w:val="fr-FR"/>
        </w:rPr>
        <w:lastRenderedPageBreak/>
        <w:t>Figura II.2.3.7</w:t>
      </w:r>
      <w:r>
        <w:rPr>
          <w:rFonts w:asciiTheme="minorBidi" w:eastAsia="Times New Roman" w:hAnsiTheme="minorBidi"/>
          <w:b/>
          <w:bCs/>
          <w:sz w:val="24"/>
          <w:szCs w:val="24"/>
          <w:lang w:val="fr-FR"/>
        </w:rPr>
        <w:t xml:space="preserve"> </w:t>
      </w:r>
      <w:r w:rsidRPr="00C32757">
        <w:rPr>
          <w:rFonts w:asciiTheme="minorBidi" w:eastAsia="Times New Roman" w:hAnsiTheme="minorBidi"/>
          <w:b/>
          <w:bCs/>
          <w:i/>
          <w:iCs/>
          <w:sz w:val="24"/>
          <w:szCs w:val="24"/>
          <w:lang w:val="fr-FR" w:eastAsia="x-none"/>
        </w:rPr>
        <w:t>Emisia specifică de fosfor total din surse punctiforme și difuze la nivel de sub-bazine hidrografice; situația de referință 2015-2018 (stânga)</w:t>
      </w:r>
      <w:r>
        <w:rPr>
          <w:rFonts w:asciiTheme="minorBidi" w:eastAsia="Times New Roman" w:hAnsiTheme="minorBidi"/>
          <w:b/>
          <w:bCs/>
          <w:sz w:val="24"/>
          <w:szCs w:val="24"/>
          <w:lang w:val="fr-FR"/>
        </w:rPr>
        <w:t xml:space="preserve"> </w:t>
      </w:r>
      <w:r w:rsidRPr="00C32757">
        <w:rPr>
          <w:rFonts w:asciiTheme="minorBidi" w:eastAsia="Times New Roman" w:hAnsiTheme="minorBidi"/>
          <w:b/>
          <w:bCs/>
          <w:i/>
          <w:iCs/>
          <w:sz w:val="24"/>
          <w:szCs w:val="24"/>
          <w:lang w:val="fr-FR" w:eastAsia="x-none"/>
        </w:rPr>
        <w:t>și scenariu de bază 2027 (dreapta)</w:t>
      </w:r>
    </w:p>
    <w:p w14:paraId="365B6DA3" w14:textId="77777777" w:rsidR="005E5343" w:rsidRPr="00C32757" w:rsidRDefault="005E5343" w:rsidP="005E5343">
      <w:pPr>
        <w:tabs>
          <w:tab w:val="left" w:pos="6900"/>
        </w:tabs>
        <w:spacing w:after="0" w:line="240" w:lineRule="auto"/>
        <w:jc w:val="center"/>
        <w:rPr>
          <w:rFonts w:asciiTheme="minorBidi" w:eastAsia="Times New Roman" w:hAnsiTheme="minorBidi"/>
          <w:noProof/>
          <w:sz w:val="24"/>
          <w:szCs w:val="24"/>
          <w:lang w:val="en-US"/>
        </w:rPr>
      </w:pPr>
      <w:r w:rsidRPr="00C32757">
        <w:rPr>
          <w:rFonts w:asciiTheme="minorBidi" w:eastAsia="Times New Roman" w:hAnsiTheme="minorBidi"/>
          <w:noProof/>
          <w:sz w:val="24"/>
          <w:szCs w:val="24"/>
          <w:lang w:val="en-GB" w:eastAsia="en-GB"/>
        </w:rPr>
        <w:drawing>
          <wp:inline distT="0" distB="0" distL="0" distR="0" wp14:anchorId="151E832C" wp14:editId="4E9AE203">
            <wp:extent cx="2834640" cy="2125980"/>
            <wp:effectExtent l="0" t="0" r="0" b="0"/>
            <wp:docPr id="39"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4640" cy="2125980"/>
                    </a:xfrm>
                    <a:prstGeom prst="rect">
                      <a:avLst/>
                    </a:prstGeom>
                    <a:noFill/>
                    <a:ln>
                      <a:noFill/>
                    </a:ln>
                  </pic:spPr>
                </pic:pic>
              </a:graphicData>
            </a:graphic>
          </wp:inline>
        </w:drawing>
      </w:r>
      <w:r w:rsidRPr="00C32757">
        <w:rPr>
          <w:rFonts w:asciiTheme="minorBidi" w:eastAsia="Times New Roman" w:hAnsiTheme="minorBidi"/>
          <w:noProof/>
          <w:sz w:val="24"/>
          <w:szCs w:val="24"/>
          <w:lang w:val="en-GB" w:eastAsia="en-GB"/>
        </w:rPr>
        <w:drawing>
          <wp:inline distT="0" distB="0" distL="0" distR="0" wp14:anchorId="26DD5B51" wp14:editId="1504FE2E">
            <wp:extent cx="3009900" cy="2133600"/>
            <wp:effectExtent l="0" t="0" r="0" b="0"/>
            <wp:docPr id="40"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09900" cy="2133600"/>
                    </a:xfrm>
                    <a:prstGeom prst="rect">
                      <a:avLst/>
                    </a:prstGeom>
                    <a:noFill/>
                    <a:ln>
                      <a:noFill/>
                    </a:ln>
                  </pic:spPr>
                </pic:pic>
              </a:graphicData>
            </a:graphic>
          </wp:inline>
        </w:drawing>
      </w:r>
    </w:p>
    <w:p w14:paraId="6C89E8F8" w14:textId="77777777" w:rsidR="005E5343" w:rsidRPr="0006475A" w:rsidRDefault="005E5343" w:rsidP="005E5343">
      <w:pPr>
        <w:spacing w:after="0" w:line="240" w:lineRule="auto"/>
        <w:jc w:val="both"/>
        <w:rPr>
          <w:rFonts w:asciiTheme="minorBidi" w:hAnsiTheme="minorBidi"/>
          <w:i/>
          <w:sz w:val="20"/>
          <w:szCs w:val="20"/>
        </w:rPr>
      </w:pPr>
      <w:r w:rsidRPr="0006475A">
        <w:rPr>
          <w:rFonts w:asciiTheme="minorBidi" w:hAnsiTheme="minorBidi"/>
          <w:i/>
          <w:sz w:val="20"/>
          <w:szCs w:val="20"/>
        </w:rPr>
        <w:t>(Sursa datelor: Administrația Națională „Apele Române”, Planul Național de Management actualizat)</w:t>
      </w:r>
    </w:p>
    <w:p w14:paraId="01BB5B5F" w14:textId="77777777" w:rsidR="005E5343" w:rsidRPr="00C32757" w:rsidRDefault="005E5343" w:rsidP="005E5343">
      <w:pPr>
        <w:tabs>
          <w:tab w:val="left" w:pos="6900"/>
        </w:tabs>
        <w:spacing w:after="0" w:line="240" w:lineRule="auto"/>
        <w:jc w:val="center"/>
        <w:rPr>
          <w:rFonts w:asciiTheme="minorBidi" w:eastAsia="Times New Roman" w:hAnsiTheme="minorBidi"/>
          <w:noProof/>
          <w:sz w:val="24"/>
          <w:szCs w:val="24"/>
          <w:lang w:val="fr-FR"/>
        </w:rPr>
      </w:pPr>
    </w:p>
    <w:p w14:paraId="0BAD06EF" w14:textId="77777777" w:rsidR="005E5343" w:rsidRPr="00C32757" w:rsidRDefault="005E5343" w:rsidP="005E5343">
      <w:pPr>
        <w:tabs>
          <w:tab w:val="left" w:pos="6900"/>
        </w:tabs>
        <w:spacing w:after="0" w:line="240" w:lineRule="auto"/>
        <w:jc w:val="center"/>
        <w:rPr>
          <w:rFonts w:asciiTheme="minorBidi" w:eastAsia="Times New Roman" w:hAnsiTheme="minorBidi"/>
          <w:noProof/>
          <w:sz w:val="24"/>
          <w:szCs w:val="24"/>
          <w:lang w:val="fr-FR"/>
        </w:rPr>
      </w:pPr>
    </w:p>
    <w:p w14:paraId="07EFB3E1" w14:textId="77777777" w:rsidR="005E5343" w:rsidRPr="00C32757" w:rsidRDefault="005E5343" w:rsidP="005E5343">
      <w:pPr>
        <w:tabs>
          <w:tab w:val="left" w:pos="6900"/>
        </w:tabs>
        <w:spacing w:after="0" w:line="240" w:lineRule="auto"/>
        <w:jc w:val="center"/>
        <w:rPr>
          <w:rFonts w:asciiTheme="minorBidi" w:eastAsia="Times New Roman" w:hAnsiTheme="minorBidi"/>
          <w:noProof/>
          <w:sz w:val="24"/>
          <w:szCs w:val="24"/>
          <w:lang w:val="fr-FR"/>
        </w:rPr>
      </w:pPr>
    </w:p>
    <w:p w14:paraId="11D479ED" w14:textId="77777777" w:rsidR="005E5343" w:rsidRPr="00C32757" w:rsidRDefault="005E5343" w:rsidP="005E5343">
      <w:pPr>
        <w:widowControl w:val="0"/>
        <w:autoSpaceDE w:val="0"/>
        <w:autoSpaceDN w:val="0"/>
        <w:adjustRightInd w:val="0"/>
        <w:spacing w:after="0" w:line="240" w:lineRule="auto"/>
        <w:jc w:val="both"/>
        <w:rPr>
          <w:rFonts w:asciiTheme="minorBidi" w:eastAsia="Times New Roman" w:hAnsiTheme="minorBidi"/>
          <w:sz w:val="24"/>
          <w:szCs w:val="24"/>
          <w:lang w:val="fr-FR"/>
        </w:rPr>
      </w:pPr>
      <w:r w:rsidRPr="00C32757">
        <w:rPr>
          <w:rFonts w:asciiTheme="minorBidi" w:eastAsia="Times New Roman" w:hAnsiTheme="minorBidi"/>
          <w:b/>
          <w:bCs/>
          <w:sz w:val="24"/>
          <w:szCs w:val="24"/>
          <w:lang w:val="fr-FR"/>
        </w:rPr>
        <w:t>Figura II.2.3.8</w:t>
      </w:r>
      <w:r>
        <w:rPr>
          <w:rFonts w:asciiTheme="minorBidi" w:eastAsia="Times New Roman" w:hAnsiTheme="minorBidi"/>
          <w:b/>
          <w:bCs/>
          <w:sz w:val="24"/>
          <w:szCs w:val="24"/>
          <w:lang w:val="fr-FR"/>
        </w:rPr>
        <w:t xml:space="preserve"> </w:t>
      </w:r>
      <w:r w:rsidRPr="00C32757">
        <w:rPr>
          <w:rFonts w:asciiTheme="minorBidi" w:eastAsia="Times New Roman" w:hAnsiTheme="minorBidi"/>
          <w:b/>
          <w:bCs/>
          <w:i/>
          <w:iCs/>
          <w:sz w:val="24"/>
          <w:szCs w:val="24"/>
          <w:lang w:val="fr-FR" w:eastAsia="x-none"/>
        </w:rPr>
        <w:t>Emisia specifică de fosfor total din surse punctiforme și difuze la nivel de utilizare a terenului: situația de referință 2015-2018 (stânga) și scenariu de bază 2027 (dreapta)</w:t>
      </w:r>
    </w:p>
    <w:p w14:paraId="1F56305A" w14:textId="77777777" w:rsidR="005E5343" w:rsidRPr="00C32757" w:rsidRDefault="005E5343" w:rsidP="005E5343">
      <w:pPr>
        <w:tabs>
          <w:tab w:val="left" w:pos="6900"/>
        </w:tabs>
        <w:spacing w:before="120" w:after="120" w:line="240" w:lineRule="auto"/>
        <w:jc w:val="center"/>
        <w:rPr>
          <w:rFonts w:asciiTheme="minorBidi" w:eastAsia="Times New Roman" w:hAnsiTheme="minorBidi"/>
          <w:sz w:val="24"/>
          <w:szCs w:val="24"/>
          <w:lang w:val="en-GB"/>
        </w:rPr>
      </w:pPr>
      <w:r w:rsidRPr="00C32757">
        <w:rPr>
          <w:rFonts w:asciiTheme="minorBidi" w:eastAsia="Times New Roman" w:hAnsiTheme="minorBidi"/>
          <w:noProof/>
          <w:sz w:val="24"/>
          <w:szCs w:val="24"/>
          <w:lang w:val="en-GB" w:eastAsia="en-GB"/>
        </w:rPr>
        <w:drawing>
          <wp:inline distT="0" distB="0" distL="0" distR="0" wp14:anchorId="7B97F6AF" wp14:editId="0FDF9ED3">
            <wp:extent cx="2956560" cy="2087880"/>
            <wp:effectExtent l="0" t="0" r="0" b="0"/>
            <wp:docPr id="41"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6560" cy="2087880"/>
                    </a:xfrm>
                    <a:prstGeom prst="rect">
                      <a:avLst/>
                    </a:prstGeom>
                    <a:noFill/>
                    <a:ln>
                      <a:noFill/>
                    </a:ln>
                  </pic:spPr>
                </pic:pic>
              </a:graphicData>
            </a:graphic>
          </wp:inline>
        </w:drawing>
      </w:r>
      <w:r w:rsidRPr="00C32757">
        <w:rPr>
          <w:rFonts w:asciiTheme="minorBidi" w:eastAsia="Times New Roman" w:hAnsiTheme="minorBidi"/>
          <w:noProof/>
          <w:sz w:val="24"/>
          <w:szCs w:val="24"/>
          <w:lang w:val="en-GB" w:eastAsia="en-GB"/>
        </w:rPr>
        <w:drawing>
          <wp:inline distT="0" distB="0" distL="0" distR="0" wp14:anchorId="10DCB2E3" wp14:editId="7DC764B6">
            <wp:extent cx="2956560" cy="2087880"/>
            <wp:effectExtent l="0" t="0" r="0" b="0"/>
            <wp:docPr id="42"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56560" cy="2087880"/>
                    </a:xfrm>
                    <a:prstGeom prst="rect">
                      <a:avLst/>
                    </a:prstGeom>
                    <a:noFill/>
                    <a:ln>
                      <a:noFill/>
                    </a:ln>
                  </pic:spPr>
                </pic:pic>
              </a:graphicData>
            </a:graphic>
          </wp:inline>
        </w:drawing>
      </w:r>
    </w:p>
    <w:p w14:paraId="4889A292" w14:textId="77777777" w:rsidR="005E5343" w:rsidRPr="0006475A" w:rsidRDefault="005E5343" w:rsidP="005E5343">
      <w:pPr>
        <w:spacing w:after="0" w:line="240" w:lineRule="auto"/>
        <w:jc w:val="both"/>
        <w:rPr>
          <w:rFonts w:asciiTheme="minorBidi" w:hAnsiTheme="minorBidi"/>
          <w:i/>
          <w:sz w:val="20"/>
          <w:szCs w:val="20"/>
        </w:rPr>
      </w:pPr>
      <w:r w:rsidRPr="0006475A">
        <w:rPr>
          <w:rFonts w:asciiTheme="minorBidi" w:hAnsiTheme="minorBidi"/>
          <w:i/>
          <w:sz w:val="20"/>
          <w:szCs w:val="20"/>
        </w:rPr>
        <w:t>(Sursa datelor: Administrația Națională „Apele Române”, Planul Național de Management actualizat)</w:t>
      </w:r>
    </w:p>
    <w:p w14:paraId="632E8584" w14:textId="77777777" w:rsidR="005E5343" w:rsidRPr="00C32757" w:rsidRDefault="005E5343" w:rsidP="005E5343">
      <w:pPr>
        <w:spacing w:after="0" w:line="240" w:lineRule="auto"/>
        <w:ind w:firstLine="567"/>
        <w:jc w:val="both"/>
        <w:rPr>
          <w:rFonts w:asciiTheme="minorBidi" w:hAnsiTheme="minorBidi"/>
          <w:b/>
          <w:i/>
          <w:sz w:val="24"/>
          <w:szCs w:val="24"/>
          <w:lang w:val="it-IT"/>
        </w:rPr>
      </w:pPr>
    </w:p>
    <w:p w14:paraId="0AC507ED" w14:textId="77777777" w:rsidR="005E5343" w:rsidRPr="00C32757" w:rsidRDefault="005E5343" w:rsidP="005E5343">
      <w:pPr>
        <w:spacing w:after="0" w:line="240" w:lineRule="auto"/>
        <w:ind w:firstLine="567"/>
        <w:jc w:val="both"/>
        <w:rPr>
          <w:rFonts w:asciiTheme="minorBidi" w:hAnsiTheme="minorBidi"/>
          <w:sz w:val="24"/>
          <w:szCs w:val="24"/>
          <w:lang w:val="it-IT"/>
        </w:rPr>
      </w:pPr>
      <w:r w:rsidRPr="00C32757">
        <w:rPr>
          <w:rFonts w:asciiTheme="minorBidi" w:hAnsiTheme="minorBidi"/>
          <w:b/>
          <w:i/>
          <w:sz w:val="24"/>
          <w:szCs w:val="24"/>
          <w:lang w:val="it-IT"/>
        </w:rPr>
        <w:br w:type="page"/>
      </w:r>
      <w:r w:rsidRPr="00C32757">
        <w:rPr>
          <w:rFonts w:asciiTheme="minorBidi" w:hAnsiTheme="minorBidi"/>
          <w:b/>
          <w:i/>
          <w:sz w:val="24"/>
          <w:szCs w:val="24"/>
          <w:lang w:val="it-IT"/>
        </w:rPr>
        <w:lastRenderedPageBreak/>
        <w:t>Poluarea cu substanțe chimice periculoase</w:t>
      </w:r>
      <w:r w:rsidRPr="00C32757">
        <w:rPr>
          <w:rFonts w:asciiTheme="minorBidi" w:hAnsiTheme="minorBidi"/>
          <w:sz w:val="24"/>
          <w:szCs w:val="24"/>
          <w:lang w:val="it-IT"/>
        </w:rPr>
        <w:t xml:space="preserve"> poate deteriora semnificativ starea corpurilor de apă și indirect poate avea efecte asupra stării de sănătate a populației. În conformitate cu prevederile directivelor europene în domeniul apelor, există 3 tipuri de substanțe chimice periculoase, și anume:</w:t>
      </w:r>
    </w:p>
    <w:p w14:paraId="43CDC2F3" w14:textId="77777777" w:rsidR="005E5343" w:rsidRPr="00C32757" w:rsidRDefault="005E5343" w:rsidP="005E5343">
      <w:pPr>
        <w:numPr>
          <w:ilvl w:val="0"/>
          <w:numId w:val="34"/>
        </w:numPr>
        <w:spacing w:after="0" w:line="240" w:lineRule="auto"/>
        <w:ind w:left="284" w:hanging="284"/>
        <w:jc w:val="both"/>
        <w:rPr>
          <w:rFonts w:asciiTheme="minorBidi" w:hAnsiTheme="minorBidi"/>
          <w:sz w:val="24"/>
          <w:szCs w:val="24"/>
          <w:lang w:val="it-IT"/>
        </w:rPr>
      </w:pPr>
      <w:r w:rsidRPr="00C32757">
        <w:rPr>
          <w:rFonts w:asciiTheme="minorBidi" w:hAnsiTheme="minorBidi"/>
          <w:sz w:val="24"/>
          <w:szCs w:val="24"/>
          <w:lang w:val="it-IT"/>
        </w:rPr>
        <w:t>substanțe prioritare – poluanți sau grupe de poluanți care prezintă risc semnificativ asupra mediului acvatic, incluzând și apele utilizate pentru captarea apei potabile;</w:t>
      </w:r>
    </w:p>
    <w:p w14:paraId="47BCB26D" w14:textId="77777777" w:rsidR="005E5343" w:rsidRPr="00C32757" w:rsidRDefault="005E5343" w:rsidP="005E5343">
      <w:pPr>
        <w:numPr>
          <w:ilvl w:val="0"/>
          <w:numId w:val="34"/>
        </w:numPr>
        <w:spacing w:after="0" w:line="240" w:lineRule="auto"/>
        <w:ind w:left="284" w:hanging="284"/>
        <w:jc w:val="both"/>
        <w:rPr>
          <w:rFonts w:asciiTheme="minorBidi" w:hAnsiTheme="minorBidi"/>
          <w:sz w:val="24"/>
          <w:szCs w:val="24"/>
          <w:lang w:val="it-IT"/>
        </w:rPr>
      </w:pPr>
      <w:r w:rsidRPr="00C32757">
        <w:rPr>
          <w:rFonts w:asciiTheme="minorBidi" w:hAnsiTheme="minorBidi"/>
          <w:sz w:val="24"/>
          <w:szCs w:val="24"/>
          <w:lang w:val="it-IT"/>
        </w:rPr>
        <w:t>substanțe prioritare periculoase – poluanți sau grupe de poluanți care prezintă același risc ca și cele precedente și în plus sunt toxice, persistente și bioacumulabile;</w:t>
      </w:r>
    </w:p>
    <w:p w14:paraId="2D15EABF" w14:textId="77777777" w:rsidR="005E5343" w:rsidRPr="00C32757" w:rsidRDefault="005E5343" w:rsidP="005E5343">
      <w:pPr>
        <w:numPr>
          <w:ilvl w:val="0"/>
          <w:numId w:val="34"/>
        </w:numPr>
        <w:spacing w:after="0" w:line="240" w:lineRule="auto"/>
        <w:ind w:left="284" w:hanging="284"/>
        <w:jc w:val="both"/>
        <w:rPr>
          <w:rFonts w:asciiTheme="minorBidi" w:hAnsiTheme="minorBidi"/>
          <w:sz w:val="24"/>
          <w:szCs w:val="24"/>
          <w:lang w:val="it-IT"/>
        </w:rPr>
      </w:pPr>
      <w:r w:rsidRPr="00C32757">
        <w:rPr>
          <w:rFonts w:asciiTheme="minorBidi" w:hAnsiTheme="minorBidi"/>
          <w:sz w:val="24"/>
          <w:szCs w:val="24"/>
          <w:lang w:val="it-IT"/>
        </w:rPr>
        <w:t>poluanți specifici la nivel de bazin hidrografic - poluanți sau grupe de poluanți specifice unui anumit bazin hidrografic.</w:t>
      </w:r>
    </w:p>
    <w:p w14:paraId="3CDB717C" w14:textId="77777777" w:rsidR="005E5343" w:rsidRPr="00C32757" w:rsidRDefault="005E5343" w:rsidP="005E5343">
      <w:pPr>
        <w:spacing w:before="120" w:after="0" w:line="240" w:lineRule="auto"/>
        <w:ind w:firstLine="562"/>
        <w:jc w:val="both"/>
        <w:rPr>
          <w:rFonts w:asciiTheme="minorBidi" w:hAnsiTheme="minorBidi"/>
          <w:sz w:val="24"/>
          <w:szCs w:val="24"/>
          <w:lang w:val="it-IT"/>
        </w:rPr>
      </w:pPr>
      <w:r w:rsidRPr="00C32757">
        <w:rPr>
          <w:rFonts w:asciiTheme="minorBidi" w:hAnsiTheme="minorBidi"/>
          <w:sz w:val="24"/>
          <w:szCs w:val="24"/>
          <w:lang w:val="it-IT"/>
        </w:rPr>
        <w:t xml:space="preserve">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 (Directiva 2013/39/CE), reducerea progresivă a poluării cauzate de substanțele prioritare și de poluanții specifici, cât și stoparea sau eliminarea emisiilor, descărcărilor și pierderilor de substanțe prioritare periculoase. </w:t>
      </w:r>
    </w:p>
    <w:p w14:paraId="499D828E"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 xml:space="preserve">În </w:t>
      </w:r>
      <w:r w:rsidRPr="00C32757">
        <w:rPr>
          <w:rFonts w:asciiTheme="minorBidi" w:hAnsiTheme="minorBidi"/>
          <w:i/>
          <w:sz w:val="24"/>
          <w:szCs w:val="24"/>
          <w:lang w:val="it-IT"/>
        </w:rPr>
        <w:t>Figura II.2.3.9</w:t>
      </w:r>
      <w:r w:rsidRPr="00C32757">
        <w:rPr>
          <w:rFonts w:asciiTheme="minorBidi" w:hAnsiTheme="minorBidi"/>
          <w:sz w:val="24"/>
          <w:szCs w:val="24"/>
          <w:lang w:val="it-IT"/>
        </w:rPr>
        <w:t xml:space="preserve"> este ilustrată evoluţia stării ecologice/potenţialului ecologic al corpurilor de apă cuprinse în proiectul celui de-al treilea Plan de Management, comparativ cu cel de-al doilea Plan de Management, pentru cele două cicluri de planificare aferente.</w:t>
      </w:r>
    </w:p>
    <w:p w14:paraId="3AA659A1"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Având în vedere rezultatele evaluării stării ecologice/potențialului ecologic și stării în cadrul Planului Național de Management actualizat, comparativ cu evaluarea din Planul Național de management actualizat anterior aprobat prin HG nr. 859/2016, se constată o ușoară scădere a numărului/procentului de corpuri în stare bună/potențial bun, respectiv la 65,72 % (Figura Figura II.2.3.9). Diferența este necesar a fi interpretată în contextul în care s-a realizat intercalibrarea metodelor de evaluare ale elementelor biologice, precum și s-a completat și dezvoltat sistemul național de evaluare a stării apelor.</w:t>
      </w:r>
    </w:p>
    <w:p w14:paraId="1AC93960"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Integrarea prevederilor Directivei Cadru Apă 2000/60/CE cu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privind Strategia Marină 2008/56 /EC. Acest fapt contribuie la elaborarea și completarea, strategiilor naționale și regionale, precum și la elaborarea Planurilor de management ale bazinelor/spațiilor hidrografice actualizate.</w:t>
      </w:r>
    </w:p>
    <w:p w14:paraId="34AAE115"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r w:rsidRPr="00C32757">
        <w:rPr>
          <w:rFonts w:asciiTheme="minorBidi" w:hAnsiTheme="minorBidi"/>
          <w:sz w:val="24"/>
          <w:szCs w:val="24"/>
          <w:lang w:val="it-IT"/>
        </w:rPr>
        <w:t>În cadrul Planului Național de management actualizat  s-au stabilit măsuri pentru fiecare categorie de probleme importante de gospodărirea apelor, pe baza progreselor înregistrate în implementarea măsurilor prevăzute în primul și al doilea Plan de management, a rezultatelor privind caracterizarea bazinelor/spaţiilor hidrografice, impactului activitățílor umane și analizei economice a utilizării apei, atât pentru apele de suprafață, cât și pentru cele subterane, având în vedere cele mai noi informații disponibile. Cel de-al treilea Plan de management actualziat include, în continuarea celui de-al doilea Plan de management actualizat, măsuri de bază și suplimentare care se implementează până în anul 2027 și sunt stabilite, dacă este cazul, și măsuri pentru planificarea după anul 2027, în vederea atingerii obiectivelor de mediu ale corpurilor de apă.</w:t>
      </w:r>
    </w:p>
    <w:p w14:paraId="1A89A7DE" w14:textId="77777777" w:rsidR="005E5343" w:rsidRPr="00C32757" w:rsidRDefault="005E5343" w:rsidP="005E5343">
      <w:pPr>
        <w:spacing w:before="120" w:after="120" w:line="240" w:lineRule="auto"/>
        <w:ind w:firstLine="567"/>
        <w:jc w:val="both"/>
        <w:rPr>
          <w:rFonts w:asciiTheme="minorBidi" w:hAnsiTheme="minorBidi"/>
          <w:sz w:val="24"/>
          <w:szCs w:val="24"/>
          <w:lang w:val="it-IT"/>
        </w:rPr>
      </w:pPr>
    </w:p>
    <w:p w14:paraId="2DF99CD5" w14:textId="77777777" w:rsidR="005E5343" w:rsidRPr="00C32757" w:rsidRDefault="005E5343" w:rsidP="005E5343">
      <w:pPr>
        <w:spacing w:before="120" w:after="120" w:line="240" w:lineRule="auto"/>
        <w:rPr>
          <w:rFonts w:asciiTheme="minorBidi" w:hAnsiTheme="minorBidi"/>
          <w:sz w:val="24"/>
          <w:szCs w:val="24"/>
          <w:lang w:val="it-IT"/>
        </w:rPr>
      </w:pPr>
      <w:r w:rsidRPr="00C32757">
        <w:rPr>
          <w:rFonts w:asciiTheme="minorBidi" w:hAnsiTheme="minorBidi"/>
          <w:b/>
          <w:sz w:val="24"/>
          <w:szCs w:val="24"/>
          <w:lang w:val="it-IT"/>
        </w:rPr>
        <w:lastRenderedPageBreak/>
        <w:t>Figura II.2.3.9</w:t>
      </w:r>
      <w:r>
        <w:rPr>
          <w:rFonts w:asciiTheme="minorBidi" w:hAnsiTheme="minorBidi"/>
          <w:b/>
          <w:sz w:val="24"/>
          <w:szCs w:val="24"/>
          <w:lang w:val="it-IT"/>
        </w:rPr>
        <w:t xml:space="preserve"> </w:t>
      </w:r>
      <w:r w:rsidRPr="00C32757">
        <w:rPr>
          <w:rFonts w:asciiTheme="minorBidi" w:hAnsiTheme="minorBidi"/>
          <w:b/>
          <w:sz w:val="24"/>
          <w:szCs w:val="24"/>
        </w:rPr>
        <w:t xml:space="preserve">Evoluţia stării ecologice/potenţialului ecologic al corpurilor de apă de suprafaţă –al treilea Plan Național de Management actualizat  comparativ cu doilea Planul Național de Management actualizat </w:t>
      </w:r>
    </w:p>
    <w:p w14:paraId="5C025F29" w14:textId="77777777" w:rsidR="005E5343" w:rsidRPr="00C32757" w:rsidRDefault="005E5343" w:rsidP="005E5343">
      <w:pPr>
        <w:spacing w:before="120" w:after="0" w:line="240" w:lineRule="auto"/>
        <w:jc w:val="both"/>
        <w:rPr>
          <w:rFonts w:asciiTheme="minorBidi" w:hAnsiTheme="minorBidi"/>
          <w:sz w:val="24"/>
          <w:szCs w:val="24"/>
          <w:lang w:val="it-IT"/>
        </w:rPr>
      </w:pPr>
      <w:r w:rsidRPr="00C32757">
        <w:rPr>
          <w:rFonts w:asciiTheme="minorBidi" w:hAnsiTheme="minorBidi"/>
          <w:noProof/>
          <w:sz w:val="24"/>
          <w:szCs w:val="24"/>
          <w:lang w:val="en-GB" w:eastAsia="en-GB"/>
        </w:rPr>
        <w:drawing>
          <wp:inline distT="0" distB="0" distL="0" distR="0" wp14:anchorId="656F8770" wp14:editId="02ABAE21">
            <wp:extent cx="5911215" cy="42970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11215" cy="4297045"/>
                    </a:xfrm>
                    <a:prstGeom prst="rect">
                      <a:avLst/>
                    </a:prstGeom>
                    <a:noFill/>
                  </pic:spPr>
                </pic:pic>
              </a:graphicData>
            </a:graphic>
          </wp:inline>
        </w:drawing>
      </w:r>
    </w:p>
    <w:p w14:paraId="6209822E" w14:textId="77777777" w:rsidR="005E5343" w:rsidRPr="009658A2" w:rsidRDefault="005E5343" w:rsidP="005E5343">
      <w:pPr>
        <w:spacing w:after="0" w:line="240" w:lineRule="auto"/>
        <w:jc w:val="both"/>
        <w:rPr>
          <w:rFonts w:asciiTheme="minorBidi" w:hAnsiTheme="minorBidi"/>
          <w:i/>
          <w:sz w:val="20"/>
          <w:szCs w:val="20"/>
        </w:rPr>
      </w:pPr>
      <w:r w:rsidRPr="009658A2">
        <w:rPr>
          <w:rFonts w:asciiTheme="minorBidi" w:hAnsiTheme="minorBidi"/>
          <w:i/>
          <w:sz w:val="20"/>
          <w:szCs w:val="20"/>
        </w:rPr>
        <w:t>(Sursa datelor: Administrația Națională „Apele Române”, Planul Național de Management actualizat)</w:t>
      </w:r>
    </w:p>
    <w:p w14:paraId="21D41A32" w14:textId="77777777" w:rsidR="005E5343" w:rsidRPr="00C32757" w:rsidRDefault="005E5343" w:rsidP="005E5343">
      <w:pPr>
        <w:spacing w:before="120" w:after="120" w:line="240" w:lineRule="auto"/>
        <w:ind w:firstLine="720"/>
        <w:jc w:val="both"/>
        <w:rPr>
          <w:rFonts w:asciiTheme="minorBidi" w:hAnsiTheme="minorBidi"/>
          <w:sz w:val="24"/>
          <w:szCs w:val="24"/>
          <w:lang w:val="it-IT"/>
        </w:rPr>
      </w:pPr>
    </w:p>
    <w:p w14:paraId="60FDB0D3" w14:textId="77777777" w:rsidR="005E5343" w:rsidRPr="00C32757" w:rsidRDefault="005E5343" w:rsidP="005E5343">
      <w:pPr>
        <w:spacing w:before="120" w:after="120" w:line="240" w:lineRule="auto"/>
        <w:ind w:firstLine="720"/>
        <w:jc w:val="both"/>
        <w:rPr>
          <w:rFonts w:asciiTheme="minorBidi" w:hAnsiTheme="minorBidi"/>
          <w:sz w:val="24"/>
          <w:szCs w:val="24"/>
        </w:rPr>
      </w:pPr>
      <w:r w:rsidRPr="00C32757">
        <w:rPr>
          <w:rFonts w:asciiTheme="minorBidi" w:hAnsiTheme="minorBidi"/>
          <w:sz w:val="24"/>
          <w:szCs w:val="24"/>
          <w:lang w:val="it-IT"/>
        </w:rPr>
        <w:t>Având în vedere actualizarea măsurilor planificate a se implementa în perioada 2016-2020, precum și evaluarea măsurilor implementate în perioada 2016-2018, s-au evaluat progresele înregistrate în ceea ce privește măsurile implementate. În cadrul Planului Național de management actualizat s-a realizat evaluarea progreselor înregistrate în implementarea programului de măsuri stabilit pentru al doilea ciclu de planificare (2016-2020).</w:t>
      </w:r>
      <w:r w:rsidRPr="00C32757">
        <w:rPr>
          <w:rFonts w:asciiTheme="minorBidi" w:hAnsiTheme="minorBidi"/>
          <w:sz w:val="24"/>
          <w:szCs w:val="24"/>
        </w:rPr>
        <w:t xml:space="preserve"> În scopul evaluării stadiului implementării programului de măsuri s-a avut în vederea realizarea măsurilor de bază și suplimentare prevăzute în anexele </w:t>
      </w:r>
      <w:r w:rsidRPr="00C32757">
        <w:rPr>
          <w:rFonts w:asciiTheme="minorBidi" w:hAnsiTheme="minorBidi"/>
          <w:i/>
          <w:sz w:val="24"/>
          <w:szCs w:val="24"/>
        </w:rPr>
        <w:t>Planului Național de Management</w:t>
      </w:r>
      <w:r w:rsidRPr="00C32757">
        <w:rPr>
          <w:rFonts w:asciiTheme="minorBidi" w:hAnsiTheme="minorBidi"/>
          <w:sz w:val="24"/>
          <w:szCs w:val="24"/>
        </w:rPr>
        <w:t xml:space="preserve"> actualizat  </w:t>
      </w:r>
      <w:r w:rsidRPr="00C32757">
        <w:rPr>
          <w:rFonts w:asciiTheme="minorBidi" w:hAnsiTheme="minorBidi"/>
          <w:i/>
          <w:sz w:val="24"/>
          <w:szCs w:val="24"/>
        </w:rPr>
        <w:t xml:space="preserve">aprobat prin HG nr. 859/2016, </w:t>
      </w:r>
      <w:r w:rsidRPr="00C32757">
        <w:rPr>
          <w:rFonts w:asciiTheme="minorBidi" w:hAnsiTheme="minorBidi"/>
          <w:sz w:val="24"/>
          <w:szCs w:val="24"/>
        </w:rPr>
        <w:t>cu termene planificate de realizare a măsurilor  în perioada 2016-2020. De asemenea, au fost luate în considerare și măsurile care erau planificate să se realizeze după anul 2021 și care au început să se implementeze în avans.</w:t>
      </w:r>
    </w:p>
    <w:p w14:paraId="7F75857C" w14:textId="77777777" w:rsidR="005E5343" w:rsidRPr="00C32757" w:rsidRDefault="005E5343" w:rsidP="005E5343">
      <w:pPr>
        <w:spacing w:before="120" w:after="120" w:line="240" w:lineRule="auto"/>
        <w:ind w:firstLine="734"/>
        <w:jc w:val="both"/>
        <w:rPr>
          <w:rFonts w:asciiTheme="minorBidi" w:hAnsiTheme="minorBidi"/>
          <w:bCs/>
          <w:sz w:val="24"/>
          <w:szCs w:val="24"/>
        </w:rPr>
      </w:pPr>
      <w:r w:rsidRPr="00C32757">
        <w:rPr>
          <w:rFonts w:asciiTheme="minorBidi" w:hAnsiTheme="minorBidi"/>
          <w:bCs/>
          <w:sz w:val="24"/>
          <w:szCs w:val="24"/>
        </w:rPr>
        <w:t>Măsurile monitorizate se adresează tuturor presiunilor potențial semnificative pentru care se implementează măsuri de reducere a poluării, în vederea conservării sau atingerii obiectivelor de mediu ale corpurilor de apă. De asemenea, măsurile suplimentare se adresează în special activităților agricole și aglomerărilor umane, în vederea atingerii obiectivelor de mediu, acolo unde implementarea măsurile de bază nu este suficientă.</w:t>
      </w:r>
    </w:p>
    <w:p w14:paraId="5A8EE965" w14:textId="77777777" w:rsidR="005E5343" w:rsidRDefault="005E5343" w:rsidP="005E5343">
      <w:pPr>
        <w:spacing w:after="0" w:line="240" w:lineRule="auto"/>
        <w:ind w:left="180" w:firstLine="540"/>
        <w:jc w:val="both"/>
        <w:rPr>
          <w:rFonts w:asciiTheme="minorBidi" w:hAnsiTheme="minorBidi"/>
          <w:bCs/>
          <w:sz w:val="24"/>
          <w:szCs w:val="24"/>
        </w:rPr>
      </w:pPr>
    </w:p>
    <w:p w14:paraId="379CB191" w14:textId="77777777" w:rsidR="005E5343" w:rsidRDefault="005E5343" w:rsidP="005E5343">
      <w:pPr>
        <w:spacing w:after="0" w:line="240" w:lineRule="auto"/>
        <w:ind w:left="180" w:firstLine="540"/>
        <w:jc w:val="both"/>
        <w:rPr>
          <w:rFonts w:asciiTheme="minorBidi" w:hAnsiTheme="minorBidi"/>
          <w:bCs/>
          <w:sz w:val="24"/>
          <w:szCs w:val="24"/>
        </w:rPr>
      </w:pPr>
    </w:p>
    <w:p w14:paraId="1154D468" w14:textId="77777777" w:rsidR="005E5343" w:rsidRPr="00C32757" w:rsidRDefault="005E5343" w:rsidP="005E5343">
      <w:pPr>
        <w:spacing w:after="0" w:line="240" w:lineRule="auto"/>
        <w:ind w:left="180" w:firstLine="540"/>
        <w:jc w:val="both"/>
        <w:rPr>
          <w:rFonts w:asciiTheme="minorBidi" w:hAnsiTheme="minorBidi"/>
          <w:bCs/>
          <w:sz w:val="24"/>
          <w:szCs w:val="24"/>
        </w:rPr>
      </w:pPr>
    </w:p>
    <w:p w14:paraId="7E654D41" w14:textId="77777777" w:rsidR="005E5343" w:rsidRPr="00C32757" w:rsidRDefault="005E5343" w:rsidP="005E5343">
      <w:pPr>
        <w:spacing w:after="0" w:line="240" w:lineRule="auto"/>
        <w:ind w:left="180" w:hanging="180"/>
        <w:jc w:val="both"/>
        <w:rPr>
          <w:rFonts w:asciiTheme="minorBidi" w:hAnsiTheme="minorBidi"/>
          <w:bCs/>
          <w:sz w:val="24"/>
          <w:szCs w:val="24"/>
        </w:rPr>
      </w:pPr>
    </w:p>
    <w:p w14:paraId="0F51AEA7" w14:textId="77777777" w:rsidR="005E5343" w:rsidRPr="00C32757" w:rsidRDefault="005E5343" w:rsidP="005E5343">
      <w:pPr>
        <w:spacing w:after="0" w:line="240" w:lineRule="auto"/>
        <w:ind w:left="180" w:hanging="180"/>
        <w:jc w:val="both"/>
        <w:rPr>
          <w:rFonts w:asciiTheme="minorBidi" w:hAnsiTheme="minorBidi"/>
          <w:bCs/>
          <w:sz w:val="24"/>
          <w:szCs w:val="24"/>
        </w:rPr>
      </w:pPr>
      <w:r w:rsidRPr="00C32757">
        <w:rPr>
          <w:rFonts w:asciiTheme="minorBidi" w:hAnsiTheme="minorBidi"/>
          <w:noProof/>
          <w:sz w:val="24"/>
          <w:szCs w:val="24"/>
          <w:lang w:val="en-GB" w:eastAsia="en-GB"/>
        </w:rPr>
        <mc:AlternateContent>
          <mc:Choice Requires="wpg">
            <w:drawing>
              <wp:anchor distT="0" distB="0" distL="114300" distR="114300" simplePos="0" relativeHeight="251668480" behindDoc="0" locked="0" layoutInCell="1" allowOverlap="1" wp14:anchorId="0F43E4AF" wp14:editId="3AA8C600">
                <wp:simplePos x="0" y="0"/>
                <wp:positionH relativeFrom="column">
                  <wp:posOffset>86360</wp:posOffset>
                </wp:positionH>
                <wp:positionV relativeFrom="paragraph">
                  <wp:posOffset>62230</wp:posOffset>
                </wp:positionV>
                <wp:extent cx="5856605" cy="1384935"/>
                <wp:effectExtent l="0" t="1270" r="0" b="4445"/>
                <wp:wrapNone/>
                <wp:docPr id="2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6605" cy="1384935"/>
                          <a:chOff x="1554" y="11287"/>
                          <a:chExt cx="10933" cy="2916"/>
                        </a:xfrm>
                      </wpg:grpSpPr>
                      <wps:wsp>
                        <wps:cNvPr id="28" name="Text Box 28"/>
                        <wps:cNvSpPr txBox="1">
                          <a:spLocks noChangeArrowheads="1"/>
                        </wps:cNvSpPr>
                        <wps:spPr bwMode="auto">
                          <a:xfrm>
                            <a:off x="1554" y="11325"/>
                            <a:ext cx="3485" cy="2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810C6C" w14:textId="77777777" w:rsidR="005E5343" w:rsidRDefault="005E5343" w:rsidP="005E5343">
                              <w:r w:rsidRPr="00C72300">
                                <w:rPr>
                                  <w:noProof/>
                                  <w:lang w:val="en-GB" w:eastAsia="en-GB"/>
                                </w:rPr>
                                <w:drawing>
                                  <wp:inline distT="0" distB="0" distL="0" distR="0" wp14:anchorId="2011FC39" wp14:editId="6D05DE56">
                                    <wp:extent cx="2026920" cy="1638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 name="Text Box 2"/>
                        <wps:cNvSpPr txBox="1">
                          <a:spLocks noChangeArrowheads="1"/>
                        </wps:cNvSpPr>
                        <wps:spPr bwMode="auto">
                          <a:xfrm>
                            <a:off x="5160" y="11287"/>
                            <a:ext cx="3541" cy="28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2F7BF6" w14:textId="77777777" w:rsidR="005E5343" w:rsidRDefault="005E5343" w:rsidP="005E5343">
                              <w:r w:rsidRPr="00C72300">
                                <w:rPr>
                                  <w:noProof/>
                                  <w:lang w:val="en-GB" w:eastAsia="en-GB"/>
                                </w:rPr>
                                <w:drawing>
                                  <wp:inline distT="0" distB="0" distL="0" distR="0" wp14:anchorId="4D2F0CEF" wp14:editId="21100039">
                                    <wp:extent cx="2065020" cy="14020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30" name="Text Box 2"/>
                        <wps:cNvSpPr txBox="1">
                          <a:spLocks noChangeArrowheads="1"/>
                        </wps:cNvSpPr>
                        <wps:spPr bwMode="auto">
                          <a:xfrm>
                            <a:off x="8822" y="11287"/>
                            <a:ext cx="3665" cy="29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E5448C" w14:textId="77777777" w:rsidR="005E5343" w:rsidRDefault="005E5343" w:rsidP="005E5343">
                              <w:r w:rsidRPr="00BE477E">
                                <w:rPr>
                                  <w:noProof/>
                                  <w:lang w:val="en-GB" w:eastAsia="en-GB"/>
                                </w:rPr>
                                <w:drawing>
                                  <wp:inline distT="0" distB="0" distL="0" distR="0" wp14:anchorId="5B2D3B8E" wp14:editId="7152AB9F">
                                    <wp:extent cx="2141220" cy="1287780"/>
                                    <wp:effectExtent l="0" t="0" r="0" b="0"/>
                                    <wp:docPr id="47"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43E4AF" id="Group 14" o:spid="_x0000_s1026" style="position:absolute;left:0;text-align:left;margin-left:6.8pt;margin-top:4.9pt;width:461.15pt;height:109.05pt;z-index:251668480" coordorigin="1554,11287" coordsize="10933,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">
                <v:shapetype id="_x0000_t202" coordsize="21600,21600" o:spt="202" path="m,l,21600r21600,l21600,xe">
                  <v:stroke joinstyle="miter"/>
                  <v:path gradientshapeok="t" o:connecttype="rect"/>
                </v:shapetype>
                <v:shape id="Text Box 28" o:spid="_x0000_s1027" type="#_x0000_t202" style="position:absolute;left:1554;top:11325;width:3485;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55810C6C" w14:textId="77777777" w:rsidR="005E5343" w:rsidRDefault="005E5343" w:rsidP="005E5343">
                        <w:r w:rsidRPr="00C72300">
                          <w:rPr>
                            <w:noProof/>
                            <w:lang w:val="en-GB" w:eastAsia="en-GB"/>
                          </w:rPr>
                          <w:drawing>
                            <wp:inline distT="0" distB="0" distL="0" distR="0" wp14:anchorId="2011FC39" wp14:editId="6D05DE56">
                              <wp:extent cx="2026920" cy="1638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v:textbox>
                </v:shape>
                <v:shape id="Text Box 2" o:spid="_x0000_s1028" type="#_x0000_t202" style="position:absolute;left:5160;top:11287;width:3541;height: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152F7BF6" w14:textId="77777777" w:rsidR="005E5343" w:rsidRDefault="005E5343" w:rsidP="005E5343">
                        <w:r w:rsidRPr="00C72300">
                          <w:rPr>
                            <w:noProof/>
                            <w:lang w:val="en-GB" w:eastAsia="en-GB"/>
                          </w:rPr>
                          <w:drawing>
                            <wp:inline distT="0" distB="0" distL="0" distR="0" wp14:anchorId="4D2F0CEF" wp14:editId="21100039">
                              <wp:extent cx="2065020" cy="14020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v:textbox>
                </v:shape>
                <v:shape id="Text Box 2" o:spid="_x0000_s1029" type="#_x0000_t202" style="position:absolute;left:8822;top:11287;width:3665;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7DE5448C" w14:textId="77777777" w:rsidR="005E5343" w:rsidRDefault="005E5343" w:rsidP="005E5343">
                        <w:r w:rsidRPr="00BE477E">
                          <w:rPr>
                            <w:noProof/>
                            <w:lang w:val="en-GB" w:eastAsia="en-GB"/>
                          </w:rPr>
                          <w:drawing>
                            <wp:inline distT="0" distB="0" distL="0" distR="0" wp14:anchorId="5B2D3B8E" wp14:editId="7152AB9F">
                              <wp:extent cx="2141220" cy="1287780"/>
                              <wp:effectExtent l="0" t="0" r="0" b="0"/>
                              <wp:docPr id="47"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v:textbox>
                </v:shape>
              </v:group>
            </w:pict>
          </mc:Fallback>
        </mc:AlternateContent>
      </w:r>
    </w:p>
    <w:p w14:paraId="4BA5EFD8" w14:textId="77777777" w:rsidR="005E5343" w:rsidRPr="00C32757" w:rsidRDefault="005E5343" w:rsidP="005E5343">
      <w:pPr>
        <w:spacing w:after="0" w:line="240" w:lineRule="auto"/>
        <w:ind w:left="180" w:hanging="180"/>
        <w:jc w:val="both"/>
        <w:rPr>
          <w:rFonts w:asciiTheme="minorBidi" w:hAnsiTheme="minorBidi"/>
          <w:bCs/>
          <w:sz w:val="24"/>
          <w:szCs w:val="24"/>
        </w:rPr>
      </w:pPr>
    </w:p>
    <w:p w14:paraId="37EF0DA2" w14:textId="77777777" w:rsidR="005E5343" w:rsidRPr="00C32757" w:rsidRDefault="005E5343" w:rsidP="005E5343">
      <w:pPr>
        <w:spacing w:after="0" w:line="240" w:lineRule="auto"/>
        <w:ind w:left="180" w:hanging="180"/>
        <w:jc w:val="both"/>
        <w:rPr>
          <w:rFonts w:asciiTheme="minorBidi" w:hAnsiTheme="minorBidi"/>
          <w:bCs/>
          <w:sz w:val="24"/>
          <w:szCs w:val="24"/>
        </w:rPr>
      </w:pPr>
    </w:p>
    <w:p w14:paraId="68EAC35C" w14:textId="77777777" w:rsidR="005E5343" w:rsidRPr="00C32757" w:rsidRDefault="005E5343" w:rsidP="005E5343">
      <w:pPr>
        <w:spacing w:after="0" w:line="240" w:lineRule="auto"/>
        <w:ind w:left="180" w:hanging="180"/>
        <w:jc w:val="both"/>
        <w:rPr>
          <w:rFonts w:asciiTheme="minorBidi" w:hAnsiTheme="minorBidi"/>
          <w:bCs/>
          <w:sz w:val="24"/>
          <w:szCs w:val="24"/>
        </w:rPr>
      </w:pPr>
    </w:p>
    <w:p w14:paraId="11559384" w14:textId="77777777" w:rsidR="005E5343" w:rsidRPr="00C32757" w:rsidRDefault="005E5343" w:rsidP="005E5343">
      <w:pPr>
        <w:spacing w:after="0" w:line="240" w:lineRule="auto"/>
        <w:ind w:left="180" w:hanging="180"/>
        <w:jc w:val="both"/>
        <w:rPr>
          <w:rFonts w:asciiTheme="minorBidi" w:hAnsiTheme="minorBidi"/>
          <w:bCs/>
          <w:sz w:val="24"/>
          <w:szCs w:val="24"/>
        </w:rPr>
      </w:pPr>
    </w:p>
    <w:p w14:paraId="1B08E26E" w14:textId="77777777" w:rsidR="005E5343" w:rsidRPr="00C32757" w:rsidRDefault="005E5343" w:rsidP="005E5343">
      <w:pPr>
        <w:spacing w:after="0" w:line="240" w:lineRule="auto"/>
        <w:ind w:left="180" w:hanging="180"/>
        <w:jc w:val="both"/>
        <w:rPr>
          <w:rFonts w:asciiTheme="minorBidi" w:hAnsiTheme="minorBidi"/>
          <w:bCs/>
          <w:sz w:val="24"/>
          <w:szCs w:val="24"/>
        </w:rPr>
      </w:pPr>
    </w:p>
    <w:p w14:paraId="3EE367A2" w14:textId="77777777" w:rsidR="005E5343" w:rsidRPr="00C32757" w:rsidRDefault="005E5343" w:rsidP="005E5343">
      <w:pPr>
        <w:spacing w:before="120" w:after="120" w:line="240" w:lineRule="auto"/>
        <w:ind w:firstLine="720"/>
        <w:jc w:val="both"/>
        <w:rPr>
          <w:rFonts w:asciiTheme="minorBidi" w:hAnsiTheme="minorBidi"/>
          <w:sz w:val="24"/>
          <w:szCs w:val="24"/>
        </w:rPr>
      </w:pPr>
    </w:p>
    <w:p w14:paraId="350B8B3E" w14:textId="77777777" w:rsidR="005E5343" w:rsidRPr="00C32757" w:rsidRDefault="005E5343" w:rsidP="005E5343">
      <w:pPr>
        <w:spacing w:before="120" w:after="120" w:line="240" w:lineRule="auto"/>
        <w:ind w:firstLine="720"/>
        <w:jc w:val="both"/>
        <w:rPr>
          <w:rFonts w:asciiTheme="minorBidi" w:hAnsiTheme="minorBidi"/>
          <w:sz w:val="24"/>
          <w:szCs w:val="24"/>
        </w:rPr>
      </w:pPr>
    </w:p>
    <w:p w14:paraId="16E997C0" w14:textId="77777777" w:rsidR="005E5343" w:rsidRPr="00C32757" w:rsidRDefault="005E5343" w:rsidP="005E5343">
      <w:pPr>
        <w:spacing w:before="120" w:after="120" w:line="240" w:lineRule="auto"/>
        <w:ind w:firstLine="720"/>
        <w:jc w:val="both"/>
        <w:rPr>
          <w:rFonts w:asciiTheme="minorBidi" w:hAnsiTheme="minorBidi"/>
          <w:sz w:val="24"/>
          <w:szCs w:val="24"/>
        </w:rPr>
      </w:pPr>
      <w:r w:rsidRPr="00C32757">
        <w:rPr>
          <w:rFonts w:asciiTheme="minorBidi" w:hAnsiTheme="minorBidi"/>
          <w:sz w:val="24"/>
          <w:szCs w:val="24"/>
        </w:rPr>
        <w:t xml:space="preserve">Până la sfârșitul anului 2021, la nivel național s-au realizat măsuri de bază și suplimentare din cadrul programului de măsuri al primului ciclu de planificare, care, din punct de vedere financiar, se situează la valoarea </w:t>
      </w:r>
      <w:r w:rsidRPr="00C32757">
        <w:rPr>
          <w:rFonts w:asciiTheme="minorBidi" w:hAnsiTheme="minorBidi"/>
          <w:b/>
          <w:sz w:val="24"/>
          <w:szCs w:val="24"/>
        </w:rPr>
        <w:t>cheltuielilor de investiții și alte costuri de circa 7.884  milioane Euro</w:t>
      </w:r>
      <w:r w:rsidRPr="00C32757">
        <w:rPr>
          <w:rFonts w:asciiTheme="minorBidi" w:hAnsiTheme="minorBidi"/>
          <w:sz w:val="24"/>
          <w:szCs w:val="24"/>
        </w:rPr>
        <w:t xml:space="preserve">, ceea ce reprezintă cca. </w:t>
      </w:r>
      <w:r w:rsidRPr="00C32757">
        <w:rPr>
          <w:rFonts w:asciiTheme="minorBidi" w:hAnsiTheme="minorBidi"/>
          <w:bCs/>
          <w:sz w:val="24"/>
          <w:szCs w:val="24"/>
        </w:rPr>
        <w:t>55% din totalul planificat pentru perioada 2016-2021.</w:t>
      </w:r>
      <w:r w:rsidRPr="00C32757">
        <w:rPr>
          <w:rFonts w:asciiTheme="minorBidi" w:hAnsiTheme="minorBidi"/>
          <w:sz w:val="24"/>
          <w:szCs w:val="24"/>
        </w:rPr>
        <w:t xml:space="preserve"> De asemenea, au fost realizate </w:t>
      </w:r>
      <w:r w:rsidRPr="00C32757">
        <w:rPr>
          <w:rFonts w:asciiTheme="minorBidi" w:hAnsiTheme="minorBidi"/>
          <w:b/>
          <w:bCs/>
          <w:sz w:val="24"/>
          <w:szCs w:val="24"/>
        </w:rPr>
        <w:t>costuri de operare – întreținere anuale în valoare de 438,6 milioane Euro</w:t>
      </w:r>
      <w:r w:rsidRPr="00C32757">
        <w:rPr>
          <w:rFonts w:asciiTheme="minorBidi" w:hAnsiTheme="minorBidi"/>
          <w:sz w:val="24"/>
          <w:szCs w:val="24"/>
        </w:rPr>
        <w:t>, suportate de către utilizatorii de apă care au implementat măsuri.</w:t>
      </w:r>
    </w:p>
    <w:p w14:paraId="1A6F6C81" w14:textId="77777777" w:rsidR="005E5343" w:rsidRPr="00C32757" w:rsidRDefault="005E5343" w:rsidP="005E5343">
      <w:pPr>
        <w:spacing w:after="0" w:line="240" w:lineRule="auto"/>
        <w:ind w:firstLine="720"/>
        <w:jc w:val="both"/>
        <w:rPr>
          <w:rFonts w:asciiTheme="minorBidi" w:hAnsiTheme="minorBidi"/>
          <w:sz w:val="24"/>
          <w:szCs w:val="24"/>
          <w:lang w:val="pt-PT"/>
        </w:rPr>
      </w:pPr>
      <w:r w:rsidRPr="00C32757">
        <w:rPr>
          <w:rFonts w:asciiTheme="minorBidi" w:hAnsiTheme="minorBidi"/>
          <w:sz w:val="24"/>
          <w:szCs w:val="24"/>
          <w:lang w:val="pt-PT"/>
        </w:rPr>
        <w:t>Asigurarea finanţării măsurilor aferente întregului program de măsuri pentru perioada 2016-2020 s-a realizat în principal din:</w:t>
      </w:r>
    </w:p>
    <w:p w14:paraId="3FA25CD7" w14:textId="77777777" w:rsidR="005E5343" w:rsidRPr="00C32757" w:rsidRDefault="005E5343" w:rsidP="005E5343">
      <w:pPr>
        <w:numPr>
          <w:ilvl w:val="0"/>
          <w:numId w:val="38"/>
        </w:numPr>
        <w:spacing w:after="0" w:line="240" w:lineRule="auto"/>
        <w:ind w:left="360" w:hanging="360"/>
        <w:jc w:val="both"/>
        <w:rPr>
          <w:rFonts w:asciiTheme="minorBidi" w:hAnsiTheme="minorBidi"/>
          <w:sz w:val="24"/>
          <w:szCs w:val="24"/>
          <w:lang w:val="pt-PT"/>
        </w:rPr>
      </w:pPr>
      <w:r w:rsidRPr="00C32757">
        <w:rPr>
          <w:rFonts w:asciiTheme="minorBidi" w:hAnsiTheme="minorBidi"/>
          <w:sz w:val="24"/>
          <w:szCs w:val="24"/>
          <w:lang w:val="pt-PT"/>
        </w:rPr>
        <w:t>68,39 % fonduri europene - Fonduri de Coeziune, Fondul Agricol European de Dezvoltare Rurală (FEADR), Fonduri Europene de Dezvoltare Regională (FEDR), Fondul European pentru Pescuit (FEP), Fonduri LIFE,  alte fonduri;</w:t>
      </w:r>
    </w:p>
    <w:p w14:paraId="52D084FD" w14:textId="77777777" w:rsidR="005E5343" w:rsidRPr="00C32757" w:rsidRDefault="005E5343" w:rsidP="005E5343">
      <w:pPr>
        <w:numPr>
          <w:ilvl w:val="0"/>
          <w:numId w:val="38"/>
        </w:numPr>
        <w:spacing w:after="0" w:line="240" w:lineRule="auto"/>
        <w:ind w:left="360" w:hanging="360"/>
        <w:jc w:val="both"/>
        <w:rPr>
          <w:rFonts w:asciiTheme="minorBidi" w:hAnsiTheme="minorBidi"/>
          <w:sz w:val="24"/>
          <w:szCs w:val="24"/>
          <w:lang w:val="pt-PT"/>
        </w:rPr>
      </w:pPr>
      <w:r w:rsidRPr="00C32757">
        <w:rPr>
          <w:rFonts w:asciiTheme="minorBidi" w:hAnsiTheme="minorBidi"/>
          <w:sz w:val="24"/>
          <w:szCs w:val="24"/>
          <w:lang w:val="pt-PT"/>
        </w:rPr>
        <w:t>18,06 % fonduri naționale guvernamentale şi locale (buget stat, local, redevențe din contribuții etc.);</w:t>
      </w:r>
    </w:p>
    <w:p w14:paraId="248AB26E" w14:textId="77777777" w:rsidR="005E5343" w:rsidRPr="00C32757" w:rsidRDefault="005E5343" w:rsidP="005E5343">
      <w:pPr>
        <w:numPr>
          <w:ilvl w:val="0"/>
          <w:numId w:val="38"/>
        </w:numPr>
        <w:spacing w:after="0" w:line="240" w:lineRule="auto"/>
        <w:ind w:left="360" w:hanging="360"/>
        <w:jc w:val="both"/>
        <w:rPr>
          <w:rFonts w:asciiTheme="minorBidi" w:hAnsiTheme="minorBidi"/>
          <w:sz w:val="24"/>
          <w:szCs w:val="24"/>
          <w:lang w:val="pt-PT"/>
        </w:rPr>
      </w:pPr>
      <w:r w:rsidRPr="00C32757">
        <w:rPr>
          <w:rFonts w:asciiTheme="minorBidi" w:hAnsiTheme="minorBidi"/>
          <w:sz w:val="24"/>
          <w:szCs w:val="24"/>
          <w:lang w:val="pt-PT"/>
        </w:rPr>
        <w:t>7,88 % surse proprii ale agentului economic;</w:t>
      </w:r>
    </w:p>
    <w:p w14:paraId="77EBFB9A" w14:textId="77777777" w:rsidR="005E5343" w:rsidRPr="00C32757" w:rsidRDefault="005E5343" w:rsidP="005E5343">
      <w:pPr>
        <w:numPr>
          <w:ilvl w:val="0"/>
          <w:numId w:val="38"/>
        </w:numPr>
        <w:spacing w:after="0" w:line="240" w:lineRule="auto"/>
        <w:ind w:left="360" w:hanging="360"/>
        <w:jc w:val="both"/>
        <w:rPr>
          <w:rFonts w:asciiTheme="minorBidi" w:hAnsiTheme="minorBidi"/>
          <w:sz w:val="24"/>
          <w:szCs w:val="24"/>
          <w:lang w:val="pt-PT"/>
        </w:rPr>
      </w:pPr>
      <w:r w:rsidRPr="00C32757">
        <w:rPr>
          <w:rFonts w:asciiTheme="minorBidi" w:hAnsiTheme="minorBidi"/>
          <w:sz w:val="24"/>
          <w:szCs w:val="24"/>
          <w:lang w:val="pt-PT"/>
        </w:rPr>
        <w:t>0,04 % parteneriat Public-Privat;</w:t>
      </w:r>
    </w:p>
    <w:p w14:paraId="33203463" w14:textId="77777777" w:rsidR="005E5343" w:rsidRPr="00C32757" w:rsidRDefault="005E5343" w:rsidP="005E5343">
      <w:pPr>
        <w:numPr>
          <w:ilvl w:val="0"/>
          <w:numId w:val="38"/>
        </w:numPr>
        <w:spacing w:after="0" w:line="240" w:lineRule="auto"/>
        <w:ind w:left="360" w:hanging="360"/>
        <w:jc w:val="both"/>
        <w:rPr>
          <w:rFonts w:asciiTheme="minorBidi" w:hAnsiTheme="minorBidi"/>
          <w:sz w:val="24"/>
          <w:szCs w:val="24"/>
          <w:lang w:val="pt-PT"/>
        </w:rPr>
      </w:pPr>
      <w:r w:rsidRPr="00C32757">
        <w:rPr>
          <w:rFonts w:asciiTheme="minorBidi" w:hAnsiTheme="minorBidi"/>
          <w:sz w:val="24"/>
          <w:szCs w:val="24"/>
          <w:lang w:val="pt-PT"/>
        </w:rPr>
        <w:t>5,07 % surse ale ANAR;</w:t>
      </w:r>
    </w:p>
    <w:p w14:paraId="7586941A" w14:textId="77777777" w:rsidR="005E5343" w:rsidRPr="00C32757" w:rsidRDefault="005E5343" w:rsidP="005E5343">
      <w:pPr>
        <w:numPr>
          <w:ilvl w:val="0"/>
          <w:numId w:val="38"/>
        </w:numPr>
        <w:spacing w:after="0" w:line="240" w:lineRule="auto"/>
        <w:ind w:left="360" w:hanging="360"/>
        <w:jc w:val="both"/>
        <w:rPr>
          <w:rFonts w:asciiTheme="minorBidi" w:hAnsiTheme="minorBidi"/>
          <w:sz w:val="24"/>
          <w:szCs w:val="24"/>
          <w:lang w:val="pt-PT"/>
        </w:rPr>
      </w:pPr>
      <w:r w:rsidRPr="00C32757">
        <w:rPr>
          <w:rFonts w:asciiTheme="minorBidi" w:hAnsiTheme="minorBidi"/>
          <w:sz w:val="24"/>
          <w:szCs w:val="24"/>
          <w:lang w:val="pt-PT"/>
        </w:rPr>
        <w:t>0,57 % alte surse.</w:t>
      </w:r>
    </w:p>
    <w:p w14:paraId="46EC96FE" w14:textId="77777777" w:rsidR="005E5343" w:rsidRPr="00C32757" w:rsidRDefault="005E5343" w:rsidP="005E5343">
      <w:pPr>
        <w:spacing w:before="120" w:after="120" w:line="240" w:lineRule="auto"/>
        <w:ind w:firstLine="720"/>
        <w:jc w:val="both"/>
        <w:rPr>
          <w:rFonts w:asciiTheme="minorBidi" w:hAnsiTheme="minorBidi"/>
          <w:sz w:val="24"/>
          <w:szCs w:val="24"/>
          <w:lang w:val="pt-PT"/>
        </w:rPr>
      </w:pPr>
      <w:r w:rsidRPr="00C32757">
        <w:rPr>
          <w:rFonts w:asciiTheme="minorBidi" w:hAnsiTheme="minorBidi"/>
          <w:sz w:val="24"/>
          <w:szCs w:val="24"/>
          <w:lang w:val="pt-PT"/>
        </w:rPr>
        <w:t>În ceea ce privește situația realizării programului de măsuri la sfârșitul anului 2021 (Figura II.2.3.10), comparativ cu cea planificată în Planurile de management actualizate ale bazinelor /spațiilor hidrografice, se observă că cele mai multe costuri revin implementării măsurilor de bază şi suplimentare pentru aglomerările umane (apă potabilă, apă uzată, nămoluri de la stații de epurare) și activitățile agro-zootehnice și industriale, precum și a altor măsuri de bază referitoare la reglementarea/autorizarea, controlul și monitorizarea surselor semnificative de poluare, precum și cele aferente alterărilor hidromorfologice.</w:t>
      </w:r>
    </w:p>
    <w:p w14:paraId="7D695753" w14:textId="77777777" w:rsidR="005E5343" w:rsidRPr="00C32757" w:rsidRDefault="005E5343" w:rsidP="005E5343">
      <w:pPr>
        <w:spacing w:before="120" w:after="120" w:line="240" w:lineRule="auto"/>
        <w:ind w:firstLine="720"/>
        <w:jc w:val="both"/>
        <w:rPr>
          <w:rFonts w:asciiTheme="minorBidi" w:hAnsiTheme="minorBidi"/>
          <w:sz w:val="24"/>
          <w:szCs w:val="24"/>
        </w:rPr>
      </w:pPr>
      <w:r w:rsidRPr="00C32757">
        <w:rPr>
          <w:rFonts w:asciiTheme="minorBidi" w:hAnsiTheme="minorBidi"/>
          <w:sz w:val="24"/>
          <w:szCs w:val="24"/>
        </w:rPr>
        <w:t>De asemenea, o serie de măsuri suplimentare planificate au fost realizate până în 2020 sau sunt în curs de implementare până la sfârșitul anului 2021, și anume:</w:t>
      </w:r>
    </w:p>
    <w:p w14:paraId="4D480F2D" w14:textId="77777777" w:rsidR="005E5343" w:rsidRPr="00C32757" w:rsidRDefault="005E5343" w:rsidP="005E5343">
      <w:pPr>
        <w:numPr>
          <w:ilvl w:val="0"/>
          <w:numId w:val="35"/>
        </w:numPr>
        <w:spacing w:before="120" w:after="120" w:line="240" w:lineRule="auto"/>
        <w:ind w:left="187" w:hanging="187"/>
        <w:jc w:val="both"/>
        <w:rPr>
          <w:rFonts w:asciiTheme="minorBidi" w:hAnsiTheme="minorBidi"/>
          <w:sz w:val="24"/>
          <w:szCs w:val="24"/>
        </w:rPr>
      </w:pPr>
      <w:r w:rsidRPr="00C32757">
        <w:rPr>
          <w:rFonts w:asciiTheme="minorBidi" w:hAnsiTheme="minorBidi"/>
          <w:sz w:val="24"/>
          <w:szCs w:val="24"/>
        </w:rPr>
        <w:t>măsuri constructive și tehnice aplicate aglomerărilor umane, unităților industriale și activităților agricole; de exemplu: asigurarea unor limite ale concentrațiilor de poluanți mai stringente decât cele prevăzute în legislația în vigoare, construirea platformelor comunale de depozitare și gospodărire a gunoiului de grajd sau aplicarea de măsuri peste cerințele directivelor europene în domeniul apelor (construirea de sisteme centralizate de colectare și epurare a apelor uzate în aglomerări umane mai mici de 2000 l.e.);</w:t>
      </w:r>
    </w:p>
    <w:p w14:paraId="607B0D48" w14:textId="77777777" w:rsidR="005E5343" w:rsidRPr="00C32757" w:rsidRDefault="005E5343" w:rsidP="005E5343">
      <w:pPr>
        <w:numPr>
          <w:ilvl w:val="0"/>
          <w:numId w:val="35"/>
        </w:numPr>
        <w:spacing w:before="120" w:after="120" w:line="240" w:lineRule="auto"/>
        <w:ind w:left="187" w:hanging="187"/>
        <w:jc w:val="both"/>
        <w:rPr>
          <w:rFonts w:asciiTheme="minorBidi" w:hAnsiTheme="minorBidi"/>
          <w:sz w:val="24"/>
          <w:szCs w:val="24"/>
        </w:rPr>
      </w:pPr>
      <w:r w:rsidRPr="00C32757">
        <w:rPr>
          <w:rFonts w:asciiTheme="minorBidi" w:hAnsiTheme="minorBidi"/>
          <w:sz w:val="24"/>
          <w:szCs w:val="24"/>
        </w:rPr>
        <w:t>măsuri tehnice pentru domeniul alterărilor hidromorfologice (ex. îndepărtarea obstacolelor pentru asigurarea conectivității longitudinale, restaurarea conectivității longitudinale și laterale a corpurilor de apă, reducerea eroziunii costiere);</w:t>
      </w:r>
    </w:p>
    <w:p w14:paraId="6BB97E7C" w14:textId="77777777" w:rsidR="005E5343" w:rsidRPr="00C32757" w:rsidRDefault="005E5343" w:rsidP="005E5343">
      <w:pPr>
        <w:spacing w:after="0" w:line="240" w:lineRule="auto"/>
        <w:jc w:val="center"/>
        <w:rPr>
          <w:rFonts w:asciiTheme="minorBidi" w:hAnsiTheme="minorBidi"/>
          <w:b/>
          <w:bCs/>
          <w:i/>
          <w:iCs/>
          <w:sz w:val="24"/>
          <w:szCs w:val="24"/>
        </w:rPr>
      </w:pPr>
    </w:p>
    <w:p w14:paraId="46365A80" w14:textId="77777777" w:rsidR="005E5343" w:rsidRPr="00C32757" w:rsidRDefault="005E5343" w:rsidP="005E5343">
      <w:pPr>
        <w:spacing w:after="0" w:line="240" w:lineRule="auto"/>
        <w:jc w:val="center"/>
        <w:rPr>
          <w:rFonts w:asciiTheme="minorBidi" w:hAnsiTheme="minorBidi"/>
          <w:b/>
          <w:bCs/>
          <w:i/>
          <w:iCs/>
          <w:sz w:val="24"/>
          <w:szCs w:val="24"/>
        </w:rPr>
      </w:pPr>
    </w:p>
    <w:p w14:paraId="2E3AB94B" w14:textId="77777777" w:rsidR="005E5343" w:rsidRPr="00C32757" w:rsidRDefault="005E5343" w:rsidP="005E5343">
      <w:pPr>
        <w:spacing w:after="0" w:line="240" w:lineRule="auto"/>
        <w:rPr>
          <w:rFonts w:asciiTheme="minorBidi" w:hAnsiTheme="minorBidi"/>
          <w:b/>
          <w:bCs/>
          <w:i/>
          <w:iCs/>
          <w:sz w:val="24"/>
          <w:szCs w:val="24"/>
        </w:rPr>
      </w:pPr>
      <w:r w:rsidRPr="00C32757">
        <w:rPr>
          <w:rFonts w:asciiTheme="minorBidi" w:hAnsiTheme="minorBidi"/>
          <w:b/>
          <w:i/>
          <w:sz w:val="24"/>
          <w:szCs w:val="24"/>
        </w:rPr>
        <w:t>Figura II.2.3.10</w:t>
      </w:r>
      <w:r>
        <w:rPr>
          <w:rFonts w:asciiTheme="minorBidi" w:hAnsiTheme="minorBidi"/>
          <w:b/>
          <w:i/>
          <w:sz w:val="24"/>
          <w:szCs w:val="24"/>
        </w:rPr>
        <w:t xml:space="preserve"> </w:t>
      </w:r>
      <w:r w:rsidRPr="00C32757">
        <w:rPr>
          <w:rFonts w:asciiTheme="minorBidi" w:hAnsiTheme="minorBidi"/>
          <w:b/>
          <w:bCs/>
          <w:i/>
          <w:iCs/>
          <w:sz w:val="24"/>
          <w:szCs w:val="24"/>
        </w:rPr>
        <w:t>Progrese înregistrate la nivel național în implementarea</w:t>
      </w:r>
      <w:r>
        <w:rPr>
          <w:rFonts w:asciiTheme="minorBidi" w:hAnsiTheme="minorBidi"/>
          <w:b/>
          <w:bCs/>
          <w:i/>
          <w:iCs/>
          <w:sz w:val="24"/>
          <w:szCs w:val="24"/>
        </w:rPr>
        <w:t xml:space="preserve"> </w:t>
      </w:r>
      <w:r w:rsidRPr="00C32757">
        <w:rPr>
          <w:rFonts w:asciiTheme="minorBidi" w:hAnsiTheme="minorBidi"/>
          <w:b/>
          <w:bCs/>
          <w:i/>
          <w:iCs/>
          <w:sz w:val="24"/>
          <w:szCs w:val="24"/>
        </w:rPr>
        <w:t>Programului de măsuri 2016-2021</w:t>
      </w:r>
    </w:p>
    <w:p w14:paraId="1DE32F17" w14:textId="77777777" w:rsidR="005E5343" w:rsidRPr="00C32757" w:rsidRDefault="005E5343" w:rsidP="005E5343">
      <w:pPr>
        <w:spacing w:after="0"/>
        <w:jc w:val="both"/>
        <w:rPr>
          <w:rFonts w:asciiTheme="minorBidi" w:hAnsiTheme="minorBidi"/>
          <w:sz w:val="24"/>
          <w:szCs w:val="24"/>
          <w:lang w:val="fr-BE"/>
        </w:rPr>
      </w:pPr>
      <w:r w:rsidRPr="00C32757">
        <w:rPr>
          <w:rFonts w:asciiTheme="minorBidi" w:hAnsiTheme="minorBidi"/>
          <w:noProof/>
          <w:sz w:val="24"/>
          <w:szCs w:val="24"/>
          <w:lang w:val="en-GB" w:eastAsia="en-GB"/>
        </w:rPr>
        <w:lastRenderedPageBreak/>
        <w:drawing>
          <wp:inline distT="0" distB="0" distL="0" distR="0" wp14:anchorId="77C0AFDC" wp14:editId="36277E2A">
            <wp:extent cx="5922010" cy="31121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22010" cy="3112135"/>
                    </a:xfrm>
                    <a:prstGeom prst="rect">
                      <a:avLst/>
                    </a:prstGeom>
                    <a:noFill/>
                  </pic:spPr>
                </pic:pic>
              </a:graphicData>
            </a:graphic>
          </wp:inline>
        </w:drawing>
      </w:r>
    </w:p>
    <w:p w14:paraId="2F924BB7" w14:textId="77777777" w:rsidR="005E5343" w:rsidRPr="007F7768" w:rsidRDefault="005E5343" w:rsidP="005E5343">
      <w:pPr>
        <w:spacing w:after="0" w:line="240" w:lineRule="auto"/>
        <w:jc w:val="both"/>
        <w:rPr>
          <w:rFonts w:asciiTheme="minorBidi" w:hAnsiTheme="minorBidi"/>
          <w:i/>
          <w:sz w:val="20"/>
          <w:szCs w:val="20"/>
        </w:rPr>
      </w:pPr>
      <w:r w:rsidRPr="007F7768">
        <w:rPr>
          <w:rFonts w:asciiTheme="minorBidi" w:hAnsiTheme="minorBidi"/>
          <w:i/>
          <w:sz w:val="20"/>
          <w:szCs w:val="20"/>
        </w:rPr>
        <w:t>(Sursa datelor: Administrația Națională „Apele Române”, Planul Național de Management actualizat)</w:t>
      </w:r>
    </w:p>
    <w:p w14:paraId="1A6F7477" w14:textId="77777777" w:rsidR="005E5343" w:rsidRPr="00C32757" w:rsidRDefault="005E5343" w:rsidP="005E5343">
      <w:pPr>
        <w:spacing w:before="120" w:after="120" w:line="240" w:lineRule="auto"/>
        <w:jc w:val="both"/>
        <w:rPr>
          <w:rFonts w:asciiTheme="minorBidi" w:hAnsiTheme="minorBidi"/>
          <w:i/>
          <w:sz w:val="24"/>
          <w:szCs w:val="24"/>
        </w:rPr>
      </w:pPr>
    </w:p>
    <w:p w14:paraId="40D3A98F" w14:textId="77777777" w:rsidR="005E5343" w:rsidRPr="00C32757" w:rsidRDefault="005E5343" w:rsidP="005E5343">
      <w:pPr>
        <w:numPr>
          <w:ilvl w:val="0"/>
          <w:numId w:val="35"/>
        </w:numPr>
        <w:spacing w:before="120" w:after="120" w:line="240" w:lineRule="auto"/>
        <w:ind w:left="187" w:hanging="187"/>
        <w:jc w:val="both"/>
        <w:rPr>
          <w:rFonts w:asciiTheme="minorBidi" w:hAnsiTheme="minorBidi"/>
          <w:sz w:val="24"/>
          <w:szCs w:val="24"/>
        </w:rPr>
      </w:pPr>
      <w:r w:rsidRPr="00C32757">
        <w:rPr>
          <w:rFonts w:asciiTheme="minorBidi" w:eastAsia="Times New Roman" w:hAnsiTheme="minorBidi"/>
          <w:sz w:val="24"/>
          <w:szCs w:val="24"/>
          <w:lang w:val="fr-BE"/>
        </w:rPr>
        <w:t xml:space="preserve">măsuri de ecocondiționalitate și agro-mediu din cadrul Programului Național de Dezvoltare Rurală, aplicarea </w:t>
      </w:r>
      <w:r w:rsidRPr="00C32757">
        <w:rPr>
          <w:rFonts w:asciiTheme="minorBidi" w:eastAsia="Times New Roman" w:hAnsiTheme="minorBidi"/>
          <w:i/>
          <w:sz w:val="24"/>
          <w:szCs w:val="24"/>
          <w:lang w:val="fr-BE"/>
        </w:rPr>
        <w:t>Codului de Bune Condiții Agricole și de Mediu</w:t>
      </w:r>
      <w:r w:rsidRPr="00C32757">
        <w:rPr>
          <w:rFonts w:asciiTheme="minorBidi" w:eastAsia="Times New Roman" w:hAnsiTheme="minorBidi"/>
          <w:sz w:val="24"/>
          <w:szCs w:val="24"/>
          <w:lang w:val="fr-BE"/>
        </w:rPr>
        <w:t xml:space="preserve">, aplicarea </w:t>
      </w:r>
      <w:r w:rsidRPr="00C32757">
        <w:rPr>
          <w:rFonts w:asciiTheme="minorBidi" w:eastAsia="Times New Roman" w:hAnsiTheme="minorBidi"/>
          <w:i/>
          <w:sz w:val="24"/>
          <w:szCs w:val="24"/>
          <w:lang w:val="fr-BE"/>
        </w:rPr>
        <w:t>Codului de Bune Practici în Ferme</w:t>
      </w:r>
      <w:r w:rsidRPr="00C32757">
        <w:rPr>
          <w:rFonts w:asciiTheme="minorBidi" w:eastAsia="Times New Roman" w:hAnsiTheme="minorBidi"/>
          <w:sz w:val="24"/>
          <w:szCs w:val="24"/>
          <w:lang w:val="fr-BE"/>
        </w:rPr>
        <w:t xml:space="preserve">, pentru respectarea unor standarde de management pe care trebuie să le urmeze sau să le atingă fermierii în scopul reducerii emisiilor de nutrienți; </w:t>
      </w:r>
      <w:r w:rsidRPr="00C32757">
        <w:rPr>
          <w:rFonts w:asciiTheme="minorBidi" w:hAnsiTheme="minorBidi"/>
          <w:sz w:val="24"/>
          <w:szCs w:val="24"/>
        </w:rPr>
        <w:t xml:space="preserve">studii de cercetare și proiecte menite să clarifice problemele și incertitudinile semnalate la elaborarea  </w:t>
      </w:r>
      <w:r w:rsidRPr="00C32757">
        <w:rPr>
          <w:rFonts w:asciiTheme="minorBidi" w:hAnsiTheme="minorBidi"/>
          <w:i/>
          <w:sz w:val="24"/>
          <w:szCs w:val="24"/>
        </w:rPr>
        <w:t>Planului de Management</w:t>
      </w:r>
      <w:r w:rsidRPr="00C32757">
        <w:rPr>
          <w:rFonts w:asciiTheme="minorBidi" w:hAnsiTheme="minorBidi"/>
          <w:sz w:val="24"/>
          <w:szCs w:val="24"/>
        </w:rPr>
        <w:t xml:space="preserve"> </w:t>
      </w:r>
      <w:r w:rsidRPr="00C32757">
        <w:rPr>
          <w:rFonts w:asciiTheme="minorBidi" w:hAnsiTheme="minorBidi"/>
          <w:i/>
          <w:sz w:val="24"/>
          <w:szCs w:val="24"/>
        </w:rPr>
        <w:t>aprobat prin HG nr. 859/2011</w:t>
      </w:r>
      <w:r w:rsidRPr="00C32757">
        <w:rPr>
          <w:rFonts w:asciiTheme="minorBidi" w:hAnsiTheme="minorBidi"/>
          <w:sz w:val="24"/>
          <w:szCs w:val="24"/>
        </w:rPr>
        <w:t>6 (debit ecologic, stare ecologică, monitorizarea suplimentară a substanțelor prioritare, monitoring investigativ pentru stabilirea fondului natural, etc.), măsuri în cadrul planurilor de management ale ariilor naturale protejate.</w:t>
      </w:r>
    </w:p>
    <w:p w14:paraId="131CB2DC" w14:textId="77777777" w:rsidR="005E5343" w:rsidRPr="00C32757" w:rsidRDefault="005E5343" w:rsidP="005E5343">
      <w:pPr>
        <w:spacing w:after="0" w:line="240" w:lineRule="auto"/>
        <w:ind w:firstLine="720"/>
        <w:jc w:val="both"/>
        <w:rPr>
          <w:rFonts w:asciiTheme="minorBidi" w:eastAsia="Times New Roman" w:hAnsiTheme="minorBidi"/>
          <w:sz w:val="24"/>
          <w:szCs w:val="24"/>
        </w:rPr>
      </w:pPr>
      <w:r w:rsidRPr="00C32757">
        <w:rPr>
          <w:rFonts w:asciiTheme="minorBidi" w:eastAsia="Times New Roman" w:hAnsiTheme="minorBidi"/>
          <w:sz w:val="24"/>
          <w:szCs w:val="24"/>
        </w:rPr>
        <w:t xml:space="preserve">Pe baza analizei progresului în implementarea măsurilor de bază și suplimentare comparativ cu situația planificată în </w:t>
      </w:r>
      <w:r w:rsidRPr="00C32757">
        <w:rPr>
          <w:rFonts w:asciiTheme="minorBidi" w:eastAsia="Times New Roman" w:hAnsiTheme="minorBidi"/>
          <w:i/>
          <w:sz w:val="24"/>
          <w:szCs w:val="24"/>
        </w:rPr>
        <w:t>Planul Național de Management</w:t>
      </w:r>
      <w:r w:rsidRPr="00C32757">
        <w:rPr>
          <w:rFonts w:asciiTheme="minorBidi" w:eastAsia="Times New Roman" w:hAnsiTheme="minorBidi"/>
          <w:sz w:val="24"/>
          <w:szCs w:val="24"/>
        </w:rPr>
        <w:t xml:space="preserve"> </w:t>
      </w:r>
      <w:r w:rsidRPr="00C32757">
        <w:rPr>
          <w:rFonts w:asciiTheme="minorBidi" w:eastAsia="Times New Roman" w:hAnsiTheme="minorBidi"/>
          <w:i/>
          <w:iCs/>
          <w:sz w:val="24"/>
          <w:szCs w:val="24"/>
        </w:rPr>
        <w:t>actualizat</w:t>
      </w:r>
      <w:r w:rsidRPr="00C32757">
        <w:rPr>
          <w:rFonts w:asciiTheme="minorBidi" w:eastAsia="Times New Roman" w:hAnsiTheme="minorBidi"/>
          <w:sz w:val="24"/>
          <w:szCs w:val="24"/>
        </w:rPr>
        <w:t xml:space="preserve">, </w:t>
      </w:r>
      <w:r w:rsidRPr="00C32757">
        <w:rPr>
          <w:rFonts w:asciiTheme="minorBidi" w:eastAsia="Times New Roman" w:hAnsiTheme="minorBidi"/>
          <w:i/>
          <w:sz w:val="24"/>
          <w:szCs w:val="24"/>
        </w:rPr>
        <w:t xml:space="preserve">aprobat prin HG nr. 859/2016 </w:t>
      </w:r>
      <w:r w:rsidRPr="00C32757">
        <w:rPr>
          <w:rFonts w:asciiTheme="minorBidi" w:eastAsia="Times New Roman" w:hAnsiTheme="minorBidi"/>
          <w:sz w:val="24"/>
          <w:szCs w:val="24"/>
        </w:rPr>
        <w:t>s-a constatat faptul că:</w:t>
      </w:r>
    </w:p>
    <w:p w14:paraId="4F066894" w14:textId="77777777" w:rsidR="005E5343" w:rsidRPr="00C32757" w:rsidRDefault="005E5343" w:rsidP="005E5343">
      <w:pPr>
        <w:numPr>
          <w:ilvl w:val="0"/>
          <w:numId w:val="37"/>
        </w:numPr>
        <w:spacing w:after="0" w:line="240" w:lineRule="auto"/>
        <w:ind w:left="360" w:firstLine="0"/>
        <w:contextualSpacing/>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44,31 % din măsurile planificate au fost implementate, din care:</w:t>
      </w:r>
    </w:p>
    <w:p w14:paraId="43E6DA9F" w14:textId="77777777" w:rsidR="005E5343" w:rsidRPr="00C32757" w:rsidRDefault="005E5343" w:rsidP="005E5343">
      <w:pPr>
        <w:numPr>
          <w:ilvl w:val="0"/>
          <w:numId w:val="36"/>
        </w:numPr>
        <w:tabs>
          <w:tab w:val="left" w:pos="1080"/>
        </w:tabs>
        <w:spacing w:after="0" w:line="240" w:lineRule="auto"/>
        <w:ind w:left="1080"/>
        <w:contextualSpacing/>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38,76 % dintre măsuri sunt identice cu cele planificate;</w:t>
      </w:r>
    </w:p>
    <w:p w14:paraId="0A5DCBF9" w14:textId="77777777" w:rsidR="005E5343" w:rsidRPr="00C32757" w:rsidRDefault="005E5343" w:rsidP="005E5343">
      <w:pPr>
        <w:numPr>
          <w:ilvl w:val="0"/>
          <w:numId w:val="36"/>
        </w:numPr>
        <w:tabs>
          <w:tab w:val="left" w:pos="1080"/>
        </w:tabs>
        <w:spacing w:after="0" w:line="240" w:lineRule="auto"/>
        <w:ind w:left="1080"/>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 xml:space="preserve">4,53 % dintre măsuri sunt măsuri noi, neprevăzute în </w:t>
      </w:r>
      <w:r w:rsidRPr="00C32757">
        <w:rPr>
          <w:rFonts w:asciiTheme="minorBidi" w:eastAsia="Times New Roman" w:hAnsiTheme="minorBidi"/>
          <w:i/>
          <w:sz w:val="24"/>
          <w:szCs w:val="24"/>
          <w:lang w:val="fr-BE"/>
        </w:rPr>
        <w:t>Planul Național de Management actualizat 2015, aprobat prin HG nr. 859/2016</w:t>
      </w:r>
      <w:r w:rsidRPr="00C32757">
        <w:rPr>
          <w:rFonts w:asciiTheme="minorBidi" w:eastAsia="Times New Roman" w:hAnsiTheme="minorBidi"/>
          <w:sz w:val="24"/>
          <w:szCs w:val="24"/>
          <w:lang w:val="fr-BE"/>
        </w:rPr>
        <w:t>;</w:t>
      </w:r>
    </w:p>
    <w:p w14:paraId="4B66CA80" w14:textId="77777777" w:rsidR="005E5343" w:rsidRPr="00C32757" w:rsidRDefault="005E5343" w:rsidP="005E5343">
      <w:pPr>
        <w:numPr>
          <w:ilvl w:val="0"/>
          <w:numId w:val="36"/>
        </w:numPr>
        <w:tabs>
          <w:tab w:val="left" w:pos="1080"/>
        </w:tabs>
        <w:spacing w:after="0" w:line="240" w:lineRule="auto"/>
        <w:ind w:left="1080"/>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1,02 % din măsuri au fost modificate având în vedere noi informații privind eficiența măsurii etc;</w:t>
      </w:r>
    </w:p>
    <w:p w14:paraId="41736F6F" w14:textId="77777777" w:rsidR="005E5343" w:rsidRPr="00C32757" w:rsidRDefault="005E5343" w:rsidP="005E5343">
      <w:pPr>
        <w:numPr>
          <w:ilvl w:val="0"/>
          <w:numId w:val="37"/>
        </w:numPr>
        <w:spacing w:after="0" w:line="240" w:lineRule="auto"/>
        <w:ind w:left="360" w:firstLine="0"/>
        <w:contextualSpacing/>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55,69 % din măsurile planificate nu au fost implementate, din care:</w:t>
      </w:r>
    </w:p>
    <w:p w14:paraId="0486D47D" w14:textId="77777777" w:rsidR="005E5343" w:rsidRPr="00C32757" w:rsidRDefault="005E5343" w:rsidP="005E5343">
      <w:pPr>
        <w:numPr>
          <w:ilvl w:val="0"/>
          <w:numId w:val="36"/>
        </w:numPr>
        <w:tabs>
          <w:tab w:val="left" w:pos="1080"/>
        </w:tabs>
        <w:spacing w:after="0" w:line="240" w:lineRule="auto"/>
        <w:ind w:left="1080"/>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15,00 % nu au fost realiate din diferite motive;</w:t>
      </w:r>
    </w:p>
    <w:p w14:paraId="439266BF" w14:textId="77777777" w:rsidR="005E5343" w:rsidRPr="00C32757" w:rsidRDefault="005E5343" w:rsidP="005E5343">
      <w:pPr>
        <w:numPr>
          <w:ilvl w:val="0"/>
          <w:numId w:val="36"/>
        </w:numPr>
        <w:tabs>
          <w:tab w:val="left" w:pos="1080"/>
        </w:tabs>
        <w:spacing w:after="0" w:line="240" w:lineRule="auto"/>
        <w:ind w:left="1080"/>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4,43 % din măsuri nu au mai fost necesare datorită fie reducerii din diverse cauze obiective a poluării produse de presiunile semnificative (unele măsuri au fost abandonate, nemaifiind necesare, după reevaluarea situaţiei din unităţile economice (unităţi închise, în conservare) și atingerea obiectivelor de mediu ale corpurilor de apă, fie alte măsuri implementate în paralel pe același corp de apă au condus deja la atingerea obiectivelor de mediu;</w:t>
      </w:r>
    </w:p>
    <w:p w14:paraId="627C9516" w14:textId="77777777" w:rsidR="005E5343" w:rsidRPr="00C32757" w:rsidRDefault="005E5343" w:rsidP="005E5343">
      <w:pPr>
        <w:numPr>
          <w:ilvl w:val="0"/>
          <w:numId w:val="36"/>
        </w:numPr>
        <w:tabs>
          <w:tab w:val="left" w:pos="1080"/>
        </w:tabs>
        <w:spacing w:after="0" w:line="240" w:lineRule="auto"/>
        <w:ind w:left="1080"/>
        <w:jc w:val="both"/>
        <w:rPr>
          <w:rFonts w:asciiTheme="minorBidi" w:eastAsia="Times New Roman" w:hAnsiTheme="minorBidi"/>
          <w:sz w:val="24"/>
          <w:szCs w:val="24"/>
          <w:lang w:val="fr-BE"/>
        </w:rPr>
      </w:pPr>
      <w:r w:rsidRPr="00C32757">
        <w:rPr>
          <w:rFonts w:asciiTheme="minorBidi" w:eastAsia="Times New Roman" w:hAnsiTheme="minorBidi"/>
          <w:sz w:val="24"/>
          <w:szCs w:val="24"/>
          <w:lang w:val="fr-BE"/>
        </w:rPr>
        <w:t>36,26 % din măsuri au fost transferate pentru implementare în al doilea ciclu de planificare.</w:t>
      </w:r>
    </w:p>
    <w:p w14:paraId="607055D1" w14:textId="77777777" w:rsidR="005E5343" w:rsidRPr="00C32757" w:rsidRDefault="005E5343" w:rsidP="005E5343">
      <w:pPr>
        <w:spacing w:before="120" w:after="120" w:line="240" w:lineRule="auto"/>
        <w:ind w:firstLine="720"/>
        <w:jc w:val="both"/>
        <w:rPr>
          <w:rFonts w:asciiTheme="minorBidi" w:hAnsiTheme="minorBidi"/>
          <w:sz w:val="24"/>
          <w:szCs w:val="24"/>
        </w:rPr>
      </w:pPr>
      <w:r w:rsidRPr="00C32757">
        <w:rPr>
          <w:rFonts w:asciiTheme="minorBidi" w:hAnsiTheme="minorBidi"/>
          <w:sz w:val="24"/>
          <w:szCs w:val="24"/>
        </w:rPr>
        <w:t xml:space="preserve">În urma evaluării situaţiei împreună cu utilizatorii de apă şi autorităţile care implementează programul de măsuri în perioada 2016-2021, s-a constatat că, în unele cazuri, există probleme în ceea ce priveşte realizarea măsurilor la termenele stabilite, dintre care cele mai des întâlnite sunt următoarele: </w:t>
      </w:r>
    </w:p>
    <w:p w14:paraId="5099112F"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lastRenderedPageBreak/>
        <w:t>•</w:t>
      </w:r>
      <w:r w:rsidRPr="00C32757">
        <w:rPr>
          <w:rFonts w:asciiTheme="minorBidi" w:hAnsiTheme="minorBidi"/>
          <w:sz w:val="24"/>
          <w:szCs w:val="24"/>
        </w:rPr>
        <w:tab/>
        <w:t xml:space="preserve">capacitatea tehnică și instituțională insuficientă a autorităților pentru implementarea mecanismelor necesare realizării măsurilor; </w:t>
      </w:r>
    </w:p>
    <w:p w14:paraId="1B35253F"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alocarea cu întârziere a fondurilor necesare din cauza derulării cu întârziere a procedurilor de achiziții;</w:t>
      </w:r>
    </w:p>
    <w:p w14:paraId="60E2AE50"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proceduri anevoioase de promovare a finanţării care conduc la depăşirea termenelor prevăzute pentru demararea proiectelor;</w:t>
      </w:r>
    </w:p>
    <w:p w14:paraId="73461764"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alocarea de fonduri insuficiente de la bugetul de stat și local pentru măsurile ce trebuiau realizate în al doilea ciclu de planificare, având în vedere contextul economic european și mondial;</w:t>
      </w:r>
    </w:p>
    <w:p w14:paraId="62FC397B"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dificultății în realizarea tehnică a lucrărilor de execuție de către contractanți (diminuarea potențialului pieței muncii în sectorul construcțiilor);</w:t>
      </w:r>
    </w:p>
    <w:p w14:paraId="01362217" w14:textId="77777777" w:rsidR="005E5343" w:rsidRPr="00C32757" w:rsidRDefault="005E5343" w:rsidP="005E5343">
      <w:pPr>
        <w:spacing w:after="0" w:line="240" w:lineRule="auto"/>
        <w:ind w:left="360" w:hanging="360"/>
        <w:jc w:val="both"/>
        <w:rPr>
          <w:rFonts w:asciiTheme="minorBidi" w:hAnsiTheme="minorBidi"/>
          <w:sz w:val="24"/>
          <w:szCs w:val="24"/>
        </w:rPr>
      </w:pPr>
      <w:r w:rsidRPr="00C32757">
        <w:rPr>
          <w:rFonts w:asciiTheme="minorBidi" w:hAnsiTheme="minorBidi"/>
          <w:sz w:val="24"/>
          <w:szCs w:val="24"/>
        </w:rPr>
        <w:t>•</w:t>
      </w:r>
      <w:r w:rsidRPr="00C32757">
        <w:rPr>
          <w:rFonts w:asciiTheme="minorBidi" w:hAnsiTheme="minorBidi"/>
          <w:sz w:val="24"/>
          <w:szCs w:val="24"/>
        </w:rPr>
        <w:tab/>
        <w:t>întârzieri în implementarea măsurilor din cauza problemelor legate de regimul juridic al terenurilor pe care se execută lucrările, etc.</w:t>
      </w:r>
    </w:p>
    <w:p w14:paraId="14C6903E" w14:textId="77777777" w:rsidR="005E5343" w:rsidRPr="00C32757" w:rsidRDefault="005E5343" w:rsidP="005E5343">
      <w:pPr>
        <w:spacing w:before="120" w:after="120" w:line="240" w:lineRule="auto"/>
        <w:ind w:firstLine="720"/>
        <w:jc w:val="both"/>
        <w:rPr>
          <w:rFonts w:asciiTheme="minorBidi" w:hAnsiTheme="minorBidi"/>
          <w:sz w:val="24"/>
          <w:szCs w:val="24"/>
        </w:rPr>
      </w:pPr>
      <w:r w:rsidRPr="00C32757">
        <w:rPr>
          <w:rFonts w:asciiTheme="minorBidi" w:hAnsiTheme="minorBidi"/>
          <w:sz w:val="24"/>
          <w:szCs w:val="24"/>
        </w:rPr>
        <w:t>În concluzie, principalele cauze care contribuie la nedemararea sau desfășurarea cu întârziere a anumitor măsuri de bază și suplimentare sunt atribuite în principal alocării cu întârziere a fondurilor necesare de la bugetul de stat sau insuficiența fondurilor de la bugetul local, dar și surselor limitate de finanțare europeană destinate implementării măsurilor specifice Directivei Cadru Apă.</w:t>
      </w:r>
    </w:p>
    <w:p w14:paraId="209863BB" w14:textId="77777777" w:rsidR="005E5343" w:rsidRPr="00C32757" w:rsidRDefault="005E5343" w:rsidP="005E5343">
      <w:pPr>
        <w:spacing w:before="120" w:after="120" w:line="240" w:lineRule="auto"/>
        <w:ind w:firstLine="630"/>
        <w:jc w:val="both"/>
        <w:rPr>
          <w:rFonts w:asciiTheme="minorBidi" w:hAnsiTheme="minorBidi"/>
          <w:sz w:val="24"/>
          <w:szCs w:val="24"/>
        </w:rPr>
      </w:pPr>
      <w:r w:rsidRPr="00C32757">
        <w:rPr>
          <w:rFonts w:asciiTheme="minorBidi" w:hAnsiTheme="minorBidi"/>
          <w:sz w:val="24"/>
          <w:szCs w:val="24"/>
        </w:rPr>
        <w:t>Administrația Națională „Apele Române”, autoritatea competentă în domeniul managementul resurselor de apă, monitorizează în continuare stadiul implementării programului de măsuri, conform cerințelor Directivei Cadru Apă, și intervine, în măsura responsabilităților, pentru conștientizarea / impulsionarea utilizatorilor de apă în vederea realizării măsurilor planificate în cadrul Planurilor de Management actualizate ale bazinelor/spaţiilor hidrografice.</w:t>
      </w:r>
    </w:p>
    <w:p w14:paraId="6EF41304" w14:textId="77777777" w:rsidR="005E5343" w:rsidRDefault="005E5343" w:rsidP="00DC0E7E">
      <w:pPr>
        <w:rPr>
          <w:rFonts w:asciiTheme="minorBidi" w:hAnsiTheme="minorBidi"/>
          <w:b/>
          <w:color w:val="FF0000"/>
          <w:sz w:val="24"/>
          <w:szCs w:val="24"/>
          <w:u w:val="single"/>
        </w:rPr>
      </w:pPr>
    </w:p>
    <w:p w14:paraId="2046A901" w14:textId="51CE4F9F" w:rsidR="00F45A96" w:rsidRDefault="00F45A96" w:rsidP="00DC0E7E">
      <w:pPr>
        <w:rPr>
          <w:rFonts w:asciiTheme="minorBidi" w:hAnsiTheme="minorBidi"/>
          <w:b/>
          <w:color w:val="FF0000"/>
          <w:sz w:val="24"/>
          <w:szCs w:val="24"/>
          <w:u w:val="single"/>
        </w:rPr>
      </w:pPr>
    </w:p>
    <w:p w14:paraId="72D172CE" w14:textId="682E4630" w:rsidR="00F45A96" w:rsidRDefault="00F45A96" w:rsidP="00DC0E7E">
      <w:pPr>
        <w:rPr>
          <w:rFonts w:asciiTheme="minorBidi" w:hAnsiTheme="minorBidi"/>
          <w:b/>
          <w:color w:val="FF0000"/>
          <w:sz w:val="24"/>
          <w:szCs w:val="24"/>
          <w:u w:val="single"/>
        </w:rPr>
      </w:pPr>
    </w:p>
    <w:p w14:paraId="36CD1E36" w14:textId="77777777" w:rsidR="00F45A96" w:rsidRDefault="00F45A96" w:rsidP="00F45A96">
      <w:pPr>
        <w:pStyle w:val="Listparagraf1"/>
        <w:spacing w:after="0"/>
        <w:ind w:left="0"/>
        <w:jc w:val="both"/>
        <w:rPr>
          <w:rFonts w:ascii="Arial" w:hAnsi="Arial" w:cs="Arial"/>
          <w:b/>
          <w:sz w:val="24"/>
          <w:szCs w:val="24"/>
          <w:lang w:val="ro-RO"/>
        </w:rPr>
      </w:pPr>
      <w:r>
        <w:rPr>
          <w:rFonts w:ascii="Arial" w:hAnsi="Arial" w:cs="Arial"/>
          <w:b/>
          <w:sz w:val="24"/>
          <w:szCs w:val="24"/>
          <w:lang w:val="ro-RO"/>
        </w:rPr>
        <w:t>II.2.4 Politici, acțiuni și măsuri pentru îmbunătățirea stării de calitate a apelor</w:t>
      </w:r>
    </w:p>
    <w:p w14:paraId="760CCA7E" w14:textId="77777777" w:rsidR="00F45A96" w:rsidRDefault="00F45A96" w:rsidP="00F45A96">
      <w:pPr>
        <w:pStyle w:val="Listparagraf1"/>
        <w:spacing w:after="0"/>
        <w:ind w:left="1428"/>
        <w:jc w:val="both"/>
        <w:rPr>
          <w:rFonts w:ascii="Arial" w:hAnsi="Arial" w:cs="Arial"/>
          <w:b/>
          <w:sz w:val="24"/>
          <w:szCs w:val="24"/>
        </w:rPr>
      </w:pPr>
    </w:p>
    <w:p w14:paraId="63C12B8C"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14:paraId="04B089BB"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14:paraId="03A085AE"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În ultima perioadă, Uniunea Europeană a adoptat o serie de strategii care stau la baza fundamentării activităților economice europene pentru viitor având în vedere și protecția mediului. </w:t>
      </w:r>
      <w:r>
        <w:rPr>
          <w:rFonts w:ascii="Arial" w:hAnsi="Arial" w:cs="Arial"/>
          <w:b/>
          <w:bCs/>
          <w:sz w:val="24"/>
          <w:szCs w:val="24"/>
        </w:rPr>
        <w:t xml:space="preserve">Pactul ecologic European </w:t>
      </w:r>
      <w:r>
        <w:rPr>
          <w:rFonts w:ascii="Arial" w:hAnsi="Arial" w:cs="Arial"/>
          <w:sz w:val="24"/>
          <w:szCs w:val="24"/>
        </w:rPr>
        <w:t>(Green Deal)</w:t>
      </w:r>
      <w:r>
        <w:rPr>
          <w:rStyle w:val="FootnoteReference"/>
          <w:rFonts w:ascii="Arial" w:hAnsi="Arial" w:cs="Arial"/>
          <w:sz w:val="24"/>
          <w:szCs w:val="24"/>
        </w:rPr>
        <w:footnoteReference w:id="1"/>
      </w:r>
      <w:r>
        <w:rPr>
          <w:rFonts w:ascii="Arial" w:hAnsi="Arial" w:cs="Arial"/>
          <w:sz w:val="24"/>
          <w:szCs w:val="24"/>
        </w:rPr>
        <w:t xml:space="preserve">  are ca scop  principal  să  facă Uniunea Europeană neutră din punct de vedere climatic până în 2050, prin stabilirea </w:t>
      </w:r>
      <w:r>
        <w:rPr>
          <w:rFonts w:ascii="Arial" w:hAnsi="Arial" w:cs="Arial"/>
          <w:sz w:val="24"/>
          <w:szCs w:val="24"/>
        </w:rPr>
        <w:lastRenderedPageBreak/>
        <w:t>unor ținte specifice și a unor politici în domeniu. Pactul urmărește, de asemenea, să protejeze, să conserve și să consolideze capitalul natural al UE, precum și să protejeze sănătatea și bunăstarea cetățenilor împotriva riscurilor legate de mediu și a impacturilor aferente. Astfel, fiecare stat membru UE va avea în vedere să implementeze noile prevederi ale Pactului Ecologic  European, respectiv ale planurilor de acține specifice fiecărui domeniu.</w:t>
      </w:r>
    </w:p>
    <w:p w14:paraId="40352746"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b/>
          <w:bCs/>
          <w:sz w:val="24"/>
          <w:szCs w:val="24"/>
        </w:rPr>
        <w:t>Planului de acțiune „Către poluarea zero a aerului, apei și solului”</w:t>
      </w:r>
      <w:r>
        <w:rPr>
          <w:rStyle w:val="FootnoteReference"/>
          <w:rFonts w:ascii="Arial" w:hAnsi="Arial" w:cs="Arial"/>
          <w:b/>
          <w:bCs/>
          <w:sz w:val="24"/>
          <w:szCs w:val="24"/>
        </w:rPr>
        <w:footnoteReference w:id="2"/>
      </w:r>
      <w:r>
        <w:rPr>
          <w:rFonts w:ascii="Arial" w:hAnsi="Arial" w:cs="Arial"/>
          <w:b/>
          <w:bCs/>
          <w:sz w:val="24"/>
          <w:szCs w:val="24"/>
        </w:rPr>
        <w:t xml:space="preserve"> </w:t>
      </w:r>
      <w:r>
        <w:rPr>
          <w:rFonts w:ascii="Arial" w:hAnsi="Arial" w:cs="Arial"/>
          <w:sz w:val="24"/>
          <w:szCs w:val="24"/>
        </w:rPr>
        <w:t>are ca obiectiv principal oferirea unei orientări pentru includerea prevenirii poluării în toate politicile relevante ale UE, maximizarea sinergiilor într-un mod eficient și proporțional, intensificarea punerii în aplicare și identificarea posibilelor lipsurilor sau compromisuri. Planul stabilește obiective cheie pentru anul 2030 de reducere a poluării la sursă, în comparație cu situația actuală, la niveluri care nu mai sunt considerate dăunătoare sănătății și ecosistemelor naturale și care respectă limitele cu care planeta noastră poate face față, creând astfel un mediu fără toxicitate. Conform legislației UE, țintele Green Deal și în sinergie cu alte inițiative, până în anul 2030, se referă la îmbunătățirea calității apei prin reducerea cu 50 % a pierderilor de nutrienți, cu 50 % a plasticelor eliberate în mare și cu 30 % a microplastice eliberate în mediu, precum și cu 50 % a deșeurilor municipale. Reutilizarea nămolului este adecvată pentru a contribui la realizarea obiectivelor de mediu ale corpurilor de apă prin reducerea poluării</w:t>
      </w:r>
      <w:r>
        <w:rPr>
          <w:rFonts w:ascii="Arial" w:hAnsi="Arial" w:cs="Arial"/>
          <w:sz w:val="24"/>
          <w:szCs w:val="24"/>
          <w:vertAlign w:val="superscript"/>
        </w:rPr>
        <w:footnoteReference w:id="3"/>
      </w:r>
      <w:r>
        <w:rPr>
          <w:rFonts w:ascii="Arial" w:hAnsi="Arial" w:cs="Arial"/>
          <w:sz w:val="24"/>
          <w:szCs w:val="24"/>
        </w:rPr>
        <w:t>, în special cu contaminanți, economia circulară (valorificare), eficiența resurselor (recuperare fosfor)</w:t>
      </w:r>
      <w:r>
        <w:rPr>
          <w:rStyle w:val="FootnoteReference"/>
          <w:rFonts w:ascii="Arial" w:hAnsi="Arial" w:cs="Arial"/>
          <w:sz w:val="24"/>
          <w:szCs w:val="24"/>
        </w:rPr>
        <w:footnoteReference w:id="4"/>
      </w:r>
      <w:r>
        <w:rPr>
          <w:rFonts w:ascii="Arial" w:hAnsi="Arial" w:cs="Arial"/>
          <w:sz w:val="24"/>
          <w:szCs w:val="24"/>
        </w:rPr>
        <w:t xml:space="preserve">, producția durabilă de alimente  (utilizare în agricultură) și reducerea emisiilor de GES. </w:t>
      </w:r>
    </w:p>
    <w:p w14:paraId="523071B5"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În cadrul Pactului Ecologic European este promovat conceptul de „înverzirea politicii agricole commune” și se propune elaborarea </w:t>
      </w:r>
      <w:r>
        <w:rPr>
          <w:rFonts w:ascii="Arial" w:hAnsi="Arial" w:cs="Arial"/>
          <w:b/>
          <w:bCs/>
          <w:sz w:val="24"/>
          <w:szCs w:val="24"/>
        </w:rPr>
        <w:t>Strategiei „De la fermă la consumator”</w:t>
      </w:r>
      <w:r>
        <w:rPr>
          <w:rStyle w:val="FootnoteReference"/>
          <w:rFonts w:ascii="Arial" w:hAnsi="Arial" w:cs="Arial"/>
          <w:b/>
          <w:bCs/>
          <w:sz w:val="24"/>
          <w:szCs w:val="24"/>
        </w:rPr>
        <w:footnoteReference w:id="5"/>
      </w:r>
      <w:r>
        <w:rPr>
          <w:rFonts w:ascii="Arial" w:hAnsi="Arial" w:cs="Arial"/>
          <w:sz w:val="24"/>
          <w:szCs w:val="24"/>
        </w:rPr>
        <w:t xml:space="preserve"> care va consolida eforturile depuse de fermierii și pescarii europeni în vederea combaterii schimbărilor climatice, a protejării mediului și a conservării biodiversității. Planurile strategice naționale trebuie să fie elaborate în corelare cu obiectivele ambițioase ale Pactului ecologic european și ale strategiei „De la fermă la consumator”.</w:t>
      </w:r>
    </w:p>
    <w:p w14:paraId="27871F52"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De asemenea, la nivelul UE Comisia a aprobat în februarie 2021 </w:t>
      </w:r>
      <w:r>
        <w:rPr>
          <w:rFonts w:ascii="Arial" w:hAnsi="Arial" w:cs="Arial"/>
          <w:b/>
          <w:bCs/>
          <w:sz w:val="24"/>
          <w:szCs w:val="24"/>
        </w:rPr>
        <w:t>o nouă strategie privind adaptarea la schimbările climatice</w:t>
      </w:r>
      <w:r>
        <w:rPr>
          <w:rStyle w:val="FootnoteReference"/>
          <w:rFonts w:ascii="Arial" w:hAnsi="Arial" w:cs="Arial"/>
          <w:b/>
          <w:bCs/>
          <w:sz w:val="24"/>
          <w:szCs w:val="24"/>
        </w:rPr>
        <w:footnoteReference w:id="6"/>
      </w:r>
      <w:r>
        <w:rPr>
          <w:rFonts w:ascii="Arial" w:hAnsi="Arial" w:cs="Arial"/>
          <w:b/>
          <w:bCs/>
          <w:sz w:val="24"/>
          <w:szCs w:val="24"/>
        </w:rPr>
        <w:t xml:space="preserve"> </w:t>
      </w:r>
      <w:r>
        <w:rPr>
          <w:rFonts w:ascii="Arial" w:hAnsi="Arial" w:cs="Arial"/>
          <w:sz w:val="24"/>
          <w:szCs w:val="24"/>
        </w:rPr>
        <w:t xml:space="preserve"> care prezintă o viziune pe termen lung pentru ca UE să devină o societate rezilientă la schimbările climatice și pe deplin adaptată la efectele inevitabile ale schimbărilor climatice până în 2050. Activitatea privind adaptarea la schimbările climatice va continua să influențeze investițiile publice și private, inclusiv în ceea ce privește soluțiile inspirate de natură.</w:t>
      </w:r>
    </w:p>
    <w:p w14:paraId="05C95C38"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Prin aplicarea stargeiilor și planurilor de acțiune se așteaptă ca funcțiile naturale ale apelor subterane și de suprafață trebuie restabilite, fiind esențial pentru conservarea și </w:t>
      </w:r>
      <w:r>
        <w:rPr>
          <w:rFonts w:ascii="Arial" w:hAnsi="Arial" w:cs="Arial"/>
          <w:sz w:val="24"/>
          <w:szCs w:val="24"/>
        </w:rPr>
        <w:lastRenderedPageBreak/>
        <w:t>refacerea biodiversității în lacuri, râuri, zonele umede și în apele costiere și marine, precum și pentru prevenirea și limitarea pagubelor provocate de inundații.</w:t>
      </w:r>
    </w:p>
    <w:p w14:paraId="18E37224"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În acest context, Comisia a realizat un </w:t>
      </w:r>
      <w:r>
        <w:rPr>
          <w:rFonts w:ascii="Arial" w:hAnsi="Arial" w:cs="Arial"/>
          <w:b/>
          <w:bCs/>
          <w:sz w:val="24"/>
          <w:szCs w:val="24"/>
        </w:rPr>
        <w:t>Plan de investiții pentru o Europă durabilă</w:t>
      </w:r>
      <w:r>
        <w:rPr>
          <w:rStyle w:val="FootnoteReference"/>
          <w:rFonts w:ascii="Arial" w:hAnsi="Arial" w:cs="Arial"/>
          <w:b/>
          <w:bCs/>
          <w:sz w:val="24"/>
          <w:szCs w:val="24"/>
        </w:rPr>
        <w:footnoteReference w:id="7"/>
      </w:r>
      <w:r>
        <w:rPr>
          <w:rFonts w:ascii="Arial" w:hAnsi="Arial" w:cs="Arial"/>
          <w:b/>
          <w:bCs/>
          <w:sz w:val="24"/>
          <w:szCs w:val="24"/>
        </w:rPr>
        <w:t xml:space="preserve"> </w:t>
      </w:r>
      <w:r>
        <w:rPr>
          <w:rFonts w:ascii="Arial" w:hAnsi="Arial" w:cs="Arial"/>
          <w:sz w:val="24"/>
          <w:szCs w:val="24"/>
        </w:rPr>
        <w:t>în vederea sprijinirii investițiilor durabile cu favorizarea investițiilor ecologice. Comisia a propus un obiectiv de 2% pentru integrarea aspectelor legate de schimbările climatice în toate programele UE. În propunerile Comisiei privind Politica Agricolă Comună (PAC) pentru perioada 2021-2027 se prevede că cel puțin 40 % din bugetul total al PAC și cel puțin 30 % din Fondul pentru pescuit și afaceri maritime ar trebui să contribuie la combaterea schimbărilor climatice.</w:t>
      </w:r>
    </w:p>
    <w:p w14:paraId="689E7F7B"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Acest cadru European ambițios va influența realizarea și atingerea obiectivelor în cadrul Planurilor de management actualizate ale bazinelor/spațiilor hidrografice (perioada 2022-2027).</w:t>
      </w:r>
    </w:p>
    <w:p w14:paraId="238D7890"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14:paraId="0556EEDA" w14:textId="77777777" w:rsidR="00F45A96" w:rsidRDefault="00F45A96" w:rsidP="00F45A96">
      <w:pPr>
        <w:ind w:right="-42" w:firstLine="720"/>
        <w:jc w:val="both"/>
        <w:rPr>
          <w:rFonts w:ascii="Arial" w:hAnsi="Arial" w:cs="Arial"/>
          <w:sz w:val="24"/>
          <w:szCs w:val="24"/>
          <w:lang w:val="fr-BE"/>
        </w:rPr>
      </w:pPr>
      <w:r>
        <w:rPr>
          <w:rFonts w:ascii="Arial" w:hAnsi="Arial" w:cs="Arial"/>
          <w:sz w:val="24"/>
          <w:szCs w:val="24"/>
        </w:rPr>
        <w:t xml:space="preserve">Conform art. 13 al Directivei Cadru Apă, Statele Membre trebuie să realizeze un </w:t>
      </w:r>
      <w:r>
        <w:rPr>
          <w:rFonts w:ascii="Arial" w:hAnsi="Arial" w:cs="Arial"/>
          <w:i/>
          <w:sz w:val="24"/>
          <w:szCs w:val="24"/>
        </w:rPr>
        <w:t>Plan de Management pentru fiecare district hidrografic</w:t>
      </w:r>
      <w:r>
        <w:rPr>
          <w:rFonts w:ascii="Arial" w:hAnsi="Arial" w:cs="Arial"/>
          <w:sz w:val="24"/>
          <w:szCs w:val="24"/>
        </w:rPr>
        <w:t xml:space="preserve">, iar dacă sunt localizate într-un district internaţional, trebuie să asigure coordonarea pentru producerea unui singur </w:t>
      </w:r>
      <w:r>
        <w:rPr>
          <w:rFonts w:ascii="Arial" w:hAnsi="Arial" w:cs="Arial"/>
          <w:i/>
          <w:sz w:val="24"/>
          <w:szCs w:val="24"/>
        </w:rPr>
        <w:t>Plan de Management</w:t>
      </w:r>
      <w:r>
        <w:rPr>
          <w:rFonts w:ascii="Arial" w:hAnsi="Arial" w:cs="Arial"/>
          <w:sz w:val="24"/>
          <w:szCs w:val="24"/>
        </w:rPr>
        <w:t>. România, fiind localizată în bazinul Dunării (</w:t>
      </w:r>
      <w:r>
        <w:rPr>
          <w:rFonts w:ascii="Arial" w:hAnsi="Arial" w:cs="Arial"/>
          <w:i/>
          <w:sz w:val="24"/>
          <w:szCs w:val="24"/>
        </w:rPr>
        <w:t>Figura II. 2.4.1</w:t>
      </w:r>
      <w:r>
        <w:rPr>
          <w:rFonts w:ascii="Arial" w:hAnsi="Arial" w:cs="Arial"/>
          <w:sz w:val="24"/>
          <w:szCs w:val="24"/>
        </w:rPr>
        <w:t xml:space="preserve">), similar ciclurilor de planificare anterioare, contribuie la elaborarea </w:t>
      </w:r>
      <w:r>
        <w:rPr>
          <w:rFonts w:ascii="Arial" w:hAnsi="Arial" w:cs="Arial"/>
          <w:i/>
          <w:sz w:val="24"/>
          <w:szCs w:val="24"/>
        </w:rPr>
        <w:t>Planului de Management al Districtului Hidrografic al Fluviului Dunărea</w:t>
      </w:r>
      <w:r>
        <w:rPr>
          <w:rFonts w:ascii="Arial" w:hAnsi="Arial" w:cs="Arial"/>
          <w:b/>
          <w:sz w:val="24"/>
          <w:szCs w:val="24"/>
        </w:rPr>
        <w:t xml:space="preserve"> </w:t>
      </w:r>
      <w:r>
        <w:rPr>
          <w:rFonts w:ascii="Arial" w:hAnsi="Arial" w:cs="Arial"/>
          <w:sz w:val="24"/>
          <w:szCs w:val="24"/>
        </w:rPr>
        <w:t>– actualizarea 2021</w:t>
      </w:r>
      <w:r>
        <w:rPr>
          <w:rFonts w:ascii="Arial" w:hAnsi="Arial" w:cs="Arial"/>
          <w:b/>
          <w:sz w:val="24"/>
          <w:szCs w:val="24"/>
        </w:rPr>
        <w:t xml:space="preserve"> </w:t>
      </w:r>
      <w:r>
        <w:rPr>
          <w:rFonts w:ascii="Arial" w:hAnsi="Arial" w:cs="Arial"/>
          <w:sz w:val="24"/>
          <w:szCs w:val="24"/>
        </w:rPr>
        <w:t xml:space="preserve">ce se realizează sub coordonarea Comisiei Internaționale pentru Protecția Fluviului Dunărea (ICPDR). </w:t>
      </w:r>
      <w:r>
        <w:rPr>
          <w:rFonts w:ascii="Arial" w:hAnsi="Arial" w:cs="Arial"/>
          <w:sz w:val="24"/>
          <w:szCs w:val="24"/>
          <w:lang w:val="fr-BE"/>
        </w:rPr>
        <w:t xml:space="preserve">În acest scop statele semnatare ale Convenţiei Internaţionale pentru Protecţia Fluviului Dunărea au stabilit că </w:t>
      </w:r>
      <w:r>
        <w:rPr>
          <w:rFonts w:ascii="Arial" w:hAnsi="Arial" w:cs="Arial"/>
          <w:i/>
          <w:sz w:val="24"/>
          <w:szCs w:val="24"/>
          <w:lang w:val="fr-BE"/>
        </w:rPr>
        <w:t>Planul de Management al Districtului Hidrografic al Dunării</w:t>
      </w:r>
      <w:r>
        <w:rPr>
          <w:rFonts w:ascii="Arial" w:hAnsi="Arial" w:cs="Arial"/>
          <w:sz w:val="24"/>
          <w:szCs w:val="24"/>
          <w:lang w:val="fr-BE"/>
        </w:rPr>
        <w:t xml:space="preserve"> să fie format din trei părţi (partea A, partea B și partea C). Informații privind structura</w:t>
      </w:r>
      <w:r>
        <w:rPr>
          <w:rFonts w:ascii="Arial" w:hAnsi="Arial" w:cs="Arial"/>
          <w:sz w:val="24"/>
          <w:szCs w:val="24"/>
        </w:rPr>
        <w:t xml:space="preserve"> </w:t>
      </w:r>
      <w:r>
        <w:rPr>
          <w:rFonts w:ascii="Arial" w:hAnsi="Arial" w:cs="Arial"/>
          <w:sz w:val="24"/>
          <w:szCs w:val="24"/>
          <w:lang w:val="fr-BE"/>
        </w:rPr>
        <w:t xml:space="preserve">Planului de Management al Districtului Hidrografic al Fluviului Dunărea au fost prezentate detaliat în Planul Național de Management actualizat aferent porţiunii din bazinul hidrografic internaţional al fluviului Dunărea care este cuprinsă în teritoriul României (denumit în continuare Plan Național de management actualizat) – Sinteza Planurilor de management actualizate la nivel de bazine/spații hidrografice, aprobate prin HG nr. 392/2023, aprobat prin </w:t>
      </w:r>
      <w:r>
        <w:rPr>
          <w:rFonts w:ascii="Arial" w:hAnsi="Arial" w:cs="Arial"/>
          <w:i/>
          <w:iCs/>
          <w:sz w:val="24"/>
          <w:szCs w:val="24"/>
          <w:lang w:val="fr-BE"/>
        </w:rPr>
        <w:t>Hotărârea de Guvern nr. 392/2023</w:t>
      </w:r>
      <w:r>
        <w:rPr>
          <w:rFonts w:ascii="Arial" w:hAnsi="Arial" w:cs="Arial"/>
          <w:sz w:val="24"/>
          <w:szCs w:val="24"/>
          <w:lang w:val="fr-BE"/>
        </w:rPr>
        <w:t xml:space="preserve">. </w:t>
      </w:r>
    </w:p>
    <w:p w14:paraId="7315E00F" w14:textId="36804ABD" w:rsidR="00F45A96" w:rsidRDefault="00F45A96" w:rsidP="00F45A96">
      <w:pPr>
        <w:ind w:right="-42" w:firstLine="720"/>
        <w:jc w:val="both"/>
        <w:rPr>
          <w:rFonts w:ascii="Arial" w:hAnsi="Arial" w:cs="Arial"/>
          <w:b/>
          <w:i/>
          <w:sz w:val="24"/>
          <w:szCs w:val="24"/>
          <w:lang w:val="fr-BE"/>
        </w:rPr>
      </w:pPr>
      <w:r>
        <w:rPr>
          <w:rFonts w:ascii="Arial" w:hAnsi="Arial" w:cs="Arial"/>
          <w:b/>
          <w:bCs/>
          <w:noProof/>
          <w:sz w:val="24"/>
          <w:szCs w:val="24"/>
          <w:lang w:val="en-GB" w:eastAsia="en-GB"/>
        </w:rPr>
        <w:lastRenderedPageBreak/>
        <w:drawing>
          <wp:anchor distT="0" distB="0" distL="114300" distR="114300" simplePos="0" relativeHeight="251666432" behindDoc="1" locked="0" layoutInCell="1" allowOverlap="1" wp14:anchorId="4417D430" wp14:editId="11243E8C">
            <wp:simplePos x="0" y="0"/>
            <wp:positionH relativeFrom="margin">
              <wp:posOffset>377190</wp:posOffset>
            </wp:positionH>
            <wp:positionV relativeFrom="margin">
              <wp:posOffset>3503930</wp:posOffset>
            </wp:positionV>
            <wp:extent cx="5193665" cy="3676015"/>
            <wp:effectExtent l="19050" t="19050" r="26035" b="1968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93665" cy="36760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9418880" w14:textId="77777777" w:rsidR="00F45A96" w:rsidRDefault="00F45A96" w:rsidP="00F45A96">
      <w:pPr>
        <w:ind w:right="-42" w:firstLine="720"/>
        <w:jc w:val="both"/>
        <w:rPr>
          <w:rFonts w:ascii="Arial" w:hAnsi="Arial" w:cs="Arial"/>
          <w:b/>
          <w:i/>
          <w:sz w:val="24"/>
          <w:szCs w:val="24"/>
          <w:lang w:val="fr-BE"/>
        </w:rPr>
      </w:pPr>
    </w:p>
    <w:p w14:paraId="521E6373" w14:textId="77777777" w:rsidR="00F45A96" w:rsidRDefault="00F45A96" w:rsidP="00F45A96">
      <w:pPr>
        <w:ind w:right="-42" w:firstLine="720"/>
        <w:jc w:val="both"/>
        <w:rPr>
          <w:rFonts w:ascii="Arial" w:hAnsi="Arial" w:cs="Arial"/>
          <w:b/>
          <w:i/>
          <w:sz w:val="24"/>
          <w:szCs w:val="24"/>
          <w:lang w:val="fr-BE"/>
        </w:rPr>
      </w:pPr>
    </w:p>
    <w:p w14:paraId="72DA2185" w14:textId="77777777" w:rsidR="00F45A96" w:rsidRDefault="00F45A96" w:rsidP="00F45A96">
      <w:pPr>
        <w:ind w:right="-42" w:firstLine="720"/>
        <w:jc w:val="both"/>
        <w:rPr>
          <w:rFonts w:ascii="Arial" w:hAnsi="Arial" w:cs="Arial"/>
          <w:b/>
          <w:i/>
          <w:sz w:val="24"/>
          <w:szCs w:val="24"/>
          <w:lang w:val="fr-BE"/>
        </w:rPr>
      </w:pPr>
    </w:p>
    <w:p w14:paraId="3544D6FD" w14:textId="77777777" w:rsidR="00F45A96" w:rsidRDefault="00F45A96" w:rsidP="00F45A96">
      <w:pPr>
        <w:ind w:right="-42" w:firstLine="720"/>
        <w:jc w:val="both"/>
        <w:rPr>
          <w:rFonts w:ascii="Arial" w:hAnsi="Arial" w:cs="Arial"/>
          <w:b/>
          <w:i/>
          <w:sz w:val="24"/>
          <w:szCs w:val="24"/>
          <w:lang w:val="fr-BE"/>
        </w:rPr>
      </w:pPr>
    </w:p>
    <w:p w14:paraId="2CF88280" w14:textId="77777777" w:rsidR="00F45A96" w:rsidRDefault="00F45A96" w:rsidP="00F45A96">
      <w:pPr>
        <w:ind w:right="-42" w:firstLine="720"/>
        <w:jc w:val="both"/>
        <w:rPr>
          <w:rFonts w:ascii="Arial" w:hAnsi="Arial" w:cs="Arial"/>
          <w:b/>
          <w:i/>
          <w:sz w:val="24"/>
          <w:szCs w:val="24"/>
          <w:lang w:val="fr-BE"/>
        </w:rPr>
      </w:pPr>
    </w:p>
    <w:p w14:paraId="54B33321" w14:textId="77777777" w:rsidR="00F45A96" w:rsidRDefault="00F45A96" w:rsidP="00F45A96">
      <w:pPr>
        <w:ind w:right="-42" w:firstLine="720"/>
        <w:jc w:val="both"/>
        <w:rPr>
          <w:rFonts w:ascii="Arial" w:hAnsi="Arial" w:cs="Arial"/>
          <w:b/>
          <w:i/>
          <w:sz w:val="24"/>
          <w:szCs w:val="24"/>
          <w:lang w:val="fr-BE"/>
        </w:rPr>
      </w:pPr>
    </w:p>
    <w:p w14:paraId="79BD4F87" w14:textId="77777777" w:rsidR="00F45A96" w:rsidRDefault="00F45A96" w:rsidP="00F45A96">
      <w:pPr>
        <w:ind w:right="-42" w:firstLine="720"/>
        <w:jc w:val="both"/>
        <w:rPr>
          <w:rFonts w:ascii="Arial" w:hAnsi="Arial" w:cs="Arial"/>
          <w:b/>
          <w:i/>
          <w:sz w:val="24"/>
          <w:szCs w:val="24"/>
          <w:lang w:val="fr-BE"/>
        </w:rPr>
      </w:pPr>
    </w:p>
    <w:p w14:paraId="6EA0E660" w14:textId="77777777" w:rsidR="00F45A96" w:rsidRDefault="00F45A96" w:rsidP="00F45A96">
      <w:pPr>
        <w:ind w:right="-42" w:firstLine="720"/>
        <w:jc w:val="both"/>
        <w:rPr>
          <w:rFonts w:ascii="Arial" w:hAnsi="Arial" w:cs="Arial"/>
          <w:b/>
          <w:i/>
          <w:sz w:val="24"/>
          <w:szCs w:val="24"/>
          <w:lang w:val="fr-BE"/>
        </w:rPr>
      </w:pPr>
    </w:p>
    <w:p w14:paraId="2DB2E64A" w14:textId="77777777" w:rsidR="00F45A96" w:rsidRDefault="00F45A96" w:rsidP="00F45A96">
      <w:pPr>
        <w:ind w:right="-42" w:firstLine="720"/>
        <w:jc w:val="both"/>
        <w:rPr>
          <w:rFonts w:ascii="Arial" w:hAnsi="Arial" w:cs="Arial"/>
          <w:b/>
          <w:i/>
          <w:sz w:val="24"/>
          <w:szCs w:val="24"/>
          <w:lang w:val="fr-BE"/>
        </w:rPr>
      </w:pPr>
    </w:p>
    <w:p w14:paraId="433970A3" w14:textId="77777777" w:rsidR="00F45A96" w:rsidRDefault="00F45A96" w:rsidP="00F45A96">
      <w:pPr>
        <w:ind w:right="-42" w:firstLine="720"/>
        <w:jc w:val="both"/>
        <w:rPr>
          <w:rFonts w:ascii="Arial" w:hAnsi="Arial" w:cs="Arial"/>
          <w:b/>
          <w:i/>
          <w:sz w:val="24"/>
          <w:szCs w:val="24"/>
          <w:lang w:val="fr-BE"/>
        </w:rPr>
      </w:pPr>
    </w:p>
    <w:p w14:paraId="0DA2E932" w14:textId="77777777" w:rsidR="00F45A96" w:rsidRDefault="00F45A96" w:rsidP="00F45A96">
      <w:pPr>
        <w:spacing w:after="0" w:line="240" w:lineRule="auto"/>
        <w:ind w:right="-43"/>
        <w:rPr>
          <w:rFonts w:ascii="Arial" w:hAnsi="Arial" w:cs="Arial"/>
          <w:b/>
          <w:i/>
          <w:sz w:val="24"/>
          <w:szCs w:val="24"/>
          <w:lang w:val="fr-BE"/>
        </w:rPr>
      </w:pPr>
      <w:r w:rsidRPr="0036202F">
        <w:rPr>
          <w:rFonts w:ascii="Arial" w:hAnsi="Arial" w:cs="Arial"/>
          <w:b/>
          <w:bCs/>
          <w:i/>
          <w:sz w:val="24"/>
          <w:szCs w:val="24"/>
          <w:lang w:val="fr-BE"/>
        </w:rPr>
        <w:t>Figura II. 2.4.1</w:t>
      </w:r>
      <w:r>
        <w:rPr>
          <w:rFonts w:ascii="Arial" w:hAnsi="Arial" w:cs="Arial"/>
          <w:b/>
          <w:bCs/>
          <w:i/>
          <w:sz w:val="24"/>
          <w:szCs w:val="24"/>
          <w:lang w:val="fr-BE"/>
        </w:rPr>
        <w:t xml:space="preserve"> </w:t>
      </w:r>
      <w:r>
        <w:rPr>
          <w:rFonts w:ascii="Arial" w:hAnsi="Arial" w:cs="Arial"/>
          <w:b/>
          <w:i/>
          <w:sz w:val="24"/>
          <w:szCs w:val="24"/>
          <w:lang w:val="fr-BE"/>
        </w:rPr>
        <w:t>Districtul Hidrografic al Fluviului Dunăre</w:t>
      </w:r>
    </w:p>
    <w:p w14:paraId="3DD8DDAF" w14:textId="77777777" w:rsidR="00F45A96" w:rsidRDefault="00F45A96" w:rsidP="00F45A96">
      <w:pPr>
        <w:spacing w:after="0" w:line="240" w:lineRule="auto"/>
        <w:ind w:right="-43"/>
        <w:jc w:val="both"/>
        <w:rPr>
          <w:rFonts w:ascii="Arial" w:hAnsi="Arial" w:cs="Arial"/>
          <w:i/>
          <w:iCs/>
          <w:sz w:val="20"/>
          <w:szCs w:val="20"/>
        </w:rPr>
      </w:pPr>
      <w:r>
        <w:rPr>
          <w:rFonts w:ascii="Arial" w:hAnsi="Arial" w:cs="Arial"/>
          <w:i/>
          <w:iCs/>
          <w:sz w:val="20"/>
          <w:szCs w:val="20"/>
        </w:rPr>
        <w:t>(Sursa datelor: Administrația Națională „Apele Române”, Planul Național de management actualizat)</w:t>
      </w:r>
    </w:p>
    <w:p w14:paraId="43BD5718" w14:textId="77777777" w:rsidR="00F45A96" w:rsidRDefault="00F45A96" w:rsidP="00F45A96">
      <w:pPr>
        <w:ind w:right="-42"/>
        <w:jc w:val="both"/>
        <w:rPr>
          <w:rFonts w:ascii="Arial" w:hAnsi="Arial" w:cs="Arial"/>
          <w:sz w:val="24"/>
          <w:szCs w:val="24"/>
          <w:lang w:val="fr-BE"/>
        </w:rPr>
      </w:pPr>
    </w:p>
    <w:p w14:paraId="51C3095C" w14:textId="77777777" w:rsidR="00F45A96" w:rsidRDefault="00F45A96" w:rsidP="00F45A96">
      <w:pPr>
        <w:ind w:right="-42" w:firstLine="567"/>
        <w:jc w:val="both"/>
        <w:rPr>
          <w:rFonts w:ascii="Arial" w:hAnsi="Arial" w:cs="Arial"/>
          <w:sz w:val="24"/>
          <w:szCs w:val="24"/>
        </w:rPr>
      </w:pPr>
      <w:r>
        <w:rPr>
          <w:rFonts w:ascii="Arial" w:hAnsi="Arial" w:cs="Arial"/>
          <w:sz w:val="24"/>
          <w:szCs w:val="24"/>
          <w:lang w:val="fr-BE"/>
        </w:rPr>
        <w:t>Similar ciclurilor de planificare anterioare, se menţionează c</w:t>
      </w:r>
      <w:r>
        <w:rPr>
          <w:rFonts w:ascii="Arial" w:hAnsi="Arial" w:cs="Arial"/>
          <w:sz w:val="24"/>
          <w:szCs w:val="24"/>
        </w:rPr>
        <w:t>ă</w:t>
      </w:r>
      <w:r>
        <w:rPr>
          <w:rFonts w:ascii="Arial" w:hAnsi="Arial" w:cs="Arial"/>
          <w:sz w:val="24"/>
          <w:szCs w:val="24"/>
          <w:lang w:val="fr-BE"/>
        </w:rPr>
        <w:t xml:space="preserve"> principalele probleme de gospodărire a apelor, obiectivele de management, precum şi măsurile aferente stabilite la nivelul Districtului Hidrografic Internaţional al Dunării ce sunt prezentate în proiectul </w:t>
      </w:r>
      <w:r>
        <w:rPr>
          <w:rFonts w:ascii="Arial" w:hAnsi="Arial" w:cs="Arial"/>
          <w:i/>
          <w:sz w:val="24"/>
          <w:szCs w:val="24"/>
          <w:lang w:val="fr-BE"/>
        </w:rPr>
        <w:t>Planului de Management - actualizat 2021 al Districtului Hidrografic Internaţional al Dunării (partea A)</w:t>
      </w:r>
      <w:r>
        <w:rPr>
          <w:rFonts w:ascii="Arial" w:hAnsi="Arial" w:cs="Arial"/>
          <w:sz w:val="24"/>
          <w:szCs w:val="24"/>
          <w:lang w:val="fr-BE"/>
        </w:rPr>
        <w:t xml:space="preserve"> sunt preluate la nivel naţional.</w:t>
      </w:r>
    </w:p>
    <w:p w14:paraId="424AFFDD"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În România, elaborarea strategiei şi politicii naţionale în domeniul gospodăririi apelor, asigurarea coordonării pentru aplicarea reglementărilor interne și internaţionale din acest domeniu se realizează de către Ministerul Mediului, Apelor și Pădurilor – Direcția Managementul Resurselor de Apă. Gestionarea cantitativă și calitativă a resurselor de apă, administrarea lucrărilor de gospodărire a apelor, precum și aplicarea </w:t>
      </w:r>
      <w:r>
        <w:rPr>
          <w:rFonts w:ascii="Arial" w:hAnsi="Arial" w:cs="Arial"/>
          <w:sz w:val="24"/>
          <w:szCs w:val="24"/>
        </w:rPr>
        <w:lastRenderedPageBreak/>
        <w:t>strategiei şi politicii naţionale, cu respectarea reglementărilor naţionale în domeniu, se realizează de Administraţia Naţională "Apele Române", prin Administraţiile Bazinale de Apă din subordinea acesteia. Cadrul legislativ pentru gestionarea durabilă a resurselor de apă este asigurat prin Legea Apelor nr.107/1996, cu modificările și completările ulterioare.</w:t>
      </w:r>
    </w:p>
    <w:p w14:paraId="52469B46"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În România conform Legii Apelor, Schema Directoare de Amenajare și Management ale Bazinelor Hidrografice este instrumentul principal de planificare, dezvoltare şi gestionare a resurselor de apă la nivelul districtului de bazin hidrografic şi este alcatuită din Planul de amenajare a bazinului hidrografic (PABH) - componentă de gospodarire cantitativă şi Planul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14:paraId="79BFAC09"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Strategia şi politica naţională în domeniul gospodăririi apelor are drept scop realizarea unei politici de gospodărire durabilă a apelor prin asigurarea protecţiei cantitativă și calitativă a apelor, apărarea împotriva acţiunilor distructive ale apelor, precum și valorificarea potenţialului apelor în raport cu cerinţele dezvoltării durabile a societăţii şi în acord cu directivele europene în domeniul apelor. Având în vedere evoluția politicilor europene în domeniul managementului apelor, strategia de gospodărire a apelor este necesar a fi revizuită, procesul fiind în curs de realizare.  </w:t>
      </w:r>
    </w:p>
    <w:p w14:paraId="4937CCC8"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În prezent se urmăreşte gospodărirea durabilă a apelor pe baza aplicării legislaţiei Uniunii Europene şi în special a principiilor Directivei Cadru pentru Apă și Directivei Inundaţii, care au fost transpuse prin Legea Apelor 107/1996 cu modificările și completările ulterioare. În acest context, instrumentele de realizare a politicii şi strategiei în domeniul apelor includ Schema Directoare de Amenajare şi Management ale Bazinelor Hidrografice, managementul integrat al apelor pe bazine hidrografice și adaptarea capacităţii instituţionale la cerinţele managementului integrat. Pentru realizarea fiecărui obiectiv specific propus au fost planificate numeroase acţiuni. Unele dintre acestea au fost realizate până în prezent, altele sunt în curs de realizare sau vor fi realizate în etapa următoare.</w:t>
      </w:r>
    </w:p>
    <w:p w14:paraId="7CB7E3B4"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Acţiunile necesare pentru îmbunătăţirea stării apelor de suprafaţă şi a apelor subterane au fost stabilite în cadrul Planurilor de Management ale Bazinelor Hidrografice, ca parte a Planului de Management al districtului internaţional al Dunării, întocmit în conformitate cu prevederile Directivei Cadru Apa. Primele Planuri de Management ale bazinelor/spațiilor hidrografice, precum și Planul Naţional de Management, au fost aprobate prin H.G. nr. 80/26.01.2011 </w:t>
      </w:r>
      <w:r>
        <w:rPr>
          <w:rFonts w:ascii="Arial" w:hAnsi="Arial" w:cs="Arial"/>
          <w:i/>
          <w:sz w:val="24"/>
          <w:szCs w:val="24"/>
        </w:rPr>
        <w:t>pentru aprobarea Planului naţional de management aferent porţiunii din bazinul hidrografic internaţional al fluviului Dunărea care este cuprinsă în teritoriul României</w:t>
      </w:r>
      <w:r>
        <w:rPr>
          <w:rFonts w:ascii="Arial" w:hAnsi="Arial" w:cs="Arial"/>
          <w:sz w:val="24"/>
          <w:szCs w:val="24"/>
        </w:rPr>
        <w:t xml:space="preserve">, Monitorul Oficial nr. 265/14.04.2011. Conform ciclului de planificare următor de 6 ani, România a elaborat și făcut public la 22 decembrie 2014 proiectul Planului Național de Management aferent porţiunii din bazinul hidrografic internaţional al fluviului Dunărea care este cuprinsă în teritoriul României, pentru perioada 2016-2021. Ca și în cazul primului ciclu de planificare 2009-2015, în elaborarea proiectelor Planurilor de Management la nivel bazinal și național s-au luat în considerare recomandările ghidurilor și documentelor dezvoltate în cadrul Strategiei Comune de Implementare a Directivei Cadru Apă, precum și cerințele formulate în Ghidul de raportare a Directivei Cadru Apă 2016, elaborat de Comisia Europeană împreună cu Statele Membre în anul 2014. </w:t>
      </w:r>
    </w:p>
    <w:p w14:paraId="35A7626F" w14:textId="77777777" w:rsidR="00F45A96" w:rsidRDefault="00F45A96" w:rsidP="00F45A96">
      <w:pPr>
        <w:spacing w:before="120" w:after="120" w:line="240" w:lineRule="auto"/>
        <w:jc w:val="both"/>
        <w:rPr>
          <w:rFonts w:ascii="Arial" w:hAnsi="Arial" w:cs="Arial"/>
          <w:sz w:val="24"/>
          <w:szCs w:val="24"/>
        </w:rPr>
      </w:pPr>
      <w:r>
        <w:rPr>
          <w:rFonts w:ascii="Arial" w:hAnsi="Arial" w:cs="Arial"/>
          <w:sz w:val="24"/>
          <w:szCs w:val="24"/>
        </w:rPr>
        <w:t xml:space="preserve">La sfârşitul anului 2015, cele 11 Planuri de Management Bazinale, au fost avizate de către Comitetele de Bazin, și au fost publicate la 22 decembrie 2015 pe website-urile Administraţiilor Bazinale de Apă și al Administrației Naționale ”Apele Române”, în conformitate cu prevederile Directivei Cadru Apă. Planul Naţional de Management aferent porţiunii româneşti a bazinului hidrografic internaţional al fluviului Dunărea, </w:t>
      </w:r>
      <w:r>
        <w:rPr>
          <w:rFonts w:ascii="Arial" w:hAnsi="Arial" w:cs="Arial"/>
          <w:sz w:val="24"/>
          <w:szCs w:val="24"/>
        </w:rPr>
        <w:lastRenderedPageBreak/>
        <w:t xml:space="preserve">precum și cele 11 Planuri de management ale bazinelor hidrografice, elaborate în conformitate cu cerinţele art. 13 al  Directivei Cadru Apă 2000/60/CE, au fost actualizate și aprobate prin </w:t>
      </w:r>
      <w:r>
        <w:rPr>
          <w:rFonts w:ascii="Arial" w:hAnsi="Arial" w:cs="Arial"/>
          <w:b/>
          <w:i/>
          <w:sz w:val="24"/>
          <w:szCs w:val="24"/>
        </w:rPr>
        <w:t xml:space="preserve">Hotărârea de Guvern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  </w:t>
      </w:r>
      <w:r>
        <w:rPr>
          <w:rFonts w:ascii="Arial" w:hAnsi="Arial" w:cs="Arial"/>
          <w:sz w:val="24"/>
          <w:szCs w:val="24"/>
        </w:rPr>
        <w:t xml:space="preserve">Planul  Naţional de Management actualizat aferent porţiunii româneşti a bazinului hidrografic internaţional al fluviului Dunărea a fost raportat în  Sistemul European Informatic pentru Apă (WISE) și anvelopa de raportare a fost închisă (via Agenţia Europeană de Mediu - Reportnet) la data de 16 decembrie 2016. Versiunea finală a planului de management actualizat 2015 se regăsește  la adresa:  </w:t>
      </w:r>
      <w:hyperlink r:id="rId100" w:history="1">
        <w:r>
          <w:rPr>
            <w:rStyle w:val="Hyperlink"/>
            <w:rFonts w:ascii="Arial" w:hAnsi="Arial" w:cs="Arial"/>
            <w:sz w:val="24"/>
            <w:szCs w:val="24"/>
          </w:rPr>
          <w:t>https://rowater.ro/wp-content/uploads/2020/12/Planul-National-de-Management-actualizat.pdf</w:t>
        </w:r>
      </w:hyperlink>
      <w:r>
        <w:rPr>
          <w:rFonts w:ascii="Arial" w:hAnsi="Arial" w:cs="Arial"/>
          <w:sz w:val="24"/>
          <w:szCs w:val="24"/>
        </w:rPr>
        <w:t>.</w:t>
      </w:r>
    </w:p>
    <w:p w14:paraId="7178017B"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 xml:space="preserve">Pentru următorul ciclu de planificare de 6 ani a fost pregătit </w:t>
      </w:r>
      <w:r>
        <w:rPr>
          <w:rFonts w:ascii="Arial" w:hAnsi="Arial" w:cs="Arial"/>
          <w:b/>
          <w:bCs/>
          <w:sz w:val="24"/>
          <w:szCs w:val="24"/>
        </w:rPr>
        <w:t>proiectul Planul Național de Management actualizat aferent porţiunii din bazinul hidrografic internaţional al fluviului Dunărea care este cuprinsă în teritoriul României</w:t>
      </w:r>
      <w:r>
        <w:rPr>
          <w:rFonts w:ascii="Arial" w:hAnsi="Arial" w:cs="Arial"/>
          <w:sz w:val="24"/>
          <w:szCs w:val="24"/>
        </w:rPr>
        <w:t xml:space="preserve"> (denumit în continuare Proiectul Planului Național de Management actualizat) care este realizat în conformitate cu prevederile legale europene și naționale. Ca și în cazul primului și celui de-al doilea ciclu de planificare, în elaborarea proiectelor Planurilor de Management actualizate 2021 la nivel bazinal și național s-au luat în considerare recomandările ghidurilor și documentelor dezvoltate în cadrul Strategiei Comune de Implementare a Directivei Cadru Apă și de recomandările Comisiei Europene din raportul privind evaluarea celui de-al doilea plan de management. De asemenea, s-a ținut cont inclusiv de cerințele formulate în Ghidul de raportare a Directivei Cadru Apă 2022, elaborat de Comisia Europeană împreună cu Statele Membre. În comparație cu planurile precedente, proiectul  Planului de Management actualizat 2021 conține date și informații actualizate, precum și dezvoltări/îmbunătățiri ale metodologiilor utilizate și ale rezultatelor obținute și care sunt prezentate în cadrul capitolelor respective.</w:t>
      </w:r>
    </w:p>
    <w:p w14:paraId="23DDBEA0"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În conformitate cu Calendarul şi programul de lucru privind activităţile de participare a publicului în scopul realizării celui de-al treilea plan de management al bazinului/spaţiului hidrografic și celui de-al doilea plan de management al riscului la inundații, consultarea publicului cu privire la elaborarea proiectelor Planurilor de Management actualizate ale bazinelor/spațiilor hidrografice şi a proiectului Planului Naţional de Management actualizat s-a realizat în perioada 30 iunie  - 30 decembrie 2021.</w:t>
      </w:r>
    </w:p>
    <w:p w14:paraId="0CE6CC2E"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Revizuirea proiectelor Planurilor de Management actualizate ale bazinelor/spațiilor hidrografice şi a proiectului Planului Naţional de Management actualizat s-a realizat în perioada ianuarie - iunie 2022. Ca și în cazul planurilor de management precedente, și al treilea Plan de Management este supus procedurii de Evaluare Strategică de Mediu (SEA) şi aprobare prin Hotărâre de Guvern (HG nr. 392/2023).</w:t>
      </w:r>
    </w:p>
    <w:p w14:paraId="0D33C234"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Planul Național de Management actualizat este disponibil la următorul link:</w:t>
      </w:r>
    </w:p>
    <w:p w14:paraId="15ADEEEE" w14:textId="77777777" w:rsidR="00F45A96" w:rsidRDefault="00666EFA" w:rsidP="00F45A96">
      <w:pPr>
        <w:spacing w:before="120" w:after="120" w:line="240" w:lineRule="auto"/>
        <w:jc w:val="both"/>
        <w:rPr>
          <w:rFonts w:ascii="Arial" w:hAnsi="Arial" w:cs="Arial"/>
          <w:sz w:val="24"/>
          <w:szCs w:val="24"/>
        </w:rPr>
      </w:pPr>
      <w:hyperlink r:id="rId101" w:history="1">
        <w:r w:rsidR="00F45A96">
          <w:rPr>
            <w:rStyle w:val="Hyperlink"/>
            <w:rFonts w:ascii="Arial" w:hAnsi="Arial" w:cs="Arial"/>
            <w:sz w:val="24"/>
            <w:szCs w:val="24"/>
          </w:rPr>
          <w:t>https://rowater.ro/despre-noi/descrierea-activitatii/managementul-european-integrat-resurse-de-apa/planurile-de-management-ale-bazinelor-hidrografice/planuri-de-management-nationale/</w:t>
        </w:r>
      </w:hyperlink>
      <w:r w:rsidR="00F45A96">
        <w:rPr>
          <w:rFonts w:ascii="Arial" w:hAnsi="Arial" w:cs="Arial"/>
          <w:sz w:val="24"/>
          <w:szCs w:val="24"/>
        </w:rPr>
        <w:t>.</w:t>
      </w:r>
    </w:p>
    <w:p w14:paraId="4CB3D01D"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Prin implementarea şi monitorizarea programelor de măsuri se vor atinge obiectivele de mediu pentru corpurile de apă, respectiv starea ecologică bună și potenţialul ecologic bun. În vederea evaluării stadiului implementării programului de măsuri stabilit în cadrul Planurilor de Management actualizate ale bazinelor/spațiilor hidrografice s-a avut în vederea realizarea măsurilor de bază și suplimentare prevăzute în anexele Planului de management actualizat ale bazinelor/spațiilor hidrografice ale căror termene de implementare se încadrează în perioada 2016-2021. De asemenea, au fost luate în considerare și măsurile din primul Plan de management care erau planificate să se realizeze după anul 2015, dar care au avut întârzieri în implementare sau măsurile planificate după anul 2021 dar care au început să se implementeze în avans. În perioada </w:t>
      </w:r>
      <w:r>
        <w:rPr>
          <w:rFonts w:ascii="Arial" w:hAnsi="Arial" w:cs="Arial"/>
          <w:sz w:val="24"/>
          <w:szCs w:val="24"/>
        </w:rPr>
        <w:lastRenderedPageBreak/>
        <w:t>2016-2021 sunt implementate măsuri de bază şi suplimentare pentru  aglomerările umane (apă potabilă, apă uzată, nămoluri de la stații de epurare) și activitățile industriale și agro-zootehnice (IED, Seveso III), precum și alte măsuri de baza referitoare la reglementarea / autorizarea, controlul și monitorizarea surselor de poluare punctiforme și difuze și alterarilor hidromorfologice. De asemenea, o serie de măsuri suplimentare planificate au fost realizate sau sunt in curs de implementare până la sfârșitul anului 2021.</w:t>
      </w:r>
    </w:p>
    <w:p w14:paraId="2943D675"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În vederea atingerii obiectivelor de mediu și menținerii stării bune a corpurilor de apă de suprafață și subterane, în perioada 2022 – 2027 se continuă implementarea măsurilor pentru aglomerările umane, activitățile industriale și agricole, precum și pentru alterările hidromorfologice, al căror termen de realizare este perioada 2022 – 2027. Tipurile de măsuri sunt similare cu cele implementate pe parcursul celui de-al doilea ciclu de planificare, respectiv în principal măsuri pentru implementarea cerințelor directivelor europene, la care sunt adăugate noi tipuri de măsuri recomandate de Comisia Europeană în ghidurile Strategiei comune pentru implementarea Directivei Cadru Apă ( CIS WFD): măsuri de stocare naturală a apelor (NWRM), măsuri de reducere a pierderilor de apă, măsuri de reutilizare a apelor, măsuri în contextul schimbărilor climatice, etc.</w:t>
      </w:r>
    </w:p>
    <w:p w14:paraId="2A870BE4" w14:textId="77777777" w:rsidR="00F45A96" w:rsidRDefault="00F45A96" w:rsidP="00F45A96">
      <w:pPr>
        <w:spacing w:before="120" w:after="120" w:line="240" w:lineRule="auto"/>
        <w:ind w:firstLine="708"/>
        <w:jc w:val="both"/>
        <w:rPr>
          <w:rFonts w:ascii="Arial" w:hAnsi="Arial" w:cs="Arial"/>
          <w:sz w:val="24"/>
          <w:szCs w:val="24"/>
          <w:lang w:val="fr-BE"/>
        </w:rPr>
      </w:pPr>
      <w:r>
        <w:rPr>
          <w:rFonts w:ascii="Arial" w:hAnsi="Arial" w:cs="Arial"/>
          <w:sz w:val="24"/>
          <w:szCs w:val="24"/>
        </w:rPr>
        <w:t xml:space="preserve">Inundațiile reprezintă o amenințare la siguranța și sănătatea umană. </w:t>
      </w:r>
      <w:r>
        <w:rPr>
          <w:rFonts w:ascii="Arial" w:hAnsi="Arial" w:cs="Arial"/>
          <w:b/>
          <w:bCs/>
          <w:sz w:val="24"/>
          <w:szCs w:val="24"/>
        </w:rPr>
        <w:t>Directiva 2007/60/CE privind evaluarea și gestionarea riscului la inundații</w:t>
      </w:r>
      <w:r>
        <w:rPr>
          <w:rFonts w:ascii="Arial" w:hAnsi="Arial" w:cs="Arial"/>
          <w:sz w:val="24"/>
          <w:szCs w:val="24"/>
        </w:rPr>
        <w:t xml:space="preserve"> și programul de acțiune al ICPDR cu privire la apărarea împotriva inundațiilor au stabilit cadrul pentru managementul inundațiilor în bazinul Dunării. </w:t>
      </w:r>
      <w:r>
        <w:rPr>
          <w:rFonts w:ascii="Arial" w:hAnsi="Arial" w:cs="Arial"/>
          <w:bCs/>
          <w:iCs/>
          <w:sz w:val="24"/>
          <w:szCs w:val="24"/>
        </w:rPr>
        <w:t xml:space="preserve">Directiva Inundații </w:t>
      </w:r>
      <w:r>
        <w:rPr>
          <w:rFonts w:ascii="Arial" w:hAnsi="Arial" w:cs="Arial"/>
          <w:sz w:val="24"/>
          <w:szCs w:val="24"/>
        </w:rPr>
        <w:t xml:space="preserve">este al doilea pilon de bază al legislației europene în domeniul apelor și </w:t>
      </w:r>
      <w:r>
        <w:rPr>
          <w:rFonts w:ascii="Arial" w:hAnsi="Arial" w:cs="Arial"/>
          <w:bCs/>
          <w:iCs/>
          <w:sz w:val="24"/>
          <w:szCs w:val="24"/>
        </w:rPr>
        <w:t>are ca obiectiv reducerea riscurilor şi a consecinţelor negative pe care le au inundaţiile în Statele Membre.</w:t>
      </w:r>
      <w:r>
        <w:rPr>
          <w:rFonts w:ascii="Arial" w:hAnsi="Arial" w:cs="Arial"/>
          <w:sz w:val="24"/>
          <w:szCs w:val="24"/>
        </w:rPr>
        <w:t xml:space="preserve"> </w:t>
      </w:r>
      <w:r>
        <w:rPr>
          <w:rFonts w:ascii="Arial" w:hAnsi="Arial" w:cs="Arial"/>
          <w:sz w:val="24"/>
          <w:szCs w:val="24"/>
          <w:lang w:val="fr-BE"/>
        </w:rPr>
        <w:t>Instrumentul de implementare al Directivei Inunda</w:t>
      </w:r>
      <w:r>
        <w:rPr>
          <w:rFonts w:ascii="Arial" w:hAnsi="Arial" w:cs="Arial"/>
          <w:sz w:val="24"/>
          <w:szCs w:val="24"/>
        </w:rPr>
        <w:t>ț</w:t>
      </w:r>
      <w:r>
        <w:rPr>
          <w:rFonts w:ascii="Arial" w:hAnsi="Arial" w:cs="Arial"/>
          <w:sz w:val="24"/>
          <w:szCs w:val="24"/>
          <w:lang w:val="fr-BE"/>
        </w:rPr>
        <w:t xml:space="preserve">ii, reglementat prin articolul 7 este reprezentat de </w:t>
      </w:r>
      <w:r>
        <w:rPr>
          <w:rFonts w:ascii="Arial" w:hAnsi="Arial" w:cs="Arial"/>
          <w:i/>
          <w:sz w:val="24"/>
          <w:szCs w:val="24"/>
          <w:lang w:val="fr-BE"/>
        </w:rPr>
        <w:t>Planul de Management al Riscului la Inundații</w:t>
      </w:r>
      <w:r>
        <w:rPr>
          <w:rFonts w:ascii="Arial" w:hAnsi="Arial" w:cs="Arial"/>
          <w:sz w:val="24"/>
          <w:szCs w:val="24"/>
          <w:lang w:val="fr-BE"/>
        </w:rPr>
        <w:t xml:space="preserve"> (PMRI) și constituie una din componentele de gestionare cantitativă a resurselor de apă. El are ca scop fundamentarea măsurilor, acţiunilor, soluţiilor şi lucrărilor pentru diminuarea efectelor potențiale negative ale inundațiilor privind sănătatea umană, mediu, patrimoniul cultural și activitatea economică, prin măsuri structurale și nestructurale.</w:t>
      </w:r>
    </w:p>
    <w:p w14:paraId="19DFE4F3"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La nivel național prevederile Directivei Inundații au fost transpuse în legislația națională prin modificarea și completarea Legii Apelor. Primul Plan de management al riscului la inundații aferent celor 11 administrații bazinale de apă și fluviului Dunărea de pe teritoriul României a fost aprobat prin HG nr. 972/2016. </w:t>
      </w:r>
    </w:p>
    <w:p w14:paraId="3D5EFDD1"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Deși în conformitate cu prevederile legislative naționale Planurile de Management al Riscului la Inundații sunt elaborate și aprobate ca documente separate, sunt realizate corelări între cele 2 tipuri de planuri (PMBH, PMRI). Măsurile pentru protecția împotriva  inundațiilor pot afecta starea apelor de suprafață (ex. diguri și poldere), însă unele măsuri pot sprijini atingerea obiectivelor Directivei Inundații, cât și ale Directivei Cadru Apă (de ex. prin reconectarea zonelor umede adiacente și a luncii inundabile). Pentru a asigura cele mai bune soluții posibile, s-a realizat o elaborare coordonată a celui de-al treilea plan de Management și al doilea Plan de management al riscului la inundații până în anul 2022. </w:t>
      </w:r>
    </w:p>
    <w:p w14:paraId="003C15F8"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w:t>
      </w:r>
      <w:r>
        <w:rPr>
          <w:rFonts w:ascii="Arial" w:hAnsi="Arial" w:cs="Arial"/>
          <w:sz w:val="24"/>
          <w:szCs w:val="24"/>
        </w:rPr>
        <w:lastRenderedPageBreak/>
        <w:t xml:space="preserve">hidrografice şi Planurile de Management al Riscului la Inundaţii. De asemenea, </w:t>
      </w:r>
      <w:r>
        <w:rPr>
          <w:rFonts w:ascii="Arial" w:hAnsi="Arial" w:cs="Arial"/>
          <w:b/>
          <w:bCs/>
          <w:sz w:val="24"/>
          <w:szCs w:val="24"/>
        </w:rPr>
        <w:t>Strategia naţională de management al riscului la inundaţii pe termen mediu si lung</w:t>
      </w:r>
      <w:r>
        <w:rPr>
          <w:rFonts w:ascii="Arial" w:hAnsi="Arial" w:cs="Arial"/>
          <w:sz w:val="24"/>
          <w:szCs w:val="24"/>
        </w:rPr>
        <w:t xml:space="preserve">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14:paraId="1C2372CF"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În anul 2022 cel de-al doilea Plan de management al riscului la inundații se afla în procedură de evaluare strategică de mediu. Planul se realizează în cadrul proiectului finanțat prin POCA 2014-2020 </w:t>
      </w:r>
      <w:r>
        <w:rPr>
          <w:rFonts w:ascii="Arial" w:hAnsi="Arial" w:cs="Arial"/>
          <w:i/>
          <w:iCs/>
          <w:sz w:val="24"/>
          <w:szCs w:val="24"/>
        </w:rPr>
        <w:t>„Întărirea capacității autorității publice centrale în domeniul apelor în scopul implementării etapelor a 2-a și a 3-a ale Ciclului II al Directivei Inundații – RO-FLOODS</w:t>
      </w:r>
      <w:r>
        <w:rPr>
          <w:rFonts w:ascii="Arial" w:hAnsi="Arial" w:cs="Arial"/>
          <w:sz w:val="24"/>
          <w:szCs w:val="24"/>
        </w:rPr>
        <w:t xml:space="preserve">”, lider de proiect fiind MMAP, ANAR participând în calitate de partener. Proiectul se desfășoară cu asistență tehnică din cadrul Băncii Mondiale.  </w:t>
      </w:r>
    </w:p>
    <w:p w14:paraId="16F82D05"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De asemenea, proiectul RO-FLOODS va contribui esențial la atingerea țintelor stabilite și identificate în cadrul Strategiei de Management al Riscului la Inundații, în cadrul proiectului finanțat prin  POCA 2014-2020 </w:t>
      </w:r>
      <w:r>
        <w:rPr>
          <w:rFonts w:ascii="Arial" w:hAnsi="Arial" w:cs="Arial"/>
          <w:i/>
          <w:iCs/>
          <w:sz w:val="24"/>
          <w:szCs w:val="24"/>
        </w:rPr>
        <w:t>„Întărirea capacității autorității publice centrale în domeniul managementului apelor în scopul implementării Strategiei Naționale de Management la Inundații (SNMRI) pe termen mediu și lung</w:t>
      </w:r>
      <w:r>
        <w:rPr>
          <w:rFonts w:ascii="Arial" w:hAnsi="Arial" w:cs="Arial"/>
          <w:sz w:val="24"/>
          <w:szCs w:val="24"/>
        </w:rPr>
        <w:t>”. În cadrul proiectului se va elabora o nouă Strategie privind managementul riscului la inundații.</w:t>
      </w:r>
    </w:p>
    <w:p w14:paraId="49E3D50F"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În vederea realizării obiectivelor strategice anuale, Guvernul României elaborează și implementează Planul de acţiuni pentru implementarea Programului Naţional de Reformă (PNR) și a Recomandărilor Specifice de Ţară (RST). Programul Naţional de Reformă (PNR) constituie o platformă-cadru pentru definirea priorităţilor de dezvoltare care ghidează evoluţia României pentru perioada 2021 - 2024, în vederea atingerii obiectivelor Strategiei Europa 2020, dar şi pentru definirea unor reforme structurale care să răspundă provocărilor identificate de Comisia Europeană pentru România. Programul Național de Reformă 2022 a fost structurat plecând de la cei șase piloni prevăzuți în Regulamentul (UE) 2021/241 de instituire a Mecanismului de Redresare și Reziliență PNR și reflectă atât progresele și prioritățile de acțiune referitoare la implementarea Planului Național de Redresare și Reziliență (PNRR), pe baza rapoartelor bianuale, cât și măsurile întreprinse în afara cadrului PNRR, prin intermediul altor instrumente aflate la dispoziția României. Astfel, PNR oferă o imagine de ansamblu asupra domeniilor urmărite în cadrul Semestrului European și asupra măsurilor menite să contribuie la punerea în aplicare atât a recomandărilor specifice de țară 2019 și 2020, cât și a recomandărilor din 2022.</w:t>
      </w:r>
    </w:p>
    <w:p w14:paraId="44717BC9"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Având în vedere contextul de mai sus, PNR 2022 propune intervenții complementare și suplimentare celor din PNRR și oferă o viziune de ansamblu asupra măsurilor implementate sau preconizate a fi adoptate pe termen scurt și mediu de România în domeniile analizate în cadrul Semestrului European (politica fiscal-bugetară, tranziția verde, transformarea digitală, mediul de afaceri și competitivitatea economică, piața muncii, incluziunea socială și combaterea sărăciei, sănătatea, capacitatea administrativă, educația și competențele), abordând aspecte conform Pilonului european al drepturilor sociale și în corelare cu Obiectivele de Dezvoltare Durabilă ale ONU.</w:t>
      </w:r>
    </w:p>
    <w:p w14:paraId="50A6B7F8"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În ceea ce privește managementul apelor, în PNR 2022 sunt monitorizate cu atenție aspectele referitoare la protecţia resurselor de apă, realizarea şi reabilitarea staţiilor de tratare, canalizare şi a staţiilor de epurare, precum și îmbunătăţirea sistemelor de protecţie împotriva riscului de inundaţii. </w:t>
      </w:r>
    </w:p>
    <w:p w14:paraId="26EC78CA"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b/>
          <w:bCs/>
          <w:sz w:val="24"/>
          <w:szCs w:val="24"/>
        </w:rPr>
        <w:t>Directiva 2008/56/CE de instituire a unui cadru de acţiune comunitară în domeniul politicii privind mediul marin</w:t>
      </w:r>
      <w:r>
        <w:rPr>
          <w:rFonts w:ascii="Arial" w:hAnsi="Arial" w:cs="Arial"/>
          <w:sz w:val="24"/>
          <w:szCs w:val="24"/>
        </w:rPr>
        <w:t xml:space="preserve"> (</w:t>
      </w:r>
      <w:r>
        <w:rPr>
          <w:rFonts w:ascii="Arial" w:hAnsi="Arial" w:cs="Arial"/>
          <w:b/>
          <w:bCs/>
          <w:sz w:val="24"/>
          <w:szCs w:val="24"/>
        </w:rPr>
        <w:t>Directiva-Cadru „Strategia pentru mediul marin”</w:t>
      </w:r>
      <w:r>
        <w:rPr>
          <w:rFonts w:ascii="Arial" w:hAnsi="Arial" w:cs="Arial"/>
          <w:sz w:val="24"/>
          <w:szCs w:val="24"/>
        </w:rPr>
        <w:t xml:space="preserve">) are scopul de a proteja mai eficient mediul marin în Europa, cu obiectivul de a obține o stare bună a apelor marine ale UE până în anul 2020. Acțiunile întreprinse în cadrul districtul bazinului hidrografic al Dunării vor reduce poluarea din sursele </w:t>
      </w:r>
      <w:r>
        <w:rPr>
          <w:rFonts w:ascii="Arial" w:hAnsi="Arial" w:cs="Arial"/>
          <w:sz w:val="24"/>
          <w:szCs w:val="24"/>
        </w:rPr>
        <w:lastRenderedPageBreak/>
        <w:t xml:space="preserve">continentale și vor proteja ecosistemele din apele costiere și tranzitorii ale regiunii Mării Negre. Directiva Cadru Apă și Directiva Cadru Strategia pentru Mediul Marin sunt strâns interconectate, ceea ce necesită o coordonare a activităților aferente. </w:t>
      </w:r>
    </w:p>
    <w:p w14:paraId="58E2B319"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până în anul 2020 și ulterior prin aplicarea excepțiilor. Aceste măsuri sunt necesar a fi elaborate pe baza evaluării inițiale a mediului marin și ținând cont de obiectivele de mediu.</w:t>
      </w:r>
    </w:p>
    <w:p w14:paraId="0BFDBE7F"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La nivel național, măsurile propuse în cadrul </w:t>
      </w:r>
      <w:r>
        <w:rPr>
          <w:rFonts w:ascii="Arial" w:hAnsi="Arial" w:cs="Arial"/>
          <w:i/>
          <w:sz w:val="24"/>
          <w:szCs w:val="24"/>
        </w:rPr>
        <w:t xml:space="preserve">Planului de Management al </w:t>
      </w:r>
      <w:r>
        <w:rPr>
          <w:rFonts w:ascii="Arial" w:hAnsi="Arial" w:cs="Arial"/>
          <w:bCs/>
          <w:i/>
          <w:iCs/>
          <w:sz w:val="24"/>
          <w:szCs w:val="24"/>
        </w:rPr>
        <w:t>fluviului Dunărea, Deltei Dunării, Spaţiului hidrografic Dobrogea şi Apelor Costiere</w:t>
      </w:r>
      <w:r>
        <w:rPr>
          <w:rFonts w:ascii="Arial" w:hAnsi="Arial" w:cs="Arial"/>
          <w:sz w:val="24"/>
          <w:szCs w:val="24"/>
        </w:rPr>
        <w:t xml:space="preserve">, pentru implementarea cerințelor Directivei Cadru Apă 2000/60/CE, respectiv măsurile care se adresează poluării cu substanțe periculoase, nutrienți și substanțe organice din surse punctiforme costiere, vor face parte integrantă din </w:t>
      </w:r>
      <w:r>
        <w:rPr>
          <w:rFonts w:ascii="Arial" w:hAnsi="Arial" w:cs="Arial"/>
          <w:i/>
          <w:sz w:val="24"/>
          <w:szCs w:val="24"/>
        </w:rPr>
        <w:t>Programul de Măsuri aferent</w:t>
      </w:r>
      <w:r>
        <w:rPr>
          <w:rFonts w:ascii="Arial" w:hAnsi="Arial" w:cs="Arial"/>
          <w:sz w:val="24"/>
          <w:szCs w:val="24"/>
        </w:rPr>
        <w:t xml:space="preserve"> implementării Directivei Cadru Strategia pentru Mediul Marin.</w:t>
      </w:r>
    </w:p>
    <w:p w14:paraId="2081BDA5"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Ministerul Mediului, Apelor și Pădurilor derulează începând din luna octombrie 2019, Proiectul </w:t>
      </w:r>
      <w:r>
        <w:rPr>
          <w:rFonts w:ascii="Arial" w:hAnsi="Arial" w:cs="Arial"/>
          <w:b/>
          <w:bCs/>
          <w:sz w:val="24"/>
          <w:szCs w:val="24"/>
        </w:rPr>
        <w:t>”Îmbunătățirea capacității autorității publice centrale în domeniul protecției mediului marin în ceea ce privește monitorizarea, evaluarea, planificarea, implementarea și raportarea cerințelor stabilite în Directiva Cadru Strategia Marină și pentru gospodărirea integrată a zonei costiere</w:t>
      </w:r>
      <w:r>
        <w:rPr>
          <w:rFonts w:ascii="Arial" w:hAnsi="Arial" w:cs="Arial"/>
          <w:sz w:val="24"/>
          <w:szCs w:val="24"/>
        </w:rPr>
        <w:t>”.</w:t>
      </w:r>
    </w:p>
    <w:p w14:paraId="2C551C90"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Proiectul derulat de Ministerul Apelor și Pădurilor este realizat în parteneriat cu Institutul Național de Cercetare Dezvoltare Marină ”Grigore Antipa” și Administrația Națională „Apele Române” și finanțat prin Programul Operațional Capacitate Administrativă 2014-2020, axa prioritară IP12/2018 Sprijin pentru acțiuni de consolidare a capacității autorităților și instituțiilor publice centrale, obiectivul specific OS 1.1 Dezvoltarea și introducerea de sisteme și standarde comune în administrația publică ce optimizează procesele decizionale orientate către cetățeni și mediul de afaceri în concordanță cu SCAP.  </w:t>
      </w:r>
    </w:p>
    <w:p w14:paraId="58358DF0" w14:textId="77777777" w:rsidR="00F45A96" w:rsidRDefault="00F45A96" w:rsidP="00F45A96">
      <w:pPr>
        <w:spacing w:before="120" w:after="120" w:line="240" w:lineRule="auto"/>
        <w:ind w:firstLine="567"/>
        <w:jc w:val="both"/>
        <w:rPr>
          <w:rFonts w:ascii="Arial" w:hAnsi="Arial" w:cs="Arial"/>
          <w:sz w:val="24"/>
          <w:szCs w:val="24"/>
        </w:rPr>
      </w:pPr>
      <w:bookmarkStart w:id="45" w:name="_Hlk86153978"/>
      <w:r>
        <w:rPr>
          <w:rFonts w:ascii="Arial" w:hAnsi="Arial" w:cs="Arial"/>
          <w:sz w:val="24"/>
          <w:szCs w:val="24"/>
        </w:rPr>
        <w:t xml:space="preserve"> </w:t>
      </w:r>
      <w:r>
        <w:rPr>
          <w:rFonts w:ascii="Arial" w:hAnsi="Arial" w:cs="Arial"/>
          <w:sz w:val="24"/>
          <w:szCs w:val="24"/>
        </w:rPr>
        <w:tab/>
        <w:t>Obiectivele generale fac referire la contribuția pentru fundamentarea și sprijinirea măsurilor ce vizează consolidarea cadrului instituțional, optimizarea proceselor și pregătirea resurselor umane în vederea îndeplinirii obligațiilor asumate prin legislația UE, în special, în ceea ce privește conformarea cu cerințele Directivei 2008/56/CE a Parlamentului European și a Consiliului din 17 iunie 2008 de instituire a unui cadru de acțiune comunitară în domeniul politicii privind mediul marin (Directiva-cadru Strategia pentru mediul marin), având ca scop consolidarea capacității autorităților și instituțiilor publice din domeniul gospodăririi apelor și protecția mediului marin.</w:t>
      </w:r>
    </w:p>
    <w:p w14:paraId="199310EC"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 </w:t>
      </w:r>
      <w:r>
        <w:rPr>
          <w:rFonts w:ascii="Arial" w:hAnsi="Arial" w:cs="Arial"/>
          <w:sz w:val="24"/>
          <w:szCs w:val="24"/>
        </w:rPr>
        <w:tab/>
        <w:t>Ca și rezultate finale, se are în vedere elaborarea unui program de măsuri pentru atingerea obiectivelor Directivei-cadru Strategia pentru mediul marin, respectiv atingerea stării ecologice bune a Mării Negre; a unei Strategii naționale privind gospodărirea integrată a zonei costiere, inclusiv a Planului de gospodărire integrată a zonei costiere, precum și întocmirea unui proiect de Hotărâre de Guvern privind stabilirea programului de monitoring integrat al zonei costiere.</w:t>
      </w:r>
    </w:p>
    <w:bookmarkEnd w:id="45"/>
    <w:p w14:paraId="39FCF451"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În vederea promovării adaptării la schimbările climatice, prevenirii și gestionării riscurilor, prin POIM 2014-2020, Axa Prioritară 5 „Promovarea adaptării la schimbările climatice, prevenirea și gestionarea riscurilor”, pentru reducerea efectelor și a pagubelor asupra populației, cauzate de fenomenele naturale asociate principalelor riscuri accentuate de schimbările climatice, în principal de inundații și eroziune costieră, se desfășoară proiectul “Reducerea eroziunii costiere faza II (2014-2020)”, prin care se realizează 30,54 km de plajă/ faleză protejată. Scopul acestui proiect este prevenirea eroziunii costiere, prin acțiuni specifice de limitare a efectelor negative ale acesteia asupra zonelor de coastă ale litoralului românesc. Se va sprijini astfel dezvoltarea unui </w:t>
      </w:r>
      <w:r>
        <w:rPr>
          <w:rFonts w:ascii="Arial" w:hAnsi="Arial" w:cs="Arial"/>
          <w:sz w:val="24"/>
          <w:szCs w:val="24"/>
        </w:rPr>
        <w:lastRenderedPageBreak/>
        <w:t xml:space="preserve">mediu corespunzător creșterii valorii conservative a habitatelor marine în zonele proiectului, asigurarea condițiilor pentru păstrarea și susținerea dezvoltării viitoare a speciilor marine cu valoare conservativă mare. </w:t>
      </w:r>
    </w:p>
    <w:p w14:paraId="3835A550" w14:textId="77777777" w:rsidR="00F45A96" w:rsidRDefault="00F45A96" w:rsidP="00F45A96">
      <w:pPr>
        <w:spacing w:before="120" w:after="120" w:line="240" w:lineRule="auto"/>
        <w:ind w:firstLine="708"/>
        <w:jc w:val="both"/>
        <w:rPr>
          <w:rFonts w:ascii="Arial" w:hAnsi="Arial" w:cs="Arial"/>
          <w:sz w:val="24"/>
          <w:szCs w:val="24"/>
        </w:rPr>
      </w:pPr>
      <w:r>
        <w:rPr>
          <w:rFonts w:ascii="Arial" w:hAnsi="Arial" w:cs="Arial"/>
          <w:sz w:val="24"/>
          <w:szCs w:val="24"/>
        </w:rPr>
        <w:t xml:space="preserve">La nivel internațional, măsurile propuse în cadrul </w:t>
      </w:r>
      <w:r>
        <w:rPr>
          <w:rFonts w:ascii="Arial" w:hAnsi="Arial" w:cs="Arial"/>
          <w:i/>
          <w:sz w:val="24"/>
          <w:szCs w:val="24"/>
        </w:rPr>
        <w:t>Planului de Management al Districtului Internațional al Dunării</w:t>
      </w:r>
      <w:r>
        <w:rPr>
          <w:rFonts w:ascii="Arial" w:hAnsi="Arial" w:cs="Arial"/>
          <w:sz w:val="24"/>
          <w:szCs w:val="24"/>
        </w:rPr>
        <w:t xml:space="preserve"> vor contribui în cea mai mare parte la reducerea aportului poluării zonei costiere și marine și vor fi luate în considerare la stabilirea </w:t>
      </w:r>
      <w:r>
        <w:rPr>
          <w:rFonts w:ascii="Arial" w:hAnsi="Arial" w:cs="Arial"/>
          <w:i/>
          <w:sz w:val="24"/>
          <w:szCs w:val="24"/>
        </w:rPr>
        <w:t xml:space="preserve">Programul de Măsuri </w:t>
      </w:r>
      <w:r>
        <w:rPr>
          <w:rFonts w:ascii="Arial" w:hAnsi="Arial" w:cs="Arial"/>
          <w:sz w:val="24"/>
          <w:szCs w:val="24"/>
        </w:rPr>
        <w:t xml:space="preserve">aferent implementării Directivei Cadru Strategia pentru Mediul Marin. În decembrie 2012, </w:t>
      </w:r>
      <w:r>
        <w:rPr>
          <w:rFonts w:ascii="Arial" w:hAnsi="Arial" w:cs="Arial"/>
          <w:b/>
          <w:bCs/>
          <w:sz w:val="24"/>
          <w:szCs w:val="24"/>
        </w:rPr>
        <w:t>Strategia Comisiei Internaționale pentru Protecția Fluviului Dunărea (ICPDR) privind adaptarea la schimbările climatice</w:t>
      </w:r>
      <w:r>
        <w:rPr>
          <w:rFonts w:ascii="Arial" w:hAnsi="Arial" w:cs="Arial"/>
          <w:sz w:val="24"/>
          <w:szCs w:val="24"/>
        </w:rPr>
        <w:t xml:space="preserve"> a fost finalizată și adoptată, aceasta fiind actiualizată în anul 2018</w:t>
      </w:r>
      <w:r>
        <w:rPr>
          <w:rStyle w:val="FootnoteReference"/>
          <w:rFonts w:ascii="Arial" w:hAnsi="Arial" w:cs="Arial"/>
          <w:sz w:val="24"/>
          <w:szCs w:val="24"/>
        </w:rPr>
        <w:footnoteReference w:id="8"/>
      </w:r>
      <w:r>
        <w:rPr>
          <w:rFonts w:ascii="Arial" w:hAnsi="Arial" w:cs="Arial"/>
          <w:sz w:val="24"/>
          <w:szCs w:val="24"/>
        </w:rPr>
        <w:t xml:space="preserve">. Strategia are ca scop oferirea cadrului și orientărilor privind integrarea adaptării la schimbările climatice în procesele de planificare la nivelul bazinului hidrografic al Dunării.. În România, Strategia naţională privind schimbările climatice a fost adoptată prin Hotărârea Guvernului nr. 529/2013 pentru aprobarea Strategiei naţionale a României privind schimbările climatice 2013-2020, prin implementarea acesteia urmărindu-se reducerea emisiilor de gaze cu efect de seră și adaptarea la efectele negative, inevitabile ale schimbărilor climatice asupra sistemelor naturale și antropice. În prezent această strategie națională și planul de acțiune aferent se află în curs de actualzaire, pentru includerea obiectivelor privind schimbările climatice din cadrul Pactului Ecologic European. </w:t>
      </w:r>
    </w:p>
    <w:p w14:paraId="7D13B863"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 xml:space="preserve">În vederea stabilirii unor măsuri privind adaptarea la schimbările climatice în perioada 2022-2027 se vor realiza acţiuni importante referitoare la atenuarea și adaptarea managementului apelor la schimbările climatice. Astfel se continuă implementarea acţiunilor de adaptare la nivel naţional, regional și local stabilite în </w:t>
      </w:r>
      <w:r>
        <w:rPr>
          <w:rFonts w:ascii="Arial" w:hAnsi="Arial" w:cs="Arial"/>
          <w:b/>
          <w:bCs/>
          <w:sz w:val="24"/>
          <w:szCs w:val="24"/>
        </w:rPr>
        <w:t>Strategia Națională a României privind Schimbările Climatice</w:t>
      </w:r>
      <w:r>
        <w:rPr>
          <w:rFonts w:ascii="Arial" w:hAnsi="Arial" w:cs="Arial"/>
          <w:sz w:val="24"/>
          <w:szCs w:val="24"/>
        </w:rPr>
        <w:t xml:space="preserve"> și a principalelor acţiuni incluse în </w:t>
      </w:r>
      <w:r>
        <w:rPr>
          <w:rFonts w:ascii="Arial" w:hAnsi="Arial" w:cs="Arial"/>
          <w:b/>
          <w:bCs/>
          <w:sz w:val="24"/>
          <w:szCs w:val="24"/>
        </w:rPr>
        <w:t>Planul Naţional de acțiune privind schimbările climatice</w:t>
      </w:r>
      <w:r>
        <w:rPr>
          <w:rFonts w:ascii="Arial" w:hAnsi="Arial" w:cs="Arial"/>
          <w:sz w:val="24"/>
          <w:szCs w:val="24"/>
        </w:rPr>
        <w:t xml:space="preserve"> pentru îmbunătăţirea rezistenţei la schimbările climatice în sectoarele legate de apă.</w:t>
      </w:r>
    </w:p>
    <w:p w14:paraId="7895B55B"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 xml:space="preserve">Acțiunile de atenuare pentru reducerea emisiilor de gaze cu efect de seră se referă în pincipal la reducerea emisiilor din sectorul alimentării cu apă şi al epurării apelor uzate, iar  acțiunile de adaptare la schimbările climatice pivind apa potabilă şi resursele de apă se referă la reducerea riscului de deficit de apă, reducerea riscului de inundații și creşterea gradului de siguranţă al barajelor şi digurilor. </w:t>
      </w:r>
    </w:p>
    <w:p w14:paraId="225B6CF4"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 xml:space="preserve">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 </w:t>
      </w:r>
    </w:p>
    <w:p w14:paraId="286FA116"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Indicele de exploatare al Apei (WEI+) este indicatorul care definește nivelul presiunii pe care activitățile antropogene o exercită asupra resurselor naturale de apă într-un anumit spațiu (sub-bazin hidrografice, bazin hidrografic, teritoriu național și district internațional), în vederea identificării acelor zone predispuse la deficit de apă. Perioada minimă care se ia în considerare pentru calcularea mediei anuale pe termen lung a WEI+ este de 20 ani.</w:t>
      </w:r>
    </w:p>
    <w:p w14:paraId="5D8397AA" w14:textId="77777777" w:rsidR="00F45A96" w:rsidRDefault="00F45A96" w:rsidP="00F45A96">
      <w:pPr>
        <w:spacing w:before="120" w:after="120" w:line="240" w:lineRule="auto"/>
        <w:ind w:firstLine="720"/>
        <w:jc w:val="both"/>
        <w:rPr>
          <w:rFonts w:ascii="Arial" w:hAnsi="Arial" w:cs="Arial"/>
          <w:sz w:val="24"/>
          <w:szCs w:val="24"/>
          <w:lang w:eastAsia="x-none"/>
        </w:rPr>
      </w:pPr>
      <w:r>
        <w:rPr>
          <w:rFonts w:ascii="Arial" w:hAnsi="Arial" w:cs="Arial"/>
          <w:sz w:val="24"/>
          <w:szCs w:val="24"/>
        </w:rPr>
        <w:t>În România, potrivit datelor EUROSTAT, indicele de exploatare al apei WEI+ pentru România se află sub limita de 20% care constituie pragul de vertizare pentru deficitul de apă și cu mult sub 40% care constituie limita pentru deficitul sever de apă. Astfel, d</w:t>
      </w:r>
      <w:r>
        <w:rPr>
          <w:rFonts w:ascii="Arial" w:hAnsi="Arial" w:cs="Arial"/>
          <w:sz w:val="24"/>
          <w:szCs w:val="24"/>
          <w:lang w:eastAsia="x-none"/>
        </w:rPr>
        <w:t xml:space="preserve">in datele transmise în perioada 1990-2017 de România la Eurostat și preluate de către Agenția Europenă de Mediu a reieșit faptul că la nivelul  României a fost identificat </w:t>
      </w:r>
      <w:r>
        <w:rPr>
          <w:rFonts w:ascii="Arial" w:hAnsi="Arial" w:cs="Arial"/>
          <w:sz w:val="24"/>
          <w:szCs w:val="24"/>
          <w:lang w:eastAsia="x-none"/>
        </w:rPr>
        <w:lastRenderedPageBreak/>
        <w:t>un stres/deficit relativ scăzut al apei, valoarea medie anuală a WEI+ situându-se în jurul unor valori minime de 1,6 % în anii 2005-2006 și o valoare maximă de 17,5 % în anul 1990 (</w:t>
      </w:r>
      <w:r>
        <w:rPr>
          <w:rFonts w:ascii="Arial" w:hAnsi="Arial" w:cs="Arial"/>
          <w:i/>
          <w:iCs/>
          <w:sz w:val="24"/>
          <w:szCs w:val="24"/>
          <w:lang w:eastAsia="x-none"/>
        </w:rPr>
        <w:t>Figura II.2.4.2</w:t>
      </w:r>
      <w:r>
        <w:rPr>
          <w:rFonts w:ascii="Arial" w:hAnsi="Arial" w:cs="Arial"/>
          <w:sz w:val="24"/>
          <w:szCs w:val="24"/>
          <w:lang w:eastAsia="x-none"/>
        </w:rPr>
        <w:t>).</w:t>
      </w:r>
    </w:p>
    <w:p w14:paraId="1C5E4A53" w14:textId="77777777" w:rsidR="00F45A96" w:rsidRPr="00BD439F" w:rsidRDefault="00F45A96" w:rsidP="00F45A96">
      <w:pPr>
        <w:spacing w:before="120" w:after="120" w:line="240" w:lineRule="auto"/>
        <w:rPr>
          <w:rFonts w:ascii="Arial" w:hAnsi="Arial" w:cs="Arial"/>
          <w:b/>
          <w:bCs/>
          <w:i/>
          <w:iCs/>
          <w:sz w:val="24"/>
          <w:szCs w:val="24"/>
          <w:lang w:eastAsia="x-none"/>
        </w:rPr>
      </w:pPr>
      <w:r w:rsidRPr="00BD439F">
        <w:rPr>
          <w:rFonts w:ascii="Arial" w:hAnsi="Arial" w:cs="Arial"/>
          <w:b/>
          <w:bCs/>
          <w:i/>
          <w:iCs/>
          <w:sz w:val="24"/>
          <w:szCs w:val="24"/>
          <w:lang w:eastAsia="x-none"/>
        </w:rPr>
        <w:t>Figura II.2.4.2</w:t>
      </w:r>
      <w:r>
        <w:rPr>
          <w:rFonts w:ascii="Arial" w:hAnsi="Arial" w:cs="Arial"/>
          <w:b/>
          <w:bCs/>
          <w:i/>
          <w:iCs/>
          <w:sz w:val="24"/>
          <w:szCs w:val="24"/>
          <w:lang w:eastAsia="x-none"/>
        </w:rPr>
        <w:t xml:space="preserve"> </w:t>
      </w:r>
      <w:r>
        <w:rPr>
          <w:rFonts w:ascii="Arial" w:hAnsi="Arial" w:cs="Arial"/>
          <w:b/>
          <w:bCs/>
          <w:sz w:val="24"/>
          <w:szCs w:val="24"/>
          <w:lang w:eastAsia="x-none"/>
        </w:rPr>
        <w:t>Evoluția WEI+ în România în perioada 1990-2017</w:t>
      </w:r>
    </w:p>
    <w:p w14:paraId="68560567" w14:textId="6AFD3F75" w:rsidR="00F45A96" w:rsidRDefault="00F45A96" w:rsidP="00F45A96">
      <w:pPr>
        <w:spacing w:before="120" w:after="120" w:line="240" w:lineRule="auto"/>
        <w:jc w:val="center"/>
        <w:rPr>
          <w:rFonts w:ascii="Arial" w:hAnsi="Arial" w:cs="Arial"/>
          <w:sz w:val="24"/>
          <w:szCs w:val="24"/>
        </w:rPr>
      </w:pPr>
      <w:r>
        <w:rPr>
          <w:rFonts w:ascii="Arial" w:hAnsi="Arial" w:cs="Arial"/>
          <w:noProof/>
          <w:sz w:val="24"/>
          <w:szCs w:val="24"/>
          <w:lang w:val="en-GB" w:eastAsia="en-GB"/>
        </w:rPr>
        <w:drawing>
          <wp:inline distT="0" distB="0" distL="0" distR="0" wp14:anchorId="61340755" wp14:editId="21D7B310">
            <wp:extent cx="4029075" cy="21050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29075" cy="2105025"/>
                    </a:xfrm>
                    <a:prstGeom prst="rect">
                      <a:avLst/>
                    </a:prstGeom>
                    <a:noFill/>
                    <a:ln>
                      <a:noFill/>
                    </a:ln>
                  </pic:spPr>
                </pic:pic>
              </a:graphicData>
            </a:graphic>
          </wp:inline>
        </w:drawing>
      </w:r>
    </w:p>
    <w:p w14:paraId="471A238C" w14:textId="77777777" w:rsidR="00F45A96" w:rsidRDefault="00F45A96" w:rsidP="00F45A96">
      <w:pPr>
        <w:spacing w:before="120" w:after="120" w:line="240" w:lineRule="auto"/>
        <w:jc w:val="both"/>
        <w:rPr>
          <w:rFonts w:ascii="Arial" w:hAnsi="Arial" w:cs="Arial"/>
          <w:sz w:val="20"/>
          <w:szCs w:val="20"/>
        </w:rPr>
      </w:pPr>
      <w:r>
        <w:rPr>
          <w:rFonts w:ascii="Arial" w:hAnsi="Arial" w:cs="Arial"/>
          <w:sz w:val="20"/>
          <w:szCs w:val="20"/>
        </w:rPr>
        <w:t xml:space="preserve">Sursa datelor: EUROSTAT, Development of the water exploitation index plus (WEI+), </w:t>
      </w:r>
      <w:hyperlink r:id="rId103" w:anchor="tab-chart_3" w:history="1">
        <w:r>
          <w:rPr>
            <w:rStyle w:val="Hyperlink"/>
            <w:rFonts w:ascii="Arial" w:hAnsi="Arial" w:cs="Arial"/>
            <w:sz w:val="20"/>
            <w:szCs w:val="20"/>
          </w:rPr>
          <w:t>https://www.eea.europa.eu/data-and-maps/daviz/water-exploitation-index-plus#tab-chart_3</w:t>
        </w:r>
      </w:hyperlink>
      <w:r>
        <w:rPr>
          <w:rFonts w:ascii="Arial" w:hAnsi="Arial" w:cs="Arial"/>
          <w:sz w:val="20"/>
          <w:szCs w:val="20"/>
        </w:rPr>
        <w:t xml:space="preserve"> </w:t>
      </w:r>
    </w:p>
    <w:p w14:paraId="50D2979C" w14:textId="77777777" w:rsidR="00F45A96" w:rsidRDefault="00F45A96" w:rsidP="00F45A96">
      <w:pPr>
        <w:spacing w:before="120" w:after="120" w:line="240" w:lineRule="auto"/>
        <w:ind w:firstLine="567"/>
        <w:jc w:val="both"/>
        <w:rPr>
          <w:rFonts w:ascii="Arial" w:hAnsi="Arial" w:cs="Arial"/>
          <w:sz w:val="24"/>
          <w:szCs w:val="24"/>
        </w:rPr>
      </w:pPr>
    </w:p>
    <w:p w14:paraId="3A0F2F23" w14:textId="77777777" w:rsidR="00F45A96" w:rsidRDefault="00F45A96" w:rsidP="00F45A96">
      <w:pPr>
        <w:spacing w:after="0" w:line="240" w:lineRule="auto"/>
        <w:ind w:firstLine="720"/>
        <w:jc w:val="both"/>
        <w:rPr>
          <w:rFonts w:ascii="Arial" w:hAnsi="Arial" w:cs="Arial"/>
          <w:sz w:val="24"/>
          <w:szCs w:val="24"/>
        </w:rPr>
      </w:pPr>
      <w:r>
        <w:rPr>
          <w:rFonts w:ascii="Arial" w:hAnsi="Arial" w:cs="Arial"/>
          <w:sz w:val="24"/>
          <w:szCs w:val="24"/>
        </w:rPr>
        <w:t>În ceea ce privește prelevarea de apă pentru utilizare în scop potabil, la nivelul anului 2018 în România s-au utilizat cca. 46 m</w:t>
      </w:r>
      <w:r>
        <w:rPr>
          <w:rFonts w:ascii="Arial" w:hAnsi="Arial" w:cs="Arial"/>
          <w:sz w:val="24"/>
          <w:szCs w:val="24"/>
          <w:vertAlign w:val="superscript"/>
        </w:rPr>
        <w:t>3</w:t>
      </w:r>
      <w:r>
        <w:rPr>
          <w:rFonts w:ascii="Arial" w:hAnsi="Arial" w:cs="Arial"/>
          <w:sz w:val="24"/>
          <w:szCs w:val="24"/>
        </w:rPr>
        <w:t>/locuitor (Figura II. 2.4.3), ceea ce plaseză România printre țările cu un consum mediu la nivel european.</w:t>
      </w:r>
    </w:p>
    <w:p w14:paraId="73902808" w14:textId="77777777" w:rsidR="00F45A96" w:rsidRDefault="00F45A96" w:rsidP="00F45A96">
      <w:pPr>
        <w:spacing w:after="0" w:line="240" w:lineRule="auto"/>
        <w:ind w:firstLine="567"/>
        <w:jc w:val="both"/>
        <w:rPr>
          <w:rFonts w:ascii="Arial" w:hAnsi="Arial" w:cs="Arial"/>
          <w:sz w:val="24"/>
          <w:szCs w:val="24"/>
        </w:rPr>
      </w:pPr>
    </w:p>
    <w:p w14:paraId="7C5C9E55" w14:textId="77777777" w:rsidR="00F45A96" w:rsidRDefault="00F45A96" w:rsidP="00F45A96">
      <w:pPr>
        <w:spacing w:before="120" w:after="120" w:line="240" w:lineRule="auto"/>
        <w:rPr>
          <w:rFonts w:ascii="Arial" w:hAnsi="Arial" w:cs="Arial"/>
          <w:sz w:val="24"/>
          <w:szCs w:val="24"/>
        </w:rPr>
      </w:pPr>
      <w:r w:rsidRPr="00BD439F">
        <w:rPr>
          <w:rFonts w:ascii="Arial" w:hAnsi="Arial" w:cs="Arial"/>
          <w:b/>
          <w:bCs/>
          <w:i/>
          <w:iCs/>
          <w:sz w:val="24"/>
          <w:szCs w:val="24"/>
          <w:lang w:eastAsia="x-none"/>
        </w:rPr>
        <w:t>Figura II. 2.4.3</w:t>
      </w:r>
      <w:r>
        <w:rPr>
          <w:rFonts w:ascii="Arial" w:hAnsi="Arial" w:cs="Arial"/>
          <w:b/>
          <w:bCs/>
          <w:i/>
          <w:iCs/>
          <w:sz w:val="24"/>
          <w:szCs w:val="24"/>
          <w:lang w:eastAsia="x-none"/>
        </w:rPr>
        <w:t xml:space="preserve"> </w:t>
      </w:r>
      <w:r>
        <w:rPr>
          <w:rFonts w:ascii="Arial" w:hAnsi="Arial" w:cs="Arial"/>
          <w:b/>
          <w:bCs/>
          <w:i/>
          <w:iCs/>
          <w:sz w:val="24"/>
          <w:szCs w:val="24"/>
        </w:rPr>
        <w:t>Prelevarea de apă pentru utilizare în scop potabil la nivel european</w:t>
      </w:r>
    </w:p>
    <w:p w14:paraId="08332495" w14:textId="074828F5" w:rsidR="00F45A96" w:rsidRDefault="00F45A96" w:rsidP="00F45A96">
      <w:pPr>
        <w:spacing w:before="120" w:after="120" w:line="240" w:lineRule="auto"/>
        <w:jc w:val="both"/>
        <w:rPr>
          <w:rFonts w:ascii="Arial" w:hAnsi="Arial" w:cs="Arial"/>
          <w:sz w:val="24"/>
          <w:szCs w:val="24"/>
        </w:rPr>
      </w:pPr>
      <w:r>
        <w:rPr>
          <w:rFonts w:ascii="Arial" w:hAnsi="Arial" w:cs="Arial"/>
          <w:noProof/>
          <w:sz w:val="24"/>
          <w:szCs w:val="24"/>
          <w:lang w:val="en-GB" w:eastAsia="en-GB"/>
        </w:rPr>
        <w:drawing>
          <wp:inline distT="0" distB="0" distL="0" distR="0" wp14:anchorId="240A362D" wp14:editId="55325733">
            <wp:extent cx="5934075" cy="43434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075" cy="4343400"/>
                    </a:xfrm>
                    <a:prstGeom prst="rect">
                      <a:avLst/>
                    </a:prstGeom>
                    <a:noFill/>
                    <a:ln>
                      <a:noFill/>
                    </a:ln>
                  </pic:spPr>
                </pic:pic>
              </a:graphicData>
            </a:graphic>
          </wp:inline>
        </w:drawing>
      </w:r>
    </w:p>
    <w:p w14:paraId="2D0F2BCA" w14:textId="77777777" w:rsidR="00F45A96" w:rsidRDefault="00F45A96" w:rsidP="00F45A96">
      <w:pPr>
        <w:spacing w:after="0" w:line="240" w:lineRule="auto"/>
        <w:jc w:val="both"/>
        <w:rPr>
          <w:rFonts w:ascii="Arial" w:hAnsi="Arial" w:cs="Arial"/>
          <w:sz w:val="20"/>
          <w:szCs w:val="20"/>
        </w:rPr>
      </w:pPr>
      <w:r>
        <w:rPr>
          <w:rFonts w:ascii="Arial" w:hAnsi="Arial" w:cs="Arial"/>
          <w:sz w:val="20"/>
          <w:szCs w:val="20"/>
        </w:rPr>
        <w:t xml:space="preserve">Sursa datelor: EUROSTAT, Annual freshwater abstraction by source and sector (https://ec.europa.eu/eurostat/web/products-datasets/-/env_wat_abs) </w:t>
      </w:r>
    </w:p>
    <w:p w14:paraId="3A0FBF0C" w14:textId="77777777" w:rsidR="00F45A96" w:rsidRDefault="00F45A96" w:rsidP="00F45A96">
      <w:pPr>
        <w:spacing w:before="120" w:after="120" w:line="240" w:lineRule="auto"/>
        <w:ind w:firstLine="567"/>
        <w:jc w:val="both"/>
        <w:rPr>
          <w:rFonts w:ascii="Arial" w:hAnsi="Arial" w:cs="Arial"/>
          <w:sz w:val="24"/>
          <w:szCs w:val="24"/>
        </w:rPr>
      </w:pPr>
    </w:p>
    <w:p w14:paraId="092100F6"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Potrivit raportului Băncii Mondiale</w:t>
      </w:r>
      <w:r>
        <w:rPr>
          <w:rStyle w:val="FootnoteReference"/>
          <w:rFonts w:ascii="Arial" w:hAnsi="Arial" w:cs="Arial"/>
          <w:sz w:val="24"/>
          <w:szCs w:val="24"/>
        </w:rPr>
        <w:footnoteReference w:id="9"/>
      </w:r>
      <w:r>
        <w:rPr>
          <w:rFonts w:ascii="Arial" w:hAnsi="Arial" w:cs="Arial"/>
          <w:sz w:val="24"/>
          <w:szCs w:val="24"/>
        </w:rPr>
        <w:t>, ”dintre țările din bazinul Dunării, se preconizează că România va fi cea mai afectată de schimbările climatice în ansamblu”. [...] este așteptată o creștere a frecvenţei și magnitudinii secetelor în mai multe zone ale ţării, în special în zona sud-estică, care are cea mai mare concentraţie de terenuri arabile și infrastructură de irigaţii în ţară. Un climat semi-arid se va instala treptat aici în următoarele două-trei decenii.</w:t>
      </w:r>
    </w:p>
    <w:p w14:paraId="522E896D" w14:textId="77777777" w:rsidR="00F45A96" w:rsidRDefault="00F45A96" w:rsidP="00F45A96">
      <w:pPr>
        <w:autoSpaceDE w:val="0"/>
        <w:autoSpaceDN w:val="0"/>
        <w:adjustRightInd w:val="0"/>
        <w:spacing w:before="120" w:after="120" w:line="240" w:lineRule="auto"/>
        <w:ind w:firstLine="720"/>
        <w:jc w:val="both"/>
        <w:rPr>
          <w:rFonts w:ascii="Arial" w:hAnsi="Arial" w:cs="Arial"/>
          <w:sz w:val="24"/>
          <w:szCs w:val="24"/>
        </w:rPr>
      </w:pPr>
      <w:r>
        <w:rPr>
          <w:rFonts w:ascii="Arial" w:hAnsi="Arial" w:cs="Arial"/>
          <w:sz w:val="24"/>
          <w:szCs w:val="24"/>
        </w:rPr>
        <w:t>Seceta hidrologică se manifestă prin menținerea unui deficit al resurselor de apă pe o perioadă relativ îndelungată și continuă. Seceta hidrologică are ca efect scăderea debitelor râurilor fiind rezultatul acțiunii conjugate și simultane a unui complex de cauze (scăderea cantității de precipitații, creșterea temperaturii aerului, scăderea nivelului apelor freatice). Seceta hidrologică ia în considerare persistenţa debitelor mici, a volumelor mici de apă din lacurile de acumulare, a nivelurilor scăzute a apelor subterane din ultimele luni sau ani. Deşi seceta hidrologică este un fenomen natural, ea poate fi accentuată ca urmare a activităţilor umane. De regulă, seceta hidrologică este în strânsă legatură cu seceta meteorologică între care există o relaţie directă. Valorile tendințelor de secetă hidrologică în România, determinate pe baza indicelui  Palmer, sugerează existența unei tendințe de secetă de la moderată la extremă pe areale din vestul extrem, Câmpia Română, Bărăgan și nordul Dobrogei și a unei tendințe spre excedent (surplus de apă) de la moderat la extrem al resurselor de apă în regiuni din nord-vestul României și sudul Dobrogei, mai ales în vestul extrem și sud-vestul României. Pe baza scenariilor climatice previzible pentru perioadele 2011-2040 şi 2021-2050 şi efectele cuantificabile asupra temperaturii medii multianuale şi precipitațiilor medii multianuale în România, bazinele hidrografice identificate ca fiind supuse, în mod frecvent, fenomenului de secetă hidrologică, atât în prezent cât și în viitor luând în considerare efectele schimbărilor climatice, sunt cele care se află  pe teritoriul Administrațiilor Bazinale de Apă Jiu, Olt, Argeş – Vedea,  Ialomiţa -Buzău, Siret, Prut – Bârlad şi Dobrogea – Litoral.</w:t>
      </w:r>
    </w:p>
    <w:p w14:paraId="5E5AECF1" w14:textId="77777777" w:rsidR="00F45A96" w:rsidRDefault="00F45A96" w:rsidP="00F45A96">
      <w:pPr>
        <w:autoSpaceDE w:val="0"/>
        <w:autoSpaceDN w:val="0"/>
        <w:adjustRightInd w:val="0"/>
        <w:spacing w:before="120" w:after="120" w:line="240" w:lineRule="auto"/>
        <w:ind w:firstLine="720"/>
        <w:jc w:val="both"/>
        <w:rPr>
          <w:rFonts w:ascii="Arial" w:hAnsi="Arial" w:cs="Arial"/>
          <w:bCs/>
          <w:sz w:val="24"/>
          <w:szCs w:val="24"/>
        </w:rPr>
      </w:pPr>
      <w:r>
        <w:rPr>
          <w:rFonts w:ascii="Arial" w:hAnsi="Arial" w:cs="Arial"/>
          <w:bCs/>
          <w:sz w:val="24"/>
          <w:szCs w:val="24"/>
        </w:rPr>
        <w:t>În România, în cadrul</w:t>
      </w:r>
      <w:r>
        <w:rPr>
          <w:rFonts w:ascii="Arial" w:hAnsi="Arial" w:cs="Arial"/>
          <w:b/>
          <w:bCs/>
          <w:sz w:val="24"/>
          <w:szCs w:val="24"/>
        </w:rPr>
        <w:t xml:space="preserve"> </w:t>
      </w:r>
      <w:bookmarkStart w:id="46" w:name="_Hlk75341217"/>
      <w:r>
        <w:rPr>
          <w:rFonts w:ascii="Arial" w:hAnsi="Arial" w:cs="Arial"/>
          <w:b/>
          <w:bCs/>
          <w:i/>
          <w:sz w:val="24"/>
          <w:szCs w:val="24"/>
        </w:rPr>
        <w:t>Strategiei naţionale privind reducerea efectelor secetei, prevenirea şi combaterea degradării terenurilor şi deşertificării, pe termen scurt, mediu şi lung</w:t>
      </w:r>
      <w:bookmarkEnd w:id="46"/>
      <w:r>
        <w:rPr>
          <w:rFonts w:ascii="Arial" w:hAnsi="Arial" w:cs="Arial"/>
          <w:b/>
          <w:bCs/>
          <w:sz w:val="24"/>
          <w:szCs w:val="24"/>
        </w:rPr>
        <w:t xml:space="preserve"> </w:t>
      </w:r>
      <w:r>
        <w:rPr>
          <w:rFonts w:ascii="Arial" w:hAnsi="Arial" w:cs="Arial"/>
          <w:bCs/>
          <w:sz w:val="24"/>
          <w:szCs w:val="24"/>
        </w:rPr>
        <w:t xml:space="preserve">sunt menţionate măsuri care să permită gestionarea situaţiilor de urgenţă generate de secetă hidrologică. Scopul general al </w:t>
      </w:r>
      <w:r>
        <w:rPr>
          <w:rFonts w:ascii="Arial" w:hAnsi="Arial" w:cs="Arial"/>
          <w:bCs/>
          <w:i/>
          <w:sz w:val="24"/>
          <w:szCs w:val="24"/>
        </w:rPr>
        <w:t>Strategiei</w:t>
      </w:r>
      <w:r>
        <w:rPr>
          <w:rFonts w:ascii="Arial" w:hAnsi="Arial" w:cs="Arial"/>
          <w:bCs/>
          <w:sz w:val="24"/>
          <w:szCs w:val="24"/>
        </w:rPr>
        <w:t xml:space="preserve"> este de a indica acţiunile de întreprins pe termen scurt, mediu şi lung, pentru a reduce vulnerabilitatea comunităţilor locale, ecosistemelor naturale şi a activităţilor socio-economice şi de a diminua efectele de ordin social, economic şi de mediu ale acestora. </w:t>
      </w:r>
    </w:p>
    <w:p w14:paraId="6140CB4A"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Gestionarea situațiilor de urgență generate de seceta hidrologică este stabilită prin </w:t>
      </w:r>
      <w:r>
        <w:rPr>
          <w:rFonts w:ascii="Arial" w:hAnsi="Arial" w:cs="Arial"/>
          <w:b/>
          <w:bCs/>
          <w:sz w:val="24"/>
          <w:szCs w:val="24"/>
        </w:rPr>
        <w:t xml:space="preserve">Regulamentul privind gestionarea situațiilor de urgență generate de inundații, fenomene periculoase, accidente la construcții hidrotehnice și poluări accidentale, </w:t>
      </w:r>
      <w:r>
        <w:rPr>
          <w:rFonts w:ascii="Arial" w:hAnsi="Arial" w:cs="Arial"/>
          <w:sz w:val="24"/>
          <w:szCs w:val="24"/>
        </w:rPr>
        <w:t>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 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14:paraId="0DC3CBC0"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lastRenderedPageBreak/>
        <w:t xml:space="preserve">Fiecare bazin/spațiu hidrografic întocmește </w:t>
      </w:r>
      <w:r>
        <w:rPr>
          <w:rFonts w:ascii="Arial" w:hAnsi="Arial" w:cs="Arial"/>
          <w:b/>
          <w:bCs/>
          <w:sz w:val="24"/>
          <w:szCs w:val="24"/>
        </w:rPr>
        <w:t>“Planuri de restricţii şi folosire a apei în perioade deficitare“</w:t>
      </w:r>
      <w:r>
        <w:rPr>
          <w:rFonts w:ascii="Arial" w:hAnsi="Arial" w:cs="Arial"/>
          <w:sz w:val="24"/>
          <w:szCs w:val="24"/>
        </w:rPr>
        <w:t>,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are ca scop stabilirea restricţiilor temporare în folosirea apelor în situaţiile când din cauze obiective (secetă/calamităţi naturale) debitele de apă contractate nu pot fi asigurate tuturor utilizatorilor.</w:t>
      </w:r>
    </w:p>
    <w:p w14:paraId="2B6C2D83" w14:textId="77777777" w:rsidR="00F45A96" w:rsidRDefault="00F45A96" w:rsidP="00F45A96">
      <w:pPr>
        <w:spacing w:before="120" w:after="0" w:line="240" w:lineRule="auto"/>
        <w:ind w:firstLine="562"/>
        <w:jc w:val="both"/>
        <w:rPr>
          <w:rFonts w:ascii="Arial" w:hAnsi="Arial" w:cs="Arial"/>
          <w:sz w:val="24"/>
          <w:szCs w:val="24"/>
        </w:rPr>
      </w:pPr>
      <w:r>
        <w:rPr>
          <w:rFonts w:ascii="Arial" w:hAnsi="Arial" w:cs="Arial"/>
          <w:sz w:val="24"/>
          <w:szCs w:val="24"/>
        </w:rPr>
        <w:t>La nivelul districtului bazinului hidrografic al Dunării, cât și în România, sunt planificate sau sunt deja în curs de implementare măsuri specifice pentru adaptarea la schimbările climatice referitoare la deficitul de apă,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aplicarea de instrumente de stimulare (principiul utilizatorului plătește, penalități pentru consum excesiv), etc. În ceea ce privește managementul apelor și seceta, se are în vedere aplicarea de măsuri specifice la nivel national și bazinal, cum ar fi:</w:t>
      </w:r>
    </w:p>
    <w:p w14:paraId="701ACD3C"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adoptarea unor măsuri de creștere a rezilienței, de pregătire și răspuns în situații de secetă (legislative, operaționale, etc.);</w:t>
      </w:r>
    </w:p>
    <w:p w14:paraId="4F405E0C"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îmbunătățirea cunoștințelor, creșterea schimbului de informații dintre comunitatea științifică și factorii de decizie din domeniul apelor;</w:t>
      </w:r>
    </w:p>
    <w:p w14:paraId="7364D7E2" w14:textId="77777777" w:rsidR="00F45A96" w:rsidRDefault="00F45A96" w:rsidP="0054709F">
      <w:pPr>
        <w:numPr>
          <w:ilvl w:val="0"/>
          <w:numId w:val="32"/>
        </w:numPr>
        <w:spacing w:after="0" w:line="240" w:lineRule="auto"/>
        <w:ind w:left="360"/>
        <w:jc w:val="both"/>
        <w:rPr>
          <w:rFonts w:ascii="Arial" w:hAnsi="Arial" w:cs="Arial"/>
          <w:sz w:val="24"/>
          <w:szCs w:val="24"/>
        </w:rPr>
      </w:pPr>
      <w:bookmarkStart w:id="47" w:name="_Hlk76636248"/>
      <w:r>
        <w:rPr>
          <w:rFonts w:ascii="Arial" w:hAnsi="Arial" w:cs="Arial"/>
          <w:sz w:val="24"/>
          <w:szCs w:val="24"/>
        </w:rPr>
        <w:t>elaborarea studiilor de vulnerabilitate a resurselor de apă la impactul schimbărilor climatice</w:t>
      </w:r>
      <w:bookmarkEnd w:id="47"/>
      <w:r>
        <w:rPr>
          <w:rFonts w:ascii="Arial" w:hAnsi="Arial" w:cs="Arial"/>
          <w:sz w:val="24"/>
          <w:szCs w:val="24"/>
        </w:rPr>
        <w:t>;</w:t>
      </w:r>
    </w:p>
    <w:p w14:paraId="7EBAFE05"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 xml:space="preserve">actualizarea evaluării </w:t>
      </w:r>
      <w:bookmarkStart w:id="48" w:name="_Hlk76636264"/>
      <w:r>
        <w:rPr>
          <w:rFonts w:ascii="Arial" w:hAnsi="Arial" w:cs="Arial"/>
          <w:sz w:val="24"/>
          <w:szCs w:val="24"/>
        </w:rPr>
        <w:t>disponibilității resurselor de apă pe baza programelor de monitorizare</w:t>
      </w:r>
      <w:bookmarkEnd w:id="48"/>
      <w:r>
        <w:rPr>
          <w:rFonts w:ascii="Arial" w:hAnsi="Arial" w:cs="Arial"/>
          <w:sz w:val="24"/>
          <w:szCs w:val="24"/>
        </w:rPr>
        <w:t xml:space="preserve">, în vederea stabilirii acțiunilor și măsurilor; </w:t>
      </w:r>
    </w:p>
    <w:p w14:paraId="66B00F02"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 xml:space="preserve">dezvoltarea </w:t>
      </w:r>
      <w:bookmarkStart w:id="49" w:name="_Hlk76636280"/>
      <w:r>
        <w:rPr>
          <w:rFonts w:ascii="Arial" w:hAnsi="Arial" w:cs="Arial"/>
          <w:sz w:val="24"/>
          <w:szCs w:val="24"/>
        </w:rPr>
        <w:t>scenariilor pentru cerința de apă a sectoarelor economice și propunerea de măsuri de atenuare și adaptare la schimbările climatice</w:t>
      </w:r>
      <w:bookmarkEnd w:id="49"/>
      <w:r>
        <w:rPr>
          <w:rFonts w:ascii="Arial" w:hAnsi="Arial" w:cs="Arial"/>
          <w:sz w:val="24"/>
          <w:szCs w:val="24"/>
        </w:rPr>
        <w:t xml:space="preserve">; </w:t>
      </w:r>
    </w:p>
    <w:p w14:paraId="0B3CB00C"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planificarea infrastructurii pentru managementul resurselor de apă considerând necesarul socio-economic și de mediu (debitul ecologic), inclusiv pentru surse de apă noi și diversificarea acestora;</w:t>
      </w:r>
    </w:p>
    <w:p w14:paraId="323A7A8D"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identificarea și aplicarea utilizării eficiente a apelor, economisirea apei și analiza unei posibile reutilizări a apei;</w:t>
      </w:r>
    </w:p>
    <w:p w14:paraId="087C43ED" w14:textId="77777777" w:rsidR="00F45A96" w:rsidRDefault="00F45A96" w:rsidP="0054709F">
      <w:pPr>
        <w:numPr>
          <w:ilvl w:val="0"/>
          <w:numId w:val="32"/>
        </w:numPr>
        <w:spacing w:after="0" w:line="240" w:lineRule="auto"/>
        <w:ind w:left="360"/>
        <w:jc w:val="both"/>
        <w:rPr>
          <w:rFonts w:ascii="Arial" w:hAnsi="Arial" w:cs="Arial"/>
          <w:sz w:val="24"/>
          <w:szCs w:val="24"/>
        </w:rPr>
      </w:pPr>
      <w:bookmarkStart w:id="50" w:name="_Hlk76636173"/>
      <w:r>
        <w:rPr>
          <w:rFonts w:ascii="Arial" w:hAnsi="Arial" w:cs="Arial"/>
          <w:sz w:val="24"/>
          <w:szCs w:val="24"/>
        </w:rPr>
        <w:t>promovarea și aplicarea măsurilor verzi de retenție naturală a apelor, acolo unde este posibil, pentru asigurarea în principal a cerințelor Directivei Cadru Apă, Directivei Inundații și Directivelor Habitate și Păsări</w:t>
      </w:r>
      <w:bookmarkEnd w:id="50"/>
      <w:r>
        <w:rPr>
          <w:rFonts w:ascii="Arial" w:hAnsi="Arial" w:cs="Arial"/>
          <w:sz w:val="24"/>
          <w:szCs w:val="24"/>
        </w:rPr>
        <w:t>;</w:t>
      </w:r>
    </w:p>
    <w:p w14:paraId="22468044" w14:textId="77777777" w:rsidR="00F45A96" w:rsidRDefault="00F45A96" w:rsidP="0054709F">
      <w:pPr>
        <w:numPr>
          <w:ilvl w:val="0"/>
          <w:numId w:val="32"/>
        </w:numPr>
        <w:spacing w:after="0" w:line="240" w:lineRule="auto"/>
        <w:ind w:left="360"/>
        <w:jc w:val="both"/>
        <w:rPr>
          <w:rFonts w:ascii="Arial" w:hAnsi="Arial" w:cs="Arial"/>
          <w:sz w:val="24"/>
          <w:szCs w:val="24"/>
        </w:rPr>
      </w:pPr>
      <w:r>
        <w:rPr>
          <w:rFonts w:ascii="Arial" w:hAnsi="Arial" w:cs="Arial"/>
          <w:sz w:val="24"/>
          <w:szCs w:val="24"/>
        </w:rPr>
        <w:t>aplicarea rezultatelor proiectelor implementate la nivel internațional (DriDanube</w:t>
      </w:r>
      <w:r>
        <w:rPr>
          <w:rFonts w:ascii="Arial" w:hAnsi="Arial" w:cs="Arial"/>
          <w:sz w:val="24"/>
          <w:szCs w:val="24"/>
          <w:vertAlign w:val="superscript"/>
        </w:rPr>
        <w:footnoteReference w:id="10"/>
      </w:r>
      <w:r>
        <w:rPr>
          <w:rFonts w:ascii="Arial" w:hAnsi="Arial" w:cs="Arial"/>
          <w:sz w:val="24"/>
          <w:szCs w:val="24"/>
        </w:rPr>
        <w:t>/Riscul secetei în regiunea Dunării, DIANA</w:t>
      </w:r>
      <w:r>
        <w:rPr>
          <w:rFonts w:ascii="Arial" w:hAnsi="Arial" w:cs="Arial"/>
          <w:sz w:val="24"/>
          <w:szCs w:val="24"/>
          <w:vertAlign w:val="superscript"/>
        </w:rPr>
        <w:footnoteReference w:id="11"/>
      </w:r>
      <w:r>
        <w:rPr>
          <w:rFonts w:ascii="Arial" w:hAnsi="Arial" w:cs="Arial"/>
          <w:sz w:val="24"/>
          <w:szCs w:val="24"/>
        </w:rPr>
        <w:t>/Detecția și  evaluarea integrată a prelevărilor ilegale de apă, ViWA</w:t>
      </w:r>
      <w:r>
        <w:rPr>
          <w:rFonts w:ascii="Arial" w:hAnsi="Arial" w:cs="Arial"/>
          <w:sz w:val="24"/>
          <w:szCs w:val="24"/>
          <w:vertAlign w:val="superscript"/>
        </w:rPr>
        <w:footnoteReference w:id="12"/>
      </w:r>
      <w:r>
        <w:rPr>
          <w:rFonts w:ascii="Arial" w:hAnsi="Arial" w:cs="Arial"/>
          <w:sz w:val="24"/>
          <w:szCs w:val="24"/>
        </w:rPr>
        <w:t>/Valorile virtuale ale apei);</w:t>
      </w:r>
    </w:p>
    <w:p w14:paraId="05B367C8" w14:textId="77777777" w:rsidR="00F45A96" w:rsidRDefault="00F45A96" w:rsidP="0054709F">
      <w:pPr>
        <w:numPr>
          <w:ilvl w:val="0"/>
          <w:numId w:val="32"/>
        </w:numPr>
        <w:spacing w:after="0" w:line="240" w:lineRule="auto"/>
        <w:ind w:left="360"/>
        <w:jc w:val="both"/>
        <w:rPr>
          <w:rFonts w:ascii="Arial" w:hAnsi="Arial" w:cs="Arial"/>
          <w:sz w:val="24"/>
          <w:szCs w:val="24"/>
        </w:rPr>
      </w:pPr>
      <w:bookmarkStart w:id="51" w:name="_Hlk76636219"/>
      <w:r>
        <w:rPr>
          <w:rFonts w:ascii="Arial" w:hAnsi="Arial" w:cs="Arial"/>
          <w:sz w:val="24"/>
          <w:szCs w:val="24"/>
        </w:rPr>
        <w:t>consolidarea colaborării dintre mediul academic, managementul apelor și sectoarele social-economice</w:t>
      </w:r>
      <w:bookmarkEnd w:id="51"/>
      <w:r>
        <w:rPr>
          <w:rFonts w:ascii="Arial" w:hAnsi="Arial" w:cs="Arial"/>
          <w:sz w:val="24"/>
          <w:szCs w:val="24"/>
        </w:rPr>
        <w:t>; un exemplu de îndrumări de bună practică se găsesc în documentul Ghidul privind agricultură durabilă la nivelul bazinului Dunării</w:t>
      </w:r>
      <w:r>
        <w:rPr>
          <w:rFonts w:ascii="Arial" w:hAnsi="Arial" w:cs="Arial"/>
          <w:sz w:val="24"/>
          <w:szCs w:val="24"/>
          <w:vertAlign w:val="superscript"/>
        </w:rPr>
        <w:footnoteReference w:id="13"/>
      </w:r>
      <w:r>
        <w:rPr>
          <w:rFonts w:ascii="Arial" w:hAnsi="Arial" w:cs="Arial"/>
          <w:sz w:val="24"/>
          <w:szCs w:val="24"/>
        </w:rPr>
        <w:t xml:space="preserve">. </w:t>
      </w:r>
    </w:p>
    <w:p w14:paraId="4EA1042D" w14:textId="77777777" w:rsidR="00F45A96" w:rsidRDefault="00F45A96" w:rsidP="00F45A96">
      <w:pPr>
        <w:pStyle w:val="Default"/>
      </w:pPr>
    </w:p>
    <w:p w14:paraId="122A05BF" w14:textId="77777777" w:rsidR="00F45A96" w:rsidRDefault="00F45A96" w:rsidP="00F45A96">
      <w:pPr>
        <w:pStyle w:val="Default"/>
        <w:ind w:firstLine="360"/>
      </w:pPr>
      <w:r>
        <w:t xml:space="preserve">De asemenea, trebuie avută în vedere implementarea măsurilor specifice pentru: </w:t>
      </w:r>
    </w:p>
    <w:p w14:paraId="712B2A3B" w14:textId="77777777" w:rsidR="00F45A96" w:rsidRDefault="00F45A96" w:rsidP="0054709F">
      <w:pPr>
        <w:pStyle w:val="Default"/>
        <w:numPr>
          <w:ilvl w:val="0"/>
          <w:numId w:val="33"/>
        </w:numPr>
        <w:ind w:left="360" w:hanging="270"/>
        <w:jc w:val="both"/>
      </w:pPr>
      <w:r>
        <w:t xml:space="preserve">creșterea eficienței irigării, prin utilizarea unor echipamente mai eficiente din punct de vedere energetic și schimbarea surselor de energie, adoptarea de tehnologii și măsuri pentru economisirea apei; </w:t>
      </w:r>
    </w:p>
    <w:p w14:paraId="1FFFFBF7" w14:textId="77777777" w:rsidR="00F45A96" w:rsidRDefault="00F45A96" w:rsidP="0054709F">
      <w:pPr>
        <w:pStyle w:val="Default"/>
        <w:numPr>
          <w:ilvl w:val="0"/>
          <w:numId w:val="33"/>
        </w:numPr>
        <w:ind w:left="360" w:hanging="270"/>
        <w:jc w:val="both"/>
        <w:rPr>
          <w:lang w:val="fr-FR"/>
        </w:rPr>
      </w:pPr>
      <w:r>
        <w:rPr>
          <w:lang w:val="fr-FR"/>
        </w:rPr>
        <w:lastRenderedPageBreak/>
        <w:t xml:space="preserve">reducerea pierderilor pe rețeaua de distribuție a apei, prin adoptarea de măsuri tehnice pentru reabilitarea, înlocuirea și utilizarea de materiale noi pentru conductele de distribuție a apei; </w:t>
      </w:r>
    </w:p>
    <w:p w14:paraId="3A72072D" w14:textId="77777777" w:rsidR="00F45A96" w:rsidRDefault="00F45A96" w:rsidP="0054709F">
      <w:pPr>
        <w:pStyle w:val="Default"/>
        <w:numPr>
          <w:ilvl w:val="0"/>
          <w:numId w:val="33"/>
        </w:numPr>
        <w:ind w:left="360" w:hanging="270"/>
        <w:jc w:val="both"/>
        <w:rPr>
          <w:lang w:val="fr-FR"/>
        </w:rPr>
      </w:pPr>
      <w:r>
        <w:rPr>
          <w:lang w:val="fr-FR"/>
        </w:rPr>
        <w:t xml:space="preserve">reutilizarea apelor uzate prin valorificarea în diverse scopuri (irigații, recuperare nutrienți etc.); </w:t>
      </w:r>
    </w:p>
    <w:p w14:paraId="438A1806" w14:textId="77777777" w:rsidR="00F45A96" w:rsidRDefault="00F45A96" w:rsidP="0054709F">
      <w:pPr>
        <w:pStyle w:val="Default"/>
        <w:numPr>
          <w:ilvl w:val="0"/>
          <w:numId w:val="33"/>
        </w:numPr>
        <w:ind w:left="360" w:hanging="270"/>
        <w:jc w:val="both"/>
      </w:pPr>
      <w:r>
        <w:t xml:space="preserve">cartarea și prognozarea secetei pe baza de mijloace moderne de modelare și detectare; </w:t>
      </w:r>
    </w:p>
    <w:p w14:paraId="23C86D62" w14:textId="77777777" w:rsidR="00F45A96" w:rsidRDefault="00F45A96" w:rsidP="0054709F">
      <w:pPr>
        <w:pStyle w:val="Default"/>
        <w:numPr>
          <w:ilvl w:val="0"/>
          <w:numId w:val="33"/>
        </w:numPr>
        <w:ind w:left="360" w:hanging="270"/>
        <w:jc w:val="both"/>
      </w:pPr>
      <w:r>
        <w:t xml:space="preserve">educarea publicului cu privire la măsurile de economisire a apei, prin campanii de informare și conștientizare în mas-media și în cadrul proiectelor specifice; </w:t>
      </w:r>
    </w:p>
    <w:p w14:paraId="5B18FBDA" w14:textId="77777777" w:rsidR="00F45A96" w:rsidRDefault="00F45A96" w:rsidP="0054709F">
      <w:pPr>
        <w:pStyle w:val="Default"/>
        <w:numPr>
          <w:ilvl w:val="0"/>
          <w:numId w:val="33"/>
        </w:numPr>
        <w:ind w:left="360" w:hanging="270"/>
        <w:jc w:val="both"/>
        <w:rPr>
          <w:lang w:val="fr-FR"/>
        </w:rPr>
      </w:pPr>
      <w:r>
        <w:rPr>
          <w:lang w:val="fr-FR"/>
        </w:rPr>
        <w:t xml:space="preserve">aplicarea de instrumente de stimulare (principiul utilizatorului plătește, penalități pentru consum excesiv); </w:t>
      </w:r>
    </w:p>
    <w:p w14:paraId="6882BD53" w14:textId="77777777" w:rsidR="00F45A96" w:rsidRDefault="00F45A96" w:rsidP="0054709F">
      <w:pPr>
        <w:numPr>
          <w:ilvl w:val="0"/>
          <w:numId w:val="33"/>
        </w:numPr>
        <w:spacing w:before="120" w:after="120" w:line="240" w:lineRule="auto"/>
        <w:ind w:left="360" w:hanging="270"/>
        <w:jc w:val="both"/>
        <w:rPr>
          <w:rFonts w:ascii="Arial" w:hAnsi="Arial" w:cs="Arial"/>
          <w:sz w:val="24"/>
          <w:szCs w:val="24"/>
        </w:rPr>
      </w:pPr>
      <w:r>
        <w:rPr>
          <w:rFonts w:ascii="Arial" w:hAnsi="Arial" w:cs="Arial"/>
          <w:sz w:val="24"/>
          <w:szCs w:val="24"/>
        </w:rPr>
        <w:t>îmbunătățirea cooperării în managementul resurselor de apă transfrontaliere, pentru a preveni și a rezolva din timp eventualele conflicte de interese, generate cu precădere în situațiile de ape mici.</w:t>
      </w:r>
    </w:p>
    <w:p w14:paraId="7AA5FEE7"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Impactul acestor acțiuni este integrat în Planurile de Management actualizate al bazinelor/spațiilor hidrografice pentru perioada 2022-2027. În acest context, s-au analizat și integrat recomandările Comisiei Europene desprinse din evaluarea celui de-al doilea Plan de management</w:t>
      </w:r>
      <w:r>
        <w:rPr>
          <w:rStyle w:val="FootnoteReference"/>
          <w:rFonts w:ascii="Arial" w:hAnsi="Arial" w:cs="Arial"/>
          <w:sz w:val="24"/>
          <w:szCs w:val="24"/>
        </w:rPr>
        <w:footnoteReference w:id="14"/>
      </w:r>
      <w:r>
        <w:rPr>
          <w:rFonts w:ascii="Arial" w:hAnsi="Arial" w:cs="Arial"/>
          <w:sz w:val="24"/>
          <w:szCs w:val="24"/>
        </w:rPr>
        <w:t>.</w:t>
      </w:r>
    </w:p>
    <w:p w14:paraId="4D30D762"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Se precizează faptul că la nivelul Administrației Bazinale de Apă Jiu, în colaborare cu Administrația Națională ,,Apele Române" și Autoritatea de apă din Oland (Dutch Water Authority), se implementează în perioada 2019-2022 proiectul ,,Managementul integrat al resurselor de apă prin implicarea factorilor interesați-studiu de caz, seceta în Câmpia Olteniei", proiect finanțat prin programul BLUE DEAL. Unul dintre obiectivele acestui proiect este elaborarea unui set de măsuri specifice și aplicabile domeniului de gospodărire a apelor, care să reducă efectele secetei în zone afectate de acest fenomen din bazinul hidrografic Jiu, precum și în alte bazine din țară, care au probleme similare.</w:t>
      </w:r>
    </w:p>
    <w:p w14:paraId="65C3A0FE"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În ceea ce privește implementarea cerințelor </w:t>
      </w:r>
      <w:r>
        <w:rPr>
          <w:rFonts w:ascii="Arial" w:hAnsi="Arial" w:cs="Arial"/>
          <w:b/>
          <w:bCs/>
          <w:sz w:val="24"/>
          <w:szCs w:val="24"/>
        </w:rPr>
        <w:t>Directivei 91/271/CEE privind eăpurarea apleor uzate urbane</w:t>
      </w:r>
      <w:r>
        <w:rPr>
          <w:rFonts w:ascii="Arial" w:hAnsi="Arial" w:cs="Arial"/>
          <w:sz w:val="24"/>
          <w:szCs w:val="24"/>
        </w:rPr>
        <w:t xml:space="preserve">, în vederea accelerării procesului de conformare, a fost elaborat Planul de conformare accelerată pentru implementarea directivei, constituind unul dintre obiectivele proiectului de asistență tehnică, denumit „Îmbunătățirea capacității autorității publice centrale în domeniul managementului apelor în ceea ce privește  planificarea, implementarea și raportarea cerințelor europene din domeniul apelor” (SIPOCA 588). Proiectul este finanțat din fonduri europene prin Programul Operațional Capacitate Administrativă 2014-2020, Axa prioritară Administrație publică și sistem judiciar eficiente, obiectivul specific OS 1.1 Dezvoltarea și introducerea de sisteme și standarde comune în administrația publică ce optimizează procesele decizionale orientate către cetățeni și mediul de afaceri în concordanță cu SCAP.  Liderul de proiect este Ministerul Mediului, Apelor și Pădurilor, Administrația Națională  „Apele Române” partener de implementare, iar consultanții Băncii Mondiale asigură asistență  tehnică pe durata celor 49 luni de desfășurare a proiectului (2019-2023). </w:t>
      </w:r>
    </w:p>
    <w:p w14:paraId="1D041AAD"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Proiectul contribuie la fundamentarea și sprijinirea măsurilor ce vizează adaptarea structurilor, optimizarea proceselor și pregătirea resurselor umane necesare îndeplinirii obligațiilor asumate prin aquis-ul comunitar, respectiv conformarea accelerată cu cerințele Directivei 91/271/CEE privind epurarea apelor uzate provenite de la aglomerări </w:t>
      </w:r>
      <w:r>
        <w:rPr>
          <w:rFonts w:ascii="Arial" w:hAnsi="Arial" w:cs="Arial"/>
          <w:sz w:val="24"/>
          <w:szCs w:val="24"/>
        </w:rPr>
        <w:lastRenderedPageBreak/>
        <w:t xml:space="preserve">umane în scopul consolidării capacității autorităților și instituțiilor publice din domeniul gospodăririi apelor. Obiectivele și activitățile specifice ale proiectului vizează în principal: reactualizarea Planului de Implementare al Directivei 91/271/CEE privind epurarea apelor uzate urbane, pe baza unei noi metodologii de delimitare a aglomerărilor umane și de calcul al încărcării acestora; elaborarea Strategiei naționale privind alimentarea cu apa, colectarea si epurarea apelor uzate urbane; dezvoltarea si implementarea la nivelul Administrației Naționale „Apele Române” a unui sistem electronic de colectare, prelucrare si raportare a datelor; elaborarea și promovarea unui proiect de act normativ pentru definirea obligațiilor și responsabilitățile legate de colectarea și epurarea apelor uzate urbane. Informații privind proiectul și derularea activităților de implementare pot fi accesate pe website-ul Administrației Naționale „Apele Române”, la adresa: </w:t>
      </w:r>
      <w:hyperlink r:id="rId105" w:history="1">
        <w:r>
          <w:rPr>
            <w:rStyle w:val="Hyperlink"/>
            <w:rFonts w:ascii="Arial" w:hAnsi="Arial" w:cs="Arial"/>
            <w:sz w:val="24"/>
            <w:szCs w:val="24"/>
          </w:rPr>
          <w:t>https://rowater.ro/proiectul-sipoca-588/</w:t>
        </w:r>
      </w:hyperlink>
      <w:r>
        <w:rPr>
          <w:rFonts w:ascii="Arial" w:hAnsi="Arial" w:cs="Arial"/>
          <w:sz w:val="24"/>
          <w:szCs w:val="24"/>
        </w:rPr>
        <w:t xml:space="preserve">. a Planului accelerat de conformare cu directivele europene din domeniul apei și apei uzate a fost aprobat în luna decembrie 2022, prin Memorandum al Guvernului, și cuprinde lista reactualizată a aglomerărilor umane cu mai mult de 2.000 locuitori echivalenți. Autoritățile române competente consideră că actualizarea Planului de conformare cu cerințele Directivei 91/271/CEE este parte integrantă din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 </w:t>
      </w:r>
    </w:p>
    <w:p w14:paraId="41800FA0"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De asemenea, în cadrul acestui proiect va fi dezvoltată, de către Ministerul Mediului, Apelor și Pădurilor o Strategie națională privind alimentarea cu apă, colectarea și epurarea apelor uzate și revizuirea reglementărilor în vederea creșterii eficienței în aplicarea legislației specifice. În cadrul Strategiei naționale se va stabili modul în care vor continua planificarea, finanțarea și realizarea infrastructurii specifice.</w:t>
      </w:r>
    </w:p>
    <w:p w14:paraId="68E4507A"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La nivel național, în vederea sprijinirii autorităților locale și operatorilor de servicii de apă și canal pentru asigurarea conformării aglomerărilor umane cu cerințele legislației în vigoare, s-au demarat acțiuni care au în vedere:</w:t>
      </w:r>
    </w:p>
    <w:p w14:paraId="19F052FB" w14:textId="77777777" w:rsidR="00F45A96" w:rsidRDefault="00F45A96" w:rsidP="0054709F">
      <w:pPr>
        <w:numPr>
          <w:ilvl w:val="0"/>
          <w:numId w:val="31"/>
        </w:numPr>
        <w:spacing w:before="120" w:after="120" w:line="240" w:lineRule="auto"/>
        <w:ind w:left="270" w:hanging="270"/>
        <w:jc w:val="both"/>
        <w:rPr>
          <w:rFonts w:ascii="Arial" w:hAnsi="Arial" w:cs="Arial"/>
          <w:sz w:val="24"/>
          <w:szCs w:val="24"/>
        </w:rPr>
      </w:pPr>
      <w:r>
        <w:rPr>
          <w:rFonts w:ascii="Arial" w:hAnsi="Arial" w:cs="Arial"/>
          <w:sz w:val="24"/>
          <w:szCs w:val="24"/>
        </w:rPr>
        <w:t>modificarea și completarea Legii nr. 241/2006 a serviciului de alimentare cu apă și canalizare și a Legii nr. 51/2006 serviciilor comunitare de utilități publice, în principal în sensul monitorizării de către autoritățile locale a populației neconectate la rețeaua de canalizare și pentru acordarea de ajutoare sociale pentru conectare;</w:t>
      </w:r>
    </w:p>
    <w:p w14:paraId="33AC27EC" w14:textId="77777777" w:rsidR="00F45A96" w:rsidRDefault="00F45A96" w:rsidP="0054709F">
      <w:pPr>
        <w:numPr>
          <w:ilvl w:val="0"/>
          <w:numId w:val="31"/>
        </w:numPr>
        <w:spacing w:before="120" w:after="120" w:line="240" w:lineRule="auto"/>
        <w:ind w:left="270" w:hanging="270"/>
        <w:jc w:val="both"/>
        <w:rPr>
          <w:rFonts w:ascii="Arial" w:hAnsi="Arial" w:cs="Arial"/>
          <w:sz w:val="24"/>
          <w:szCs w:val="24"/>
        </w:rPr>
      </w:pPr>
      <w:r>
        <w:rPr>
          <w:rFonts w:ascii="Arial" w:hAnsi="Arial" w:cs="Arial"/>
          <w:sz w:val="24"/>
          <w:szCs w:val="24"/>
        </w:rPr>
        <w:t>reactualizarea Planului de conformare pentru implementarea Directivei 91/271/CEE privind epurarea apelor uzate urbane, prin intermediul unui proiect de asistență tehnică finanțat din programul Operațional Capacitate Administrativă, proiect care va fi implementat de Ministerul Apelor și Pădurilor în colaborare cu Banca Mondială;</w:t>
      </w:r>
    </w:p>
    <w:p w14:paraId="6E84602C" w14:textId="77777777" w:rsidR="00F45A96" w:rsidRDefault="00F45A96" w:rsidP="0054709F">
      <w:pPr>
        <w:numPr>
          <w:ilvl w:val="0"/>
          <w:numId w:val="31"/>
        </w:numPr>
        <w:spacing w:before="120" w:after="120" w:line="240" w:lineRule="auto"/>
        <w:ind w:left="270" w:hanging="270"/>
        <w:jc w:val="both"/>
        <w:rPr>
          <w:rFonts w:ascii="Arial" w:hAnsi="Arial" w:cs="Arial"/>
          <w:sz w:val="24"/>
          <w:szCs w:val="24"/>
        </w:rPr>
      </w:pPr>
      <w:r>
        <w:rPr>
          <w:rFonts w:ascii="Arial" w:hAnsi="Arial" w:cs="Arial"/>
          <w:sz w:val="24"/>
          <w:szCs w:val="24"/>
        </w:rPr>
        <w:t>realizarea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14:paraId="676A7736" w14:textId="77777777" w:rsidR="00F45A96" w:rsidRDefault="00F45A96" w:rsidP="0054709F">
      <w:pPr>
        <w:numPr>
          <w:ilvl w:val="0"/>
          <w:numId w:val="31"/>
        </w:numPr>
        <w:spacing w:before="120" w:after="120" w:line="240" w:lineRule="auto"/>
        <w:ind w:left="270" w:hanging="270"/>
        <w:jc w:val="both"/>
        <w:rPr>
          <w:rFonts w:ascii="Arial" w:hAnsi="Arial" w:cs="Arial"/>
          <w:sz w:val="24"/>
          <w:szCs w:val="24"/>
        </w:rPr>
      </w:pPr>
      <w:r>
        <w:rPr>
          <w:rFonts w:ascii="Arial" w:hAnsi="Arial" w:cs="Arial"/>
          <w:sz w:val="24"/>
          <w:szCs w:val="24"/>
        </w:rPr>
        <w:t>asigurarea surselor de finanțare, respectiv introducerea unor noi fonduri euroepne în cadrul Mecanismului de Redresare și Reziliență, respectiv prin alocarea în Planul Național de Redresare și Reziliență a fondurilor pentru conformartea aglomerărilro mai mari de 2.000 le. .</w:t>
      </w:r>
    </w:p>
    <w:p w14:paraId="7A6C3CF0" w14:textId="77777777" w:rsidR="00F45A96" w:rsidRDefault="00F45A96" w:rsidP="00F45A96">
      <w:pPr>
        <w:spacing w:before="120" w:after="120" w:line="240" w:lineRule="auto"/>
        <w:ind w:firstLine="567"/>
        <w:jc w:val="both"/>
        <w:rPr>
          <w:rFonts w:ascii="Arial" w:hAnsi="Arial" w:cs="Arial"/>
          <w:sz w:val="24"/>
          <w:szCs w:val="24"/>
        </w:rPr>
      </w:pPr>
      <w:r>
        <w:rPr>
          <w:rFonts w:ascii="Arial" w:hAnsi="Arial" w:cs="Arial"/>
          <w:sz w:val="24"/>
          <w:szCs w:val="24"/>
        </w:rPr>
        <w:t xml:space="preserve">Se menționează că investițiile pentru realizarea infrastructurii de apă și apă uzată sprijină îmbunătățirea accesului populației la servicii bune de apă, însă contribuie și la atingerea țintelor de dezvoltare durabilă (Sustainable Development Goals  - SDGs) stabilite de Natiunile Unite. SDG 6 se adresează întregului ciclu al apei, accesului universal și echitabil pentru toți cetățenii la apă potabilă de calitate sigură și la costuri </w:t>
      </w:r>
      <w:r>
        <w:rPr>
          <w:rFonts w:ascii="Arial" w:hAnsi="Arial" w:cs="Arial"/>
          <w:sz w:val="24"/>
          <w:szCs w:val="24"/>
        </w:rPr>
        <w:lastRenderedPageBreak/>
        <w:t xml:space="preserve">suportabile, eficienței de utilizare a apei în diferite sectoare economice, managementului sustenabil și integrat al apelor și îmbunătățirii apei în relația cu starea ecosistemelor. Națiunile Unite consideră astfel că este imperioasa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14:paraId="256AB9BA"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 xml:space="preserve">La nivelul Uniunii Europene a intrat în vigoare </w:t>
      </w:r>
      <w:r>
        <w:rPr>
          <w:rFonts w:ascii="Arial" w:hAnsi="Arial" w:cs="Arial"/>
          <w:b/>
          <w:bCs/>
          <w:sz w:val="24"/>
          <w:szCs w:val="24"/>
        </w:rPr>
        <w:t>Regulamentul (UE) 2020/741 al Parlamentului European și al Consiliului din 25 mai 2020 privind a intrat în vigoare cerințele minime pentru reutilizarea apei</w:t>
      </w:r>
      <w:r>
        <w:rPr>
          <w:rStyle w:val="FootnoteReference"/>
          <w:rFonts w:ascii="Arial" w:hAnsi="Arial" w:cs="Arial"/>
          <w:sz w:val="24"/>
          <w:szCs w:val="24"/>
        </w:rPr>
        <w:footnoteReference w:id="15"/>
      </w:r>
      <w:r>
        <w:rPr>
          <w:rFonts w:ascii="Arial" w:hAnsi="Arial" w:cs="Arial"/>
          <w:sz w:val="24"/>
          <w:szCs w:val="24"/>
        </w:rPr>
        <w:t>. Regulamentul stabilește cerințe minime de calitate a apei și de monitorizare pentru utilizare în special în agricultură  precum și dispoziții privind managementul riscului și utilizarea în siguranță a apelor recuperate, în contextul managementului integrat al apei. România trebuie să aplice Regulamentul începând cu 26 iunie 2023. Aplicarea viitoare a prevederilor regulamentului constituie o măsură specifică pentru gestionarea apei în condiții de secetă, apele uzate epurate devenind o sursă importantă de apă și nutrienți, în special pentru anumite culturil agricole.</w:t>
      </w:r>
    </w:p>
    <w:p w14:paraId="0A63D5D6"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Centrul Comun de Cercetare al Comisiei Europene (JRC) a publicat în anul 2022 „Ghidul tehnic – managementul riscului de reutilizare a apei pentru sistemele de irigare agricolă din Europa”</w:t>
      </w:r>
      <w:r>
        <w:rPr>
          <w:rStyle w:val="FootnoteReference"/>
          <w:rFonts w:ascii="Arial" w:hAnsi="Arial" w:cs="Arial"/>
          <w:sz w:val="24"/>
          <w:szCs w:val="24"/>
        </w:rPr>
        <w:footnoteReference w:id="16"/>
      </w:r>
      <w:r>
        <w:rPr>
          <w:rFonts w:ascii="Arial" w:hAnsi="Arial" w:cs="Arial"/>
          <w:sz w:val="24"/>
          <w:szCs w:val="24"/>
        </w:rPr>
        <w:t xml:space="preserve"> care oferă îndrumări pentru stabilirea Planului de management al riscurilor, așa cum este menționat la articolul 5 din Regulamentul de reutilizare a apei 2020/741. Acesta asigură asistență tehnică în punerea în aplicare a elementelor cheie ale managementului riscurilor prevăzute în anexa II la regulament.</w:t>
      </w:r>
    </w:p>
    <w:p w14:paraId="330F2E3D"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 Pornind de la abordarea integrată a tuturor aspectelor relevante pentru resursele de apă, Directiva Cadru Apă menționează în cuprinsul său relația cu habitatele și speciile unde menținerea sau îmbunătățirea stării apei este un factor important în protecția lor. În acest sens, se prevede obligativitatea realizării și actualizării unui registru al zonelor protejate care să includă și această categorie de habitate și specii.</w:t>
      </w:r>
    </w:p>
    <w:p w14:paraId="686D962D"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Măsurile de conservare a speciilor și habitatelor naturale din zona marină se referă, în principal, la implementarea obligațiilor din cadrul Directivelor Habitate şi Păsări, pentru atingerea obiectivelor de conservare a speciilor și habitatelor protejate. În acest sens, de-a lungul timpului România a desemnat pentru zona costieră arii naturale protejate de interes național (rezervații naturale) și internațional (rezervații ale biosferei), dar și arii naturale protejate de interes european (situri Natura 2000), când a devenit Stat Membru al UE. Totodată, sectorul românesc al coastei Mării Negre face parte din Via Pontica, una dintre cele mai importante rute de migrație în Europa pentru păsări și lilieci.</w:t>
      </w:r>
    </w:p>
    <w:p w14:paraId="4F272925"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 xml:space="preserve">În vederea menținerii și îmbunătățirii stării favorabile de conservare, pentru aceste arii naturale protejate se elaborează și se implementează planuri de management, care contribuie la atingerea atât a stării ecologice bune a corpurilor de apă costiere și tranzitorii, cât și a stării bune a mediului marin, prin stabilirea și implementarea unor măsuri speciale de management și reglementarea activităților umane în conformitate cu </w:t>
      </w:r>
      <w:r>
        <w:rPr>
          <w:rFonts w:ascii="Arial" w:hAnsi="Arial" w:cs="Arial"/>
          <w:sz w:val="24"/>
          <w:szCs w:val="24"/>
        </w:rPr>
        <w:lastRenderedPageBreak/>
        <w:t>obiectivele ariei naturale protejate. Măsurile prevăzute în planurile de management ale ariilor naturale protejate se elaborează astfel încât să ţină cont atât de condiţiile economice, sociale şi culturale ale comunităţilor locale, cât şi de particularităţile regionale şi locale ale zonei, prioritate având însă obiectivele de management ale ariei naturale protejate. Respectarea planurilor de management este obligatorie pentru administratorii ariilor naturale protejate, pentru autorităţile care reglementează activităţi pe teritoriul ariilor naturale protejate, precum şi pentru persoanele fizice şi juridice care deţin sau care administrează terenuri şi alte bunuri şi/sau care desfăşoară activităţi în perimetrul şi în vecinătatea ariei naturale protejate.</w:t>
      </w:r>
    </w:p>
    <w:p w14:paraId="2C624064"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În contextul managementului și controlul surselor de poluare marină (accidente de scurgeri de petrol sau alte substanțe poluante, deșeuri), eforturile pentru reducerea și combaterea acestei poluări, prin implementarea prevederilor Convenţiei pentru Protecţia Mării Negre împotriva poluării, contribuie și la protejarea speciilor și habitatelor marine și costiere atât din ariile naturale protejate, cât și din vecinătatea lor.</w:t>
      </w:r>
    </w:p>
    <w:p w14:paraId="504D0EE6"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Trebuie menționat faptul că, prin implementarea Programului de măsuri din cadrul Planului de Management al fluviului Dunărea, Deltei Dunării, Spaţiului hidrografic Dobrogea şi Apelor Costiere actualizat (2021) și Planului de Management al Districtului Internațional al Dunării actualizat (2021) elaborat de ICPDR, precum și al Programului de măsuri aferent Directivei Cadru Strategia pentru Mediul Marin, corpurile de apă costiere vor atinge obiectivele de mediu în cel de-al treilea ciclu de planificare (2022-2027).</w:t>
      </w:r>
    </w:p>
    <w:p w14:paraId="37416DD7" w14:textId="77777777" w:rsidR="00F45A96" w:rsidRDefault="00F45A96" w:rsidP="00F45A96">
      <w:pPr>
        <w:spacing w:before="120" w:after="120" w:line="240" w:lineRule="auto"/>
        <w:ind w:firstLine="720"/>
        <w:jc w:val="both"/>
        <w:rPr>
          <w:rFonts w:ascii="Arial" w:hAnsi="Arial" w:cs="Arial"/>
          <w:sz w:val="24"/>
          <w:szCs w:val="24"/>
        </w:rPr>
      </w:pPr>
      <w:r>
        <w:rPr>
          <w:rFonts w:ascii="Arial" w:hAnsi="Arial" w:cs="Arial"/>
          <w:sz w:val="24"/>
          <w:szCs w:val="24"/>
        </w:rPr>
        <w:t>Efortul comun al utilizatorilor de apă, al factorilor interesaţi şi publicului larg, al autorităților de gospodărirea apelor, prin aplicarea măsurilor prevăzute în strategiile și planurile pentru gospodărirea integrată a resurselor de apă, va conduce la atingerea obiectivelor de mediu ale corpurilor de apă, fiind în același timp o oportunitate pentru această generație, pentru oameni și organizații, de a lucra împreună în scopul îmbunătățirii mediului acvatic în toate aspectele lui.</w:t>
      </w:r>
    </w:p>
    <w:p w14:paraId="52479B4B" w14:textId="77777777" w:rsidR="00F45A96" w:rsidRPr="001B4473" w:rsidRDefault="00F45A96" w:rsidP="00DC0E7E">
      <w:pPr>
        <w:rPr>
          <w:rFonts w:asciiTheme="minorBidi" w:hAnsiTheme="minorBidi"/>
          <w:b/>
          <w:color w:val="FF0000"/>
          <w:sz w:val="24"/>
          <w:szCs w:val="24"/>
          <w:u w:val="single"/>
        </w:rPr>
      </w:pPr>
    </w:p>
    <w:sectPr w:rsidR="00F45A96" w:rsidRPr="001B4473" w:rsidSect="003467F3">
      <w:pgSz w:w="11906" w:h="16838"/>
      <w:pgMar w:top="851" w:right="1134"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78642C" w14:textId="77777777" w:rsidR="00666EFA" w:rsidRDefault="00666EFA" w:rsidP="00AD640A">
      <w:pPr>
        <w:spacing w:after="0" w:line="240" w:lineRule="auto"/>
      </w:pPr>
      <w:r>
        <w:separator/>
      </w:r>
    </w:p>
  </w:endnote>
  <w:endnote w:type="continuationSeparator" w:id="0">
    <w:p w14:paraId="050467DE" w14:textId="77777777" w:rsidR="00666EFA" w:rsidRDefault="00666EFA" w:rsidP="00AD64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6529BE" w14:textId="77777777" w:rsidR="00666EFA" w:rsidRDefault="00666EFA" w:rsidP="00AD640A">
      <w:pPr>
        <w:spacing w:after="0" w:line="240" w:lineRule="auto"/>
      </w:pPr>
      <w:r>
        <w:separator/>
      </w:r>
    </w:p>
  </w:footnote>
  <w:footnote w:type="continuationSeparator" w:id="0">
    <w:p w14:paraId="5C06CDE0" w14:textId="77777777" w:rsidR="00666EFA" w:rsidRDefault="00666EFA" w:rsidP="00AD640A">
      <w:pPr>
        <w:spacing w:after="0" w:line="240" w:lineRule="auto"/>
      </w:pPr>
      <w:r>
        <w:continuationSeparator/>
      </w:r>
    </w:p>
  </w:footnote>
  <w:footnote w:id="1">
    <w:p w14:paraId="641F943D" w14:textId="77777777" w:rsidR="00F45A96" w:rsidRPr="00A962C9" w:rsidRDefault="00F45A96" w:rsidP="00F45A96">
      <w:pPr>
        <w:pStyle w:val="FootnoteText"/>
        <w:spacing w:after="0" w:line="240" w:lineRule="auto"/>
        <w:rPr>
          <w:rFonts w:ascii="Arial" w:hAnsi="Arial" w:cs="Arial"/>
          <w:i/>
          <w:iCs/>
        </w:rPr>
      </w:pPr>
      <w:r w:rsidRPr="00A962C9">
        <w:rPr>
          <w:rStyle w:val="FootnoteReference"/>
          <w:rFonts w:ascii="Arial" w:hAnsi="Arial" w:cs="Arial"/>
          <w:i/>
          <w:iCs/>
        </w:rPr>
        <w:footnoteRef/>
      </w:r>
      <w:r w:rsidRPr="00A962C9">
        <w:rPr>
          <w:rFonts w:ascii="Arial" w:hAnsi="Arial" w:cs="Arial"/>
          <w:i/>
          <w:iCs/>
        </w:rPr>
        <w:t xml:space="preserve"> Comunicarea Comisiei către Parlamentul European, Consiliul European, Consiliu, Comitetul Economic și Social European și Comitetul Regiunilor, Pactul ecologic European, COM(2019) 640 final,  Brussels, 11.12.2019</w:t>
      </w:r>
    </w:p>
  </w:footnote>
  <w:footnote w:id="2">
    <w:p w14:paraId="2A86DEC6" w14:textId="77777777" w:rsidR="00F45A96" w:rsidRDefault="00F45A96" w:rsidP="00F45A96">
      <w:pPr>
        <w:spacing w:after="0" w:line="240" w:lineRule="auto"/>
      </w:pPr>
      <w:r w:rsidRPr="00A962C9">
        <w:rPr>
          <w:rStyle w:val="FootnoteReference"/>
          <w:rFonts w:ascii="Arial" w:hAnsi="Arial" w:cs="Arial"/>
          <w:sz w:val="20"/>
          <w:szCs w:val="20"/>
        </w:rPr>
        <w:footnoteRef/>
      </w:r>
      <w:r w:rsidRPr="00A962C9">
        <w:rPr>
          <w:rFonts w:ascii="Arial" w:hAnsi="Arial" w:cs="Arial"/>
          <w:sz w:val="20"/>
          <w:szCs w:val="20"/>
        </w:rPr>
        <w:t xml:space="preserve"> </w:t>
      </w:r>
      <w:r w:rsidRPr="00A962C9">
        <w:rPr>
          <w:rFonts w:ascii="Arial" w:hAnsi="Arial" w:cs="Arial"/>
          <w:i/>
          <w:iCs/>
          <w:sz w:val="20"/>
          <w:szCs w:val="20"/>
        </w:rPr>
        <w:t>Comunicarea Comisiei „Pathway to a Healthy Planet for All EU Action Plan: 'Towards Zero Pollution for Air, Water and Soil”, Brussels, 12.5.2021, COM(2021) 400 final https://ec.europa.eu/environment/pdf/zero-pollution-action-plan/communication_en.pdf</w:t>
      </w:r>
    </w:p>
  </w:footnote>
  <w:footnote w:id="3">
    <w:p w14:paraId="131D1A04" w14:textId="77777777" w:rsidR="00F45A96" w:rsidRPr="00EE14AF" w:rsidRDefault="00F45A96" w:rsidP="00F45A96">
      <w:pPr>
        <w:pStyle w:val="FootnoteText"/>
        <w:spacing w:after="0" w:line="240" w:lineRule="auto"/>
        <w:ind w:left="90" w:hanging="90"/>
        <w:jc w:val="both"/>
        <w:rPr>
          <w:rFonts w:ascii="Arial" w:hAnsi="Arial" w:cs="Arial"/>
          <w:i/>
          <w:iCs/>
        </w:rPr>
      </w:pPr>
      <w:r w:rsidRPr="00EE14AF">
        <w:rPr>
          <w:rStyle w:val="FootnoteReference"/>
          <w:rFonts w:ascii="Arial" w:hAnsi="Arial" w:cs="Arial"/>
          <w:i/>
          <w:iCs/>
        </w:rPr>
        <w:footnoteRef/>
      </w:r>
      <w:r w:rsidRPr="00EE14AF">
        <w:rPr>
          <w:rFonts w:ascii="Arial" w:hAnsi="Arial" w:cs="Arial"/>
          <w:i/>
          <w:iCs/>
        </w:rPr>
        <w:t xml:space="preserve"> Chemicals Strategy for Sustainability Towards a Toxic-Free Environment; Communication from the Commission to the European Parliament, the Council, the European Economic and Social Committee and the Committee of the Regions; 14.10.2020 COM(2020) 667 final; </w:t>
      </w:r>
      <w:hyperlink r:id="rId1" w:history="1">
        <w:r w:rsidRPr="00EE14AF">
          <w:rPr>
            <w:rStyle w:val="Hyperlink"/>
            <w:rFonts w:ascii="Arial" w:hAnsi="Arial" w:cs="Arial"/>
            <w:i/>
            <w:iCs/>
          </w:rPr>
          <w:t>https://ec.europa.eu/environment/pdf/chemicals/2020/10/Strategy.pdf</w:t>
        </w:r>
      </w:hyperlink>
    </w:p>
  </w:footnote>
  <w:footnote w:id="4">
    <w:p w14:paraId="5E7BB4E3" w14:textId="77777777" w:rsidR="00F45A96" w:rsidRPr="00B375B4" w:rsidRDefault="00F45A96" w:rsidP="00F45A96">
      <w:pPr>
        <w:pStyle w:val="FootnoteText"/>
        <w:spacing w:after="0" w:line="240" w:lineRule="auto"/>
        <w:ind w:left="187" w:hanging="187"/>
        <w:rPr>
          <w:rFonts w:ascii="Arial" w:hAnsi="Arial" w:cs="Arial"/>
          <w:i/>
          <w:iCs/>
        </w:rPr>
      </w:pPr>
      <w:r>
        <w:rPr>
          <w:rStyle w:val="FootnoteReference"/>
        </w:rPr>
        <w:footnoteRef/>
      </w:r>
      <w:r>
        <w:t xml:space="preserve">  </w:t>
      </w:r>
      <w:r w:rsidRPr="00B375B4">
        <w:rPr>
          <w:rFonts w:ascii="Arial" w:hAnsi="Arial" w:cs="Arial"/>
          <w:i/>
          <w:iCs/>
        </w:rPr>
        <w:t>Opinion of the European Economic and Social Committee on the ‘Communication from the Commission to the European Parliament, the Council, the European Economic and Social Committee and the Committee of the Regions — Consultative communication on the sustainable use of phosphorus’ COM(2013) 517, https://eur-lex.europa.eu/legal-content/EN/TXT/?uri=celex%3A52013AE6363</w:t>
      </w:r>
    </w:p>
  </w:footnote>
  <w:footnote w:id="5">
    <w:p w14:paraId="4AD75376" w14:textId="77777777" w:rsidR="00F45A96" w:rsidRPr="00B375B4" w:rsidRDefault="00F45A96" w:rsidP="00F45A96">
      <w:pPr>
        <w:pStyle w:val="FootnoteText"/>
        <w:tabs>
          <w:tab w:val="left" w:pos="90"/>
        </w:tabs>
        <w:spacing w:after="0" w:line="240" w:lineRule="auto"/>
        <w:ind w:left="187" w:hanging="187"/>
        <w:rPr>
          <w:rFonts w:ascii="Arial" w:hAnsi="Arial" w:cs="Arial"/>
          <w:i/>
          <w:iCs/>
        </w:rPr>
      </w:pPr>
      <w:r w:rsidRPr="00B375B4">
        <w:rPr>
          <w:rStyle w:val="FootnoteReference"/>
          <w:rFonts w:ascii="Arial" w:hAnsi="Arial" w:cs="Arial"/>
          <w:i/>
          <w:iCs/>
        </w:rPr>
        <w:footnoteRef/>
      </w:r>
      <w:r w:rsidRPr="00B375B4">
        <w:rPr>
          <w:rFonts w:ascii="Arial" w:hAnsi="Arial" w:cs="Arial"/>
          <w:i/>
          <w:iCs/>
        </w:rPr>
        <w:t xml:space="preserve"> </w:t>
      </w:r>
      <w:r w:rsidRPr="00B375B4">
        <w:rPr>
          <w:rFonts w:ascii="Arial" w:hAnsi="Arial" w:cs="Arial"/>
          <w:i/>
          <w:iCs/>
        </w:rPr>
        <w:tab/>
      </w:r>
      <w:bookmarkStart w:id="44" w:name="_Hlk76626634"/>
      <w:r w:rsidRPr="00B375B4">
        <w:rPr>
          <w:rFonts w:ascii="Arial" w:hAnsi="Arial" w:cs="Arial"/>
          <w:i/>
          <w:iCs/>
        </w:rPr>
        <w:t xml:space="preserve">Comunicarea Comisiei către Parlamentul European, Consiliu, Comitetul Economic și Social European și </w:t>
      </w:r>
      <w:r w:rsidRPr="00C256AE">
        <w:rPr>
          <w:rFonts w:ascii="Arial" w:hAnsi="Arial" w:cs="Arial"/>
          <w:i/>
          <w:iCs/>
        </w:rPr>
        <w:t xml:space="preserve">Eomitetul Regiunilor - O Strategie „De la fermă la consumator” pentru un sistem alimentar echitabil, sănătos și ecologic, COM(2020) 381 final, Bruxelles, 20.5.2020,  </w:t>
      </w:r>
    </w:p>
    <w:bookmarkEnd w:id="44"/>
  </w:footnote>
  <w:footnote w:id="6">
    <w:p w14:paraId="41A9BE64" w14:textId="77777777" w:rsidR="00F45A96" w:rsidRPr="00B375B4" w:rsidRDefault="00F45A96" w:rsidP="00F45A96">
      <w:pPr>
        <w:pStyle w:val="FootnoteText"/>
        <w:spacing w:after="0" w:line="240" w:lineRule="auto"/>
        <w:ind w:left="187" w:hanging="187"/>
        <w:rPr>
          <w:rFonts w:ascii="Arial" w:hAnsi="Arial" w:cs="Arial"/>
          <w:i/>
          <w:iCs/>
        </w:rPr>
      </w:pPr>
      <w:r w:rsidRPr="00B375B4">
        <w:rPr>
          <w:rStyle w:val="FootnoteReference"/>
          <w:rFonts w:ascii="Arial" w:hAnsi="Arial" w:cs="Arial"/>
          <w:i/>
          <w:iCs/>
        </w:rPr>
        <w:footnoteRef/>
      </w:r>
      <w:r w:rsidRPr="00B375B4">
        <w:rPr>
          <w:rFonts w:ascii="Arial" w:hAnsi="Arial" w:cs="Arial"/>
          <w:i/>
          <w:iCs/>
        </w:rPr>
        <w:t xml:space="preserve"> Comunicarea Comisiei către Parlamentul European, Consiliul European, Consiliu, Comitetul Economic și Social European și Comitetul Regiunilor, Forging a climate-resilient Europe - the new EU Strategy on Adaptation to Climate Change, {SEC(2021) 89 final} - {SWD(2021) 25 final} - {SWD(2021) 26 final}, </w:t>
      </w:r>
      <w:hyperlink r:id="rId2" w:history="1">
        <w:r w:rsidRPr="00B375B4">
          <w:rPr>
            <w:rStyle w:val="Hyperlink"/>
            <w:rFonts w:ascii="Arial" w:hAnsi="Arial" w:cs="Arial"/>
            <w:i/>
            <w:iCs/>
          </w:rPr>
          <w:t>https://ec.europa.eu/clima/sites/clima/files/adaptation/what/docs/eu_strategy_2021.pdf</w:t>
        </w:r>
      </w:hyperlink>
    </w:p>
  </w:footnote>
  <w:footnote w:id="7">
    <w:p w14:paraId="27F9EB14" w14:textId="77777777" w:rsidR="00F45A96" w:rsidRPr="00B375B4" w:rsidRDefault="00F45A96" w:rsidP="00F45A96">
      <w:pPr>
        <w:pStyle w:val="FootnoteText"/>
        <w:tabs>
          <w:tab w:val="left" w:pos="90"/>
        </w:tabs>
        <w:spacing w:after="0" w:line="240" w:lineRule="auto"/>
        <w:ind w:left="187" w:hanging="187"/>
        <w:rPr>
          <w:rFonts w:ascii="Arial" w:hAnsi="Arial" w:cs="Arial"/>
          <w:i/>
          <w:iCs/>
        </w:rPr>
      </w:pPr>
      <w:r w:rsidRPr="00B375B4">
        <w:rPr>
          <w:rStyle w:val="FootnoteReference"/>
          <w:rFonts w:ascii="Arial" w:hAnsi="Arial" w:cs="Arial"/>
          <w:i/>
          <w:iCs/>
        </w:rPr>
        <w:footnoteRef/>
      </w:r>
      <w:r w:rsidRPr="00B375B4">
        <w:rPr>
          <w:rFonts w:ascii="Arial" w:hAnsi="Arial" w:cs="Arial"/>
          <w:i/>
          <w:iCs/>
        </w:rPr>
        <w:t xml:space="preserve"> Comunicarea Comisiei „Planul de investiții pentru o Europă durabilă Planul de investiții din cadrul Pactului ecologic European, Bruxelles, 14.1.2020, COM(2020) 21 final https://eur-lex.europa.eu/legal-content/RO/TXT/PDF/?uri=CELEX:52020DC0021&amp;qid=1624432202009&amp;from=EN</w:t>
      </w:r>
    </w:p>
  </w:footnote>
  <w:footnote w:id="8">
    <w:p w14:paraId="39BC358F" w14:textId="77777777" w:rsidR="00F45A96" w:rsidRPr="00E25D38" w:rsidRDefault="00F45A96" w:rsidP="00F45A96">
      <w:pPr>
        <w:pStyle w:val="FootnoteText"/>
        <w:rPr>
          <w:rFonts w:ascii="Arial" w:hAnsi="Arial" w:cs="Arial"/>
          <w:i/>
          <w:iCs/>
        </w:rPr>
      </w:pPr>
      <w:r w:rsidRPr="00E25D38">
        <w:rPr>
          <w:rStyle w:val="FootnoteReference"/>
          <w:rFonts w:ascii="Arial" w:hAnsi="Arial" w:cs="Arial"/>
          <w:i/>
          <w:iCs/>
        </w:rPr>
        <w:footnoteRef/>
      </w:r>
      <w:r w:rsidRPr="00E25D38">
        <w:rPr>
          <w:rFonts w:ascii="Arial" w:hAnsi="Arial" w:cs="Arial"/>
          <w:i/>
          <w:iCs/>
        </w:rPr>
        <w:t xml:space="preserve"> ICPDR, Climate Change Adaptation Strategy, 2018, https://www.icpdr.org/main/sites/default/files/nodes/documents/icpdr_climate_change_adaptation_strategy_web.pdf</w:t>
      </w:r>
    </w:p>
  </w:footnote>
  <w:footnote w:id="9">
    <w:p w14:paraId="045F79E2" w14:textId="77777777" w:rsidR="00F45A96" w:rsidRPr="00D33CDD" w:rsidRDefault="00F45A96" w:rsidP="00F45A96">
      <w:pPr>
        <w:pStyle w:val="FootnoteText"/>
        <w:rPr>
          <w:rFonts w:ascii="Arial" w:hAnsi="Arial" w:cs="Arial"/>
          <w:i/>
          <w:iCs/>
        </w:rPr>
      </w:pPr>
      <w:r w:rsidRPr="00D33CDD">
        <w:rPr>
          <w:rStyle w:val="FootnoteReference"/>
          <w:rFonts w:ascii="Arial" w:hAnsi="Arial" w:cs="Arial"/>
          <w:i/>
          <w:iCs/>
        </w:rPr>
        <w:footnoteRef/>
      </w:r>
      <w:r w:rsidRPr="00D33CDD">
        <w:rPr>
          <w:rFonts w:ascii="Arial" w:hAnsi="Arial" w:cs="Arial"/>
          <w:i/>
          <w:iCs/>
        </w:rPr>
        <w:t xml:space="preserve"> Raport Diagnostic privind Apele din România, 2018, https://fdocuments.fr/document/raport-diagnostic-privind-apele-din-rom-2019-4-29-raport-diagnostic-privind.html</w:t>
      </w:r>
    </w:p>
  </w:footnote>
  <w:footnote w:id="10">
    <w:p w14:paraId="5DD378CA" w14:textId="77777777" w:rsidR="00F45A96" w:rsidRPr="00265759" w:rsidRDefault="00F45A96" w:rsidP="00F45A96">
      <w:pPr>
        <w:pStyle w:val="FootnoteText"/>
        <w:spacing w:after="0" w:line="240" w:lineRule="auto"/>
        <w:jc w:val="both"/>
        <w:rPr>
          <w:rFonts w:ascii="Arial" w:hAnsi="Arial" w:cs="Arial"/>
          <w:i/>
          <w:iCs/>
        </w:rPr>
      </w:pPr>
      <w:r w:rsidRPr="00265759">
        <w:rPr>
          <w:rStyle w:val="FootnoteReference"/>
          <w:rFonts w:ascii="Arial" w:hAnsi="Arial" w:cs="Arial"/>
          <w:i/>
          <w:iCs/>
        </w:rPr>
        <w:footnoteRef/>
      </w:r>
      <w:r w:rsidRPr="00265759">
        <w:rPr>
          <w:rFonts w:ascii="Arial" w:hAnsi="Arial" w:cs="Arial"/>
          <w:i/>
          <w:iCs/>
        </w:rPr>
        <w:t xml:space="preserve"> http://www.interreg-danube.eu/approved-projects/dridanube</w:t>
      </w:r>
    </w:p>
  </w:footnote>
  <w:footnote w:id="11">
    <w:p w14:paraId="14CDC53D" w14:textId="77777777" w:rsidR="00F45A96" w:rsidRPr="00265759" w:rsidRDefault="00F45A96" w:rsidP="00F45A96">
      <w:pPr>
        <w:pStyle w:val="FootnoteText"/>
        <w:spacing w:after="0" w:line="240" w:lineRule="auto"/>
        <w:jc w:val="both"/>
        <w:rPr>
          <w:rFonts w:ascii="Arial" w:hAnsi="Arial" w:cs="Arial"/>
        </w:rPr>
      </w:pPr>
      <w:r w:rsidRPr="00265759">
        <w:rPr>
          <w:rStyle w:val="FootnoteReference"/>
          <w:rFonts w:ascii="Arial" w:hAnsi="Arial" w:cs="Arial"/>
          <w:i/>
          <w:iCs/>
        </w:rPr>
        <w:footnoteRef/>
      </w:r>
      <w:r w:rsidRPr="00265759">
        <w:rPr>
          <w:rFonts w:ascii="Arial" w:hAnsi="Arial" w:cs="Arial"/>
          <w:i/>
          <w:iCs/>
        </w:rPr>
        <w:t xml:space="preserve"> https://cordis.europa.eu/project/id/730109</w:t>
      </w:r>
    </w:p>
  </w:footnote>
  <w:footnote w:id="12">
    <w:p w14:paraId="35145F32" w14:textId="77777777" w:rsidR="00F45A96" w:rsidRPr="00265759" w:rsidRDefault="00F45A96" w:rsidP="00F45A96">
      <w:pPr>
        <w:pStyle w:val="FootnoteText"/>
        <w:spacing w:after="0" w:line="240" w:lineRule="auto"/>
        <w:jc w:val="both"/>
        <w:rPr>
          <w:rFonts w:ascii="Arial" w:hAnsi="Arial" w:cs="Arial"/>
          <w:i/>
          <w:iCs/>
        </w:rPr>
      </w:pPr>
      <w:r w:rsidRPr="00265759">
        <w:rPr>
          <w:rStyle w:val="FootnoteReference"/>
          <w:rFonts w:ascii="Arial" w:hAnsi="Arial" w:cs="Arial"/>
          <w:i/>
          <w:iCs/>
        </w:rPr>
        <w:footnoteRef/>
      </w:r>
      <w:r w:rsidRPr="00265759">
        <w:rPr>
          <w:rFonts w:ascii="Arial" w:hAnsi="Arial" w:cs="Arial"/>
          <w:i/>
          <w:iCs/>
        </w:rPr>
        <w:t xml:space="preserve"> https://viva-project.org/</w:t>
      </w:r>
    </w:p>
  </w:footnote>
  <w:footnote w:id="13">
    <w:p w14:paraId="6994D72E" w14:textId="77777777" w:rsidR="00F45A96" w:rsidRPr="00265759" w:rsidRDefault="00F45A96" w:rsidP="00F45A96">
      <w:pPr>
        <w:pStyle w:val="FootnoteText"/>
        <w:spacing w:after="0" w:line="240" w:lineRule="auto"/>
        <w:jc w:val="both"/>
        <w:rPr>
          <w:rFonts w:ascii="Arial" w:hAnsi="Arial" w:cs="Arial"/>
          <w:i/>
          <w:iCs/>
        </w:rPr>
      </w:pPr>
      <w:r w:rsidRPr="00265759">
        <w:rPr>
          <w:rStyle w:val="FootnoteReference"/>
          <w:rFonts w:ascii="Arial" w:hAnsi="Arial" w:cs="Arial"/>
          <w:i/>
          <w:iCs/>
        </w:rPr>
        <w:footnoteRef/>
      </w:r>
      <w:r w:rsidRPr="00265759">
        <w:rPr>
          <w:rFonts w:ascii="Arial" w:hAnsi="Arial" w:cs="Arial"/>
          <w:i/>
          <w:iCs/>
        </w:rPr>
        <w:t xml:space="preserve"> https://www.icpdr.org/main/issues/agriculture</w:t>
      </w:r>
    </w:p>
  </w:footnote>
  <w:footnote w:id="14">
    <w:p w14:paraId="0E0FEDA2" w14:textId="77777777" w:rsidR="00F45A96" w:rsidRPr="00BB44C5" w:rsidRDefault="00F45A96" w:rsidP="00F45A96">
      <w:pPr>
        <w:pStyle w:val="FootnoteText"/>
        <w:rPr>
          <w:rFonts w:ascii="Arial" w:hAnsi="Arial" w:cs="Arial"/>
          <w:i/>
          <w:iCs/>
        </w:rPr>
      </w:pPr>
      <w:r w:rsidRPr="00BB44C5">
        <w:rPr>
          <w:rStyle w:val="FootnoteReference"/>
          <w:rFonts w:ascii="Arial" w:hAnsi="Arial" w:cs="Arial"/>
          <w:i/>
          <w:iCs/>
        </w:rPr>
        <w:footnoteRef/>
      </w:r>
      <w:r w:rsidRPr="00BB44C5">
        <w:rPr>
          <w:rFonts w:ascii="Arial" w:hAnsi="Arial" w:cs="Arial"/>
          <w:i/>
          <w:iCs/>
        </w:rPr>
        <w:t xml:space="preserve"> Report of the Commission to the European Parliament and the Council on the implementation of the Water Framework Directive (2000/60/EC) and the Floods Directive (2007/60/EC) Second River Basin Management Plans First Flood Risk Management Plans, Accompanying document - Commission Staff Working Document Second River Basin Management Plans - Member State: Romania SWD/2019/52 final, Brussels, 26.02.2019</w:t>
      </w:r>
    </w:p>
  </w:footnote>
  <w:footnote w:id="15">
    <w:p w14:paraId="141C253D" w14:textId="77777777" w:rsidR="00F45A96" w:rsidRPr="00F22EE1" w:rsidRDefault="00F45A96" w:rsidP="00F45A96">
      <w:pPr>
        <w:pStyle w:val="FootnoteText"/>
        <w:ind w:left="180" w:hanging="180"/>
        <w:rPr>
          <w:rFonts w:ascii="Arial" w:hAnsi="Arial" w:cs="Arial"/>
          <w:i/>
          <w:iCs/>
        </w:rPr>
      </w:pPr>
      <w:r w:rsidRPr="00F22EE1">
        <w:rPr>
          <w:rStyle w:val="FootnoteReference"/>
          <w:rFonts w:ascii="Arial" w:hAnsi="Arial" w:cs="Arial"/>
          <w:i/>
          <w:iCs/>
        </w:rPr>
        <w:footnoteRef/>
      </w:r>
      <w:r w:rsidRPr="00F22EE1">
        <w:rPr>
          <w:rFonts w:ascii="Arial" w:hAnsi="Arial" w:cs="Arial"/>
          <w:i/>
          <w:iCs/>
        </w:rPr>
        <w:t xml:space="preserve"> Regulamentul (UE) 2020/741 al Parlamentului European și al Consiliului din 25 mai 2020 privind cerințele minime pentru reutilizarea apei, https://eur-lex.europa.eu/legal-content/RO/TXT/PDF/?uri=CELEX:32020R0741&amp;from=en</w:t>
      </w:r>
    </w:p>
  </w:footnote>
  <w:footnote w:id="16">
    <w:p w14:paraId="16CD5048" w14:textId="77777777" w:rsidR="00F45A96" w:rsidRDefault="00F45A96" w:rsidP="00F45A96">
      <w:pPr>
        <w:pStyle w:val="FootnoteText"/>
        <w:ind w:left="180" w:hanging="180"/>
      </w:pPr>
      <w:r>
        <w:rPr>
          <w:rStyle w:val="FootnoteReference"/>
        </w:rPr>
        <w:footnoteRef/>
      </w:r>
      <w:r>
        <w:t xml:space="preserve"> </w:t>
      </w:r>
      <w:r w:rsidRPr="00871D1D">
        <w:rPr>
          <w:rFonts w:ascii="Arial" w:hAnsi="Arial" w:cs="Arial"/>
          <w:i/>
          <w:iCs/>
        </w:rPr>
        <w:t>JRC, Ghid tehnic „Managementul riscului de reutilizare a apei pentru scheme de irigații agricole în Europa! https://publications.jrc.ec.europa.eu/repository/handle/JRC129596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 w15:restartNumberingAfterBreak="0">
    <w:nsid w:val="07B13CD7"/>
    <w:multiLevelType w:val="hybridMultilevel"/>
    <w:tmpl w:val="67A46EBE"/>
    <w:lvl w:ilvl="0" w:tplc="FA9AAB6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DE95DC6"/>
    <w:multiLevelType w:val="hybridMultilevel"/>
    <w:tmpl w:val="908A6C5A"/>
    <w:lvl w:ilvl="0" w:tplc="04090005">
      <w:numFmt w:val="bullet"/>
      <w:lvlText w:val="-"/>
      <w:lvlJc w:val="left"/>
      <w:pPr>
        <w:ind w:left="720" w:hanging="360"/>
      </w:pPr>
      <w:rPr>
        <w:rFonts w:ascii="Calibri" w:eastAsia="Calibri" w:hAnsi="Calibri" w:cs="Times New Roman" w:hint="default"/>
        <w:b w:val="0"/>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0404FE"/>
    <w:multiLevelType w:val="hybridMultilevel"/>
    <w:tmpl w:val="6F50D3B8"/>
    <w:lvl w:ilvl="0" w:tplc="FA9AAB66">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 w15:restartNumberingAfterBreak="0">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1CB92DFB"/>
    <w:multiLevelType w:val="hybridMultilevel"/>
    <w:tmpl w:val="5A54AB30"/>
    <w:lvl w:ilvl="0" w:tplc="D3CE15C0">
      <w:start w:val="9"/>
      <w:numFmt w:val="bullet"/>
      <w:lvlText w:val="-"/>
      <w:lvlJc w:val="left"/>
      <w:pPr>
        <w:ind w:left="720" w:hanging="360"/>
      </w:pPr>
      <w:rPr>
        <w:rFonts w:ascii="Times New Roman" w:eastAsia="Calibri" w:hAnsi="Times New Roman" w:cs="Times New Roman" w:hint="default"/>
        <w:b/>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cs="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cs="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cs="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8" w15:restartNumberingAfterBreak="0">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242A1E9A"/>
    <w:multiLevelType w:val="hybridMultilevel"/>
    <w:tmpl w:val="74F69E6E"/>
    <w:lvl w:ilvl="0" w:tplc="A3708968">
      <w:numFmt w:val="bullet"/>
      <w:lvlText w:val="•"/>
      <w:lvlJc w:val="left"/>
      <w:pPr>
        <w:ind w:left="1410" w:hanging="690"/>
      </w:pPr>
      <w:rPr>
        <w:rFonts w:ascii="Arial" w:eastAsia="Calibri"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28CB2EEA"/>
    <w:multiLevelType w:val="hybridMultilevel"/>
    <w:tmpl w:val="F62EC3D8"/>
    <w:lvl w:ilvl="0" w:tplc="A9A6BB00">
      <w:start w:val="7"/>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2B26055A"/>
    <w:multiLevelType w:val="hybridMultilevel"/>
    <w:tmpl w:val="F8D49230"/>
    <w:lvl w:ilvl="0" w:tplc="D3CE15C0">
      <w:start w:val="9"/>
      <w:numFmt w:val="bullet"/>
      <w:lvlText w:val="-"/>
      <w:lvlJc w:val="left"/>
      <w:pPr>
        <w:ind w:left="644" w:hanging="360"/>
      </w:pPr>
      <w:rPr>
        <w:rFonts w:ascii="Times New Roman" w:eastAsia="Calibri" w:hAnsi="Times New Roman" w:cs="Times New Roman" w:hint="default"/>
        <w:b/>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12" w15:restartNumberingAfterBreak="0">
    <w:nsid w:val="2C0452B3"/>
    <w:multiLevelType w:val="hybridMultilevel"/>
    <w:tmpl w:val="E05840E6"/>
    <w:lvl w:ilvl="0" w:tplc="04180001">
      <w:start w:val="1"/>
      <w:numFmt w:val="bullet"/>
      <w:lvlText w:val=""/>
      <w:lvlJc w:val="left"/>
      <w:pPr>
        <w:ind w:left="1410" w:hanging="360"/>
      </w:pPr>
      <w:rPr>
        <w:rFonts w:ascii="Symbol" w:hAnsi="Symbol" w:hint="default"/>
      </w:rPr>
    </w:lvl>
    <w:lvl w:ilvl="1" w:tplc="04180003" w:tentative="1">
      <w:start w:val="1"/>
      <w:numFmt w:val="bullet"/>
      <w:lvlText w:val="o"/>
      <w:lvlJc w:val="left"/>
      <w:pPr>
        <w:ind w:left="2130" w:hanging="360"/>
      </w:pPr>
      <w:rPr>
        <w:rFonts w:ascii="Courier New" w:hAnsi="Courier New" w:cs="Courier New" w:hint="default"/>
      </w:rPr>
    </w:lvl>
    <w:lvl w:ilvl="2" w:tplc="04180005" w:tentative="1">
      <w:start w:val="1"/>
      <w:numFmt w:val="bullet"/>
      <w:lvlText w:val=""/>
      <w:lvlJc w:val="left"/>
      <w:pPr>
        <w:ind w:left="2850" w:hanging="360"/>
      </w:pPr>
      <w:rPr>
        <w:rFonts w:ascii="Wingdings" w:hAnsi="Wingdings" w:hint="default"/>
      </w:rPr>
    </w:lvl>
    <w:lvl w:ilvl="3" w:tplc="04180001" w:tentative="1">
      <w:start w:val="1"/>
      <w:numFmt w:val="bullet"/>
      <w:lvlText w:val=""/>
      <w:lvlJc w:val="left"/>
      <w:pPr>
        <w:ind w:left="3570" w:hanging="360"/>
      </w:pPr>
      <w:rPr>
        <w:rFonts w:ascii="Symbol" w:hAnsi="Symbol" w:hint="default"/>
      </w:rPr>
    </w:lvl>
    <w:lvl w:ilvl="4" w:tplc="04180003" w:tentative="1">
      <w:start w:val="1"/>
      <w:numFmt w:val="bullet"/>
      <w:lvlText w:val="o"/>
      <w:lvlJc w:val="left"/>
      <w:pPr>
        <w:ind w:left="4290" w:hanging="360"/>
      </w:pPr>
      <w:rPr>
        <w:rFonts w:ascii="Courier New" w:hAnsi="Courier New" w:cs="Courier New" w:hint="default"/>
      </w:rPr>
    </w:lvl>
    <w:lvl w:ilvl="5" w:tplc="04180005" w:tentative="1">
      <w:start w:val="1"/>
      <w:numFmt w:val="bullet"/>
      <w:lvlText w:val=""/>
      <w:lvlJc w:val="left"/>
      <w:pPr>
        <w:ind w:left="5010" w:hanging="360"/>
      </w:pPr>
      <w:rPr>
        <w:rFonts w:ascii="Wingdings" w:hAnsi="Wingdings" w:hint="default"/>
      </w:rPr>
    </w:lvl>
    <w:lvl w:ilvl="6" w:tplc="04180001" w:tentative="1">
      <w:start w:val="1"/>
      <w:numFmt w:val="bullet"/>
      <w:lvlText w:val=""/>
      <w:lvlJc w:val="left"/>
      <w:pPr>
        <w:ind w:left="5730" w:hanging="360"/>
      </w:pPr>
      <w:rPr>
        <w:rFonts w:ascii="Symbol" w:hAnsi="Symbol" w:hint="default"/>
      </w:rPr>
    </w:lvl>
    <w:lvl w:ilvl="7" w:tplc="04180003" w:tentative="1">
      <w:start w:val="1"/>
      <w:numFmt w:val="bullet"/>
      <w:lvlText w:val="o"/>
      <w:lvlJc w:val="left"/>
      <w:pPr>
        <w:ind w:left="6450" w:hanging="360"/>
      </w:pPr>
      <w:rPr>
        <w:rFonts w:ascii="Courier New" w:hAnsi="Courier New" w:cs="Courier New" w:hint="default"/>
      </w:rPr>
    </w:lvl>
    <w:lvl w:ilvl="8" w:tplc="04180005" w:tentative="1">
      <w:start w:val="1"/>
      <w:numFmt w:val="bullet"/>
      <w:lvlText w:val=""/>
      <w:lvlJc w:val="left"/>
      <w:pPr>
        <w:ind w:left="7170" w:hanging="360"/>
      </w:pPr>
      <w:rPr>
        <w:rFonts w:ascii="Wingdings" w:hAnsi="Wingdings" w:hint="default"/>
      </w:rPr>
    </w:lvl>
  </w:abstractNum>
  <w:abstractNum w:abstractNumId="13" w15:restartNumberingAfterBreak="0">
    <w:nsid w:val="2D1F2712"/>
    <w:multiLevelType w:val="hybridMultilevel"/>
    <w:tmpl w:val="9782061A"/>
    <w:lvl w:ilvl="0" w:tplc="64DA5E4E">
      <w:start w:val="1"/>
      <w:numFmt w:val="bullet"/>
      <w:pStyle w:val="bulet1"/>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2FA04AE5"/>
    <w:multiLevelType w:val="hybridMultilevel"/>
    <w:tmpl w:val="044C17C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5" w15:restartNumberingAfterBreak="0">
    <w:nsid w:val="30E624E8"/>
    <w:multiLevelType w:val="hybridMultilevel"/>
    <w:tmpl w:val="DA20B800"/>
    <w:lvl w:ilvl="0" w:tplc="FA9AAB66">
      <w:start w:val="1"/>
      <w:numFmt w:val="bullet"/>
      <w:lvlText w:val=""/>
      <w:lvlJc w:val="left"/>
      <w:pPr>
        <w:ind w:left="1346" w:hanging="360"/>
      </w:pPr>
      <w:rPr>
        <w:rFonts w:ascii="Symbol" w:hAnsi="Symbol" w:hint="default"/>
      </w:rPr>
    </w:lvl>
    <w:lvl w:ilvl="1" w:tplc="FFFFFFFF" w:tentative="1">
      <w:start w:val="1"/>
      <w:numFmt w:val="bullet"/>
      <w:lvlText w:val="o"/>
      <w:lvlJc w:val="left"/>
      <w:pPr>
        <w:ind w:left="2066" w:hanging="360"/>
      </w:pPr>
      <w:rPr>
        <w:rFonts w:ascii="Courier New" w:hAnsi="Courier New" w:cs="Courier New" w:hint="default"/>
      </w:rPr>
    </w:lvl>
    <w:lvl w:ilvl="2" w:tplc="FFFFFFFF" w:tentative="1">
      <w:start w:val="1"/>
      <w:numFmt w:val="bullet"/>
      <w:lvlText w:val=""/>
      <w:lvlJc w:val="left"/>
      <w:pPr>
        <w:ind w:left="2786" w:hanging="360"/>
      </w:pPr>
      <w:rPr>
        <w:rFonts w:ascii="Wingdings" w:hAnsi="Wingdings" w:hint="default"/>
      </w:rPr>
    </w:lvl>
    <w:lvl w:ilvl="3" w:tplc="FFFFFFFF" w:tentative="1">
      <w:start w:val="1"/>
      <w:numFmt w:val="bullet"/>
      <w:lvlText w:val=""/>
      <w:lvlJc w:val="left"/>
      <w:pPr>
        <w:ind w:left="3506" w:hanging="360"/>
      </w:pPr>
      <w:rPr>
        <w:rFonts w:ascii="Symbol" w:hAnsi="Symbol" w:hint="default"/>
      </w:rPr>
    </w:lvl>
    <w:lvl w:ilvl="4" w:tplc="FFFFFFFF" w:tentative="1">
      <w:start w:val="1"/>
      <w:numFmt w:val="bullet"/>
      <w:lvlText w:val="o"/>
      <w:lvlJc w:val="left"/>
      <w:pPr>
        <w:ind w:left="4226" w:hanging="360"/>
      </w:pPr>
      <w:rPr>
        <w:rFonts w:ascii="Courier New" w:hAnsi="Courier New" w:cs="Courier New" w:hint="default"/>
      </w:rPr>
    </w:lvl>
    <w:lvl w:ilvl="5" w:tplc="FFFFFFFF" w:tentative="1">
      <w:start w:val="1"/>
      <w:numFmt w:val="bullet"/>
      <w:lvlText w:val=""/>
      <w:lvlJc w:val="left"/>
      <w:pPr>
        <w:ind w:left="4946" w:hanging="360"/>
      </w:pPr>
      <w:rPr>
        <w:rFonts w:ascii="Wingdings" w:hAnsi="Wingdings" w:hint="default"/>
      </w:rPr>
    </w:lvl>
    <w:lvl w:ilvl="6" w:tplc="FFFFFFFF" w:tentative="1">
      <w:start w:val="1"/>
      <w:numFmt w:val="bullet"/>
      <w:lvlText w:val=""/>
      <w:lvlJc w:val="left"/>
      <w:pPr>
        <w:ind w:left="5666" w:hanging="360"/>
      </w:pPr>
      <w:rPr>
        <w:rFonts w:ascii="Symbol" w:hAnsi="Symbol" w:hint="default"/>
      </w:rPr>
    </w:lvl>
    <w:lvl w:ilvl="7" w:tplc="FFFFFFFF" w:tentative="1">
      <w:start w:val="1"/>
      <w:numFmt w:val="bullet"/>
      <w:lvlText w:val="o"/>
      <w:lvlJc w:val="left"/>
      <w:pPr>
        <w:ind w:left="6386" w:hanging="360"/>
      </w:pPr>
      <w:rPr>
        <w:rFonts w:ascii="Courier New" w:hAnsi="Courier New" w:cs="Courier New" w:hint="default"/>
      </w:rPr>
    </w:lvl>
    <w:lvl w:ilvl="8" w:tplc="FFFFFFFF" w:tentative="1">
      <w:start w:val="1"/>
      <w:numFmt w:val="bullet"/>
      <w:lvlText w:val=""/>
      <w:lvlJc w:val="left"/>
      <w:pPr>
        <w:ind w:left="7106" w:hanging="360"/>
      </w:pPr>
      <w:rPr>
        <w:rFonts w:ascii="Wingdings" w:hAnsi="Wingdings" w:hint="default"/>
      </w:rPr>
    </w:lvl>
  </w:abstractNum>
  <w:abstractNum w:abstractNumId="16" w15:restartNumberingAfterBreak="0">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7" w15:restartNumberingAfterBreak="0">
    <w:nsid w:val="3AC1491C"/>
    <w:multiLevelType w:val="hybridMultilevel"/>
    <w:tmpl w:val="F320A6CE"/>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3FDC28E1"/>
    <w:multiLevelType w:val="hybridMultilevel"/>
    <w:tmpl w:val="E2CC394A"/>
    <w:lvl w:ilvl="0" w:tplc="28DCE51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415A5699"/>
    <w:multiLevelType w:val="hybridMultilevel"/>
    <w:tmpl w:val="03D2D520"/>
    <w:lvl w:ilvl="0" w:tplc="ABFC7394">
      <w:start w:val="1"/>
      <w:numFmt w:val="upperLetter"/>
      <w:lvlText w:val="%1."/>
      <w:lvlJc w:val="left"/>
      <w:pPr>
        <w:ind w:left="990" w:hanging="360"/>
      </w:pPr>
      <w:rPr>
        <w:rFonts w:hint="default"/>
        <w:b/>
        <w:bCs/>
      </w:rPr>
    </w:lvl>
    <w:lvl w:ilvl="1" w:tplc="04180019">
      <w:start w:val="1"/>
      <w:numFmt w:val="lowerLetter"/>
      <w:lvlText w:val="%2."/>
      <w:lvlJc w:val="left"/>
      <w:pPr>
        <w:ind w:left="1710" w:hanging="360"/>
      </w:pPr>
    </w:lvl>
    <w:lvl w:ilvl="2" w:tplc="0418001B">
      <w:start w:val="1"/>
      <w:numFmt w:val="lowerRoman"/>
      <w:lvlText w:val="%3."/>
      <w:lvlJc w:val="right"/>
      <w:pPr>
        <w:ind w:left="2430" w:hanging="180"/>
      </w:pPr>
    </w:lvl>
    <w:lvl w:ilvl="3" w:tplc="0418000F" w:tentative="1">
      <w:start w:val="1"/>
      <w:numFmt w:val="decimal"/>
      <w:lvlText w:val="%4."/>
      <w:lvlJc w:val="left"/>
      <w:pPr>
        <w:ind w:left="3150" w:hanging="360"/>
      </w:pPr>
    </w:lvl>
    <w:lvl w:ilvl="4" w:tplc="04180019" w:tentative="1">
      <w:start w:val="1"/>
      <w:numFmt w:val="lowerLetter"/>
      <w:lvlText w:val="%5."/>
      <w:lvlJc w:val="left"/>
      <w:pPr>
        <w:ind w:left="3870" w:hanging="360"/>
      </w:pPr>
    </w:lvl>
    <w:lvl w:ilvl="5" w:tplc="0418001B" w:tentative="1">
      <w:start w:val="1"/>
      <w:numFmt w:val="lowerRoman"/>
      <w:lvlText w:val="%6."/>
      <w:lvlJc w:val="right"/>
      <w:pPr>
        <w:ind w:left="4590" w:hanging="180"/>
      </w:pPr>
    </w:lvl>
    <w:lvl w:ilvl="6" w:tplc="0418000F" w:tentative="1">
      <w:start w:val="1"/>
      <w:numFmt w:val="decimal"/>
      <w:lvlText w:val="%7."/>
      <w:lvlJc w:val="left"/>
      <w:pPr>
        <w:ind w:left="5310" w:hanging="360"/>
      </w:pPr>
    </w:lvl>
    <w:lvl w:ilvl="7" w:tplc="04180019" w:tentative="1">
      <w:start w:val="1"/>
      <w:numFmt w:val="lowerLetter"/>
      <w:lvlText w:val="%8."/>
      <w:lvlJc w:val="left"/>
      <w:pPr>
        <w:ind w:left="6030" w:hanging="360"/>
      </w:pPr>
    </w:lvl>
    <w:lvl w:ilvl="8" w:tplc="0418001B" w:tentative="1">
      <w:start w:val="1"/>
      <w:numFmt w:val="lowerRoman"/>
      <w:lvlText w:val="%9."/>
      <w:lvlJc w:val="right"/>
      <w:pPr>
        <w:ind w:left="6750" w:hanging="180"/>
      </w:pPr>
    </w:lvl>
  </w:abstractNum>
  <w:abstractNum w:abstractNumId="21" w15:restartNumberingAfterBreak="0">
    <w:nsid w:val="428F2099"/>
    <w:multiLevelType w:val="hybridMultilevel"/>
    <w:tmpl w:val="927E75FE"/>
    <w:lvl w:ilvl="0" w:tplc="04090001">
      <w:start w:val="1"/>
      <w:numFmt w:val="bullet"/>
      <w:lvlText w:val=""/>
      <w:lvlJc w:val="left"/>
      <w:pPr>
        <w:ind w:left="720" w:hanging="360"/>
      </w:pPr>
      <w:rPr>
        <w:rFonts w:ascii="Symbol" w:hAnsi="Symbol" w:hint="default"/>
      </w:rPr>
    </w:lvl>
    <w:lvl w:ilvl="1" w:tplc="2B3AD8A4">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D85482"/>
    <w:multiLevelType w:val="hybridMultilevel"/>
    <w:tmpl w:val="906E66F2"/>
    <w:lvl w:ilvl="0" w:tplc="D3CE15C0">
      <w:start w:val="9"/>
      <w:numFmt w:val="bullet"/>
      <w:lvlText w:val="-"/>
      <w:lvlJc w:val="left"/>
      <w:pPr>
        <w:ind w:left="1287" w:hanging="360"/>
      </w:pPr>
      <w:rPr>
        <w:rFonts w:ascii="Times New Roman" w:eastAsia="Calibri" w:hAnsi="Times New Roman" w:cs="Times New Roman" w:hint="default"/>
        <w:b/>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3" w15:restartNumberingAfterBreak="0">
    <w:nsid w:val="471A6941"/>
    <w:multiLevelType w:val="hybridMultilevel"/>
    <w:tmpl w:val="629096E8"/>
    <w:lvl w:ilvl="0" w:tplc="D3CE15C0">
      <w:start w:val="9"/>
      <w:numFmt w:val="bullet"/>
      <w:lvlText w:val="-"/>
      <w:lvlJc w:val="left"/>
      <w:pPr>
        <w:ind w:left="360" w:hanging="360"/>
      </w:pPr>
      <w:rPr>
        <w:rFonts w:ascii="Times New Roman" w:eastAsia="Calibri" w:hAnsi="Times New Roman" w:cs="Times New Roman" w:hint="default"/>
        <w:b/>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4" w15:restartNumberingAfterBreak="0">
    <w:nsid w:val="49CB2B5F"/>
    <w:multiLevelType w:val="hybridMultilevel"/>
    <w:tmpl w:val="7780D492"/>
    <w:lvl w:ilvl="0" w:tplc="97924416">
      <w:start w:val="1"/>
      <w:numFmt w:val="bullet"/>
      <w:lvlText w:val=""/>
      <w:lvlJc w:val="left"/>
      <w:pPr>
        <w:ind w:left="1287" w:hanging="360"/>
      </w:pPr>
      <w:rPr>
        <w:rFonts w:ascii="Wingdings" w:hAnsi="Wingdings" w:hint="default"/>
        <w:b w:val="0"/>
        <w:color w:val="auto"/>
        <w:sz w:val="32"/>
      </w:rPr>
    </w:lvl>
    <w:lvl w:ilvl="1" w:tplc="04180003">
      <w:start w:val="1"/>
      <w:numFmt w:val="bullet"/>
      <w:lvlText w:val="o"/>
      <w:lvlJc w:val="left"/>
      <w:pPr>
        <w:ind w:left="2007" w:hanging="360"/>
      </w:pPr>
      <w:rPr>
        <w:rFonts w:ascii="Courier New" w:hAnsi="Courier New" w:cs="Courier New" w:hint="default"/>
      </w:rPr>
    </w:lvl>
    <w:lvl w:ilvl="2" w:tplc="8DC2E43E">
      <w:numFmt w:val="bullet"/>
      <w:lvlText w:val="•"/>
      <w:lvlJc w:val="left"/>
      <w:pPr>
        <w:ind w:left="2727" w:hanging="360"/>
      </w:pPr>
      <w:rPr>
        <w:rFonts w:ascii="Arial" w:eastAsia="Calibri" w:hAnsi="Arial" w:cs="Arial"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5" w15:restartNumberingAfterBreak="0">
    <w:nsid w:val="4BF06FD4"/>
    <w:multiLevelType w:val="hybridMultilevel"/>
    <w:tmpl w:val="E14E1C16"/>
    <w:lvl w:ilvl="0" w:tplc="04090003">
      <w:start w:val="1"/>
      <w:numFmt w:val="bullet"/>
      <w:lvlText w:val="o"/>
      <w:lvlJc w:val="left"/>
      <w:pPr>
        <w:ind w:left="1429" w:hanging="360"/>
      </w:pPr>
      <w:rPr>
        <w:rFonts w:ascii="Courier New" w:hAnsi="Courier New" w:cs="Courier New"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15:restartNumberingAfterBreak="0">
    <w:nsid w:val="4E141353"/>
    <w:multiLevelType w:val="hybridMultilevel"/>
    <w:tmpl w:val="EC40EB5E"/>
    <w:lvl w:ilvl="0" w:tplc="FA9AAB66">
      <w:start w:val="1"/>
      <w:numFmt w:val="bullet"/>
      <w:lvlText w:val=""/>
      <w:lvlJc w:val="left"/>
      <w:pPr>
        <w:ind w:left="1346" w:hanging="360"/>
      </w:pPr>
      <w:rPr>
        <w:rFonts w:ascii="Symbol" w:hAnsi="Symbol" w:hint="default"/>
      </w:rPr>
    </w:lvl>
    <w:lvl w:ilvl="1" w:tplc="FFFFFFFF" w:tentative="1">
      <w:start w:val="1"/>
      <w:numFmt w:val="bullet"/>
      <w:lvlText w:val="o"/>
      <w:lvlJc w:val="left"/>
      <w:pPr>
        <w:ind w:left="2066" w:hanging="360"/>
      </w:pPr>
      <w:rPr>
        <w:rFonts w:ascii="Courier New" w:hAnsi="Courier New" w:cs="Courier New" w:hint="default"/>
      </w:rPr>
    </w:lvl>
    <w:lvl w:ilvl="2" w:tplc="FFFFFFFF" w:tentative="1">
      <w:start w:val="1"/>
      <w:numFmt w:val="bullet"/>
      <w:lvlText w:val=""/>
      <w:lvlJc w:val="left"/>
      <w:pPr>
        <w:ind w:left="2786" w:hanging="360"/>
      </w:pPr>
      <w:rPr>
        <w:rFonts w:ascii="Wingdings" w:hAnsi="Wingdings" w:hint="default"/>
      </w:rPr>
    </w:lvl>
    <w:lvl w:ilvl="3" w:tplc="FFFFFFFF" w:tentative="1">
      <w:start w:val="1"/>
      <w:numFmt w:val="bullet"/>
      <w:lvlText w:val=""/>
      <w:lvlJc w:val="left"/>
      <w:pPr>
        <w:ind w:left="3506" w:hanging="360"/>
      </w:pPr>
      <w:rPr>
        <w:rFonts w:ascii="Symbol" w:hAnsi="Symbol" w:hint="default"/>
      </w:rPr>
    </w:lvl>
    <w:lvl w:ilvl="4" w:tplc="FFFFFFFF" w:tentative="1">
      <w:start w:val="1"/>
      <w:numFmt w:val="bullet"/>
      <w:lvlText w:val="o"/>
      <w:lvlJc w:val="left"/>
      <w:pPr>
        <w:ind w:left="4226" w:hanging="360"/>
      </w:pPr>
      <w:rPr>
        <w:rFonts w:ascii="Courier New" w:hAnsi="Courier New" w:cs="Courier New" w:hint="default"/>
      </w:rPr>
    </w:lvl>
    <w:lvl w:ilvl="5" w:tplc="FFFFFFFF" w:tentative="1">
      <w:start w:val="1"/>
      <w:numFmt w:val="bullet"/>
      <w:lvlText w:val=""/>
      <w:lvlJc w:val="left"/>
      <w:pPr>
        <w:ind w:left="4946" w:hanging="360"/>
      </w:pPr>
      <w:rPr>
        <w:rFonts w:ascii="Wingdings" w:hAnsi="Wingdings" w:hint="default"/>
      </w:rPr>
    </w:lvl>
    <w:lvl w:ilvl="6" w:tplc="FFFFFFFF" w:tentative="1">
      <w:start w:val="1"/>
      <w:numFmt w:val="bullet"/>
      <w:lvlText w:val=""/>
      <w:lvlJc w:val="left"/>
      <w:pPr>
        <w:ind w:left="5666" w:hanging="360"/>
      </w:pPr>
      <w:rPr>
        <w:rFonts w:ascii="Symbol" w:hAnsi="Symbol" w:hint="default"/>
      </w:rPr>
    </w:lvl>
    <w:lvl w:ilvl="7" w:tplc="FFFFFFFF" w:tentative="1">
      <w:start w:val="1"/>
      <w:numFmt w:val="bullet"/>
      <w:lvlText w:val="o"/>
      <w:lvlJc w:val="left"/>
      <w:pPr>
        <w:ind w:left="6386" w:hanging="360"/>
      </w:pPr>
      <w:rPr>
        <w:rFonts w:ascii="Courier New" w:hAnsi="Courier New" w:cs="Courier New" w:hint="default"/>
      </w:rPr>
    </w:lvl>
    <w:lvl w:ilvl="8" w:tplc="FFFFFFFF" w:tentative="1">
      <w:start w:val="1"/>
      <w:numFmt w:val="bullet"/>
      <w:lvlText w:val=""/>
      <w:lvlJc w:val="left"/>
      <w:pPr>
        <w:ind w:left="7106" w:hanging="360"/>
      </w:pPr>
      <w:rPr>
        <w:rFonts w:ascii="Wingdings" w:hAnsi="Wingdings" w:hint="default"/>
      </w:rPr>
    </w:lvl>
  </w:abstractNum>
  <w:abstractNum w:abstractNumId="27" w15:restartNumberingAfterBreak="0">
    <w:nsid w:val="516A15F3"/>
    <w:multiLevelType w:val="hybridMultilevel"/>
    <w:tmpl w:val="5D202EAC"/>
    <w:lvl w:ilvl="0" w:tplc="FA9AAB66">
      <w:start w:val="1"/>
      <w:numFmt w:val="bullet"/>
      <w:lvlText w:val=""/>
      <w:lvlJc w:val="left"/>
      <w:pPr>
        <w:ind w:left="1346" w:hanging="360"/>
      </w:pPr>
      <w:rPr>
        <w:rFonts w:ascii="Symbol" w:hAnsi="Symbol" w:hint="default"/>
      </w:rPr>
    </w:lvl>
    <w:lvl w:ilvl="1" w:tplc="FFFFFFFF" w:tentative="1">
      <w:start w:val="1"/>
      <w:numFmt w:val="bullet"/>
      <w:lvlText w:val="o"/>
      <w:lvlJc w:val="left"/>
      <w:pPr>
        <w:ind w:left="2066" w:hanging="360"/>
      </w:pPr>
      <w:rPr>
        <w:rFonts w:ascii="Courier New" w:hAnsi="Courier New" w:cs="Courier New" w:hint="default"/>
      </w:rPr>
    </w:lvl>
    <w:lvl w:ilvl="2" w:tplc="FFFFFFFF" w:tentative="1">
      <w:start w:val="1"/>
      <w:numFmt w:val="bullet"/>
      <w:lvlText w:val=""/>
      <w:lvlJc w:val="left"/>
      <w:pPr>
        <w:ind w:left="2786" w:hanging="360"/>
      </w:pPr>
      <w:rPr>
        <w:rFonts w:ascii="Wingdings" w:hAnsi="Wingdings" w:hint="default"/>
      </w:rPr>
    </w:lvl>
    <w:lvl w:ilvl="3" w:tplc="FFFFFFFF" w:tentative="1">
      <w:start w:val="1"/>
      <w:numFmt w:val="bullet"/>
      <w:lvlText w:val=""/>
      <w:lvlJc w:val="left"/>
      <w:pPr>
        <w:ind w:left="3506" w:hanging="360"/>
      </w:pPr>
      <w:rPr>
        <w:rFonts w:ascii="Symbol" w:hAnsi="Symbol" w:hint="default"/>
      </w:rPr>
    </w:lvl>
    <w:lvl w:ilvl="4" w:tplc="FFFFFFFF" w:tentative="1">
      <w:start w:val="1"/>
      <w:numFmt w:val="bullet"/>
      <w:lvlText w:val="o"/>
      <w:lvlJc w:val="left"/>
      <w:pPr>
        <w:ind w:left="4226" w:hanging="360"/>
      </w:pPr>
      <w:rPr>
        <w:rFonts w:ascii="Courier New" w:hAnsi="Courier New" w:cs="Courier New" w:hint="default"/>
      </w:rPr>
    </w:lvl>
    <w:lvl w:ilvl="5" w:tplc="FFFFFFFF" w:tentative="1">
      <w:start w:val="1"/>
      <w:numFmt w:val="bullet"/>
      <w:lvlText w:val=""/>
      <w:lvlJc w:val="left"/>
      <w:pPr>
        <w:ind w:left="4946" w:hanging="360"/>
      </w:pPr>
      <w:rPr>
        <w:rFonts w:ascii="Wingdings" w:hAnsi="Wingdings" w:hint="default"/>
      </w:rPr>
    </w:lvl>
    <w:lvl w:ilvl="6" w:tplc="FFFFFFFF" w:tentative="1">
      <w:start w:val="1"/>
      <w:numFmt w:val="bullet"/>
      <w:lvlText w:val=""/>
      <w:lvlJc w:val="left"/>
      <w:pPr>
        <w:ind w:left="5666" w:hanging="360"/>
      </w:pPr>
      <w:rPr>
        <w:rFonts w:ascii="Symbol" w:hAnsi="Symbol" w:hint="default"/>
      </w:rPr>
    </w:lvl>
    <w:lvl w:ilvl="7" w:tplc="FFFFFFFF" w:tentative="1">
      <w:start w:val="1"/>
      <w:numFmt w:val="bullet"/>
      <w:lvlText w:val="o"/>
      <w:lvlJc w:val="left"/>
      <w:pPr>
        <w:ind w:left="6386" w:hanging="360"/>
      </w:pPr>
      <w:rPr>
        <w:rFonts w:ascii="Courier New" w:hAnsi="Courier New" w:cs="Courier New" w:hint="default"/>
      </w:rPr>
    </w:lvl>
    <w:lvl w:ilvl="8" w:tplc="FFFFFFFF" w:tentative="1">
      <w:start w:val="1"/>
      <w:numFmt w:val="bullet"/>
      <w:lvlText w:val=""/>
      <w:lvlJc w:val="left"/>
      <w:pPr>
        <w:ind w:left="7106" w:hanging="360"/>
      </w:pPr>
      <w:rPr>
        <w:rFonts w:ascii="Wingdings" w:hAnsi="Wingdings" w:hint="default"/>
      </w:rPr>
    </w:lvl>
  </w:abstractNum>
  <w:abstractNum w:abstractNumId="28" w15:restartNumberingAfterBreak="0">
    <w:nsid w:val="55655A21"/>
    <w:multiLevelType w:val="hybridMultilevel"/>
    <w:tmpl w:val="00CA8DF2"/>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56500B65"/>
    <w:multiLevelType w:val="hybridMultilevel"/>
    <w:tmpl w:val="A3384270"/>
    <w:lvl w:ilvl="0" w:tplc="0418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30" w15:restartNumberingAfterBreak="0">
    <w:nsid w:val="578975A7"/>
    <w:multiLevelType w:val="hybridMultilevel"/>
    <w:tmpl w:val="AE64BCE0"/>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66435CEE"/>
    <w:multiLevelType w:val="hybridMultilevel"/>
    <w:tmpl w:val="D17889A4"/>
    <w:lvl w:ilvl="0" w:tplc="04090005">
      <w:numFmt w:val="bullet"/>
      <w:lvlText w:val="-"/>
      <w:lvlJc w:val="left"/>
      <w:pPr>
        <w:ind w:left="720" w:hanging="360"/>
      </w:pPr>
      <w:rPr>
        <w:rFonts w:ascii="Calibri" w:eastAsia="Calibri" w:hAnsi="Calibri" w:cs="Times New Roman" w:hint="default"/>
        <w:b w:val="0"/>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852405"/>
    <w:multiLevelType w:val="hybridMultilevel"/>
    <w:tmpl w:val="9CC4AC3C"/>
    <w:lvl w:ilvl="0" w:tplc="9B12AEAC">
      <w:start w:val="1"/>
      <w:numFmt w:val="bullet"/>
      <w:pStyle w:val="1bullet"/>
      <w:lvlText w:val=""/>
      <w:lvlJc w:val="left"/>
      <w:pPr>
        <w:ind w:left="810" w:hanging="360"/>
      </w:pPr>
      <w:rPr>
        <w:rFonts w:ascii="Symbol" w:hAnsi="Symbol"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15:restartNumberingAfterBreak="0">
    <w:nsid w:val="6A1204BE"/>
    <w:multiLevelType w:val="hybridMultilevel"/>
    <w:tmpl w:val="44109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A1D2B77"/>
    <w:multiLevelType w:val="hybridMultilevel"/>
    <w:tmpl w:val="39F4CF9A"/>
    <w:lvl w:ilvl="0" w:tplc="2AC42D9A">
      <w:numFmt w:val="bullet"/>
      <w:lvlText w:val="-"/>
      <w:lvlJc w:val="left"/>
      <w:pPr>
        <w:ind w:left="1287" w:hanging="360"/>
      </w:pPr>
      <w:rPr>
        <w:rFonts w:ascii="Arial" w:eastAsia="Times New Roman" w:hAnsi="Arial" w:cs="Aria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6D2F79C2"/>
    <w:multiLevelType w:val="hybridMultilevel"/>
    <w:tmpl w:val="A7562968"/>
    <w:lvl w:ilvl="0" w:tplc="FA9AAB66">
      <w:start w:val="1"/>
      <w:numFmt w:val="bullet"/>
      <w:lvlText w:val=""/>
      <w:lvlJc w:val="left"/>
      <w:pPr>
        <w:ind w:left="1346" w:hanging="360"/>
      </w:pPr>
      <w:rPr>
        <w:rFonts w:ascii="Symbol" w:hAnsi="Symbol" w:hint="default"/>
      </w:rPr>
    </w:lvl>
    <w:lvl w:ilvl="1" w:tplc="FFFFFFFF" w:tentative="1">
      <w:start w:val="1"/>
      <w:numFmt w:val="bullet"/>
      <w:lvlText w:val="o"/>
      <w:lvlJc w:val="left"/>
      <w:pPr>
        <w:ind w:left="2066" w:hanging="360"/>
      </w:pPr>
      <w:rPr>
        <w:rFonts w:ascii="Courier New" w:hAnsi="Courier New" w:cs="Courier New" w:hint="default"/>
      </w:rPr>
    </w:lvl>
    <w:lvl w:ilvl="2" w:tplc="FFFFFFFF" w:tentative="1">
      <w:start w:val="1"/>
      <w:numFmt w:val="bullet"/>
      <w:lvlText w:val=""/>
      <w:lvlJc w:val="left"/>
      <w:pPr>
        <w:ind w:left="2786" w:hanging="360"/>
      </w:pPr>
      <w:rPr>
        <w:rFonts w:ascii="Wingdings" w:hAnsi="Wingdings" w:hint="default"/>
      </w:rPr>
    </w:lvl>
    <w:lvl w:ilvl="3" w:tplc="FFFFFFFF" w:tentative="1">
      <w:start w:val="1"/>
      <w:numFmt w:val="bullet"/>
      <w:lvlText w:val=""/>
      <w:lvlJc w:val="left"/>
      <w:pPr>
        <w:ind w:left="3506" w:hanging="360"/>
      </w:pPr>
      <w:rPr>
        <w:rFonts w:ascii="Symbol" w:hAnsi="Symbol" w:hint="default"/>
      </w:rPr>
    </w:lvl>
    <w:lvl w:ilvl="4" w:tplc="FFFFFFFF" w:tentative="1">
      <w:start w:val="1"/>
      <w:numFmt w:val="bullet"/>
      <w:lvlText w:val="o"/>
      <w:lvlJc w:val="left"/>
      <w:pPr>
        <w:ind w:left="4226" w:hanging="360"/>
      </w:pPr>
      <w:rPr>
        <w:rFonts w:ascii="Courier New" w:hAnsi="Courier New" w:cs="Courier New" w:hint="default"/>
      </w:rPr>
    </w:lvl>
    <w:lvl w:ilvl="5" w:tplc="FFFFFFFF" w:tentative="1">
      <w:start w:val="1"/>
      <w:numFmt w:val="bullet"/>
      <w:lvlText w:val=""/>
      <w:lvlJc w:val="left"/>
      <w:pPr>
        <w:ind w:left="4946" w:hanging="360"/>
      </w:pPr>
      <w:rPr>
        <w:rFonts w:ascii="Wingdings" w:hAnsi="Wingdings" w:hint="default"/>
      </w:rPr>
    </w:lvl>
    <w:lvl w:ilvl="6" w:tplc="FFFFFFFF" w:tentative="1">
      <w:start w:val="1"/>
      <w:numFmt w:val="bullet"/>
      <w:lvlText w:val=""/>
      <w:lvlJc w:val="left"/>
      <w:pPr>
        <w:ind w:left="5666" w:hanging="360"/>
      </w:pPr>
      <w:rPr>
        <w:rFonts w:ascii="Symbol" w:hAnsi="Symbol" w:hint="default"/>
      </w:rPr>
    </w:lvl>
    <w:lvl w:ilvl="7" w:tplc="FFFFFFFF" w:tentative="1">
      <w:start w:val="1"/>
      <w:numFmt w:val="bullet"/>
      <w:lvlText w:val="o"/>
      <w:lvlJc w:val="left"/>
      <w:pPr>
        <w:ind w:left="6386" w:hanging="360"/>
      </w:pPr>
      <w:rPr>
        <w:rFonts w:ascii="Courier New" w:hAnsi="Courier New" w:cs="Courier New" w:hint="default"/>
      </w:rPr>
    </w:lvl>
    <w:lvl w:ilvl="8" w:tplc="FFFFFFFF" w:tentative="1">
      <w:start w:val="1"/>
      <w:numFmt w:val="bullet"/>
      <w:lvlText w:val=""/>
      <w:lvlJc w:val="left"/>
      <w:pPr>
        <w:ind w:left="7106" w:hanging="360"/>
      </w:pPr>
      <w:rPr>
        <w:rFonts w:ascii="Wingdings" w:hAnsi="Wingdings" w:hint="default"/>
      </w:rPr>
    </w:lvl>
  </w:abstractNum>
  <w:abstractNum w:abstractNumId="36" w15:restartNumberingAfterBreak="0">
    <w:nsid w:val="6EC00730"/>
    <w:multiLevelType w:val="hybridMultilevel"/>
    <w:tmpl w:val="D98C7924"/>
    <w:lvl w:ilvl="0" w:tplc="04180001">
      <w:start w:val="1"/>
      <w:numFmt w:val="bullet"/>
      <w:pStyle w:val="1titlu"/>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7AEC7132"/>
    <w:multiLevelType w:val="hybridMultilevel"/>
    <w:tmpl w:val="C7DA9F52"/>
    <w:lvl w:ilvl="0" w:tplc="CE48576C">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9"/>
  </w:num>
  <w:num w:numId="2">
    <w:abstractNumId w:val="20"/>
  </w:num>
  <w:num w:numId="3">
    <w:abstractNumId w:val="15"/>
  </w:num>
  <w:num w:numId="4">
    <w:abstractNumId w:val="27"/>
  </w:num>
  <w:num w:numId="5">
    <w:abstractNumId w:val="35"/>
  </w:num>
  <w:num w:numId="6">
    <w:abstractNumId w:val="26"/>
  </w:num>
  <w:num w:numId="7">
    <w:abstractNumId w:val="34"/>
  </w:num>
  <w:num w:numId="8">
    <w:abstractNumId w:val="36"/>
  </w:num>
  <w:num w:numId="9">
    <w:abstractNumId w:val="13"/>
  </w:num>
  <w:num w:numId="10">
    <w:abstractNumId w:val="5"/>
  </w:num>
  <w:num w:numId="11">
    <w:abstractNumId w:val="7"/>
  </w:num>
  <w:num w:numId="12">
    <w:abstractNumId w:val="8"/>
  </w:num>
  <w:num w:numId="13">
    <w:abstractNumId w:val="3"/>
  </w:num>
  <w:num w:numId="14">
    <w:abstractNumId w:val="1"/>
  </w:num>
  <w:num w:numId="15">
    <w:abstractNumId w:val="32"/>
  </w:num>
  <w:num w:numId="16">
    <w:abstractNumId w:val="25"/>
  </w:num>
  <w:num w:numId="17">
    <w:abstractNumId w:val="24"/>
  </w:num>
  <w:num w:numId="18">
    <w:abstractNumId w:val="16"/>
  </w:num>
  <w:num w:numId="19">
    <w:abstractNumId w:val="0"/>
  </w:num>
  <w:num w:numId="20">
    <w:abstractNumId w:val="22"/>
  </w:num>
  <w:num w:numId="21">
    <w:abstractNumId w:val="11"/>
  </w:num>
  <w:num w:numId="22">
    <w:abstractNumId w:val="23"/>
  </w:num>
  <w:num w:numId="23">
    <w:abstractNumId w:val="12"/>
  </w:num>
  <w:num w:numId="24">
    <w:abstractNumId w:val="17"/>
  </w:num>
  <w:num w:numId="25">
    <w:abstractNumId w:val="10"/>
  </w:num>
  <w:num w:numId="26">
    <w:abstractNumId w:val="6"/>
  </w:num>
  <w:num w:numId="27">
    <w:abstractNumId w:val="4"/>
  </w:num>
  <w:num w:numId="28">
    <w:abstractNumId w:val="19"/>
  </w:num>
  <w:num w:numId="29">
    <w:abstractNumId w:val="37"/>
  </w:num>
  <w:num w:numId="30">
    <w:abstractNumId w:val="21"/>
  </w:num>
  <w:num w:numId="31">
    <w:abstractNumId w:val="18"/>
  </w:num>
  <w:num w:numId="32">
    <w:abstractNumId w:val="31"/>
  </w:num>
  <w:num w:numId="33">
    <w:abstractNumId w:val="2"/>
  </w:num>
  <w:num w:numId="34">
    <w:abstractNumId w:val="14"/>
  </w:num>
  <w:num w:numId="35">
    <w:abstractNumId w:val="28"/>
  </w:num>
  <w:num w:numId="36">
    <w:abstractNumId w:val="30"/>
  </w:num>
  <w:num w:numId="37">
    <w:abstractNumId w:val="33"/>
  </w:num>
  <w:num w:numId="38">
    <w:abstractNumId w:val="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activeWritingStyle w:appName="MSWord" w:lang="fr-FR" w:vendorID="64" w:dllVersion="131078" w:nlCheck="1" w:checkStyle="0"/>
  <w:activeWritingStyle w:appName="MSWord" w:lang="en-US" w:vendorID="64" w:dllVersion="131078" w:nlCheck="1" w:checkStyle="1"/>
  <w:activeWritingStyle w:appName="MSWord" w:lang="es-ES_tradnl" w:vendorID="64" w:dllVersion="131078" w:nlCheck="1" w:checkStyle="0"/>
  <w:activeWritingStyle w:appName="MSWord" w:lang="fr-BE"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523A"/>
    <w:rsid w:val="000027AB"/>
    <w:rsid w:val="000059B9"/>
    <w:rsid w:val="00012CD8"/>
    <w:rsid w:val="00014FC2"/>
    <w:rsid w:val="00016276"/>
    <w:rsid w:val="00030BDA"/>
    <w:rsid w:val="00031D69"/>
    <w:rsid w:val="0004786A"/>
    <w:rsid w:val="0006021F"/>
    <w:rsid w:val="00060E0A"/>
    <w:rsid w:val="0006366A"/>
    <w:rsid w:val="00066EDC"/>
    <w:rsid w:val="000815AC"/>
    <w:rsid w:val="00084924"/>
    <w:rsid w:val="00092C87"/>
    <w:rsid w:val="000937C0"/>
    <w:rsid w:val="000979DC"/>
    <w:rsid w:val="000A24F6"/>
    <w:rsid w:val="000A2995"/>
    <w:rsid w:val="000A3D16"/>
    <w:rsid w:val="000A4242"/>
    <w:rsid w:val="000B6D48"/>
    <w:rsid w:val="000B7B97"/>
    <w:rsid w:val="000C605E"/>
    <w:rsid w:val="000C7E4D"/>
    <w:rsid w:val="000D03B9"/>
    <w:rsid w:val="000D318F"/>
    <w:rsid w:val="000E5358"/>
    <w:rsid w:val="000E5A67"/>
    <w:rsid w:val="000F5219"/>
    <w:rsid w:val="00101025"/>
    <w:rsid w:val="00113DAC"/>
    <w:rsid w:val="0011770D"/>
    <w:rsid w:val="00123D6A"/>
    <w:rsid w:val="00127ECA"/>
    <w:rsid w:val="00131AC7"/>
    <w:rsid w:val="00132450"/>
    <w:rsid w:val="00133EDA"/>
    <w:rsid w:val="00134156"/>
    <w:rsid w:val="001373C8"/>
    <w:rsid w:val="0014396E"/>
    <w:rsid w:val="00145C31"/>
    <w:rsid w:val="00146563"/>
    <w:rsid w:val="001554D9"/>
    <w:rsid w:val="0016096D"/>
    <w:rsid w:val="00167887"/>
    <w:rsid w:val="00171CFF"/>
    <w:rsid w:val="001729D8"/>
    <w:rsid w:val="0017443F"/>
    <w:rsid w:val="0017462B"/>
    <w:rsid w:val="00177334"/>
    <w:rsid w:val="00184322"/>
    <w:rsid w:val="00187A85"/>
    <w:rsid w:val="00187EF5"/>
    <w:rsid w:val="00190115"/>
    <w:rsid w:val="001A5694"/>
    <w:rsid w:val="001B1E0A"/>
    <w:rsid w:val="001B3E52"/>
    <w:rsid w:val="001B400C"/>
    <w:rsid w:val="001B4473"/>
    <w:rsid w:val="001C21C4"/>
    <w:rsid w:val="001C7015"/>
    <w:rsid w:val="001D5313"/>
    <w:rsid w:val="001D574B"/>
    <w:rsid w:val="001E33BD"/>
    <w:rsid w:val="001F30A0"/>
    <w:rsid w:val="001F343A"/>
    <w:rsid w:val="001F62B5"/>
    <w:rsid w:val="002002A6"/>
    <w:rsid w:val="00201D43"/>
    <w:rsid w:val="00203AA2"/>
    <w:rsid w:val="002158A9"/>
    <w:rsid w:val="0021599F"/>
    <w:rsid w:val="00216262"/>
    <w:rsid w:val="00217879"/>
    <w:rsid w:val="00220E33"/>
    <w:rsid w:val="0022313F"/>
    <w:rsid w:val="00234E0A"/>
    <w:rsid w:val="00241EC6"/>
    <w:rsid w:val="00247438"/>
    <w:rsid w:val="002531BB"/>
    <w:rsid w:val="00257643"/>
    <w:rsid w:val="00260C4A"/>
    <w:rsid w:val="002622AB"/>
    <w:rsid w:val="002838DB"/>
    <w:rsid w:val="002842A6"/>
    <w:rsid w:val="00291BA5"/>
    <w:rsid w:val="0029233E"/>
    <w:rsid w:val="002928B6"/>
    <w:rsid w:val="002963D4"/>
    <w:rsid w:val="002975E5"/>
    <w:rsid w:val="002A4A67"/>
    <w:rsid w:val="002A60BD"/>
    <w:rsid w:val="002B0D24"/>
    <w:rsid w:val="002B1FB0"/>
    <w:rsid w:val="002B42AC"/>
    <w:rsid w:val="002B50B2"/>
    <w:rsid w:val="002B710A"/>
    <w:rsid w:val="002C138B"/>
    <w:rsid w:val="002C537F"/>
    <w:rsid w:val="002C62A9"/>
    <w:rsid w:val="002D198D"/>
    <w:rsid w:val="002D69EE"/>
    <w:rsid w:val="002F540C"/>
    <w:rsid w:val="00300087"/>
    <w:rsid w:val="00300E18"/>
    <w:rsid w:val="00302497"/>
    <w:rsid w:val="00305008"/>
    <w:rsid w:val="00306A41"/>
    <w:rsid w:val="003121D0"/>
    <w:rsid w:val="00320C24"/>
    <w:rsid w:val="003214F3"/>
    <w:rsid w:val="003215D9"/>
    <w:rsid w:val="00324B7A"/>
    <w:rsid w:val="003264F0"/>
    <w:rsid w:val="003306EF"/>
    <w:rsid w:val="00333270"/>
    <w:rsid w:val="003433A3"/>
    <w:rsid w:val="00343E3C"/>
    <w:rsid w:val="00344FF3"/>
    <w:rsid w:val="00345FC5"/>
    <w:rsid w:val="003467F3"/>
    <w:rsid w:val="00346D42"/>
    <w:rsid w:val="00350042"/>
    <w:rsid w:val="00350159"/>
    <w:rsid w:val="00355387"/>
    <w:rsid w:val="00355C18"/>
    <w:rsid w:val="00355EBD"/>
    <w:rsid w:val="0035787F"/>
    <w:rsid w:val="00361EE7"/>
    <w:rsid w:val="003664ED"/>
    <w:rsid w:val="00373430"/>
    <w:rsid w:val="00377577"/>
    <w:rsid w:val="0038068C"/>
    <w:rsid w:val="0038730C"/>
    <w:rsid w:val="00395055"/>
    <w:rsid w:val="003A1FC7"/>
    <w:rsid w:val="003A3CCB"/>
    <w:rsid w:val="003A4AEE"/>
    <w:rsid w:val="003A7B43"/>
    <w:rsid w:val="003B35FB"/>
    <w:rsid w:val="003B4600"/>
    <w:rsid w:val="003C1AFF"/>
    <w:rsid w:val="003C2437"/>
    <w:rsid w:val="003C3685"/>
    <w:rsid w:val="003D3D77"/>
    <w:rsid w:val="003E2D26"/>
    <w:rsid w:val="003F042E"/>
    <w:rsid w:val="003F2597"/>
    <w:rsid w:val="003F2ACE"/>
    <w:rsid w:val="00402793"/>
    <w:rsid w:val="0040295E"/>
    <w:rsid w:val="0040514A"/>
    <w:rsid w:val="00405A0A"/>
    <w:rsid w:val="00405DB4"/>
    <w:rsid w:val="00414369"/>
    <w:rsid w:val="004156A2"/>
    <w:rsid w:val="00416046"/>
    <w:rsid w:val="0042037E"/>
    <w:rsid w:val="00421B6A"/>
    <w:rsid w:val="00425F56"/>
    <w:rsid w:val="0043193A"/>
    <w:rsid w:val="00434EB1"/>
    <w:rsid w:val="004360B4"/>
    <w:rsid w:val="00437DBE"/>
    <w:rsid w:val="004412CD"/>
    <w:rsid w:val="004417D2"/>
    <w:rsid w:val="004425B3"/>
    <w:rsid w:val="00442CB1"/>
    <w:rsid w:val="00445603"/>
    <w:rsid w:val="00455F35"/>
    <w:rsid w:val="00456DAA"/>
    <w:rsid w:val="00462510"/>
    <w:rsid w:val="004751BF"/>
    <w:rsid w:val="00487527"/>
    <w:rsid w:val="00491197"/>
    <w:rsid w:val="0049487F"/>
    <w:rsid w:val="004948D8"/>
    <w:rsid w:val="00496E5B"/>
    <w:rsid w:val="004975A1"/>
    <w:rsid w:val="004B01FE"/>
    <w:rsid w:val="004B3AAB"/>
    <w:rsid w:val="004B733C"/>
    <w:rsid w:val="004C04A2"/>
    <w:rsid w:val="004C28F9"/>
    <w:rsid w:val="004C2A7F"/>
    <w:rsid w:val="004C2F0C"/>
    <w:rsid w:val="004C5131"/>
    <w:rsid w:val="004C7F68"/>
    <w:rsid w:val="004D3458"/>
    <w:rsid w:val="004D7FF5"/>
    <w:rsid w:val="004E7921"/>
    <w:rsid w:val="004F2931"/>
    <w:rsid w:val="00500F1F"/>
    <w:rsid w:val="00506953"/>
    <w:rsid w:val="0051011C"/>
    <w:rsid w:val="00510CC4"/>
    <w:rsid w:val="005157ED"/>
    <w:rsid w:val="00516968"/>
    <w:rsid w:val="00527C74"/>
    <w:rsid w:val="005442F6"/>
    <w:rsid w:val="005451BF"/>
    <w:rsid w:val="00546FDD"/>
    <w:rsid w:val="0054709F"/>
    <w:rsid w:val="00552B31"/>
    <w:rsid w:val="00556496"/>
    <w:rsid w:val="00563B1C"/>
    <w:rsid w:val="00565A5C"/>
    <w:rsid w:val="0057192E"/>
    <w:rsid w:val="00574108"/>
    <w:rsid w:val="00580B67"/>
    <w:rsid w:val="00590F7E"/>
    <w:rsid w:val="005958D0"/>
    <w:rsid w:val="0059655D"/>
    <w:rsid w:val="005A2033"/>
    <w:rsid w:val="005A6CC8"/>
    <w:rsid w:val="005B11C7"/>
    <w:rsid w:val="005B2B40"/>
    <w:rsid w:val="005B3CE9"/>
    <w:rsid w:val="005B7C1D"/>
    <w:rsid w:val="005C095A"/>
    <w:rsid w:val="005C198A"/>
    <w:rsid w:val="005C1C4D"/>
    <w:rsid w:val="005C2FAE"/>
    <w:rsid w:val="005C7094"/>
    <w:rsid w:val="005C7E77"/>
    <w:rsid w:val="005D18F2"/>
    <w:rsid w:val="005D7CEA"/>
    <w:rsid w:val="005E0A87"/>
    <w:rsid w:val="005E5343"/>
    <w:rsid w:val="005E65C7"/>
    <w:rsid w:val="005F2F4D"/>
    <w:rsid w:val="005F39B8"/>
    <w:rsid w:val="005F6ACF"/>
    <w:rsid w:val="00600947"/>
    <w:rsid w:val="00600CC6"/>
    <w:rsid w:val="00621332"/>
    <w:rsid w:val="00624253"/>
    <w:rsid w:val="00630EFE"/>
    <w:rsid w:val="006318BD"/>
    <w:rsid w:val="0063771D"/>
    <w:rsid w:val="00647093"/>
    <w:rsid w:val="00650560"/>
    <w:rsid w:val="00653CA0"/>
    <w:rsid w:val="006564BA"/>
    <w:rsid w:val="00661F3F"/>
    <w:rsid w:val="00666799"/>
    <w:rsid w:val="00666EFA"/>
    <w:rsid w:val="00670A00"/>
    <w:rsid w:val="00672689"/>
    <w:rsid w:val="0067309C"/>
    <w:rsid w:val="006823C7"/>
    <w:rsid w:val="00683FF9"/>
    <w:rsid w:val="006A2F7E"/>
    <w:rsid w:val="006A3095"/>
    <w:rsid w:val="006A6BAF"/>
    <w:rsid w:val="006C34D1"/>
    <w:rsid w:val="006C595E"/>
    <w:rsid w:val="006D44F1"/>
    <w:rsid w:val="006D523A"/>
    <w:rsid w:val="006E1379"/>
    <w:rsid w:val="006E13CB"/>
    <w:rsid w:val="006E48AA"/>
    <w:rsid w:val="006F00C1"/>
    <w:rsid w:val="007044DE"/>
    <w:rsid w:val="00705A90"/>
    <w:rsid w:val="00710A5F"/>
    <w:rsid w:val="00724E68"/>
    <w:rsid w:val="00737045"/>
    <w:rsid w:val="00743297"/>
    <w:rsid w:val="007450BB"/>
    <w:rsid w:val="007471FA"/>
    <w:rsid w:val="00752377"/>
    <w:rsid w:val="00753A53"/>
    <w:rsid w:val="007564F2"/>
    <w:rsid w:val="007566EA"/>
    <w:rsid w:val="00760CDB"/>
    <w:rsid w:val="0076333D"/>
    <w:rsid w:val="007666FD"/>
    <w:rsid w:val="00767026"/>
    <w:rsid w:val="00773704"/>
    <w:rsid w:val="007740B6"/>
    <w:rsid w:val="00776110"/>
    <w:rsid w:val="00777DB0"/>
    <w:rsid w:val="007849FF"/>
    <w:rsid w:val="007A6728"/>
    <w:rsid w:val="007B1F87"/>
    <w:rsid w:val="007B43E6"/>
    <w:rsid w:val="007C794D"/>
    <w:rsid w:val="007D33DE"/>
    <w:rsid w:val="007D76AC"/>
    <w:rsid w:val="007E00AD"/>
    <w:rsid w:val="008043EF"/>
    <w:rsid w:val="008066A8"/>
    <w:rsid w:val="00811C46"/>
    <w:rsid w:val="00812B79"/>
    <w:rsid w:val="00817B61"/>
    <w:rsid w:val="008323CB"/>
    <w:rsid w:val="00846B72"/>
    <w:rsid w:val="008505ED"/>
    <w:rsid w:val="0085784E"/>
    <w:rsid w:val="00866344"/>
    <w:rsid w:val="00866CFA"/>
    <w:rsid w:val="008759D8"/>
    <w:rsid w:val="00890DCD"/>
    <w:rsid w:val="00892036"/>
    <w:rsid w:val="008A23A1"/>
    <w:rsid w:val="008A62CB"/>
    <w:rsid w:val="008A7E79"/>
    <w:rsid w:val="008B55F1"/>
    <w:rsid w:val="008B577B"/>
    <w:rsid w:val="008B5841"/>
    <w:rsid w:val="008B5B1B"/>
    <w:rsid w:val="008B73AF"/>
    <w:rsid w:val="008C18CC"/>
    <w:rsid w:val="008C1EE5"/>
    <w:rsid w:val="008C3F99"/>
    <w:rsid w:val="008C73B2"/>
    <w:rsid w:val="008E2B2F"/>
    <w:rsid w:val="008F4D72"/>
    <w:rsid w:val="00900C06"/>
    <w:rsid w:val="009035DE"/>
    <w:rsid w:val="00903AA5"/>
    <w:rsid w:val="00906344"/>
    <w:rsid w:val="009068B2"/>
    <w:rsid w:val="009128C6"/>
    <w:rsid w:val="00914B84"/>
    <w:rsid w:val="00916FF7"/>
    <w:rsid w:val="00917DE3"/>
    <w:rsid w:val="00924E11"/>
    <w:rsid w:val="00926899"/>
    <w:rsid w:val="0093073B"/>
    <w:rsid w:val="00930EF6"/>
    <w:rsid w:val="0093539F"/>
    <w:rsid w:val="00941783"/>
    <w:rsid w:val="00946DA9"/>
    <w:rsid w:val="009517A9"/>
    <w:rsid w:val="009520EC"/>
    <w:rsid w:val="009524C4"/>
    <w:rsid w:val="00954AFD"/>
    <w:rsid w:val="00954F90"/>
    <w:rsid w:val="00955E55"/>
    <w:rsid w:val="00964AC1"/>
    <w:rsid w:val="00967385"/>
    <w:rsid w:val="00970F44"/>
    <w:rsid w:val="0097414B"/>
    <w:rsid w:val="0097571C"/>
    <w:rsid w:val="0098042A"/>
    <w:rsid w:val="009851DA"/>
    <w:rsid w:val="00985E62"/>
    <w:rsid w:val="009A5B4F"/>
    <w:rsid w:val="009A6F59"/>
    <w:rsid w:val="009B4FD5"/>
    <w:rsid w:val="009B7BBD"/>
    <w:rsid w:val="009C1BE7"/>
    <w:rsid w:val="009C44C6"/>
    <w:rsid w:val="009C51FF"/>
    <w:rsid w:val="009D1E76"/>
    <w:rsid w:val="009E683A"/>
    <w:rsid w:val="00A11E1C"/>
    <w:rsid w:val="00A1252E"/>
    <w:rsid w:val="00A26529"/>
    <w:rsid w:val="00A33261"/>
    <w:rsid w:val="00A40145"/>
    <w:rsid w:val="00A41661"/>
    <w:rsid w:val="00A4445F"/>
    <w:rsid w:val="00A6190D"/>
    <w:rsid w:val="00A6297D"/>
    <w:rsid w:val="00A64F97"/>
    <w:rsid w:val="00A6504E"/>
    <w:rsid w:val="00A72E50"/>
    <w:rsid w:val="00A75F7E"/>
    <w:rsid w:val="00A91276"/>
    <w:rsid w:val="00A97BFF"/>
    <w:rsid w:val="00AA0FAF"/>
    <w:rsid w:val="00AA54F3"/>
    <w:rsid w:val="00AA697E"/>
    <w:rsid w:val="00AA6F90"/>
    <w:rsid w:val="00AB1930"/>
    <w:rsid w:val="00AB5A56"/>
    <w:rsid w:val="00AD23E7"/>
    <w:rsid w:val="00AD50F7"/>
    <w:rsid w:val="00AD640A"/>
    <w:rsid w:val="00AE17B2"/>
    <w:rsid w:val="00AE4519"/>
    <w:rsid w:val="00AF05C3"/>
    <w:rsid w:val="00AF3871"/>
    <w:rsid w:val="00AF670D"/>
    <w:rsid w:val="00B020C6"/>
    <w:rsid w:val="00B04006"/>
    <w:rsid w:val="00B05BC4"/>
    <w:rsid w:val="00B10788"/>
    <w:rsid w:val="00B15955"/>
    <w:rsid w:val="00B243BA"/>
    <w:rsid w:val="00B3688C"/>
    <w:rsid w:val="00B5258A"/>
    <w:rsid w:val="00B67362"/>
    <w:rsid w:val="00B81983"/>
    <w:rsid w:val="00B81C96"/>
    <w:rsid w:val="00B838DC"/>
    <w:rsid w:val="00B91A8F"/>
    <w:rsid w:val="00B91BBC"/>
    <w:rsid w:val="00B9339A"/>
    <w:rsid w:val="00B96A1D"/>
    <w:rsid w:val="00B97A79"/>
    <w:rsid w:val="00BA4413"/>
    <w:rsid w:val="00BA4F14"/>
    <w:rsid w:val="00BB1EB7"/>
    <w:rsid w:val="00BB3966"/>
    <w:rsid w:val="00BB7E15"/>
    <w:rsid w:val="00BC6360"/>
    <w:rsid w:val="00BE2FC7"/>
    <w:rsid w:val="00BE368A"/>
    <w:rsid w:val="00BF1B02"/>
    <w:rsid w:val="00BF6AB1"/>
    <w:rsid w:val="00C011AE"/>
    <w:rsid w:val="00C01F06"/>
    <w:rsid w:val="00C033EB"/>
    <w:rsid w:val="00C04294"/>
    <w:rsid w:val="00C17E8E"/>
    <w:rsid w:val="00C252E5"/>
    <w:rsid w:val="00C40966"/>
    <w:rsid w:val="00C4770D"/>
    <w:rsid w:val="00C55B23"/>
    <w:rsid w:val="00C657B6"/>
    <w:rsid w:val="00C74433"/>
    <w:rsid w:val="00C843F3"/>
    <w:rsid w:val="00C852C8"/>
    <w:rsid w:val="00C862C5"/>
    <w:rsid w:val="00C87AA0"/>
    <w:rsid w:val="00C96E79"/>
    <w:rsid w:val="00C977CF"/>
    <w:rsid w:val="00CB02CA"/>
    <w:rsid w:val="00CB751A"/>
    <w:rsid w:val="00CC2416"/>
    <w:rsid w:val="00CC439E"/>
    <w:rsid w:val="00CC4DBD"/>
    <w:rsid w:val="00CC73CA"/>
    <w:rsid w:val="00CD035D"/>
    <w:rsid w:val="00CE0E6A"/>
    <w:rsid w:val="00CE571F"/>
    <w:rsid w:val="00D05252"/>
    <w:rsid w:val="00D10E2B"/>
    <w:rsid w:val="00D117C1"/>
    <w:rsid w:val="00D3278C"/>
    <w:rsid w:val="00D40314"/>
    <w:rsid w:val="00D45D53"/>
    <w:rsid w:val="00D54B0B"/>
    <w:rsid w:val="00D55ED3"/>
    <w:rsid w:val="00D62AFB"/>
    <w:rsid w:val="00D670CF"/>
    <w:rsid w:val="00D71E48"/>
    <w:rsid w:val="00D738A4"/>
    <w:rsid w:val="00D770E8"/>
    <w:rsid w:val="00D84119"/>
    <w:rsid w:val="00D841D2"/>
    <w:rsid w:val="00D86954"/>
    <w:rsid w:val="00D94DBB"/>
    <w:rsid w:val="00D9608A"/>
    <w:rsid w:val="00DB2BA7"/>
    <w:rsid w:val="00DB6C59"/>
    <w:rsid w:val="00DC0E7E"/>
    <w:rsid w:val="00DC1BBB"/>
    <w:rsid w:val="00DC2899"/>
    <w:rsid w:val="00DC2C0D"/>
    <w:rsid w:val="00DC3397"/>
    <w:rsid w:val="00DC6D28"/>
    <w:rsid w:val="00DD07A1"/>
    <w:rsid w:val="00DD0918"/>
    <w:rsid w:val="00DD1B1B"/>
    <w:rsid w:val="00DD574B"/>
    <w:rsid w:val="00DD5CFC"/>
    <w:rsid w:val="00DE253E"/>
    <w:rsid w:val="00DE65A1"/>
    <w:rsid w:val="00DF0406"/>
    <w:rsid w:val="00DF4589"/>
    <w:rsid w:val="00DF7D2A"/>
    <w:rsid w:val="00E068E0"/>
    <w:rsid w:val="00E1246E"/>
    <w:rsid w:val="00E13012"/>
    <w:rsid w:val="00E15A84"/>
    <w:rsid w:val="00E163A4"/>
    <w:rsid w:val="00E23378"/>
    <w:rsid w:val="00E30C2C"/>
    <w:rsid w:val="00E34804"/>
    <w:rsid w:val="00E46C3E"/>
    <w:rsid w:val="00E52E09"/>
    <w:rsid w:val="00E605A2"/>
    <w:rsid w:val="00E7275C"/>
    <w:rsid w:val="00E8450A"/>
    <w:rsid w:val="00EA1B4A"/>
    <w:rsid w:val="00EA3DC5"/>
    <w:rsid w:val="00EA4234"/>
    <w:rsid w:val="00EB23BA"/>
    <w:rsid w:val="00EB6C82"/>
    <w:rsid w:val="00EC17DA"/>
    <w:rsid w:val="00EC18F5"/>
    <w:rsid w:val="00EC3102"/>
    <w:rsid w:val="00ED4B7B"/>
    <w:rsid w:val="00ED61B6"/>
    <w:rsid w:val="00EE0C4B"/>
    <w:rsid w:val="00EE24F4"/>
    <w:rsid w:val="00EE2B6B"/>
    <w:rsid w:val="00EF54A0"/>
    <w:rsid w:val="00F07802"/>
    <w:rsid w:val="00F20F52"/>
    <w:rsid w:val="00F23FC5"/>
    <w:rsid w:val="00F34768"/>
    <w:rsid w:val="00F40AFD"/>
    <w:rsid w:val="00F43456"/>
    <w:rsid w:val="00F45A96"/>
    <w:rsid w:val="00F50112"/>
    <w:rsid w:val="00F5674D"/>
    <w:rsid w:val="00F64204"/>
    <w:rsid w:val="00F66670"/>
    <w:rsid w:val="00F66A30"/>
    <w:rsid w:val="00F73422"/>
    <w:rsid w:val="00F83ED6"/>
    <w:rsid w:val="00F92AA1"/>
    <w:rsid w:val="00F92F9E"/>
    <w:rsid w:val="00FA1115"/>
    <w:rsid w:val="00FA5FA6"/>
    <w:rsid w:val="00FB10DD"/>
    <w:rsid w:val="00FD1D48"/>
    <w:rsid w:val="00FE12D2"/>
    <w:rsid w:val="00FE3544"/>
    <w:rsid w:val="00FE46E2"/>
    <w:rsid w:val="00FE4EF0"/>
    <w:rsid w:val="00FF320C"/>
    <w:rsid w:val="00FF417E"/>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8AFAA17"/>
  <w15:chartTrackingRefBased/>
  <w15:docId w15:val="{C6B82C38-2D66-4076-B85F-182EC18B6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5358"/>
  </w:style>
  <w:style w:type="paragraph" w:styleId="Heading1">
    <w:name w:val="heading 1"/>
    <w:basedOn w:val="Normal"/>
    <w:next w:val="Normal"/>
    <w:link w:val="Heading1Char"/>
    <w:uiPriority w:val="9"/>
    <w:qFormat/>
    <w:rsid w:val="004B3AA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next w:val="Normal"/>
    <w:link w:val="Heading4Char"/>
    <w:qFormat/>
    <w:rsid w:val="00AE17B2"/>
    <w:pPr>
      <w:keepNext/>
      <w:spacing w:after="0" w:line="240" w:lineRule="auto"/>
      <w:jc w:val="center"/>
      <w:outlineLvl w:val="3"/>
    </w:pPr>
    <w:rPr>
      <w:rFonts w:ascii="Times New Roman" w:eastAsia="Times New Roman" w:hAnsi="Times New Roman" w:cs="Times New Roman"/>
      <w:b/>
      <w:bCs/>
      <w:color w:val="FFFF00"/>
      <w:sz w:val="32"/>
      <w:szCs w:val="3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2_sj,List_Paragraph,Multilevel para_II,List Paragraph1,Normal bullet 2,Forth level,body 2,lp1,Heading x1,Lista 1,lp11,List Paragraph11,References,Dot pt,List Paragraph Char Char Char,Indicator Text,Numbered Para 1,LISTA"/>
    <w:basedOn w:val="Normal"/>
    <w:link w:val="ListParagraphChar"/>
    <w:uiPriority w:val="34"/>
    <w:qFormat/>
    <w:rsid w:val="000E5358"/>
    <w:pPr>
      <w:ind w:left="720"/>
      <w:contextualSpacing/>
    </w:pPr>
  </w:style>
  <w:style w:type="character" w:customStyle="1" w:styleId="HeaderChar">
    <w:name w:val="Header Char"/>
    <w:basedOn w:val="DefaultParagraphFont"/>
    <w:link w:val="Header"/>
    <w:uiPriority w:val="99"/>
    <w:rsid w:val="00355C18"/>
  </w:style>
  <w:style w:type="paragraph" w:styleId="Header">
    <w:name w:val="header"/>
    <w:basedOn w:val="Normal"/>
    <w:link w:val="HeaderChar"/>
    <w:uiPriority w:val="99"/>
    <w:unhideWhenUsed/>
    <w:rsid w:val="00355C18"/>
    <w:pPr>
      <w:tabs>
        <w:tab w:val="center" w:pos="4536"/>
        <w:tab w:val="right" w:pos="9072"/>
      </w:tabs>
      <w:spacing w:after="0" w:line="240" w:lineRule="auto"/>
    </w:pPr>
  </w:style>
  <w:style w:type="character" w:customStyle="1" w:styleId="HeaderChar1">
    <w:name w:val="Header Char1"/>
    <w:basedOn w:val="DefaultParagraphFont"/>
    <w:uiPriority w:val="99"/>
    <w:semiHidden/>
    <w:rsid w:val="00355C18"/>
  </w:style>
  <w:style w:type="character" w:customStyle="1" w:styleId="FooterChar">
    <w:name w:val="Footer Char"/>
    <w:basedOn w:val="DefaultParagraphFont"/>
    <w:link w:val="Footer"/>
    <w:uiPriority w:val="99"/>
    <w:rsid w:val="00355C18"/>
  </w:style>
  <w:style w:type="paragraph" w:styleId="Footer">
    <w:name w:val="footer"/>
    <w:basedOn w:val="Normal"/>
    <w:link w:val="FooterChar"/>
    <w:uiPriority w:val="99"/>
    <w:unhideWhenUsed/>
    <w:rsid w:val="00355C18"/>
    <w:pPr>
      <w:tabs>
        <w:tab w:val="center" w:pos="4536"/>
        <w:tab w:val="right" w:pos="9072"/>
      </w:tabs>
      <w:spacing w:after="0" w:line="240" w:lineRule="auto"/>
    </w:pPr>
  </w:style>
  <w:style w:type="character" w:customStyle="1" w:styleId="FooterChar1">
    <w:name w:val="Footer Char1"/>
    <w:basedOn w:val="DefaultParagraphFont"/>
    <w:uiPriority w:val="99"/>
    <w:semiHidden/>
    <w:rsid w:val="00355C18"/>
  </w:style>
  <w:style w:type="paragraph" w:styleId="BalloonText">
    <w:name w:val="Balloon Text"/>
    <w:basedOn w:val="Normal"/>
    <w:link w:val="BalloonTextChar"/>
    <w:uiPriority w:val="99"/>
    <w:semiHidden/>
    <w:unhideWhenUsed/>
    <w:rsid w:val="00355C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5C18"/>
    <w:rPr>
      <w:rFonts w:ascii="Segoe UI" w:hAnsi="Segoe UI" w:cs="Segoe UI"/>
      <w:sz w:val="18"/>
      <w:szCs w:val="18"/>
    </w:rPr>
  </w:style>
  <w:style w:type="character" w:styleId="CommentReference">
    <w:name w:val="annotation reference"/>
    <w:basedOn w:val="DefaultParagraphFont"/>
    <w:uiPriority w:val="99"/>
    <w:semiHidden/>
    <w:unhideWhenUsed/>
    <w:rsid w:val="00EB6C82"/>
    <w:rPr>
      <w:sz w:val="16"/>
      <w:szCs w:val="16"/>
    </w:rPr>
  </w:style>
  <w:style w:type="paragraph" w:styleId="CommentText">
    <w:name w:val="annotation text"/>
    <w:basedOn w:val="Normal"/>
    <w:link w:val="CommentTextChar"/>
    <w:uiPriority w:val="99"/>
    <w:semiHidden/>
    <w:unhideWhenUsed/>
    <w:rsid w:val="00EB6C82"/>
    <w:pPr>
      <w:spacing w:line="240" w:lineRule="auto"/>
    </w:pPr>
    <w:rPr>
      <w:sz w:val="20"/>
      <w:szCs w:val="20"/>
    </w:rPr>
  </w:style>
  <w:style w:type="character" w:customStyle="1" w:styleId="CommentTextChar">
    <w:name w:val="Comment Text Char"/>
    <w:basedOn w:val="DefaultParagraphFont"/>
    <w:link w:val="CommentText"/>
    <w:uiPriority w:val="99"/>
    <w:semiHidden/>
    <w:rsid w:val="00EB6C82"/>
    <w:rPr>
      <w:sz w:val="20"/>
      <w:szCs w:val="20"/>
    </w:rPr>
  </w:style>
  <w:style w:type="paragraph" w:styleId="CommentSubject">
    <w:name w:val="annotation subject"/>
    <w:basedOn w:val="CommentText"/>
    <w:next w:val="CommentText"/>
    <w:link w:val="CommentSubjectChar"/>
    <w:uiPriority w:val="99"/>
    <w:semiHidden/>
    <w:unhideWhenUsed/>
    <w:rsid w:val="00EB6C82"/>
    <w:rPr>
      <w:b/>
      <w:bCs/>
    </w:rPr>
  </w:style>
  <w:style w:type="character" w:customStyle="1" w:styleId="CommentSubjectChar">
    <w:name w:val="Comment Subject Char"/>
    <w:basedOn w:val="CommentTextChar"/>
    <w:link w:val="CommentSubject"/>
    <w:uiPriority w:val="99"/>
    <w:semiHidden/>
    <w:rsid w:val="00EB6C82"/>
    <w:rPr>
      <w:b/>
      <w:bCs/>
      <w:sz w:val="20"/>
      <w:szCs w:val="20"/>
    </w:rPr>
  </w:style>
  <w:style w:type="paragraph" w:styleId="NormalWeb">
    <w:name w:val="Normal (Web)"/>
    <w:basedOn w:val="Normal"/>
    <w:uiPriority w:val="99"/>
    <w:semiHidden/>
    <w:unhideWhenUsed/>
    <w:rsid w:val="00B04006"/>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9417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2_sj Char,List_Paragraph Char,Multilevel para_II Char,List Paragraph1 Char,Normal bullet 2 Char,Forth level Char,body 2 Char,lp1 Char,Heading x1 Char,Lista 1 Char,lp11 Char,List Paragraph11 Char,References Char,Dot pt Char"/>
    <w:link w:val="ListParagraph"/>
    <w:uiPriority w:val="34"/>
    <w:qFormat/>
    <w:rsid w:val="005B7C1D"/>
  </w:style>
  <w:style w:type="character" w:styleId="Hyperlink">
    <w:name w:val="Hyperlink"/>
    <w:unhideWhenUsed/>
    <w:rsid w:val="005B7C1D"/>
    <w:rPr>
      <w:color w:val="0563C1"/>
      <w:u w:val="single"/>
    </w:rPr>
  </w:style>
  <w:style w:type="paragraph" w:styleId="BodyTextIndent2">
    <w:name w:val="Body Text Indent 2"/>
    <w:basedOn w:val="Normal"/>
    <w:link w:val="BodyTextIndent2Char"/>
    <w:rsid w:val="00E30C2C"/>
    <w:pPr>
      <w:spacing w:after="120" w:line="480" w:lineRule="auto"/>
      <w:ind w:left="360"/>
    </w:pPr>
    <w:rPr>
      <w:rFonts w:ascii="Courier New" w:eastAsia="Times New Roman" w:hAnsi="Courier New" w:cs="Times New Roman"/>
      <w:sz w:val="24"/>
      <w:szCs w:val="20"/>
      <w:lang w:val="en-US"/>
    </w:rPr>
  </w:style>
  <w:style w:type="character" w:customStyle="1" w:styleId="BodyTextIndent2Char">
    <w:name w:val="Body Text Indent 2 Char"/>
    <w:basedOn w:val="DefaultParagraphFont"/>
    <w:link w:val="BodyTextIndent2"/>
    <w:rsid w:val="00E30C2C"/>
    <w:rPr>
      <w:rFonts w:ascii="Courier New" w:eastAsia="Times New Roman" w:hAnsi="Courier New" w:cs="Times New Roman"/>
      <w:sz w:val="24"/>
      <w:szCs w:val="20"/>
      <w:lang w:val="en-US"/>
    </w:rPr>
  </w:style>
  <w:style w:type="paragraph" w:customStyle="1" w:styleId="Default">
    <w:name w:val="Default"/>
    <w:rsid w:val="004B3AAB"/>
    <w:pPr>
      <w:autoSpaceDE w:val="0"/>
      <w:autoSpaceDN w:val="0"/>
      <w:adjustRightInd w:val="0"/>
      <w:spacing w:after="0" w:line="240" w:lineRule="auto"/>
    </w:pPr>
    <w:rPr>
      <w:rFonts w:ascii="Arial" w:eastAsia="Calibri" w:hAnsi="Arial" w:cs="Arial"/>
      <w:color w:val="000000"/>
      <w:sz w:val="24"/>
      <w:szCs w:val="24"/>
    </w:rPr>
  </w:style>
  <w:style w:type="paragraph" w:styleId="Revision">
    <w:name w:val="Revision"/>
    <w:hidden/>
    <w:uiPriority w:val="99"/>
    <w:semiHidden/>
    <w:rsid w:val="004B3AAB"/>
    <w:pPr>
      <w:spacing w:after="0" w:line="240" w:lineRule="auto"/>
    </w:pPr>
    <w:rPr>
      <w:rFonts w:ascii="Calibri" w:eastAsia="Calibri" w:hAnsi="Calibri" w:cs="Times New Roman"/>
    </w:rPr>
  </w:style>
  <w:style w:type="character" w:customStyle="1" w:styleId="UnresolvedMention">
    <w:name w:val="Unresolved Mention"/>
    <w:uiPriority w:val="99"/>
    <w:semiHidden/>
    <w:unhideWhenUsed/>
    <w:rsid w:val="004B3AAB"/>
    <w:rPr>
      <w:color w:val="605E5C"/>
      <w:shd w:val="clear" w:color="auto" w:fill="E1DFDD"/>
    </w:rPr>
  </w:style>
  <w:style w:type="character" w:styleId="FollowedHyperlink">
    <w:name w:val="FollowedHyperlink"/>
    <w:uiPriority w:val="99"/>
    <w:semiHidden/>
    <w:unhideWhenUsed/>
    <w:rsid w:val="004B3AAB"/>
    <w:rPr>
      <w:color w:val="954F72"/>
      <w:u w:val="single"/>
    </w:rPr>
  </w:style>
  <w:style w:type="paragraph" w:customStyle="1" w:styleId="bulet1">
    <w:name w:val="bulet 1"/>
    <w:basedOn w:val="ListParagraph"/>
    <w:qFormat/>
    <w:rsid w:val="004B3AAB"/>
    <w:pPr>
      <w:numPr>
        <w:numId w:val="9"/>
      </w:numPr>
      <w:tabs>
        <w:tab w:val="num" w:pos="360"/>
      </w:tabs>
      <w:spacing w:before="120" w:after="120" w:line="240" w:lineRule="auto"/>
      <w:ind w:firstLine="0"/>
      <w:jc w:val="both"/>
    </w:pPr>
    <w:rPr>
      <w:rFonts w:ascii="Arial" w:eastAsia="Times New Roman" w:hAnsi="Arial" w:cs="Arial"/>
      <w:sz w:val="24"/>
      <w:szCs w:val="24"/>
      <w:lang w:val="en-US" w:eastAsia="ro-RO"/>
    </w:rPr>
  </w:style>
  <w:style w:type="paragraph" w:customStyle="1" w:styleId="textscris">
    <w:name w:val="text scris"/>
    <w:basedOn w:val="Normal"/>
    <w:qFormat/>
    <w:rsid w:val="004B3AAB"/>
    <w:pPr>
      <w:spacing w:before="120" w:after="120" w:line="240" w:lineRule="auto"/>
      <w:ind w:firstLine="720"/>
      <w:jc w:val="both"/>
    </w:pPr>
    <w:rPr>
      <w:rFonts w:ascii="Arial" w:hAnsi="Arial" w:cs="Arial"/>
      <w:sz w:val="24"/>
      <w:szCs w:val="24"/>
      <w:lang w:val="en-US"/>
    </w:rPr>
  </w:style>
  <w:style w:type="paragraph" w:customStyle="1" w:styleId="1titlu">
    <w:name w:val="1 titlu"/>
    <w:basedOn w:val="Heading1"/>
    <w:qFormat/>
    <w:rsid w:val="004B3AAB"/>
    <w:pPr>
      <w:keepLines w:val="0"/>
      <w:numPr>
        <w:numId w:val="8"/>
      </w:numPr>
      <w:tabs>
        <w:tab w:val="num" w:pos="360"/>
        <w:tab w:val="num" w:pos="720"/>
      </w:tabs>
      <w:spacing w:before="600" w:after="600" w:line="240" w:lineRule="auto"/>
      <w:ind w:left="0" w:firstLine="0"/>
      <w:jc w:val="center"/>
      <w:textAlignment w:val="top"/>
    </w:pPr>
    <w:rPr>
      <w:rFonts w:ascii="Arial Bold" w:eastAsia="Times New Roman" w:hAnsi="Arial Bold" w:cs="Arial"/>
      <w:b/>
      <w:bCs/>
      <w:caps/>
      <w:color w:val="auto"/>
      <w:szCs w:val="24"/>
    </w:rPr>
  </w:style>
  <w:style w:type="paragraph" w:customStyle="1" w:styleId="1text2">
    <w:name w:val="1 text 2"/>
    <w:basedOn w:val="Normal"/>
    <w:qFormat/>
    <w:rsid w:val="004B3AAB"/>
    <w:pPr>
      <w:spacing w:before="240" w:after="0" w:line="240" w:lineRule="auto"/>
      <w:jc w:val="both"/>
    </w:pPr>
    <w:rPr>
      <w:rFonts w:ascii="Arial" w:eastAsia="Calibri" w:hAnsi="Arial" w:cs="Times New Roman"/>
      <w:iCs/>
      <w:sz w:val="24"/>
      <w:szCs w:val="24"/>
    </w:rPr>
  </w:style>
  <w:style w:type="character" w:customStyle="1" w:styleId="Heading1Char">
    <w:name w:val="Heading 1 Char"/>
    <w:basedOn w:val="DefaultParagraphFont"/>
    <w:link w:val="Heading1"/>
    <w:uiPriority w:val="9"/>
    <w:rsid w:val="004B3AAB"/>
    <w:rPr>
      <w:rFonts w:asciiTheme="majorHAnsi" w:eastAsiaTheme="majorEastAsia" w:hAnsiTheme="majorHAnsi" w:cstheme="majorBidi"/>
      <w:color w:val="2E74B5" w:themeColor="accent1" w:themeShade="BF"/>
      <w:sz w:val="32"/>
      <w:szCs w:val="32"/>
    </w:rPr>
  </w:style>
  <w:style w:type="paragraph" w:customStyle="1" w:styleId="1bullet">
    <w:name w:val="1_bullet"/>
    <w:basedOn w:val="Normal"/>
    <w:qFormat/>
    <w:rsid w:val="00487527"/>
    <w:pPr>
      <w:numPr>
        <w:numId w:val="15"/>
      </w:numPr>
      <w:spacing w:after="0" w:line="276" w:lineRule="auto"/>
      <w:jc w:val="both"/>
    </w:pPr>
    <w:rPr>
      <w:rFonts w:ascii="Times New Roman" w:eastAsia="Times New Roman" w:hAnsi="Times New Roman" w:cs="Times New Roman"/>
      <w:sz w:val="24"/>
      <w:szCs w:val="24"/>
    </w:rPr>
  </w:style>
  <w:style w:type="paragraph" w:customStyle="1" w:styleId="1text">
    <w:name w:val="1_text"/>
    <w:basedOn w:val="Normal"/>
    <w:qFormat/>
    <w:rsid w:val="00487527"/>
    <w:pPr>
      <w:spacing w:before="120" w:after="120" w:line="276" w:lineRule="auto"/>
      <w:ind w:firstLine="709"/>
      <w:jc w:val="both"/>
    </w:pPr>
    <w:rPr>
      <w:rFonts w:ascii="Times New Roman" w:eastAsia="Times New Roman" w:hAnsi="Times New Roman" w:cs="Times New Roman"/>
      <w:sz w:val="24"/>
      <w:szCs w:val="24"/>
    </w:rPr>
  </w:style>
  <w:style w:type="paragraph" w:styleId="BodyText">
    <w:name w:val="Body Text"/>
    <w:aliases w:val="block style Caracter Caracter,block style Caracter"/>
    <w:basedOn w:val="Normal"/>
    <w:link w:val="BodyTextChar"/>
    <w:unhideWhenUsed/>
    <w:rsid w:val="000D318F"/>
    <w:pPr>
      <w:spacing w:after="120"/>
    </w:pPr>
  </w:style>
  <w:style w:type="character" w:customStyle="1" w:styleId="BodyTextChar">
    <w:name w:val="Body Text Char"/>
    <w:aliases w:val="block style Caracter Caracter Char,block style Caracter Char"/>
    <w:basedOn w:val="DefaultParagraphFont"/>
    <w:link w:val="BodyText"/>
    <w:rsid w:val="000D318F"/>
  </w:style>
  <w:style w:type="character" w:customStyle="1" w:styleId="Heading4Char">
    <w:name w:val="Heading 4 Char"/>
    <w:basedOn w:val="DefaultParagraphFont"/>
    <w:link w:val="Heading4"/>
    <w:rsid w:val="00AE17B2"/>
    <w:rPr>
      <w:rFonts w:ascii="Times New Roman" w:eastAsia="Times New Roman" w:hAnsi="Times New Roman" w:cs="Times New Roman"/>
      <w:b/>
      <w:bCs/>
      <w:color w:val="FFFF00"/>
      <w:sz w:val="32"/>
      <w:szCs w:val="36"/>
      <w:lang w:val="x-none" w:eastAsia="x-none"/>
    </w:rPr>
  </w:style>
  <w:style w:type="paragraph" w:customStyle="1" w:styleId="H4">
    <w:name w:val="H4"/>
    <w:basedOn w:val="Normal"/>
    <w:next w:val="Normal"/>
    <w:rsid w:val="00AE17B2"/>
    <w:pPr>
      <w:keepNext/>
      <w:suppressAutoHyphens/>
      <w:spacing w:before="100" w:after="100" w:line="240" w:lineRule="auto"/>
    </w:pPr>
    <w:rPr>
      <w:rFonts w:ascii="Times New Roman" w:eastAsia="Times New Roman" w:hAnsi="Times New Roman" w:cs="Times New Roman"/>
      <w:b/>
      <w:sz w:val="24"/>
      <w:szCs w:val="20"/>
      <w:lang w:val="en-US" w:eastAsia="ar-SA"/>
    </w:rPr>
  </w:style>
  <w:style w:type="paragraph" w:customStyle="1" w:styleId="Listparagraf1">
    <w:name w:val="Listă paragraf1"/>
    <w:basedOn w:val="Normal"/>
    <w:link w:val="ListparagrafCaracter2"/>
    <w:qFormat/>
    <w:rsid w:val="00AE17B2"/>
    <w:pPr>
      <w:spacing w:after="200" w:line="276" w:lineRule="auto"/>
      <w:ind w:left="720"/>
      <w:contextualSpacing/>
    </w:pPr>
    <w:rPr>
      <w:rFonts w:ascii="Calibri" w:eastAsia="Calibri" w:hAnsi="Calibri" w:cs="Times New Roman"/>
      <w:lang w:val="x-none"/>
    </w:rPr>
  </w:style>
  <w:style w:type="character" w:customStyle="1" w:styleId="ListparagrafCaracter2">
    <w:name w:val="Listă paragraf Caracter2"/>
    <w:link w:val="Listparagraf1"/>
    <w:rsid w:val="00AE17B2"/>
    <w:rPr>
      <w:rFonts w:ascii="Calibri" w:eastAsia="Calibri" w:hAnsi="Calibri" w:cs="Times New Roman"/>
      <w:lang w:val="x-none"/>
    </w:rPr>
  </w:style>
  <w:style w:type="paragraph" w:styleId="FootnoteText">
    <w:name w:val="footnote text"/>
    <w:aliases w:val="M Footnotes"/>
    <w:basedOn w:val="Normal"/>
    <w:link w:val="FootnoteTextChar"/>
    <w:uiPriority w:val="99"/>
    <w:unhideWhenUsed/>
    <w:qFormat/>
    <w:rsid w:val="00F45A96"/>
    <w:pPr>
      <w:spacing w:after="200" w:line="276" w:lineRule="auto"/>
    </w:pPr>
    <w:rPr>
      <w:rFonts w:ascii="Calibri" w:eastAsia="Calibri" w:hAnsi="Calibri" w:cs="Times New Roman"/>
      <w:sz w:val="20"/>
      <w:szCs w:val="20"/>
    </w:rPr>
  </w:style>
  <w:style w:type="character" w:customStyle="1" w:styleId="FootnoteTextChar">
    <w:name w:val="Footnote Text Char"/>
    <w:aliases w:val="M Footnotes Char"/>
    <w:basedOn w:val="DefaultParagraphFont"/>
    <w:link w:val="FootnoteText"/>
    <w:uiPriority w:val="99"/>
    <w:rsid w:val="00F45A96"/>
    <w:rPr>
      <w:rFonts w:ascii="Calibri" w:eastAsia="Calibri" w:hAnsi="Calibri" w:cs="Times New Roman"/>
      <w:sz w:val="20"/>
      <w:szCs w:val="20"/>
    </w:rPr>
  </w:style>
  <w:style w:type="character" w:styleId="FootnoteReference">
    <w:name w:val="footnote reference"/>
    <w:aliases w:val="Footnote Reference Superscript,Footnote Reference/,Footnote Reference text,Footnote symbol,Voetnootverwijzing,footnote ref,FR,Fußnotenzeichen diss neu,Times 10 Point,Exposant 3 Point,Odwołanie przypisu,number,SUPERS,Footnote Refernece"/>
    <w:uiPriority w:val="99"/>
    <w:unhideWhenUsed/>
    <w:qFormat/>
    <w:rsid w:val="00F45A96"/>
    <w:rPr>
      <w:vertAlign w:val="superscript"/>
    </w:rPr>
  </w:style>
  <w:style w:type="character" w:styleId="PageNumber">
    <w:name w:val="page number"/>
    <w:basedOn w:val="DefaultParagraphFont"/>
    <w:rsid w:val="00F45A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29003">
      <w:bodyDiv w:val="1"/>
      <w:marLeft w:val="0"/>
      <w:marRight w:val="0"/>
      <w:marTop w:val="0"/>
      <w:marBottom w:val="0"/>
      <w:divBdr>
        <w:top w:val="none" w:sz="0" w:space="0" w:color="auto"/>
        <w:left w:val="none" w:sz="0" w:space="0" w:color="auto"/>
        <w:bottom w:val="none" w:sz="0" w:space="0" w:color="auto"/>
        <w:right w:val="none" w:sz="0" w:space="0" w:color="auto"/>
      </w:divBdr>
    </w:div>
    <w:div w:id="98110239">
      <w:bodyDiv w:val="1"/>
      <w:marLeft w:val="0"/>
      <w:marRight w:val="0"/>
      <w:marTop w:val="0"/>
      <w:marBottom w:val="0"/>
      <w:divBdr>
        <w:top w:val="none" w:sz="0" w:space="0" w:color="auto"/>
        <w:left w:val="none" w:sz="0" w:space="0" w:color="auto"/>
        <w:bottom w:val="none" w:sz="0" w:space="0" w:color="auto"/>
        <w:right w:val="none" w:sz="0" w:space="0" w:color="auto"/>
      </w:divBdr>
    </w:div>
    <w:div w:id="155465814">
      <w:bodyDiv w:val="1"/>
      <w:marLeft w:val="0"/>
      <w:marRight w:val="0"/>
      <w:marTop w:val="0"/>
      <w:marBottom w:val="0"/>
      <w:divBdr>
        <w:top w:val="none" w:sz="0" w:space="0" w:color="auto"/>
        <w:left w:val="none" w:sz="0" w:space="0" w:color="auto"/>
        <w:bottom w:val="none" w:sz="0" w:space="0" w:color="auto"/>
        <w:right w:val="none" w:sz="0" w:space="0" w:color="auto"/>
      </w:divBdr>
    </w:div>
    <w:div w:id="197282300">
      <w:bodyDiv w:val="1"/>
      <w:marLeft w:val="0"/>
      <w:marRight w:val="0"/>
      <w:marTop w:val="0"/>
      <w:marBottom w:val="0"/>
      <w:divBdr>
        <w:top w:val="none" w:sz="0" w:space="0" w:color="auto"/>
        <w:left w:val="none" w:sz="0" w:space="0" w:color="auto"/>
        <w:bottom w:val="none" w:sz="0" w:space="0" w:color="auto"/>
        <w:right w:val="none" w:sz="0" w:space="0" w:color="auto"/>
      </w:divBdr>
    </w:div>
    <w:div w:id="202406296">
      <w:bodyDiv w:val="1"/>
      <w:marLeft w:val="0"/>
      <w:marRight w:val="0"/>
      <w:marTop w:val="0"/>
      <w:marBottom w:val="0"/>
      <w:divBdr>
        <w:top w:val="none" w:sz="0" w:space="0" w:color="auto"/>
        <w:left w:val="none" w:sz="0" w:space="0" w:color="auto"/>
        <w:bottom w:val="none" w:sz="0" w:space="0" w:color="auto"/>
        <w:right w:val="none" w:sz="0" w:space="0" w:color="auto"/>
      </w:divBdr>
    </w:div>
    <w:div w:id="218325063">
      <w:bodyDiv w:val="1"/>
      <w:marLeft w:val="0"/>
      <w:marRight w:val="0"/>
      <w:marTop w:val="0"/>
      <w:marBottom w:val="0"/>
      <w:divBdr>
        <w:top w:val="none" w:sz="0" w:space="0" w:color="auto"/>
        <w:left w:val="none" w:sz="0" w:space="0" w:color="auto"/>
        <w:bottom w:val="none" w:sz="0" w:space="0" w:color="auto"/>
        <w:right w:val="none" w:sz="0" w:space="0" w:color="auto"/>
      </w:divBdr>
    </w:div>
    <w:div w:id="228736877">
      <w:bodyDiv w:val="1"/>
      <w:marLeft w:val="0"/>
      <w:marRight w:val="0"/>
      <w:marTop w:val="0"/>
      <w:marBottom w:val="0"/>
      <w:divBdr>
        <w:top w:val="none" w:sz="0" w:space="0" w:color="auto"/>
        <w:left w:val="none" w:sz="0" w:space="0" w:color="auto"/>
        <w:bottom w:val="none" w:sz="0" w:space="0" w:color="auto"/>
        <w:right w:val="none" w:sz="0" w:space="0" w:color="auto"/>
      </w:divBdr>
    </w:div>
    <w:div w:id="253629995">
      <w:bodyDiv w:val="1"/>
      <w:marLeft w:val="0"/>
      <w:marRight w:val="0"/>
      <w:marTop w:val="0"/>
      <w:marBottom w:val="0"/>
      <w:divBdr>
        <w:top w:val="none" w:sz="0" w:space="0" w:color="auto"/>
        <w:left w:val="none" w:sz="0" w:space="0" w:color="auto"/>
        <w:bottom w:val="none" w:sz="0" w:space="0" w:color="auto"/>
        <w:right w:val="none" w:sz="0" w:space="0" w:color="auto"/>
      </w:divBdr>
    </w:div>
    <w:div w:id="575211272">
      <w:bodyDiv w:val="1"/>
      <w:marLeft w:val="0"/>
      <w:marRight w:val="0"/>
      <w:marTop w:val="0"/>
      <w:marBottom w:val="0"/>
      <w:divBdr>
        <w:top w:val="none" w:sz="0" w:space="0" w:color="auto"/>
        <w:left w:val="none" w:sz="0" w:space="0" w:color="auto"/>
        <w:bottom w:val="none" w:sz="0" w:space="0" w:color="auto"/>
        <w:right w:val="none" w:sz="0" w:space="0" w:color="auto"/>
      </w:divBdr>
    </w:div>
    <w:div w:id="660355294">
      <w:bodyDiv w:val="1"/>
      <w:marLeft w:val="0"/>
      <w:marRight w:val="0"/>
      <w:marTop w:val="0"/>
      <w:marBottom w:val="0"/>
      <w:divBdr>
        <w:top w:val="none" w:sz="0" w:space="0" w:color="auto"/>
        <w:left w:val="none" w:sz="0" w:space="0" w:color="auto"/>
        <w:bottom w:val="none" w:sz="0" w:space="0" w:color="auto"/>
        <w:right w:val="none" w:sz="0" w:space="0" w:color="auto"/>
      </w:divBdr>
    </w:div>
    <w:div w:id="663094686">
      <w:bodyDiv w:val="1"/>
      <w:marLeft w:val="0"/>
      <w:marRight w:val="0"/>
      <w:marTop w:val="0"/>
      <w:marBottom w:val="0"/>
      <w:divBdr>
        <w:top w:val="none" w:sz="0" w:space="0" w:color="auto"/>
        <w:left w:val="none" w:sz="0" w:space="0" w:color="auto"/>
        <w:bottom w:val="none" w:sz="0" w:space="0" w:color="auto"/>
        <w:right w:val="none" w:sz="0" w:space="0" w:color="auto"/>
      </w:divBdr>
    </w:div>
    <w:div w:id="794522690">
      <w:bodyDiv w:val="1"/>
      <w:marLeft w:val="0"/>
      <w:marRight w:val="0"/>
      <w:marTop w:val="0"/>
      <w:marBottom w:val="0"/>
      <w:divBdr>
        <w:top w:val="none" w:sz="0" w:space="0" w:color="auto"/>
        <w:left w:val="none" w:sz="0" w:space="0" w:color="auto"/>
        <w:bottom w:val="none" w:sz="0" w:space="0" w:color="auto"/>
        <w:right w:val="none" w:sz="0" w:space="0" w:color="auto"/>
      </w:divBdr>
    </w:div>
    <w:div w:id="910845280">
      <w:bodyDiv w:val="1"/>
      <w:marLeft w:val="0"/>
      <w:marRight w:val="0"/>
      <w:marTop w:val="0"/>
      <w:marBottom w:val="0"/>
      <w:divBdr>
        <w:top w:val="none" w:sz="0" w:space="0" w:color="auto"/>
        <w:left w:val="none" w:sz="0" w:space="0" w:color="auto"/>
        <w:bottom w:val="none" w:sz="0" w:space="0" w:color="auto"/>
        <w:right w:val="none" w:sz="0" w:space="0" w:color="auto"/>
      </w:divBdr>
    </w:div>
    <w:div w:id="937715225">
      <w:bodyDiv w:val="1"/>
      <w:marLeft w:val="0"/>
      <w:marRight w:val="0"/>
      <w:marTop w:val="0"/>
      <w:marBottom w:val="0"/>
      <w:divBdr>
        <w:top w:val="none" w:sz="0" w:space="0" w:color="auto"/>
        <w:left w:val="none" w:sz="0" w:space="0" w:color="auto"/>
        <w:bottom w:val="none" w:sz="0" w:space="0" w:color="auto"/>
        <w:right w:val="none" w:sz="0" w:space="0" w:color="auto"/>
      </w:divBdr>
    </w:div>
    <w:div w:id="1011420721">
      <w:bodyDiv w:val="1"/>
      <w:marLeft w:val="0"/>
      <w:marRight w:val="0"/>
      <w:marTop w:val="0"/>
      <w:marBottom w:val="0"/>
      <w:divBdr>
        <w:top w:val="none" w:sz="0" w:space="0" w:color="auto"/>
        <w:left w:val="none" w:sz="0" w:space="0" w:color="auto"/>
        <w:bottom w:val="none" w:sz="0" w:space="0" w:color="auto"/>
        <w:right w:val="none" w:sz="0" w:space="0" w:color="auto"/>
      </w:divBdr>
    </w:div>
    <w:div w:id="1020012104">
      <w:bodyDiv w:val="1"/>
      <w:marLeft w:val="0"/>
      <w:marRight w:val="0"/>
      <w:marTop w:val="0"/>
      <w:marBottom w:val="0"/>
      <w:divBdr>
        <w:top w:val="none" w:sz="0" w:space="0" w:color="auto"/>
        <w:left w:val="none" w:sz="0" w:space="0" w:color="auto"/>
        <w:bottom w:val="none" w:sz="0" w:space="0" w:color="auto"/>
        <w:right w:val="none" w:sz="0" w:space="0" w:color="auto"/>
      </w:divBdr>
    </w:div>
    <w:div w:id="1020400555">
      <w:bodyDiv w:val="1"/>
      <w:marLeft w:val="0"/>
      <w:marRight w:val="0"/>
      <w:marTop w:val="0"/>
      <w:marBottom w:val="0"/>
      <w:divBdr>
        <w:top w:val="none" w:sz="0" w:space="0" w:color="auto"/>
        <w:left w:val="none" w:sz="0" w:space="0" w:color="auto"/>
        <w:bottom w:val="none" w:sz="0" w:space="0" w:color="auto"/>
        <w:right w:val="none" w:sz="0" w:space="0" w:color="auto"/>
      </w:divBdr>
    </w:div>
    <w:div w:id="1030843233">
      <w:bodyDiv w:val="1"/>
      <w:marLeft w:val="0"/>
      <w:marRight w:val="0"/>
      <w:marTop w:val="0"/>
      <w:marBottom w:val="0"/>
      <w:divBdr>
        <w:top w:val="none" w:sz="0" w:space="0" w:color="auto"/>
        <w:left w:val="none" w:sz="0" w:space="0" w:color="auto"/>
        <w:bottom w:val="none" w:sz="0" w:space="0" w:color="auto"/>
        <w:right w:val="none" w:sz="0" w:space="0" w:color="auto"/>
      </w:divBdr>
    </w:div>
    <w:div w:id="1054088301">
      <w:bodyDiv w:val="1"/>
      <w:marLeft w:val="0"/>
      <w:marRight w:val="0"/>
      <w:marTop w:val="0"/>
      <w:marBottom w:val="0"/>
      <w:divBdr>
        <w:top w:val="none" w:sz="0" w:space="0" w:color="auto"/>
        <w:left w:val="none" w:sz="0" w:space="0" w:color="auto"/>
        <w:bottom w:val="none" w:sz="0" w:space="0" w:color="auto"/>
        <w:right w:val="none" w:sz="0" w:space="0" w:color="auto"/>
      </w:divBdr>
    </w:div>
    <w:div w:id="1078673162">
      <w:bodyDiv w:val="1"/>
      <w:marLeft w:val="0"/>
      <w:marRight w:val="0"/>
      <w:marTop w:val="0"/>
      <w:marBottom w:val="0"/>
      <w:divBdr>
        <w:top w:val="none" w:sz="0" w:space="0" w:color="auto"/>
        <w:left w:val="none" w:sz="0" w:space="0" w:color="auto"/>
        <w:bottom w:val="none" w:sz="0" w:space="0" w:color="auto"/>
        <w:right w:val="none" w:sz="0" w:space="0" w:color="auto"/>
      </w:divBdr>
    </w:div>
    <w:div w:id="1167860592">
      <w:bodyDiv w:val="1"/>
      <w:marLeft w:val="0"/>
      <w:marRight w:val="0"/>
      <w:marTop w:val="0"/>
      <w:marBottom w:val="0"/>
      <w:divBdr>
        <w:top w:val="none" w:sz="0" w:space="0" w:color="auto"/>
        <w:left w:val="none" w:sz="0" w:space="0" w:color="auto"/>
        <w:bottom w:val="none" w:sz="0" w:space="0" w:color="auto"/>
        <w:right w:val="none" w:sz="0" w:space="0" w:color="auto"/>
      </w:divBdr>
    </w:div>
    <w:div w:id="1341423375">
      <w:bodyDiv w:val="1"/>
      <w:marLeft w:val="0"/>
      <w:marRight w:val="0"/>
      <w:marTop w:val="0"/>
      <w:marBottom w:val="0"/>
      <w:divBdr>
        <w:top w:val="none" w:sz="0" w:space="0" w:color="auto"/>
        <w:left w:val="none" w:sz="0" w:space="0" w:color="auto"/>
        <w:bottom w:val="none" w:sz="0" w:space="0" w:color="auto"/>
        <w:right w:val="none" w:sz="0" w:space="0" w:color="auto"/>
      </w:divBdr>
    </w:div>
    <w:div w:id="1408307896">
      <w:bodyDiv w:val="1"/>
      <w:marLeft w:val="0"/>
      <w:marRight w:val="0"/>
      <w:marTop w:val="0"/>
      <w:marBottom w:val="0"/>
      <w:divBdr>
        <w:top w:val="none" w:sz="0" w:space="0" w:color="auto"/>
        <w:left w:val="none" w:sz="0" w:space="0" w:color="auto"/>
        <w:bottom w:val="none" w:sz="0" w:space="0" w:color="auto"/>
        <w:right w:val="none" w:sz="0" w:space="0" w:color="auto"/>
      </w:divBdr>
    </w:div>
    <w:div w:id="1501046139">
      <w:bodyDiv w:val="1"/>
      <w:marLeft w:val="0"/>
      <w:marRight w:val="0"/>
      <w:marTop w:val="0"/>
      <w:marBottom w:val="0"/>
      <w:divBdr>
        <w:top w:val="none" w:sz="0" w:space="0" w:color="auto"/>
        <w:left w:val="none" w:sz="0" w:space="0" w:color="auto"/>
        <w:bottom w:val="none" w:sz="0" w:space="0" w:color="auto"/>
        <w:right w:val="none" w:sz="0" w:space="0" w:color="auto"/>
      </w:divBdr>
    </w:div>
    <w:div w:id="1572042754">
      <w:bodyDiv w:val="1"/>
      <w:marLeft w:val="0"/>
      <w:marRight w:val="0"/>
      <w:marTop w:val="0"/>
      <w:marBottom w:val="0"/>
      <w:divBdr>
        <w:top w:val="none" w:sz="0" w:space="0" w:color="auto"/>
        <w:left w:val="none" w:sz="0" w:space="0" w:color="auto"/>
        <w:bottom w:val="none" w:sz="0" w:space="0" w:color="auto"/>
        <w:right w:val="none" w:sz="0" w:space="0" w:color="auto"/>
      </w:divBdr>
    </w:div>
    <w:div w:id="1621375265">
      <w:bodyDiv w:val="1"/>
      <w:marLeft w:val="0"/>
      <w:marRight w:val="0"/>
      <w:marTop w:val="0"/>
      <w:marBottom w:val="0"/>
      <w:divBdr>
        <w:top w:val="none" w:sz="0" w:space="0" w:color="auto"/>
        <w:left w:val="none" w:sz="0" w:space="0" w:color="auto"/>
        <w:bottom w:val="none" w:sz="0" w:space="0" w:color="auto"/>
        <w:right w:val="none" w:sz="0" w:space="0" w:color="auto"/>
      </w:divBdr>
    </w:div>
    <w:div w:id="1709986072">
      <w:bodyDiv w:val="1"/>
      <w:marLeft w:val="0"/>
      <w:marRight w:val="0"/>
      <w:marTop w:val="0"/>
      <w:marBottom w:val="0"/>
      <w:divBdr>
        <w:top w:val="none" w:sz="0" w:space="0" w:color="auto"/>
        <w:left w:val="none" w:sz="0" w:space="0" w:color="auto"/>
        <w:bottom w:val="none" w:sz="0" w:space="0" w:color="auto"/>
        <w:right w:val="none" w:sz="0" w:space="0" w:color="auto"/>
      </w:divBdr>
    </w:div>
    <w:div w:id="1730807589">
      <w:bodyDiv w:val="1"/>
      <w:marLeft w:val="0"/>
      <w:marRight w:val="0"/>
      <w:marTop w:val="0"/>
      <w:marBottom w:val="0"/>
      <w:divBdr>
        <w:top w:val="none" w:sz="0" w:space="0" w:color="auto"/>
        <w:left w:val="none" w:sz="0" w:space="0" w:color="auto"/>
        <w:bottom w:val="none" w:sz="0" w:space="0" w:color="auto"/>
        <w:right w:val="none" w:sz="0" w:space="0" w:color="auto"/>
      </w:divBdr>
    </w:div>
    <w:div w:id="1781990650">
      <w:bodyDiv w:val="1"/>
      <w:marLeft w:val="0"/>
      <w:marRight w:val="0"/>
      <w:marTop w:val="0"/>
      <w:marBottom w:val="0"/>
      <w:divBdr>
        <w:top w:val="none" w:sz="0" w:space="0" w:color="auto"/>
        <w:left w:val="none" w:sz="0" w:space="0" w:color="auto"/>
        <w:bottom w:val="none" w:sz="0" w:space="0" w:color="auto"/>
        <w:right w:val="none" w:sz="0" w:space="0" w:color="auto"/>
      </w:divBdr>
    </w:div>
    <w:div w:id="1790472004">
      <w:bodyDiv w:val="1"/>
      <w:marLeft w:val="0"/>
      <w:marRight w:val="0"/>
      <w:marTop w:val="0"/>
      <w:marBottom w:val="0"/>
      <w:divBdr>
        <w:top w:val="none" w:sz="0" w:space="0" w:color="auto"/>
        <w:left w:val="none" w:sz="0" w:space="0" w:color="auto"/>
        <w:bottom w:val="none" w:sz="0" w:space="0" w:color="auto"/>
        <w:right w:val="none" w:sz="0" w:space="0" w:color="auto"/>
      </w:divBdr>
    </w:div>
    <w:div w:id="1815491362">
      <w:bodyDiv w:val="1"/>
      <w:marLeft w:val="0"/>
      <w:marRight w:val="0"/>
      <w:marTop w:val="0"/>
      <w:marBottom w:val="0"/>
      <w:divBdr>
        <w:top w:val="none" w:sz="0" w:space="0" w:color="auto"/>
        <w:left w:val="none" w:sz="0" w:space="0" w:color="auto"/>
        <w:bottom w:val="none" w:sz="0" w:space="0" w:color="auto"/>
        <w:right w:val="none" w:sz="0" w:space="0" w:color="auto"/>
      </w:divBdr>
    </w:div>
    <w:div w:id="1847675345">
      <w:bodyDiv w:val="1"/>
      <w:marLeft w:val="0"/>
      <w:marRight w:val="0"/>
      <w:marTop w:val="0"/>
      <w:marBottom w:val="0"/>
      <w:divBdr>
        <w:top w:val="none" w:sz="0" w:space="0" w:color="auto"/>
        <w:left w:val="none" w:sz="0" w:space="0" w:color="auto"/>
        <w:bottom w:val="none" w:sz="0" w:space="0" w:color="auto"/>
        <w:right w:val="none" w:sz="0" w:space="0" w:color="auto"/>
      </w:divBdr>
    </w:div>
    <w:div w:id="1919710457">
      <w:bodyDiv w:val="1"/>
      <w:marLeft w:val="0"/>
      <w:marRight w:val="0"/>
      <w:marTop w:val="0"/>
      <w:marBottom w:val="0"/>
      <w:divBdr>
        <w:top w:val="none" w:sz="0" w:space="0" w:color="auto"/>
        <w:left w:val="none" w:sz="0" w:space="0" w:color="auto"/>
        <w:bottom w:val="none" w:sz="0" w:space="0" w:color="auto"/>
        <w:right w:val="none" w:sz="0" w:space="0" w:color="auto"/>
      </w:divBdr>
    </w:div>
    <w:div w:id="1923220237">
      <w:bodyDiv w:val="1"/>
      <w:marLeft w:val="0"/>
      <w:marRight w:val="0"/>
      <w:marTop w:val="0"/>
      <w:marBottom w:val="0"/>
      <w:divBdr>
        <w:top w:val="none" w:sz="0" w:space="0" w:color="auto"/>
        <w:left w:val="none" w:sz="0" w:space="0" w:color="auto"/>
        <w:bottom w:val="none" w:sz="0" w:space="0" w:color="auto"/>
        <w:right w:val="none" w:sz="0" w:space="0" w:color="auto"/>
      </w:divBdr>
    </w:div>
    <w:div w:id="2016877184">
      <w:bodyDiv w:val="1"/>
      <w:marLeft w:val="0"/>
      <w:marRight w:val="0"/>
      <w:marTop w:val="0"/>
      <w:marBottom w:val="0"/>
      <w:divBdr>
        <w:top w:val="none" w:sz="0" w:space="0" w:color="auto"/>
        <w:left w:val="none" w:sz="0" w:space="0" w:color="auto"/>
        <w:bottom w:val="none" w:sz="0" w:space="0" w:color="auto"/>
        <w:right w:val="none" w:sz="0" w:space="0" w:color="auto"/>
      </w:divBdr>
    </w:div>
    <w:div w:id="2044819383">
      <w:bodyDiv w:val="1"/>
      <w:marLeft w:val="0"/>
      <w:marRight w:val="0"/>
      <w:marTop w:val="0"/>
      <w:marBottom w:val="0"/>
      <w:divBdr>
        <w:top w:val="none" w:sz="0" w:space="0" w:color="auto"/>
        <w:left w:val="none" w:sz="0" w:space="0" w:color="auto"/>
        <w:bottom w:val="none" w:sz="0" w:space="0" w:color="auto"/>
        <w:right w:val="none" w:sz="0" w:space="0" w:color="auto"/>
      </w:divBdr>
    </w:div>
    <w:div w:id="2079740686">
      <w:bodyDiv w:val="1"/>
      <w:marLeft w:val="0"/>
      <w:marRight w:val="0"/>
      <w:marTop w:val="0"/>
      <w:marBottom w:val="0"/>
      <w:divBdr>
        <w:top w:val="none" w:sz="0" w:space="0" w:color="auto"/>
        <w:left w:val="none" w:sz="0" w:space="0" w:color="auto"/>
        <w:bottom w:val="none" w:sz="0" w:space="0" w:color="auto"/>
        <w:right w:val="none" w:sz="0" w:space="0" w:color="auto"/>
      </w:divBdr>
    </w:div>
    <w:div w:id="2113628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21" Type="http://schemas.openxmlformats.org/officeDocument/2006/relationships/image" Target="media/image10.wmf"/><Relationship Id="rId42" Type="http://schemas.openxmlformats.org/officeDocument/2006/relationships/image" Target="media/image31.emf"/><Relationship Id="rId47" Type="http://schemas.openxmlformats.org/officeDocument/2006/relationships/image" Target="media/image34.emf"/><Relationship Id="rId63" Type="http://schemas.openxmlformats.org/officeDocument/2006/relationships/image" Target="media/image42.emf"/><Relationship Id="rId68" Type="http://schemas.openxmlformats.org/officeDocument/2006/relationships/hyperlink" Target="http://www.insse.ro" TargetMode="External"/><Relationship Id="rId84" Type="http://schemas.openxmlformats.org/officeDocument/2006/relationships/image" Target="media/image55.png"/><Relationship Id="rId89"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6.gif"/><Relationship Id="rId29" Type="http://schemas.openxmlformats.org/officeDocument/2006/relationships/image" Target="media/image18.emf"/><Relationship Id="rId107" Type="http://schemas.openxmlformats.org/officeDocument/2006/relationships/theme" Target="theme/theme1.xml"/><Relationship Id="rId11" Type="http://schemas.openxmlformats.org/officeDocument/2006/relationships/hyperlink" Target="http://www.recensamantromania.ro/" TargetMode="External"/><Relationship Id="rId24" Type="http://schemas.openxmlformats.org/officeDocument/2006/relationships/image" Target="media/image13.w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yperlink" Target="https://rowater.ro/despre-noi/descrierea-activitatii/managementul-european-integrat-resurse-de-apa/planurile-de-management-ale-bazinelor-hidrografice/planuri-de-management-nationale/" TargetMode="External"/><Relationship Id="rId53" Type="http://schemas.openxmlformats.org/officeDocument/2006/relationships/chart" Target="charts/chart7.xml"/><Relationship Id="rId58" Type="http://schemas.openxmlformats.org/officeDocument/2006/relationships/image" Target="media/image37.png"/><Relationship Id="rId66" Type="http://schemas.openxmlformats.org/officeDocument/2006/relationships/image" Target="media/image44.png"/><Relationship Id="rId74" Type="http://schemas.openxmlformats.org/officeDocument/2006/relationships/image" Target="media/image50.emf"/><Relationship Id="rId79" Type="http://schemas.openxmlformats.org/officeDocument/2006/relationships/hyperlink" Target="http://h2obenchmark.org/" TargetMode="External"/><Relationship Id="rId87" Type="http://schemas.openxmlformats.org/officeDocument/2006/relationships/image" Target="media/image58.jpeg"/><Relationship Id="rId102"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53.png"/><Relationship Id="rId90" Type="http://schemas.openxmlformats.org/officeDocument/2006/relationships/image" Target="media/image61.jpeg"/><Relationship Id="rId95" Type="http://schemas.openxmlformats.org/officeDocument/2006/relationships/image" Target="media/image66.png"/><Relationship Id="rId19" Type="http://schemas.openxmlformats.org/officeDocument/2006/relationships/image" Target="media/image8.emf"/><Relationship Id="rId14" Type="http://schemas.openxmlformats.org/officeDocument/2006/relationships/image" Target="media/image4.emf"/><Relationship Id="rId22" Type="http://schemas.openxmlformats.org/officeDocument/2006/relationships/image" Target="media/image11.wmf"/><Relationship Id="rId27" Type="http://schemas.openxmlformats.org/officeDocument/2006/relationships/image" Target="media/image16.emf"/><Relationship Id="rId30" Type="http://schemas.openxmlformats.org/officeDocument/2006/relationships/image" Target="media/image19.w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chart" Target="charts/chart2.xml"/><Relationship Id="rId56" Type="http://schemas.openxmlformats.org/officeDocument/2006/relationships/chart" Target="charts/chart9.xml"/><Relationship Id="rId64" Type="http://schemas.openxmlformats.org/officeDocument/2006/relationships/image" Target="media/image43.jpeg"/><Relationship Id="rId69" Type="http://schemas.openxmlformats.org/officeDocument/2006/relationships/image" Target="media/image45.png"/><Relationship Id="rId77" Type="http://schemas.openxmlformats.org/officeDocument/2006/relationships/image" Target="media/image52.png"/><Relationship Id="rId100" Type="http://schemas.openxmlformats.org/officeDocument/2006/relationships/hyperlink" Target="https://rowater.ro/wp-content/uploads/2020/12/Planul-National-de-Management-actualizat.pdf" TargetMode="External"/><Relationship Id="rId105" Type="http://schemas.openxmlformats.org/officeDocument/2006/relationships/hyperlink" Target="https://rowater.ro/proiectul-sipoca-588/" TargetMode="External"/><Relationship Id="rId8" Type="http://schemas.openxmlformats.org/officeDocument/2006/relationships/chart" Target="charts/chart1.xml"/><Relationship Id="rId51" Type="http://schemas.openxmlformats.org/officeDocument/2006/relationships/chart" Target="charts/chart5.xml"/><Relationship Id="rId72" Type="http://schemas.openxmlformats.org/officeDocument/2006/relationships/image" Target="media/image48.emf"/><Relationship Id="rId80" Type="http://schemas.openxmlformats.org/officeDocument/2006/relationships/hyperlink" Target="https://rowater.ro/wp-content/uploads/2020/12/Probleme-Importante-de-Gospodarire-a-Apelor-Sinteza-Nationala-2019.pdf" TargetMode="External"/><Relationship Id="rId85" Type="http://schemas.openxmlformats.org/officeDocument/2006/relationships/image" Target="media/image56.png"/><Relationship Id="rId93" Type="http://schemas.openxmlformats.org/officeDocument/2006/relationships/image" Target="media/image64.jpeg"/><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wmf"/><Relationship Id="rId25" Type="http://schemas.openxmlformats.org/officeDocument/2006/relationships/image" Target="media/image14.wmf"/><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3.emf"/><Relationship Id="rId59" Type="http://schemas.openxmlformats.org/officeDocument/2006/relationships/image" Target="media/image38.png"/><Relationship Id="rId67" Type="http://schemas.openxmlformats.org/officeDocument/2006/relationships/chart" Target="charts/chart11.xml"/><Relationship Id="rId103" Type="http://schemas.openxmlformats.org/officeDocument/2006/relationships/hyperlink" Target="https://www.eea.europa.eu/data-and-maps/daviz/water-exploitation-index-plus" TargetMode="External"/><Relationship Id="rId20" Type="http://schemas.openxmlformats.org/officeDocument/2006/relationships/image" Target="media/image9.wmf"/><Relationship Id="rId41" Type="http://schemas.openxmlformats.org/officeDocument/2006/relationships/image" Target="media/image30.emf"/><Relationship Id="rId54" Type="http://schemas.openxmlformats.org/officeDocument/2006/relationships/chart" Target="charts/chart8.xml"/><Relationship Id="rId62" Type="http://schemas.openxmlformats.org/officeDocument/2006/relationships/image" Target="media/image41.png"/><Relationship Id="rId70" Type="http://schemas.openxmlformats.org/officeDocument/2006/relationships/image" Target="media/image46.png"/><Relationship Id="rId75" Type="http://schemas.openxmlformats.org/officeDocument/2006/relationships/hyperlink" Target="http://www.insse.ro" TargetMode="External"/><Relationship Id="rId83" Type="http://schemas.openxmlformats.org/officeDocument/2006/relationships/image" Target="media/image54.png"/><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2.emf"/><Relationship Id="rId28" Type="http://schemas.openxmlformats.org/officeDocument/2006/relationships/image" Target="media/image17.wmf"/><Relationship Id="rId36" Type="http://schemas.openxmlformats.org/officeDocument/2006/relationships/image" Target="media/image25.emf"/><Relationship Id="rId49" Type="http://schemas.openxmlformats.org/officeDocument/2006/relationships/chart" Target="charts/chart3.xml"/><Relationship Id="rId57" Type="http://schemas.openxmlformats.org/officeDocument/2006/relationships/image" Target="media/image36.png"/><Relationship Id="rId106" Type="http://schemas.openxmlformats.org/officeDocument/2006/relationships/fontTable" Target="fontTable.xml"/><Relationship Id="rId10" Type="http://schemas.openxmlformats.org/officeDocument/2006/relationships/hyperlink" Target="https://www.worldometers.info/world-population/romania-population/" TargetMode="External"/><Relationship Id="rId31" Type="http://schemas.openxmlformats.org/officeDocument/2006/relationships/image" Target="media/image20.wmf"/><Relationship Id="rId44" Type="http://schemas.openxmlformats.org/officeDocument/2006/relationships/hyperlink" Target="https://rowater.ro/despre-noi/descrierea-activitatii/managementul-european-integrat-resurse-de-apa/planurile-de-management-ale-bazinelor-hidrografice/planuri-de-management-nationale/" TargetMode="External"/><Relationship Id="rId52" Type="http://schemas.openxmlformats.org/officeDocument/2006/relationships/chart" Target="charts/chart6.xml"/><Relationship Id="rId60" Type="http://schemas.openxmlformats.org/officeDocument/2006/relationships/image" Target="media/image39.png"/><Relationship Id="rId65" Type="http://schemas.openxmlformats.org/officeDocument/2006/relationships/chart" Target="charts/chart10.xml"/><Relationship Id="rId73" Type="http://schemas.openxmlformats.org/officeDocument/2006/relationships/image" Target="media/image49.png"/><Relationship Id="rId78" Type="http://schemas.openxmlformats.org/officeDocument/2006/relationships/hyperlink" Target="https://rowater.ro/proiectul-sipoca-588/" TargetMode="External"/><Relationship Id="rId81" Type="http://schemas.openxmlformats.org/officeDocument/2006/relationships/hyperlink" Target="https://www.icpdr.org/main/public-participation-interim-overview-swmi" TargetMode="External"/><Relationship Id="rId86" Type="http://schemas.openxmlformats.org/officeDocument/2006/relationships/image" Target="media/image57.jpeg"/><Relationship Id="rId94" Type="http://schemas.openxmlformats.org/officeDocument/2006/relationships/image" Target="media/image65.png"/><Relationship Id="rId99" Type="http://schemas.openxmlformats.org/officeDocument/2006/relationships/image" Target="media/image70.jpeg"/><Relationship Id="rId101" Type="http://schemas.openxmlformats.org/officeDocument/2006/relationships/hyperlink" Target="https://rowater.ro/despre-noi/descrierea-activitatii/managementul-european-integrat-resurse-de-apa/planurile-de-management-ale-bazinelor-hidrografice/planuri-de-management-nationale/"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7.wmf"/><Relationship Id="rId39" Type="http://schemas.openxmlformats.org/officeDocument/2006/relationships/image" Target="media/image28.emf"/><Relationship Id="rId34" Type="http://schemas.openxmlformats.org/officeDocument/2006/relationships/image" Target="media/image23.emf"/><Relationship Id="rId50" Type="http://schemas.openxmlformats.org/officeDocument/2006/relationships/chart" Target="charts/chart4.xml"/><Relationship Id="rId55" Type="http://schemas.openxmlformats.org/officeDocument/2006/relationships/image" Target="media/image35.png"/><Relationship Id="rId76" Type="http://schemas.openxmlformats.org/officeDocument/2006/relationships/image" Target="media/image51.png"/><Relationship Id="rId97" Type="http://schemas.openxmlformats.org/officeDocument/2006/relationships/image" Target="media/image68.jpeg"/><Relationship Id="rId104" Type="http://schemas.openxmlformats.org/officeDocument/2006/relationships/image" Target="media/image72.emf"/></Relationships>
</file>

<file path=word/_rels/footnotes.xml.rels><?xml version="1.0" encoding="UTF-8" standalone="yes"?>
<Relationships xmlns="http://schemas.openxmlformats.org/package/2006/relationships"><Relationship Id="rId2" Type="http://schemas.openxmlformats.org/officeDocument/2006/relationships/hyperlink" Target="https://ec.europa.eu/clima/sites/clima/files/adaptation/what/docs/eu_strategy_2021.pdf" TargetMode="External"/><Relationship Id="rId1" Type="http://schemas.openxmlformats.org/officeDocument/2006/relationships/hyperlink" Target="https://ec.europa.eu/environment/pdf/chemicals/2020/10/Strategy.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flori.dumitrache\Documents\Servici\ANPM_SOER\RAP%202023%20(date%202022)\Grafice%20uzate.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1.xml"/><Relationship Id="rId4" Type="http://schemas.openxmlformats.org/officeDocument/2006/relationships/oleObject" Target="file:///D:\SALVARI\D\2023\Starea%20mediului_21\Starea%20Mediului%20_2022\nivele%20colectare%20si%20epurare%20202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SOER\SOER_2022\Grafice%20SOER_202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SOER\SOER_2022\Grafice%20SOER_202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SOER\SOER_2022\Grafice%20SOER_202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SOER\SOER_2022\Grafice%20SOER_202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mariana.mincu\Desktop\New%20Microsoft%20Excel%20Work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b="1">
                <a:latin typeface="Arial" panose="020B0604020202020204" pitchFamily="34" charset="0"/>
                <a:cs typeface="Arial" panose="020B0604020202020204" pitchFamily="34" charset="0"/>
              </a:rPr>
              <a:t>Evoluția</a:t>
            </a:r>
            <a:r>
              <a:rPr lang="en-US" sz="1100" b="1" baseline="0">
                <a:latin typeface="Arial" panose="020B0604020202020204" pitchFamily="34" charset="0"/>
                <a:cs typeface="Arial" panose="020B0604020202020204" pitchFamily="34" charset="0"/>
              </a:rPr>
              <a:t> </a:t>
            </a:r>
            <a:r>
              <a:rPr lang="en-US" sz="1100" b="1">
                <a:latin typeface="Arial" panose="020B0604020202020204" pitchFamily="34" charset="0"/>
                <a:cs typeface="Arial" panose="020B0604020202020204" pitchFamily="34" charset="0"/>
              </a:rPr>
              <a:t>resursei de apă (teoretică și utilizabilă) </a:t>
            </a:r>
            <a:r>
              <a:rPr lang="ro-RO" sz="1100" b="1">
                <a:latin typeface="Arial" panose="020B0604020202020204" pitchFamily="34" charset="0"/>
                <a:cs typeface="Arial" panose="020B0604020202020204" pitchFamily="34" charset="0"/>
              </a:rPr>
              <a:t>î</a:t>
            </a:r>
            <a:r>
              <a:rPr lang="en-US" sz="1100" b="1">
                <a:latin typeface="Arial" panose="020B0604020202020204" pitchFamily="34" charset="0"/>
                <a:cs typeface="Arial" panose="020B0604020202020204" pitchFamily="34" charset="0"/>
              </a:rPr>
              <a:t>n mii m</a:t>
            </a:r>
            <a:r>
              <a:rPr lang="en-US" sz="1100" b="1" baseline="30000">
                <a:latin typeface="Arial" panose="020B0604020202020204" pitchFamily="34" charset="0"/>
                <a:cs typeface="Arial" panose="020B0604020202020204" pitchFamily="34" charset="0"/>
              </a:rPr>
              <a:t>3</a:t>
            </a:r>
          </a:p>
        </c:rich>
      </c:tx>
      <c:layout>
        <c:manualLayout>
          <c:xMode val="edge"/>
          <c:yMode val="edge"/>
          <c:x val="0.20831735136771978"/>
          <c:y val="4.6345811051693407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'Tabel 1_Resursa teoretica'!$B$6</c:f>
              <c:strCache>
                <c:ptCount val="1"/>
                <c:pt idx="0">
                  <c:v>Anii</c:v>
                </c:pt>
              </c:strCache>
            </c:strRef>
          </c:tx>
          <c:invertIfNegative val="0"/>
          <c:val>
            <c:numRef>
              <c:f>'Tabel 1_Resursa teoretica'!$B$7:$B$12</c:f>
              <c:numCache>
                <c:formatCode>General</c:formatCode>
                <c:ptCount val="6"/>
                <c:pt idx="0">
                  <c:v>2017</c:v>
                </c:pt>
                <c:pt idx="1">
                  <c:v>2018</c:v>
                </c:pt>
                <c:pt idx="2">
                  <c:v>2019</c:v>
                </c:pt>
                <c:pt idx="3">
                  <c:v>2020</c:v>
                </c:pt>
                <c:pt idx="4">
                  <c:v>2021</c:v>
                </c:pt>
                <c:pt idx="5">
                  <c:v>2022</c:v>
                </c:pt>
              </c:numCache>
            </c:numRef>
          </c:val>
          <c:extLst>
            <c:ext xmlns:c16="http://schemas.microsoft.com/office/drawing/2014/chart" uri="{C3380CC4-5D6E-409C-BE32-E72D297353CC}">
              <c16:uniqueId val="{00000000-9DC6-4A1F-9076-B1DFC2419B1B}"/>
            </c:ext>
          </c:extLst>
        </c:ser>
        <c:ser>
          <c:idx val="1"/>
          <c:order val="1"/>
          <c:tx>
            <c:strRef>
              <c:f>'Tabel 1_Resursa teoretica'!$C$6</c:f>
              <c:strCache>
                <c:ptCount val="1"/>
                <c:pt idx="0">
                  <c:v>Resursa teoretică</c:v>
                </c:pt>
              </c:strCache>
            </c:strRef>
          </c:tx>
          <c:invertIfNegative val="0"/>
          <c:val>
            <c:numRef>
              <c:f>'Tabel 1_Resursa teoretica'!$C$7:$C$12</c:f>
              <c:numCache>
                <c:formatCode>General</c:formatCode>
                <c:ptCount val="6"/>
                <c:pt idx="0">
                  <c:v>134600000</c:v>
                </c:pt>
                <c:pt idx="1">
                  <c:v>134600000</c:v>
                </c:pt>
                <c:pt idx="2">
                  <c:v>134600000</c:v>
                </c:pt>
                <c:pt idx="3">
                  <c:v>134600000</c:v>
                </c:pt>
                <c:pt idx="4">
                  <c:v>134600000</c:v>
                </c:pt>
                <c:pt idx="5">
                  <c:v>134600000</c:v>
                </c:pt>
              </c:numCache>
            </c:numRef>
          </c:val>
          <c:extLst>
            <c:ext xmlns:c16="http://schemas.microsoft.com/office/drawing/2014/chart" uri="{C3380CC4-5D6E-409C-BE32-E72D297353CC}">
              <c16:uniqueId val="{00000001-9DC6-4A1F-9076-B1DFC2419B1B}"/>
            </c:ext>
          </c:extLst>
        </c:ser>
        <c:ser>
          <c:idx val="2"/>
          <c:order val="2"/>
          <c:tx>
            <c:strRef>
              <c:f>'Tabel 1_Resursa teoretica'!$D$6</c:f>
              <c:strCache>
                <c:ptCount val="1"/>
                <c:pt idx="0">
                  <c:v>Resursa utilizabilă</c:v>
                </c:pt>
              </c:strCache>
            </c:strRef>
          </c:tx>
          <c:invertIfNegative val="0"/>
          <c:val>
            <c:numRef>
              <c:f>'Tabel 1_Resursa teoretica'!$D$7:$D$12</c:f>
              <c:numCache>
                <c:formatCode>General</c:formatCode>
                <c:ptCount val="6"/>
                <c:pt idx="0">
                  <c:v>38346760</c:v>
                </c:pt>
                <c:pt idx="1">
                  <c:v>38346760</c:v>
                </c:pt>
                <c:pt idx="2">
                  <c:v>38346760</c:v>
                </c:pt>
                <c:pt idx="3">
                  <c:v>38346760</c:v>
                </c:pt>
                <c:pt idx="4">
                  <c:v>38346760</c:v>
                </c:pt>
                <c:pt idx="5">
                  <c:v>38346760</c:v>
                </c:pt>
              </c:numCache>
            </c:numRef>
          </c:val>
          <c:extLst>
            <c:ext xmlns:c16="http://schemas.microsoft.com/office/drawing/2014/chart" uri="{C3380CC4-5D6E-409C-BE32-E72D297353CC}">
              <c16:uniqueId val="{00000002-9DC6-4A1F-9076-B1DFC2419B1B}"/>
            </c:ext>
          </c:extLst>
        </c:ser>
        <c:dLbls>
          <c:showLegendKey val="0"/>
          <c:showVal val="0"/>
          <c:showCatName val="0"/>
          <c:showSerName val="0"/>
          <c:showPercent val="0"/>
          <c:showBubbleSize val="0"/>
        </c:dLbls>
        <c:gapWidth val="150"/>
        <c:shape val="box"/>
        <c:axId val="625372296"/>
        <c:axId val="625377000"/>
        <c:axId val="0"/>
      </c:bar3DChart>
      <c:catAx>
        <c:axId val="625372296"/>
        <c:scaling>
          <c:orientation val="minMax"/>
        </c:scaling>
        <c:delete val="0"/>
        <c:axPos val="b"/>
        <c:numFmt formatCode="0.0" sourceLinked="1"/>
        <c:majorTickMark val="none"/>
        <c:minorTickMark val="none"/>
        <c:tickLblPos val="nextTo"/>
        <c:crossAx val="625377000"/>
        <c:crosses val="autoZero"/>
        <c:auto val="1"/>
        <c:lblAlgn val="ctr"/>
        <c:lblOffset val="100"/>
        <c:noMultiLvlLbl val="0"/>
      </c:catAx>
      <c:valAx>
        <c:axId val="625377000"/>
        <c:scaling>
          <c:orientation val="minMax"/>
        </c:scaling>
        <c:delete val="0"/>
        <c:axPos val="l"/>
        <c:majorGridlines/>
        <c:title>
          <c:tx>
            <c:rich>
              <a:bodyPr/>
              <a:lstStyle/>
              <a:p>
                <a:pPr>
                  <a:defRPr b="0" i="1">
                    <a:latin typeface="Arial" panose="020B0604020202020204" pitchFamily="34" charset="0"/>
                    <a:cs typeface="Arial" panose="020B0604020202020204" pitchFamily="34" charset="0"/>
                  </a:defRPr>
                </a:pPr>
                <a:r>
                  <a:rPr lang="en-US" b="0" i="1">
                    <a:latin typeface="Arial" panose="020B0604020202020204" pitchFamily="34" charset="0"/>
                    <a:cs typeface="Arial" panose="020B0604020202020204" pitchFamily="34" charset="0"/>
                  </a:rPr>
                  <a:t>Volum</a:t>
                </a:r>
                <a:r>
                  <a:rPr lang="en-US" b="0" i="1" baseline="0">
                    <a:latin typeface="Arial" panose="020B0604020202020204" pitchFamily="34" charset="0"/>
                    <a:cs typeface="Arial" panose="020B0604020202020204" pitchFamily="34" charset="0"/>
                  </a:rPr>
                  <a:t> mii m</a:t>
                </a:r>
                <a:r>
                  <a:rPr lang="en-US" b="0" i="1" baseline="30000">
                    <a:latin typeface="Arial" panose="020B0604020202020204" pitchFamily="34" charset="0"/>
                    <a:cs typeface="Arial" panose="020B0604020202020204" pitchFamily="34" charset="0"/>
                  </a:rPr>
                  <a:t>3</a:t>
                </a:r>
              </a:p>
            </c:rich>
          </c:tx>
          <c:layout>
            <c:manualLayout>
              <c:xMode val="edge"/>
              <c:yMode val="edge"/>
              <c:x val="7.4818341868091123E-2"/>
              <c:y val="0.36308532289078838"/>
            </c:manualLayout>
          </c:layout>
          <c:overlay val="0"/>
        </c:title>
        <c:numFmt formatCode="General" sourceLinked="1"/>
        <c:majorTickMark val="none"/>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625372296"/>
        <c:crosses val="autoZero"/>
        <c:crossBetween val="between"/>
      </c:valAx>
      <c:dTable>
        <c:showHorzBorder val="1"/>
        <c:showVertBorder val="1"/>
        <c:showOutline val="1"/>
        <c:showKeys val="1"/>
        <c:txPr>
          <a:bodyPr/>
          <a:lstStyle/>
          <a:p>
            <a:pPr rtl="0">
              <a:defRPr>
                <a:latin typeface="Arial" panose="020B0604020202020204" pitchFamily="34" charset="0"/>
                <a:cs typeface="Arial" panose="020B0604020202020204" pitchFamily="34" charset="0"/>
              </a:defRPr>
            </a:pPr>
            <a:endParaRPr lang="en-US"/>
          </a:p>
        </c:txPr>
      </c:dTable>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06334383260262"/>
          <c:y val="8.2902114707912949E-2"/>
          <c:w val="0.79604869402112155"/>
          <c:h val="0.7846432824583659"/>
        </c:manualLayout>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dLbl>
              <c:idx val="0"/>
              <c:layout>
                <c:manualLayout>
                  <c:x val="3.3578412913318458E-2"/>
                  <c:y val="-3.63772364385874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0D-4DDE-9957-AACF6258205E}"/>
                </c:ext>
              </c:extLst>
            </c:dLbl>
            <c:dLbl>
              <c:idx val="1"/>
              <c:layout>
                <c:manualLayout>
                  <c:x val="2.070082057103061E-2"/>
                  <c:y val="-4.12059793596508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0D-4DDE-9957-AACF6258205E}"/>
                </c:ext>
              </c:extLst>
            </c:dLbl>
            <c:dLbl>
              <c:idx val="2"/>
              <c:layout>
                <c:manualLayout>
                  <c:x val="3.173435880506268E-2"/>
                  <c:y val="-3.110968979157774E-2"/>
                </c:manualLayout>
              </c:layout>
              <c:tx>
                <c:rich>
                  <a:bodyPr/>
                  <a:lstStyle/>
                  <a:p>
                    <a:fld id="{91D70034-BE34-4371-A0C1-8779E52902B0}" type="VALUE">
                      <a:rPr lang="en-US"/>
                      <a:pPr/>
                      <a:t>[VALUE]</a:t>
                    </a:fld>
                    <a:endParaRPr lang="en-GB"/>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20D-4DDE-9957-AACF6258205E}"/>
                </c:ext>
              </c:extLst>
            </c:dLbl>
            <c:dLbl>
              <c:idx val="3"/>
              <c:layout>
                <c:manualLayout>
                  <c:x val="-4.7961630695443642E-3"/>
                  <c:y val="7.90144095017828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0D-4DDE-9957-AACF6258205E}"/>
                </c:ext>
              </c:extLst>
            </c:dLbl>
            <c:numFmt formatCode="0.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volum!$A$4:$A$6</c:f>
              <c:strCache>
                <c:ptCount val="3"/>
                <c:pt idx="0">
                  <c:v>Epurat Corespunzător 
</c:v>
                </c:pt>
                <c:pt idx="1">
                  <c:v>Epurat Necorespunzător </c:v>
                </c:pt>
                <c:pt idx="2">
                  <c:v>Nu se epurează</c:v>
                </c:pt>
              </c:strCache>
            </c:strRef>
          </c:cat>
          <c:val>
            <c:numRef>
              <c:f>volum!$B$4:$B$6</c:f>
              <c:numCache>
                <c:formatCode>General</c:formatCode>
                <c:ptCount val="3"/>
                <c:pt idx="0">
                  <c:v>1178.78</c:v>
                </c:pt>
                <c:pt idx="1">
                  <c:v>451.58</c:v>
                </c:pt>
                <c:pt idx="2">
                  <c:v>139.52000000000001</c:v>
                </c:pt>
              </c:numCache>
            </c:numRef>
          </c:val>
          <c:extLst>
            <c:ext xmlns:c16="http://schemas.microsoft.com/office/drawing/2014/chart" uri="{C3380CC4-5D6E-409C-BE32-E72D297353CC}">
              <c16:uniqueId val="{00000004-120D-4DDE-9957-AACF6258205E}"/>
            </c:ext>
          </c:extLst>
        </c:ser>
        <c:dLbls>
          <c:showLegendKey val="0"/>
          <c:showVal val="0"/>
          <c:showCatName val="0"/>
          <c:showSerName val="0"/>
          <c:showPercent val="0"/>
          <c:showBubbleSize val="0"/>
        </c:dLbls>
        <c:gapWidth val="150"/>
        <c:shape val="box"/>
        <c:axId val="700177856"/>
        <c:axId val="700178248"/>
        <c:axId val="0"/>
      </c:bar3DChart>
      <c:dateAx>
        <c:axId val="70017785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0178248"/>
        <c:crossesAt val="0"/>
        <c:auto val="0"/>
        <c:lblOffset val="50"/>
        <c:baseTimeUnit val="days"/>
      </c:dateAx>
      <c:valAx>
        <c:axId val="700178248"/>
        <c:scaling>
          <c:orientation val="minMax"/>
          <c:max val="14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volum evacuat</a:t>
                </a:r>
              </a:p>
              <a:p>
                <a:pPr>
                  <a:defRPr/>
                </a:pPr>
                <a:r>
                  <a:rPr lang="en-US"/>
                  <a:t>mil.mc</a:t>
                </a:r>
              </a:p>
            </c:rich>
          </c:tx>
          <c:layout>
            <c:manualLayout>
              <c:xMode val="edge"/>
              <c:yMode val="edge"/>
              <c:x val="2.8101039972073069E-2"/>
              <c:y val="0.3827881887622229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0177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97573845870162"/>
          <c:y val="0.13559805174098732"/>
          <c:w val="0.84010796856670944"/>
          <c:h val="0.59149151319579496"/>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2.3809520833705682E-2"/>
                  <c:y val="-4.45268929967729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BD-4B13-8912-A9F502547B52}"/>
                </c:ext>
              </c:extLst>
            </c:dLbl>
            <c:dLbl>
              <c:idx val="1"/>
              <c:layout>
                <c:manualLayout>
                  <c:x val="1.1111109722395927E-2"/>
                  <c:y val="-4.45268929967730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BD-4B13-8912-A9F502547B52}"/>
                </c:ext>
              </c:extLst>
            </c:dLbl>
            <c:dLbl>
              <c:idx val="2"/>
              <c:layout>
                <c:manualLayout>
                  <c:x val="1.428571250022341E-2"/>
                  <c:y val="-3.4632027886378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BD-4B13-8912-A9F502547B52}"/>
                </c:ext>
              </c:extLst>
            </c:dLbl>
            <c:dLbl>
              <c:idx val="3"/>
              <c:layout>
                <c:manualLayout>
                  <c:x val="2.3809520833705682E-2"/>
                  <c:y val="-3.215831160878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BD-4B13-8912-A9F502547B5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'nivele 2021'!$A$3:$A$6</c:f>
              <c:strCache>
                <c:ptCount val="4"/>
                <c:pt idx="0">
                  <c:v>1. Sisteme de canalizare fără epurare </c:v>
                </c:pt>
                <c:pt idx="1">
                  <c:v>2. Stații de epurare orășenești cu treaptă primară de epurare</c:v>
                </c:pt>
                <c:pt idx="2">
                  <c:v>3. Stații de epurare orășenești cu treaptă secundară de epurare</c:v>
                </c:pt>
                <c:pt idx="3">
                  <c:v>4. Stații de epurare orășenești cu treaptă terțiară de epurare</c:v>
                </c:pt>
              </c:strCache>
            </c:strRef>
          </c:cat>
          <c:val>
            <c:numRef>
              <c:f>'nivele 2021'!$C$3:$C$6</c:f>
              <c:numCache>
                <c:formatCode>0.0</c:formatCode>
                <c:ptCount val="4"/>
                <c:pt idx="0">
                  <c:v>1.9935822012466733</c:v>
                </c:pt>
                <c:pt idx="1">
                  <c:v>6.8065952748532146</c:v>
                </c:pt>
                <c:pt idx="2">
                  <c:v>13.18299444061384</c:v>
                </c:pt>
                <c:pt idx="3">
                  <c:v>78.016828083286271</c:v>
                </c:pt>
              </c:numCache>
            </c:numRef>
          </c:val>
          <c:extLst>
            <c:ext xmlns:c16="http://schemas.microsoft.com/office/drawing/2014/chart" uri="{C3380CC4-5D6E-409C-BE32-E72D297353CC}">
              <c16:uniqueId val="{00000004-72BD-4B13-8912-A9F502547B52}"/>
            </c:ext>
          </c:extLst>
        </c:ser>
        <c:dLbls>
          <c:showLegendKey val="0"/>
          <c:showVal val="0"/>
          <c:showCatName val="0"/>
          <c:showSerName val="0"/>
          <c:showPercent val="0"/>
          <c:showBubbleSize val="0"/>
        </c:dLbls>
        <c:gapWidth val="150"/>
        <c:shape val="box"/>
        <c:axId val="1384313072"/>
        <c:axId val="1384313488"/>
        <c:axId val="0"/>
      </c:bar3DChart>
      <c:catAx>
        <c:axId val="138431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384313488"/>
        <c:crosses val="autoZero"/>
        <c:auto val="1"/>
        <c:lblAlgn val="ctr"/>
        <c:lblOffset val="100"/>
        <c:noMultiLvlLbl val="0"/>
      </c:catAx>
      <c:valAx>
        <c:axId val="1384313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3843130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86271591134522"/>
          <c:y val="1.6726403823178016E-2"/>
          <c:w val="0.7564998987015088"/>
          <c:h val="0.79385544548866871"/>
        </c:manualLayout>
      </c:layout>
      <c:barChart>
        <c:barDir val="bar"/>
        <c:grouping val="stacked"/>
        <c:varyColors val="0"/>
        <c:ser>
          <c:idx val="0"/>
          <c:order val="0"/>
          <c:tx>
            <c:strRef>
              <c:f>'Rauri_km 2022'!$C$4</c:f>
              <c:strCache>
                <c:ptCount val="1"/>
                <c:pt idx="0">
                  <c:v>SE bună/bun (km)</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2022'!$D$3:$N$3</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2022'!$D$4:$N$4</c:f>
              <c:numCache>
                <c:formatCode>0.00</c:formatCode>
                <c:ptCount val="11"/>
                <c:pt idx="0">
                  <c:v>1324.008</c:v>
                </c:pt>
                <c:pt idx="1">
                  <c:v>716.53599999999994</c:v>
                </c:pt>
                <c:pt idx="2">
                  <c:v>2632.2750000000001</c:v>
                </c:pt>
                <c:pt idx="3">
                  <c:v>1201.473</c:v>
                </c:pt>
                <c:pt idx="4">
                  <c:v>1105.0400000000002</c:v>
                </c:pt>
                <c:pt idx="5">
                  <c:v>2449.6370000000002</c:v>
                </c:pt>
                <c:pt idx="6">
                  <c:v>655.23599999999999</c:v>
                </c:pt>
                <c:pt idx="7">
                  <c:v>896.1</c:v>
                </c:pt>
                <c:pt idx="8">
                  <c:v>525.8660000000001</c:v>
                </c:pt>
                <c:pt idx="9">
                  <c:v>1888.1570000000002</c:v>
                </c:pt>
                <c:pt idx="10">
                  <c:v>1240.5450000000001</c:v>
                </c:pt>
              </c:numCache>
            </c:numRef>
          </c:val>
          <c:extLst>
            <c:ext xmlns:c16="http://schemas.microsoft.com/office/drawing/2014/chart" uri="{C3380CC4-5D6E-409C-BE32-E72D297353CC}">
              <c16:uniqueId val="{00000000-B6B7-4086-AC14-C37D56FF8706}"/>
            </c:ext>
          </c:extLst>
        </c:ser>
        <c:ser>
          <c:idx val="1"/>
          <c:order val="1"/>
          <c:tx>
            <c:strRef>
              <c:f>'Rauri_km 2022'!$C$5</c:f>
              <c:strCache>
                <c:ptCount val="1"/>
                <c:pt idx="0">
                  <c:v>SE inferioară stării bune (km)</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2022'!$D$3:$N$3</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2022'!$D$5:$N$5</c:f>
              <c:numCache>
                <c:formatCode>0.00</c:formatCode>
                <c:ptCount val="11"/>
                <c:pt idx="0">
                  <c:v>3265.5240000000003</c:v>
                </c:pt>
                <c:pt idx="1">
                  <c:v>1779.4960000000001</c:v>
                </c:pt>
                <c:pt idx="2">
                  <c:v>1806.2250000000001</c:v>
                </c:pt>
                <c:pt idx="3">
                  <c:v>2460.0539999999996</c:v>
                </c:pt>
                <c:pt idx="4">
                  <c:v>2552.92</c:v>
                </c:pt>
                <c:pt idx="5">
                  <c:v>3916.8969999999999</c:v>
                </c:pt>
                <c:pt idx="6">
                  <c:v>3059.7350000000001</c:v>
                </c:pt>
                <c:pt idx="7">
                  <c:v>1770.4</c:v>
                </c:pt>
                <c:pt idx="8">
                  <c:v>2846.0780000000004</c:v>
                </c:pt>
                <c:pt idx="9">
                  <c:v>3904.9869999999996</c:v>
                </c:pt>
                <c:pt idx="10">
                  <c:v>391.48400000000004</c:v>
                </c:pt>
              </c:numCache>
            </c:numRef>
          </c:val>
          <c:extLst>
            <c:ext xmlns:c16="http://schemas.microsoft.com/office/drawing/2014/chart" uri="{C3380CC4-5D6E-409C-BE32-E72D297353CC}">
              <c16:uniqueId val="{00000001-B6B7-4086-AC14-C37D56FF8706}"/>
            </c:ext>
          </c:extLst>
        </c:ser>
        <c:dLbls>
          <c:dLblPos val="ctr"/>
          <c:showLegendKey val="0"/>
          <c:showVal val="1"/>
          <c:showCatName val="0"/>
          <c:showSerName val="0"/>
          <c:showPercent val="0"/>
          <c:showBubbleSize val="0"/>
        </c:dLbls>
        <c:gapWidth val="182"/>
        <c:overlap val="100"/>
        <c:axId val="355788472"/>
        <c:axId val="355790824"/>
      </c:barChart>
      <c:catAx>
        <c:axId val="35578847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a:t>Bazine/spații hidrografice</a:t>
                </a:r>
                <a:endParaRPr lang="en-US"/>
              </a:p>
            </c:rich>
          </c:tx>
          <c:layout>
            <c:manualLayout>
              <c:xMode val="edge"/>
              <c:yMode val="edge"/>
              <c:x val="7.6955238712726706E-2"/>
              <c:y val="0.2669772719458102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5790824"/>
        <c:crosses val="autoZero"/>
        <c:auto val="1"/>
        <c:lblAlgn val="ctr"/>
        <c:lblOffset val="100"/>
        <c:noMultiLvlLbl val="0"/>
      </c:catAx>
      <c:valAx>
        <c:axId val="35579082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557884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625427110750788"/>
          <c:y val="3.3603177027646251E-2"/>
          <c:w val="0.70354830469886609"/>
          <c:h val="0.6829433207972877"/>
        </c:manualLayout>
      </c:layout>
      <c:barChart>
        <c:barDir val="bar"/>
        <c:grouping val="percentStacked"/>
        <c:varyColors val="0"/>
        <c:ser>
          <c:idx val="0"/>
          <c:order val="0"/>
          <c:tx>
            <c:strRef>
              <c:f>'Rauri_km 2022'!$C$12</c:f>
              <c:strCache>
                <c:ptCount val="1"/>
                <c:pt idx="0">
                  <c:v>SE bună/bun (%)</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2022'!$D$11:$N$11</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2022'!$D$12:$N$12</c:f>
              <c:numCache>
                <c:formatCode>0.00%</c:formatCode>
                <c:ptCount val="11"/>
                <c:pt idx="0">
                  <c:v>0.28848431604791075</c:v>
                </c:pt>
                <c:pt idx="1">
                  <c:v>0.28707003756362093</c:v>
                </c:pt>
                <c:pt idx="2">
                  <c:v>0.59305508617776281</c:v>
                </c:pt>
                <c:pt idx="3">
                  <c:v>0.32813440949636591</c:v>
                </c:pt>
                <c:pt idx="4">
                  <c:v>0.30209187634637891</c:v>
                </c:pt>
                <c:pt idx="5">
                  <c:v>0.38476775589355217</c:v>
                </c:pt>
                <c:pt idx="6">
                  <c:v>0.17637715072338384</c:v>
                </c:pt>
                <c:pt idx="7">
                  <c:v>0.33605850365647855</c:v>
                </c:pt>
                <c:pt idx="8">
                  <c:v>0.1559533610285343</c:v>
                </c:pt>
                <c:pt idx="9">
                  <c:v>0.32592958158816698</c:v>
                </c:pt>
                <c:pt idx="10">
                  <c:v>0.76012436053526011</c:v>
                </c:pt>
              </c:numCache>
            </c:numRef>
          </c:val>
          <c:extLst>
            <c:ext xmlns:c16="http://schemas.microsoft.com/office/drawing/2014/chart" uri="{C3380CC4-5D6E-409C-BE32-E72D297353CC}">
              <c16:uniqueId val="{00000000-180D-481D-A7F1-0E428C99193E}"/>
            </c:ext>
          </c:extLst>
        </c:ser>
        <c:ser>
          <c:idx val="1"/>
          <c:order val="1"/>
          <c:tx>
            <c:strRef>
              <c:f>'Rauri_km 2022'!$C$13</c:f>
              <c:strCache>
                <c:ptCount val="1"/>
                <c:pt idx="0">
                  <c:v>SE inferioară stării bune (%)</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2022'!$D$11:$N$11</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2022'!$D$13:$N$13</c:f>
              <c:numCache>
                <c:formatCode>0.00%</c:formatCode>
                <c:ptCount val="11"/>
                <c:pt idx="0">
                  <c:v>0.71151568395208931</c:v>
                </c:pt>
                <c:pt idx="1">
                  <c:v>0.71292996243637896</c:v>
                </c:pt>
                <c:pt idx="2">
                  <c:v>0.4069449138222373</c:v>
                </c:pt>
                <c:pt idx="3">
                  <c:v>0.67186559050363415</c:v>
                </c:pt>
                <c:pt idx="4">
                  <c:v>0.6979081236536212</c:v>
                </c:pt>
                <c:pt idx="5">
                  <c:v>0.61523224410644795</c:v>
                </c:pt>
                <c:pt idx="6">
                  <c:v>0.82362284927661622</c:v>
                </c:pt>
                <c:pt idx="7">
                  <c:v>0.66394149634352151</c:v>
                </c:pt>
                <c:pt idx="8">
                  <c:v>0.8440466389714657</c:v>
                </c:pt>
                <c:pt idx="9">
                  <c:v>0.67407041841183291</c:v>
                </c:pt>
                <c:pt idx="10">
                  <c:v>0.23987563946473991</c:v>
                </c:pt>
              </c:numCache>
            </c:numRef>
          </c:val>
          <c:extLst>
            <c:ext xmlns:c16="http://schemas.microsoft.com/office/drawing/2014/chart" uri="{C3380CC4-5D6E-409C-BE32-E72D297353CC}">
              <c16:uniqueId val="{00000001-180D-481D-A7F1-0E428C99193E}"/>
            </c:ext>
          </c:extLst>
        </c:ser>
        <c:dLbls>
          <c:showLegendKey val="0"/>
          <c:showVal val="0"/>
          <c:showCatName val="0"/>
          <c:showSerName val="0"/>
          <c:showPercent val="0"/>
          <c:showBubbleSize val="0"/>
        </c:dLbls>
        <c:gapWidth val="150"/>
        <c:overlap val="100"/>
        <c:axId val="355785336"/>
        <c:axId val="355786904"/>
      </c:barChart>
      <c:catAx>
        <c:axId val="355785336"/>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ro-RO" sz="900">
                    <a:solidFill>
                      <a:schemeClr val="tx1"/>
                    </a:solidFill>
                    <a:latin typeface="Arial" panose="020B0604020202020204" pitchFamily="34" charset="0"/>
                    <a:cs typeface="Arial" panose="020B0604020202020204" pitchFamily="34" charset="0"/>
                  </a:rPr>
                  <a:t>Bazine/spații</a:t>
                </a:r>
                <a:r>
                  <a:rPr lang="ro-RO" sz="900" baseline="0">
                    <a:solidFill>
                      <a:schemeClr val="tx1"/>
                    </a:solidFill>
                    <a:latin typeface="Arial" panose="020B0604020202020204" pitchFamily="34" charset="0"/>
                    <a:cs typeface="Arial" panose="020B0604020202020204" pitchFamily="34" charset="0"/>
                  </a:rPr>
                  <a:t> hidrografice</a:t>
                </a:r>
                <a:endParaRPr lang="en-US" sz="900">
                  <a:solidFill>
                    <a:schemeClr val="tx1"/>
                  </a:solidFill>
                  <a:latin typeface="Arial" panose="020B0604020202020204" pitchFamily="34" charset="0"/>
                  <a:cs typeface="Arial" panose="020B0604020202020204" pitchFamily="34" charset="0"/>
                </a:endParaRPr>
              </a:p>
            </c:rich>
          </c:tx>
          <c:layout>
            <c:manualLayout>
              <c:xMode val="edge"/>
              <c:yMode val="edge"/>
              <c:x val="7.1005917159763315E-2"/>
              <c:y val="0.2714856323305159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55786904"/>
        <c:crosses val="autoZero"/>
        <c:auto val="1"/>
        <c:lblAlgn val="ctr"/>
        <c:lblOffset val="100"/>
        <c:noMultiLvlLbl val="0"/>
      </c:catAx>
      <c:valAx>
        <c:axId val="3557869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5785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'Evolutie '!$F$27</c:f>
              <c:strCache>
                <c:ptCount val="1"/>
                <c:pt idx="0">
                  <c:v>SE bună/bun (km)</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'!$G$26:$H$26</c:f>
              <c:numCache>
                <c:formatCode>General</c:formatCode>
                <c:ptCount val="2"/>
                <c:pt idx="0">
                  <c:v>2021</c:v>
                </c:pt>
                <c:pt idx="1">
                  <c:v>2022</c:v>
                </c:pt>
              </c:numCache>
            </c:numRef>
          </c:cat>
          <c:val>
            <c:numRef>
              <c:f>'Evolutie '!$G$27:$H$27</c:f>
              <c:numCache>
                <c:formatCode>General</c:formatCode>
                <c:ptCount val="2"/>
                <c:pt idx="0">
                  <c:v>14681.357</c:v>
                </c:pt>
                <c:pt idx="1">
                  <c:v>14623.159</c:v>
                </c:pt>
              </c:numCache>
            </c:numRef>
          </c:val>
          <c:extLst>
            <c:ext xmlns:c16="http://schemas.microsoft.com/office/drawing/2014/chart" uri="{C3380CC4-5D6E-409C-BE32-E72D297353CC}">
              <c16:uniqueId val="{00000000-8204-4896-9C44-4F2B6F6EEEF0}"/>
            </c:ext>
          </c:extLst>
        </c:ser>
        <c:ser>
          <c:idx val="1"/>
          <c:order val="1"/>
          <c:tx>
            <c:strRef>
              <c:f>'Evolutie '!$F$28</c:f>
              <c:strCache>
                <c:ptCount val="1"/>
                <c:pt idx="0">
                  <c:v>SE inferioară stării bune (km)</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'!$G$26:$H$26</c:f>
              <c:numCache>
                <c:formatCode>General</c:formatCode>
                <c:ptCount val="2"/>
                <c:pt idx="0">
                  <c:v>2021</c:v>
                </c:pt>
                <c:pt idx="1">
                  <c:v>2022</c:v>
                </c:pt>
              </c:numCache>
            </c:numRef>
          </c:cat>
          <c:val>
            <c:numRef>
              <c:f>'Evolutie '!$G$28:$H$28</c:f>
              <c:numCache>
                <c:formatCode>0.000</c:formatCode>
                <c:ptCount val="2"/>
                <c:pt idx="0" formatCode="General">
                  <c:v>24192.815999999999</c:v>
                </c:pt>
                <c:pt idx="1">
                  <c:v>27753.8</c:v>
                </c:pt>
              </c:numCache>
            </c:numRef>
          </c:val>
          <c:extLst>
            <c:ext xmlns:c16="http://schemas.microsoft.com/office/drawing/2014/chart" uri="{C3380CC4-5D6E-409C-BE32-E72D297353CC}">
              <c16:uniqueId val="{00000001-8204-4896-9C44-4F2B6F6EEEF0}"/>
            </c:ext>
          </c:extLst>
        </c:ser>
        <c:dLbls>
          <c:dLblPos val="ctr"/>
          <c:showLegendKey val="0"/>
          <c:showVal val="1"/>
          <c:showCatName val="0"/>
          <c:showSerName val="0"/>
          <c:showPercent val="0"/>
          <c:showBubbleSize val="0"/>
        </c:dLbls>
        <c:gapWidth val="150"/>
        <c:overlap val="100"/>
        <c:axId val="703597504"/>
        <c:axId val="703597984"/>
      </c:barChart>
      <c:catAx>
        <c:axId val="703597504"/>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b="1">
                    <a:solidFill>
                      <a:sysClr val="windowText" lastClr="000000"/>
                    </a:solidFill>
                  </a:rPr>
                  <a:t>AN</a:t>
                </a:r>
                <a:endParaRPr lang="en-US" b="1">
                  <a:solidFill>
                    <a:sysClr val="windowText" lastClr="000000"/>
                  </a:solidFill>
                </a:endParaRPr>
              </a:p>
            </c:rich>
          </c:tx>
          <c:layout>
            <c:manualLayout>
              <c:xMode val="edge"/>
              <c:yMode val="edge"/>
              <c:x val="6.9264047470414883E-2"/>
              <c:y val="0.3367118110236220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3597984"/>
        <c:crosses val="autoZero"/>
        <c:auto val="1"/>
        <c:lblAlgn val="ctr"/>
        <c:lblOffset val="100"/>
        <c:noMultiLvlLbl val="0"/>
      </c:catAx>
      <c:valAx>
        <c:axId val="703597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b="1">
                    <a:solidFill>
                      <a:sysClr val="windowText" lastClr="000000"/>
                    </a:solidFill>
                  </a:rPr>
                  <a:t>Număr kilometri</a:t>
                </a:r>
              </a:p>
            </c:rich>
          </c:tx>
          <c:layout>
            <c:manualLayout>
              <c:xMode val="edge"/>
              <c:yMode val="edge"/>
              <c:x val="0.39088435786450365"/>
              <c:y val="0.84144987494540724"/>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03597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'Evolutie '!$F$44</c:f>
              <c:strCache>
                <c:ptCount val="1"/>
                <c:pt idx="0">
                  <c:v>SE bună/bun (%)</c:v>
                </c:pt>
              </c:strCache>
            </c:strRef>
          </c:tx>
          <c:spPr>
            <a:solidFill>
              <a:srgbClr val="00B050"/>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8484-4A34-A634-9BBEFB3BA290}"/>
              </c:ext>
            </c:extLst>
          </c:dPt>
          <c:dPt>
            <c:idx val="1"/>
            <c:invertIfNegative val="0"/>
            <c:bubble3D val="0"/>
            <c:spPr>
              <a:solidFill>
                <a:srgbClr val="00B050"/>
              </a:solidFill>
              <a:ln>
                <a:noFill/>
              </a:ln>
              <a:effectLst/>
            </c:spPr>
            <c:extLst>
              <c:ext xmlns:c16="http://schemas.microsoft.com/office/drawing/2014/chart" uri="{C3380CC4-5D6E-409C-BE32-E72D297353CC}">
                <c16:uniqueId val="{00000003-8484-4A34-A634-9BBEFB3BA290}"/>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'!$G$43:$H$43</c:f>
              <c:numCache>
                <c:formatCode>General</c:formatCode>
                <c:ptCount val="2"/>
                <c:pt idx="0">
                  <c:v>2021</c:v>
                </c:pt>
                <c:pt idx="1">
                  <c:v>2022</c:v>
                </c:pt>
              </c:numCache>
            </c:numRef>
          </c:cat>
          <c:val>
            <c:numRef>
              <c:f>'Evolutie '!$G$44:$H$44</c:f>
              <c:numCache>
                <c:formatCode>0%</c:formatCode>
                <c:ptCount val="2"/>
                <c:pt idx="0">
                  <c:v>0.3776635196843931</c:v>
                </c:pt>
                <c:pt idx="1">
                  <c:v>0.34507334516381888</c:v>
                </c:pt>
              </c:numCache>
            </c:numRef>
          </c:val>
          <c:extLst>
            <c:ext xmlns:c16="http://schemas.microsoft.com/office/drawing/2014/chart" uri="{C3380CC4-5D6E-409C-BE32-E72D297353CC}">
              <c16:uniqueId val="{00000004-8484-4A34-A634-9BBEFB3BA290}"/>
            </c:ext>
          </c:extLst>
        </c:ser>
        <c:ser>
          <c:idx val="1"/>
          <c:order val="1"/>
          <c:tx>
            <c:strRef>
              <c:f>'Evolutie '!$F$45</c:f>
              <c:strCache>
                <c:ptCount val="1"/>
                <c:pt idx="0">
                  <c:v>SE inferioară stării bune (%)</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'Evolutie '!$G$43:$H$43</c:f>
              <c:numCache>
                <c:formatCode>General</c:formatCode>
                <c:ptCount val="2"/>
                <c:pt idx="0">
                  <c:v>2021</c:v>
                </c:pt>
                <c:pt idx="1">
                  <c:v>2022</c:v>
                </c:pt>
              </c:numCache>
            </c:numRef>
          </c:cat>
          <c:val>
            <c:numRef>
              <c:f>'Evolutie '!$G$45:$H$45</c:f>
              <c:numCache>
                <c:formatCode>0%</c:formatCode>
                <c:ptCount val="2"/>
                <c:pt idx="0">
                  <c:v>0.62233648031560707</c:v>
                </c:pt>
                <c:pt idx="1">
                  <c:v>0.65492665483618118</c:v>
                </c:pt>
              </c:numCache>
            </c:numRef>
          </c:val>
          <c:extLst>
            <c:ext xmlns:c16="http://schemas.microsoft.com/office/drawing/2014/chart" uri="{C3380CC4-5D6E-409C-BE32-E72D297353CC}">
              <c16:uniqueId val="{00000005-8484-4A34-A634-9BBEFB3BA290}"/>
            </c:ext>
          </c:extLst>
        </c:ser>
        <c:dLbls>
          <c:showLegendKey val="0"/>
          <c:showVal val="0"/>
          <c:showCatName val="0"/>
          <c:showSerName val="0"/>
          <c:showPercent val="0"/>
          <c:showBubbleSize val="0"/>
        </c:dLbls>
        <c:gapWidth val="150"/>
        <c:overlap val="100"/>
        <c:axId val="497253184"/>
        <c:axId val="497254144"/>
      </c:barChart>
      <c:catAx>
        <c:axId val="497253184"/>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b="1"/>
                  <a:t>AN</a:t>
                </a:r>
              </a:p>
            </c:rich>
          </c:tx>
          <c:layout>
            <c:manualLayout>
              <c:xMode val="edge"/>
              <c:yMode val="edge"/>
              <c:x val="0.11752603803253639"/>
              <c:y val="0.348152914281098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97254144"/>
        <c:crosses val="autoZero"/>
        <c:auto val="1"/>
        <c:lblAlgn val="ctr"/>
        <c:lblOffset val="100"/>
        <c:noMultiLvlLbl val="0"/>
      </c:catAx>
      <c:valAx>
        <c:axId val="497254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o-RO" b="1"/>
                  <a:t>Procente</a:t>
                </a:r>
              </a:p>
            </c:rich>
          </c:tx>
          <c:layout>
            <c:manualLayout>
              <c:xMode val="edge"/>
              <c:yMode val="edge"/>
              <c:x val="0.49564330616483998"/>
              <c:y val="0.83831049333625318"/>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972531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77877387979175"/>
          <c:y val="4.1583965080185317E-2"/>
          <c:w val="0.79563227004949399"/>
          <c:h val="0.70258179664120257"/>
        </c:manualLayout>
      </c:layout>
      <c:barChart>
        <c:barDir val="bar"/>
        <c:grouping val="stacked"/>
        <c:varyColors val="0"/>
        <c:ser>
          <c:idx val="1"/>
          <c:order val="0"/>
          <c:tx>
            <c:strRef>
              <c:f>Grafice!$D$3</c:f>
              <c:strCache>
                <c:ptCount val="1"/>
                <c:pt idx="0">
                  <c:v>Metale prioritare (nr.)</c:v>
                </c:pt>
              </c:strCache>
            </c:strRef>
          </c:tx>
          <c:spPr>
            <a:solidFill>
              <a:schemeClr val="tx2">
                <a:lumMod val="60000"/>
                <a:lumOff val="40000"/>
              </a:schemeClr>
            </a:solidFill>
            <a:ln>
              <a:no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Grafice!$D$4:$D$14</c:f>
              <c:numCache>
                <c:formatCode>General</c:formatCode>
                <c:ptCount val="11"/>
                <c:pt idx="0">
                  <c:v>3</c:v>
                </c:pt>
                <c:pt idx="1">
                  <c:v>3</c:v>
                </c:pt>
                <c:pt idx="2">
                  <c:v>3</c:v>
                </c:pt>
                <c:pt idx="3">
                  <c:v>3</c:v>
                </c:pt>
                <c:pt idx="4">
                  <c:v>3</c:v>
                </c:pt>
                <c:pt idx="5">
                  <c:v>3</c:v>
                </c:pt>
                <c:pt idx="6">
                  <c:v>3</c:v>
                </c:pt>
                <c:pt idx="7">
                  <c:v>3</c:v>
                </c:pt>
                <c:pt idx="8">
                  <c:v>3</c:v>
                </c:pt>
                <c:pt idx="9">
                  <c:v>3</c:v>
                </c:pt>
                <c:pt idx="10">
                  <c:v>3</c:v>
                </c:pt>
              </c:numCache>
            </c:numRef>
          </c:val>
          <c:extLst>
            <c:ext xmlns:c16="http://schemas.microsoft.com/office/drawing/2014/chart" uri="{C3380CC4-5D6E-409C-BE32-E72D297353CC}">
              <c16:uniqueId val="{00000000-D7AA-4C10-9B3B-A4C362361EEC}"/>
            </c:ext>
          </c:extLst>
        </c:ser>
        <c:ser>
          <c:idx val="0"/>
          <c:order val="1"/>
          <c:tx>
            <c:strRef>
              <c:f>Grafice!$E$3</c:f>
              <c:strCache>
                <c:ptCount val="1"/>
                <c:pt idx="0">
                  <c:v>Micropoluanţi organici (nr.)</c:v>
                </c:pt>
              </c:strCache>
            </c:strRef>
          </c:tx>
          <c:spPr>
            <a:solidFill>
              <a:schemeClr val="accent6">
                <a:lumMod val="75000"/>
              </a:schemeClr>
            </a:solidFill>
            <a:ln>
              <a:solidFill>
                <a:schemeClr val="accent6">
                  <a:lumMod val="75000"/>
                </a:schemeClr>
              </a:solid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Grafice!$E$4:$E$14</c:f>
              <c:numCache>
                <c:formatCode>General</c:formatCode>
                <c:ptCount val="11"/>
                <c:pt idx="0">
                  <c:v>34</c:v>
                </c:pt>
                <c:pt idx="1">
                  <c:v>34</c:v>
                </c:pt>
                <c:pt idx="2">
                  <c:v>35</c:v>
                </c:pt>
                <c:pt idx="3">
                  <c:v>23</c:v>
                </c:pt>
                <c:pt idx="4">
                  <c:v>19</c:v>
                </c:pt>
                <c:pt idx="5">
                  <c:v>28</c:v>
                </c:pt>
                <c:pt idx="6">
                  <c:v>36</c:v>
                </c:pt>
                <c:pt idx="7">
                  <c:v>39</c:v>
                </c:pt>
                <c:pt idx="8">
                  <c:v>28</c:v>
                </c:pt>
                <c:pt idx="9">
                  <c:v>28</c:v>
                </c:pt>
                <c:pt idx="10">
                  <c:v>33</c:v>
                </c:pt>
              </c:numCache>
            </c:numRef>
          </c:val>
          <c:extLst>
            <c:ext xmlns:c16="http://schemas.microsoft.com/office/drawing/2014/chart" uri="{C3380CC4-5D6E-409C-BE32-E72D297353CC}">
              <c16:uniqueId val="{00000001-D7AA-4C10-9B3B-A4C362361EEC}"/>
            </c:ext>
          </c:extLst>
        </c:ser>
        <c:dLbls>
          <c:showLegendKey val="0"/>
          <c:showVal val="0"/>
          <c:showCatName val="0"/>
          <c:showSerName val="0"/>
          <c:showPercent val="0"/>
          <c:showBubbleSize val="0"/>
        </c:dLbls>
        <c:gapWidth val="150"/>
        <c:overlap val="100"/>
        <c:axId val="1252400688"/>
        <c:axId val="1252395792"/>
        <c:extLst>
          <c:ext xmlns:c15="http://schemas.microsoft.com/office/drawing/2012/chart" uri="{02D57815-91ED-43cb-92C2-25804820EDAC}">
            <c15:filteredBarSeries>
              <c15:ser>
                <c:idx val="2"/>
                <c:order val="2"/>
                <c:tx>
                  <c:strRef>
                    <c:extLst>
                      <c:ext uri="{02D57815-91ED-43cb-92C2-25804820EDAC}">
                        <c15:formulaRef>
                          <c15:sqref>Grafice!$A$4</c15:sqref>
                        </c15:formulaRef>
                      </c:ext>
                    </c:extLst>
                    <c:strCache>
                      <c:ptCount val="1"/>
                      <c:pt idx="0">
                        <c:v>Someș-Tisa</c:v>
                      </c:pt>
                    </c:strCache>
                  </c:strRef>
                </c:tx>
                <c:spPr>
                  <a:solidFill>
                    <a:schemeClr val="accent3"/>
                  </a:solidFill>
                  <a:ln>
                    <a:noFill/>
                  </a:ln>
                  <a:effectLst/>
                </c:spPr>
                <c:invertIfNegative val="0"/>
                <c:cat>
                  <c:strRef>
                    <c:extLst>
                      <c:ext uri="{02D57815-91ED-43cb-92C2-25804820EDAC}">
                        <c15:formulaRef>
                          <c15:sqref>Grafice!$A$4:$A$14</c15:sqref>
                        </c15:formulaRef>
                      </c:ext>
                    </c:extLst>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extLst>
                      <c:ext uri="{02D57815-91ED-43cb-92C2-25804820EDAC}">
                        <c15:formulaRef>
                          <c15:sqref>Grafice!$A$5:$A$14</c15:sqref>
                        </c15:formulaRef>
                      </c:ext>
                    </c:extLst>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2-D7AA-4C10-9B3B-A4C362361EEC}"/>
                  </c:ext>
                </c:extLst>
              </c15:ser>
            </c15:filteredBarSeries>
          </c:ext>
        </c:extLst>
      </c:barChart>
      <c:catAx>
        <c:axId val="125240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2.3650386946661411E-2"/>
              <c:y val="0.2056307279079556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52395792"/>
        <c:crosses val="autoZero"/>
        <c:auto val="1"/>
        <c:lblAlgn val="ctr"/>
        <c:lblOffset val="100"/>
        <c:noMultiLvlLbl val="0"/>
      </c:catAx>
      <c:valAx>
        <c:axId val="125239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240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833533860686994"/>
          <c:y val="7.3384581570110186E-2"/>
          <c:w val="0.80089949419944517"/>
          <c:h val="0.69211371686619216"/>
        </c:manualLayout>
      </c:layout>
      <c:barChart>
        <c:barDir val="bar"/>
        <c:grouping val="stacked"/>
        <c:varyColors val="0"/>
        <c:ser>
          <c:idx val="2"/>
          <c:order val="0"/>
          <c:tx>
            <c:strRef>
              <c:f>Grafice!$F$3</c:f>
              <c:strCache>
                <c:ptCount val="1"/>
                <c:pt idx="0">
                  <c:v>Metale prioritare (nr.)</c:v>
                </c:pt>
              </c:strCache>
            </c:strRef>
          </c:tx>
          <c:spPr>
            <a:solidFill>
              <a:schemeClr val="tx2">
                <a:lumMod val="60000"/>
                <a:lumOff val="40000"/>
              </a:schemeClr>
            </a:solidFill>
            <a:ln>
              <a:no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Grafice!$F$4:$F$14</c:f>
              <c:numCache>
                <c:formatCode>General</c:formatCode>
                <c:ptCount val="11"/>
                <c:pt idx="0">
                  <c:v>1</c:v>
                </c:pt>
                <c:pt idx="1">
                  <c:v>1</c:v>
                </c:pt>
                <c:pt idx="2">
                  <c:v>1</c:v>
                </c:pt>
                <c:pt idx="3">
                  <c:v>1</c:v>
                </c:pt>
                <c:pt idx="4">
                  <c:v>1</c:v>
                </c:pt>
                <c:pt idx="5">
                  <c:v>0</c:v>
                </c:pt>
                <c:pt idx="6">
                  <c:v>1</c:v>
                </c:pt>
                <c:pt idx="7">
                  <c:v>1</c:v>
                </c:pt>
                <c:pt idx="8">
                  <c:v>1</c:v>
                </c:pt>
                <c:pt idx="9">
                  <c:v>1</c:v>
                </c:pt>
                <c:pt idx="10">
                  <c:v>0</c:v>
                </c:pt>
              </c:numCache>
            </c:numRef>
          </c:val>
          <c:extLst>
            <c:ext xmlns:c16="http://schemas.microsoft.com/office/drawing/2014/chart" uri="{C3380CC4-5D6E-409C-BE32-E72D297353CC}">
              <c16:uniqueId val="{00000000-DB83-42CC-B8C4-8CA10CB8AB6C}"/>
            </c:ext>
          </c:extLst>
        </c:ser>
        <c:ser>
          <c:idx val="0"/>
          <c:order val="1"/>
          <c:tx>
            <c:strRef>
              <c:f>Grafice!$G$3</c:f>
              <c:strCache>
                <c:ptCount val="1"/>
                <c:pt idx="0">
                  <c:v>Micropoluanţi organici (nr.)</c:v>
                </c:pt>
              </c:strCache>
            </c:strRef>
          </c:tx>
          <c:spPr>
            <a:solidFill>
              <a:schemeClr val="accent6">
                <a:lumMod val="75000"/>
              </a:schemeClr>
            </a:solidFill>
            <a:ln>
              <a:noFill/>
            </a:ln>
            <a:effectLst/>
          </c:spPr>
          <c:invertIfNegative val="0"/>
          <c:cat>
            <c:strRef>
              <c:f>Grafice!$A$4:$A$14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Grafice!$G$4:$G$14</c:f>
              <c:numCache>
                <c:formatCode>General</c:formatCode>
                <c:ptCount val="11"/>
                <c:pt idx="0">
                  <c:v>4</c:v>
                </c:pt>
                <c:pt idx="1">
                  <c:v>8</c:v>
                </c:pt>
                <c:pt idx="2">
                  <c:v>7</c:v>
                </c:pt>
                <c:pt idx="3">
                  <c:v>6</c:v>
                </c:pt>
                <c:pt idx="4">
                  <c:v>7</c:v>
                </c:pt>
                <c:pt idx="5">
                  <c:v>0</c:v>
                </c:pt>
                <c:pt idx="6">
                  <c:v>7</c:v>
                </c:pt>
                <c:pt idx="7">
                  <c:v>5</c:v>
                </c:pt>
                <c:pt idx="8">
                  <c:v>7</c:v>
                </c:pt>
                <c:pt idx="9">
                  <c:v>6</c:v>
                </c:pt>
                <c:pt idx="10">
                  <c:v>0</c:v>
                </c:pt>
              </c:numCache>
            </c:numRef>
          </c:val>
          <c:extLst>
            <c:ext xmlns:c16="http://schemas.microsoft.com/office/drawing/2014/chart" uri="{C3380CC4-5D6E-409C-BE32-E72D297353CC}">
              <c16:uniqueId val="{00000001-DB83-42CC-B8C4-8CA10CB8AB6C}"/>
            </c:ext>
          </c:extLst>
        </c:ser>
        <c:dLbls>
          <c:showLegendKey val="0"/>
          <c:showVal val="0"/>
          <c:showCatName val="0"/>
          <c:showSerName val="0"/>
          <c:showPercent val="0"/>
          <c:showBubbleSize val="0"/>
        </c:dLbls>
        <c:gapWidth val="150"/>
        <c:overlap val="100"/>
        <c:axId val="1252400688"/>
        <c:axId val="1252395792"/>
      </c:barChart>
      <c:catAx>
        <c:axId val="125240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2.5719362110345888E-2"/>
              <c:y val="0.2234737512763370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52395792"/>
        <c:crosses val="autoZero"/>
        <c:auto val="1"/>
        <c:lblAlgn val="ctr"/>
        <c:lblOffset val="100"/>
        <c:noMultiLvlLbl val="0"/>
      </c:catAx>
      <c:valAx>
        <c:axId val="125239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240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0890826754012"/>
          <c:y val="4.1583828712541585E-2"/>
          <c:w val="0.79563227004949399"/>
          <c:h val="0.70258179664120257"/>
        </c:manualLayout>
      </c:layout>
      <c:barChart>
        <c:barDir val="bar"/>
        <c:grouping val="stacked"/>
        <c:varyColors val="0"/>
        <c:ser>
          <c:idx val="0"/>
          <c:order val="0"/>
          <c:tx>
            <c:strRef>
              <c:f>Grafice!$C$40</c:f>
              <c:strCache>
                <c:ptCount val="1"/>
                <c:pt idx="0">
                  <c:v>Metale prioritare (nr.)</c:v>
                </c:pt>
              </c:strCache>
            </c:strRef>
          </c:tx>
          <c:spPr>
            <a:solidFill>
              <a:schemeClr val="tx2">
                <a:lumMod val="60000"/>
                <a:lumOff val="40000"/>
              </a:schemeClr>
            </a:solidFill>
            <a:ln>
              <a:noFill/>
            </a:ln>
            <a:effectLst/>
          </c:spPr>
          <c:invertIfNegative val="0"/>
          <c:cat>
            <c:strRef>
              <c:f>Grafice!$A$41:$A$51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Grafice!$C$41:$C$51</c:f>
              <c:numCache>
                <c:formatCode>General</c:formatCode>
                <c:ptCount val="11"/>
                <c:pt idx="0">
                  <c:v>3</c:v>
                </c:pt>
                <c:pt idx="1">
                  <c:v>0</c:v>
                </c:pt>
                <c:pt idx="2">
                  <c:v>3</c:v>
                </c:pt>
                <c:pt idx="3">
                  <c:v>3</c:v>
                </c:pt>
                <c:pt idx="4">
                  <c:v>3</c:v>
                </c:pt>
                <c:pt idx="5">
                  <c:v>3</c:v>
                </c:pt>
                <c:pt idx="6">
                  <c:v>0</c:v>
                </c:pt>
                <c:pt idx="7">
                  <c:v>0</c:v>
                </c:pt>
                <c:pt idx="8">
                  <c:v>3</c:v>
                </c:pt>
                <c:pt idx="9">
                  <c:v>3</c:v>
                </c:pt>
                <c:pt idx="10">
                  <c:v>3</c:v>
                </c:pt>
              </c:numCache>
            </c:numRef>
          </c:val>
          <c:extLst>
            <c:ext xmlns:c16="http://schemas.microsoft.com/office/drawing/2014/chart" uri="{C3380CC4-5D6E-409C-BE32-E72D297353CC}">
              <c16:uniqueId val="{00000000-9F47-4C15-9435-9B5FD6419EE1}"/>
            </c:ext>
          </c:extLst>
        </c:ser>
        <c:ser>
          <c:idx val="1"/>
          <c:order val="1"/>
          <c:tx>
            <c:strRef>
              <c:f>Grafice!$D$40</c:f>
              <c:strCache>
                <c:ptCount val="1"/>
                <c:pt idx="0">
                  <c:v>Micropoluanţi organici (nr.)</c:v>
                </c:pt>
              </c:strCache>
            </c:strRef>
          </c:tx>
          <c:spPr>
            <a:solidFill>
              <a:schemeClr val="accent6">
                <a:lumMod val="75000"/>
              </a:schemeClr>
            </a:solidFill>
            <a:ln>
              <a:noFill/>
            </a:ln>
            <a:effectLst/>
          </c:spPr>
          <c:invertIfNegative val="0"/>
          <c:cat>
            <c:strRef>
              <c:f>Grafice!$A$41:$A$51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Grafice!$D$41:$D$51</c:f>
              <c:numCache>
                <c:formatCode>General</c:formatCode>
                <c:ptCount val="11"/>
                <c:pt idx="0">
                  <c:v>19</c:v>
                </c:pt>
                <c:pt idx="1">
                  <c:v>0</c:v>
                </c:pt>
                <c:pt idx="2">
                  <c:v>12</c:v>
                </c:pt>
                <c:pt idx="3">
                  <c:v>16</c:v>
                </c:pt>
                <c:pt idx="4">
                  <c:v>12</c:v>
                </c:pt>
                <c:pt idx="5">
                  <c:v>29</c:v>
                </c:pt>
                <c:pt idx="6">
                  <c:v>11</c:v>
                </c:pt>
                <c:pt idx="7">
                  <c:v>12</c:v>
                </c:pt>
                <c:pt idx="8">
                  <c:v>11</c:v>
                </c:pt>
                <c:pt idx="9">
                  <c:v>14</c:v>
                </c:pt>
                <c:pt idx="10">
                  <c:v>29</c:v>
                </c:pt>
              </c:numCache>
            </c:numRef>
          </c:val>
          <c:extLst>
            <c:ext xmlns:c16="http://schemas.microsoft.com/office/drawing/2014/chart" uri="{C3380CC4-5D6E-409C-BE32-E72D297353CC}">
              <c16:uniqueId val="{00000001-9F47-4C15-9435-9B5FD6419EE1}"/>
            </c:ext>
          </c:extLst>
        </c:ser>
        <c:dLbls>
          <c:showLegendKey val="0"/>
          <c:showVal val="0"/>
          <c:showCatName val="0"/>
          <c:showSerName val="0"/>
          <c:showPercent val="0"/>
          <c:showBubbleSize val="0"/>
        </c:dLbls>
        <c:gapWidth val="150"/>
        <c:overlap val="100"/>
        <c:axId val="1252400688"/>
        <c:axId val="1252395792"/>
      </c:barChart>
      <c:catAx>
        <c:axId val="125240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3.0363715111359192E-2"/>
              <c:y val="0.2656149679497233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52395792"/>
        <c:crosses val="autoZero"/>
        <c:auto val="1"/>
        <c:lblAlgn val="ctr"/>
        <c:lblOffset val="100"/>
        <c:noMultiLvlLbl val="0"/>
      </c:catAx>
      <c:valAx>
        <c:axId val="125239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5240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154244476477156E-2"/>
          <c:y val="3.9320822162645222E-2"/>
          <c:w val="0.88001227835146167"/>
          <c:h val="0.672244200037997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F24-4489-A43D-99E111ACA7C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F24-4489-A43D-99E111ACA7C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F24-4489-A43D-99E111ACA7C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F24-4489-A43D-99E111ACA7C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F24-4489-A43D-99E111ACA7C3}"/>
              </c:ext>
            </c:extLst>
          </c:dPt>
          <c:dLbls>
            <c:dLbl>
              <c:idx val="4"/>
              <c:layout>
                <c:manualLayout>
                  <c:x val="3.3338801399825022E-2"/>
                  <c:y val="0.10674139690871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F24-4489-A43D-99E111ACA7C3}"/>
                </c:ext>
              </c:extLst>
            </c:dLbl>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Sheet3!$A$2:$A$6</c:f>
              <c:strCache>
                <c:ptCount val="5"/>
                <c:pt idx="0">
                  <c:v>Unități agricole</c:v>
                </c:pt>
                <c:pt idx="1">
                  <c:v>Unități industriale</c:v>
                </c:pt>
                <c:pt idx="2">
                  <c:v>Ferme acvacultură</c:v>
                </c:pt>
                <c:pt idx="3">
                  <c:v>Aglomerări umane</c:v>
                </c:pt>
                <c:pt idx="4">
                  <c:v>Alte presiuni punctiforme</c:v>
                </c:pt>
              </c:strCache>
            </c:strRef>
          </c:cat>
          <c:val>
            <c:numRef>
              <c:f>Sheet3!$B$2:$B$6</c:f>
              <c:numCache>
                <c:formatCode>0.00%</c:formatCode>
                <c:ptCount val="5"/>
                <c:pt idx="0">
                  <c:v>1.0462074978204011E-2</c:v>
                </c:pt>
                <c:pt idx="1">
                  <c:v>0.35527462946817784</c:v>
                </c:pt>
                <c:pt idx="2">
                  <c:v>8.7183958151700089E-2</c:v>
                </c:pt>
                <c:pt idx="3">
                  <c:v>0.46425457715780294</c:v>
                </c:pt>
                <c:pt idx="4">
                  <c:v>8.2824760244115087E-2</c:v>
                </c:pt>
              </c:numCache>
            </c:numRef>
          </c:val>
          <c:extLst>
            <c:ext xmlns:c16="http://schemas.microsoft.com/office/drawing/2014/chart" uri="{C3380CC4-5D6E-409C-BE32-E72D297353CC}">
              <c16:uniqueId val="{0000000A-2F24-4489-A43D-99E111ACA7C3}"/>
            </c:ext>
          </c:extLst>
        </c:ser>
        <c:dLbls>
          <c:dLblPos val="ctr"/>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1.2499508326064274E-2"/>
          <c:y val="0.74120087535974888"/>
          <c:w val="0.92112875224338286"/>
          <c:h val="0.2373514034606263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0.00278</cdr:x>
      <cdr:y>0.13049</cdr:y>
    </cdr:from>
    <cdr:to>
      <cdr:x>0.10104</cdr:x>
      <cdr:y>0.86678</cdr:y>
    </cdr:to>
    <cdr:sp macro="" textlink="">
      <cdr:nvSpPr>
        <cdr:cNvPr id="2" name="TextBox 1"/>
        <cdr:cNvSpPr txBox="1"/>
      </cdr:nvSpPr>
      <cdr:spPr>
        <a:xfrm xmlns:a="http://schemas.openxmlformats.org/drawingml/2006/main">
          <a:off x="17715" y="632645"/>
          <a:ext cx="626135" cy="3569700"/>
        </a:xfrm>
        <a:prstGeom xmlns:a="http://schemas.openxmlformats.org/drawingml/2006/main" prst="rect">
          <a:avLst/>
        </a:prstGeom>
      </cdr:spPr>
      <cdr:txBody>
        <a:bodyPr xmlns:a="http://schemas.openxmlformats.org/drawingml/2006/main" vert="vert270" wrap="square" rtlCol="0" anchor="t"/>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lvl="1" algn="ctr"/>
          <a:r>
            <a:rPr lang="ro-RO" sz="1000" b="1">
              <a:latin typeface="Arial" panose="020B0604020202020204" pitchFamily="34" charset="0"/>
              <a:cs typeface="Arial" panose="020B0604020202020204" pitchFamily="34" charset="0"/>
            </a:rPr>
            <a:t>Populația conectată la sisteme de colectare si epurare a </a:t>
          </a:r>
          <a:r>
            <a:rPr lang="en-US" sz="1000" b="1">
              <a:latin typeface="Arial" panose="020B0604020202020204" pitchFamily="34" charset="0"/>
              <a:cs typeface="Arial" panose="020B0604020202020204" pitchFamily="34" charset="0"/>
            </a:rPr>
            <a:t> </a:t>
          </a:r>
          <a:r>
            <a:rPr lang="ro-RO" sz="1000" b="1">
              <a:latin typeface="Arial" panose="020B0604020202020204" pitchFamily="34" charset="0"/>
              <a:cs typeface="Arial" panose="020B0604020202020204" pitchFamily="34" charset="0"/>
            </a:rPr>
            <a:t>apelor uzate (%)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80E72C-FC0B-4E46-A305-E4FAA3DEA9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121</Pages>
  <Words>45266</Words>
  <Characters>258018</Characters>
  <Application>Microsoft Office Word</Application>
  <DocSecurity>0</DocSecurity>
  <Lines>2150</Lines>
  <Paragraphs>605</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302679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 Dobes</dc:creator>
  <cp:keywords/>
  <dc:description/>
  <cp:lastModifiedBy>Marina Neamtu</cp:lastModifiedBy>
  <cp:revision>16</cp:revision>
  <cp:lastPrinted>2022-08-01T08:02:00Z</cp:lastPrinted>
  <dcterms:created xsi:type="dcterms:W3CDTF">2023-08-03T11:24:00Z</dcterms:created>
  <dcterms:modified xsi:type="dcterms:W3CDTF">2023-08-09T12:04:00Z</dcterms:modified>
</cp:coreProperties>
</file>