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88" w:rsidRPr="004B7141" w:rsidRDefault="00946B88" w:rsidP="00946B88">
      <w:pPr>
        <w:pStyle w:val="Titlu4"/>
        <w:spacing w:before="0" w:after="0"/>
        <w:jc w:val="center"/>
        <w:rPr>
          <w:color w:val="000000"/>
          <w:sz w:val="24"/>
          <w:szCs w:val="24"/>
        </w:rPr>
      </w:pPr>
      <w:r w:rsidRPr="004B7141">
        <w:rPr>
          <w:color w:val="000000"/>
          <w:sz w:val="24"/>
          <w:szCs w:val="24"/>
        </w:rPr>
        <w:t>DECIZIE</w:t>
      </w:r>
    </w:p>
    <w:p w:rsidR="00946B88" w:rsidRPr="004B7141" w:rsidRDefault="00946B88" w:rsidP="00946B88">
      <w:pPr>
        <w:rPr>
          <w:rFonts w:ascii="Times New Roman" w:hAnsi="Times New Roman" w:cs="Times New Roman"/>
          <w:sz w:val="24"/>
          <w:szCs w:val="24"/>
        </w:rPr>
      </w:pPr>
    </w:p>
    <w:p w:rsidR="00946B88" w:rsidRPr="004B7141" w:rsidRDefault="00946B88" w:rsidP="00946B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B88" w:rsidRPr="004B7141" w:rsidRDefault="00946B88" w:rsidP="00946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Nr. 3905 din 06.06.2017</w:t>
      </w:r>
    </w:p>
    <w:p w:rsidR="00946B88" w:rsidRPr="004B7141" w:rsidRDefault="00946B88" w:rsidP="00946B88">
      <w:pPr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46B88" w:rsidRPr="004B7141" w:rsidRDefault="00946B88" w:rsidP="00946B88">
      <w:pPr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Ca urmare a cererii adresate de </w:t>
      </w:r>
      <w:r w:rsidRPr="004B7141">
        <w:rPr>
          <w:rFonts w:ascii="Times New Roman" w:hAnsi="Times New Roman" w:cs="Times New Roman"/>
          <w:b/>
          <w:sz w:val="24"/>
          <w:szCs w:val="24"/>
        </w:rPr>
        <w:t>S.C. BOGLAND TRADE S.R.L. rep. prin Bogdan Gelu Florentin</w:t>
      </w:r>
      <w:r w:rsidRPr="004B7141">
        <w:rPr>
          <w:rFonts w:ascii="Times New Roman" w:hAnsi="Times New Roman" w:cs="Times New Roman"/>
          <w:sz w:val="24"/>
          <w:szCs w:val="24"/>
        </w:rPr>
        <w:t>, cu sediul în comuna Izvoarele, sat Chiriacu,strada Principală, camera 1, FN, jud. Giurgiu,</w:t>
      </w:r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înregistrată </w:t>
      </w:r>
      <w:smartTag w:uri="urn:schemas-microsoft-com:office:smarttags" w:element="PersonName">
        <w:smartTagPr>
          <w:attr w:name="ProductID" w:val="la A.P"/>
        </w:smartTagPr>
        <w:r w:rsidRPr="004B7141">
          <w:rPr>
            <w:rFonts w:ascii="Times New Roman" w:eastAsia="Calibri" w:hAnsi="Times New Roman" w:cs="Times New Roman"/>
            <w:kern w:val="0"/>
            <w:sz w:val="24"/>
            <w:szCs w:val="24"/>
          </w:rPr>
          <w:t>la A.P</w:t>
        </w:r>
      </w:smartTag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.M. Giurgiu cu nr. 3905 din 09.05.2017, în baza Hotărârii Guvernului nr. 1076/2004 privind stabilirea procedurii de realizare a evaluării de mediu pentru planuri şi programe şi Hotărârii de Guvern nr. 1000/2012 privind </w:t>
      </w:r>
      <w:r w:rsidRPr="004B7141">
        <w:rPr>
          <w:rFonts w:ascii="Times New Roman" w:eastAsia="Calibri" w:hAnsi="Times New Roman" w:cs="Times New Roman"/>
          <w:kern w:val="0"/>
          <w:sz w:val="24"/>
          <w:szCs w:val="24"/>
          <w:lang w:eastAsia="ro-RO"/>
        </w:rPr>
        <w:t>reorganizarea şi funcţionarea Agenţiei Naţionale pentru Protecţia Mediului şi a instituţiilor publice aflate în subordinea acesteia</w:t>
      </w:r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Agenţia pentru Protecţia Mediului Giurgiu decide, ca urmare a consultărilor desfăşurate în cadrul şedinţei Comitetului Special Constituit din data de 06.06.2017, că planul </w:t>
      </w:r>
      <w:r w:rsidRPr="004B7141">
        <w:rPr>
          <w:rFonts w:ascii="Times New Roman" w:hAnsi="Times New Roman" w:cs="Times New Roman"/>
          <w:sz w:val="24"/>
          <w:szCs w:val="24"/>
        </w:rPr>
        <w:t xml:space="preserve">Planului Urbanistic Zonal </w:t>
      </w:r>
      <w:r w:rsidRPr="004B7141">
        <w:rPr>
          <w:rFonts w:ascii="Times New Roman" w:hAnsi="Times New Roman" w:cs="Times New Roman"/>
          <w:b/>
          <w:sz w:val="24"/>
          <w:szCs w:val="24"/>
        </w:rPr>
        <w:t xml:space="preserve">„Înființare livadă cireși </w:t>
      </w:r>
      <w:proofErr w:type="spellStart"/>
      <w:r w:rsidRPr="004B7141">
        <w:rPr>
          <w:rFonts w:ascii="Times New Roman" w:hAnsi="Times New Roman" w:cs="Times New Roman"/>
          <w:b/>
          <w:sz w:val="24"/>
          <w:szCs w:val="24"/>
        </w:rPr>
        <w:t>superintensiv</w:t>
      </w:r>
      <w:proofErr w:type="spellEnd"/>
      <w:r w:rsidRPr="004B7141">
        <w:rPr>
          <w:rFonts w:ascii="Times New Roman" w:hAnsi="Times New Roman" w:cs="Times New Roman"/>
          <w:b/>
          <w:sz w:val="24"/>
          <w:szCs w:val="24"/>
        </w:rPr>
        <w:t xml:space="preserve"> ecologic în comuna Izvoarele, sat Izvoarele, jud. Giurgiu</w:t>
      </w:r>
      <w:r w:rsidRPr="004B7141">
        <w:rPr>
          <w:rFonts w:ascii="Times New Roman" w:hAnsi="Times New Roman" w:cs="Times New Roman"/>
          <w:sz w:val="24"/>
          <w:szCs w:val="24"/>
        </w:rPr>
        <w:t xml:space="preserve">” ce se va realiza în comuna Izvoarele, sat Izvoarele,Tarla 75, Parcela 667, jud. Giurgiu, </w:t>
      </w:r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nu se supune evaluării de mediu şi nu se supune evaluării adecvate, conform procedurii aprobată prin H.G. nr. 1076/2004 și se va emite actul de reglementare după completarea documentației cu actele solicitate prin adresa nr. 3905/06.06.2017.</w:t>
      </w:r>
    </w:p>
    <w:p w:rsidR="00946B88" w:rsidRPr="004B7141" w:rsidRDefault="00946B88" w:rsidP="00946B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6B88" w:rsidRPr="004B7141" w:rsidRDefault="00946B88" w:rsidP="00946B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6B88" w:rsidRPr="004B7141" w:rsidRDefault="00946B88" w:rsidP="00946B8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41">
        <w:rPr>
          <w:rFonts w:ascii="Times New Roman" w:hAnsi="Times New Roman" w:cs="Times New Roman"/>
          <w:b/>
          <w:sz w:val="24"/>
          <w:szCs w:val="24"/>
        </w:rPr>
        <w:t>Motivele care au stat la baza deciziei sunt următoarele:</w:t>
      </w:r>
    </w:p>
    <w:p w:rsidR="00946B88" w:rsidRPr="004B7141" w:rsidRDefault="00946B88" w:rsidP="00946B88">
      <w:pPr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1.Caracteristicile planului:</w:t>
      </w:r>
    </w:p>
    <w:p w:rsidR="00946B88" w:rsidRPr="004B7141" w:rsidRDefault="00946B88" w:rsidP="00946B88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planul nu este relevant pentru integrarea consideraţiilor de mediu, mai ales din perspectiva dezvoltării durabile;</w:t>
      </w:r>
    </w:p>
    <w:p w:rsidR="00946B88" w:rsidRPr="004B7141" w:rsidRDefault="00946B88" w:rsidP="00946B88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din plan nu decurg probleme de mediu relevante;</w:t>
      </w:r>
    </w:p>
    <w:p w:rsidR="00946B88" w:rsidRPr="004B7141" w:rsidRDefault="00946B88" w:rsidP="00946B88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în cadrul planului nu apar probleme pentru implementarea legislaţiei naţionale şi comunitare de mediu.</w:t>
      </w:r>
    </w:p>
    <w:p w:rsidR="00946B88" w:rsidRPr="004B7141" w:rsidRDefault="00946B88" w:rsidP="00946B88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Prin Planul Urbanistic Zonal se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dorestre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reglementarea zonei extravilane, ca zonă de utilitate administrativă pentru livada de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cires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realizată de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catre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beneficiar. Zona administrativă se compune din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suprafata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de teren având 899 mp, ce cuprinde următoarele elemente arhitecturale: laguna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acumlulare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apă, foraj pentru put, instalare panouri fotovoltaice; astfel, din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suprafata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totală a terenului de 43.900 mp, se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doreste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reglementarea  suprafeței de 899 mp, unde se vor amplasa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următoale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elemente: Laguna acumulare apa – 156 mp, parc fotovoltaic 136 mp, amplasare container pentru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adapostire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pompe, foraj put la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adancimea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de 45 m.</w:t>
      </w:r>
    </w:p>
    <w:p w:rsidR="00946B88" w:rsidRPr="004B7141" w:rsidRDefault="00946B88" w:rsidP="00946B88">
      <w:pPr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Amplasamenul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zonei studiate se afla  pe latura Nordica a terenului aferent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plantatiei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la 231.60 m de limita de proprietate Vestica, respectiv de la Drumul de exploatare ce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delimiteaza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terenul pe latura Vestica, precum si la 234.62 m de limita de </w:t>
      </w:r>
      <w:proofErr w:type="spellStart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>prorietate</w:t>
      </w:r>
      <w:proofErr w:type="spellEnd"/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Estica, respectiv de Drumul de exploatare estic. </w:t>
      </w:r>
    </w:p>
    <w:p w:rsidR="00946B88" w:rsidRPr="004B7141" w:rsidRDefault="00946B88" w:rsidP="00946B88">
      <w:pPr>
        <w:numPr>
          <w:ilvl w:val="0"/>
          <w:numId w:val="4"/>
        </w:numPr>
        <w:jc w:val="both"/>
        <w:rPr>
          <w:rFonts w:ascii="Times New Roman" w:hAnsi="Times New Roman" w:cs="Times New Roman"/>
          <w:kern w:val="0"/>
          <w:sz w:val="24"/>
          <w:szCs w:val="24"/>
          <w:lang w:eastAsia="ro-RO"/>
        </w:rPr>
      </w:pPr>
      <w:r w:rsidRPr="004B71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alimentarea cu apă : </w:t>
      </w:r>
      <w:r w:rsidRPr="004B7141">
        <w:rPr>
          <w:rFonts w:ascii="Times New Roman" w:hAnsi="Times New Roman" w:cs="Times New Roman"/>
          <w:bCs/>
          <w:color w:val="000000"/>
          <w:sz w:val="24"/>
          <w:szCs w:val="24"/>
        </w:rPr>
        <w:t>alimentarea cu apă va fi asigurată din puț forat;</w:t>
      </w:r>
      <w:r w:rsidRPr="004B7141">
        <w:rPr>
          <w:rFonts w:ascii="Times New Roman" w:hAnsi="Times New Roman" w:cs="Times New Roman"/>
          <w:kern w:val="0"/>
          <w:sz w:val="24"/>
          <w:szCs w:val="24"/>
          <w:lang w:eastAsia="ro-RO"/>
        </w:rPr>
        <w:t xml:space="preserve"> </w:t>
      </w:r>
    </w:p>
    <w:p w:rsidR="00946B88" w:rsidRPr="004B7141" w:rsidRDefault="00946B88" w:rsidP="00946B88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  <w:lang w:eastAsia="ro-RO"/>
        </w:rPr>
        <w:t xml:space="preserve">alimentarea cu energie electrică : </w:t>
      </w:r>
      <w:r w:rsidRPr="004B714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</w:rPr>
        <w:t>alimentarea cu energie electrică se va face prin amplasare surse de producție energie electrică din surse regenerabile-panouri fotovoltaice;</w:t>
      </w:r>
    </w:p>
    <w:p w:rsidR="00946B88" w:rsidRPr="004B7141" w:rsidRDefault="00946B88" w:rsidP="00946B88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 xml:space="preserve"> din plan nu decurg probleme de mediu relevante;</w:t>
      </w:r>
    </w:p>
    <w:p w:rsidR="00946B88" w:rsidRPr="004B7141" w:rsidRDefault="00946B88" w:rsidP="00946B88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 xml:space="preserve">în cadrul planului nu apar probleme pentru implementarea legislaţiei naţionale şi comunitare de mediu. </w:t>
      </w:r>
    </w:p>
    <w:p w:rsidR="00946B88" w:rsidRPr="004B7141" w:rsidRDefault="00946B88" w:rsidP="00946B88">
      <w:pPr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2. Caracteristicile efectelor şi ale zonei posibil a fi afectate:</w:t>
      </w:r>
    </w:p>
    <w:p w:rsidR="00946B88" w:rsidRPr="004B7141" w:rsidRDefault="00946B88" w:rsidP="00946B88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probabilitatea, durata, frecvenţa şi reversibilitatea efectelor – nu este cazul;</w:t>
      </w:r>
    </w:p>
    <w:p w:rsidR="00946B88" w:rsidRPr="004B7141" w:rsidRDefault="00946B88" w:rsidP="00946B88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natura cumulativă a efectelor - nu este cazul;</w:t>
      </w:r>
    </w:p>
    <w:p w:rsidR="00946B88" w:rsidRPr="004B7141" w:rsidRDefault="00946B88" w:rsidP="00946B88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lastRenderedPageBreak/>
        <w:t xml:space="preserve">natura </w:t>
      </w:r>
      <w:proofErr w:type="spellStart"/>
      <w:r w:rsidRPr="004B7141">
        <w:rPr>
          <w:rFonts w:ascii="Times New Roman" w:hAnsi="Times New Roman" w:cs="Times New Roman"/>
          <w:sz w:val="24"/>
          <w:szCs w:val="24"/>
        </w:rPr>
        <w:t>transfrontieră</w:t>
      </w:r>
      <w:proofErr w:type="spellEnd"/>
      <w:r w:rsidRPr="004B7141">
        <w:rPr>
          <w:rFonts w:ascii="Times New Roman" w:hAnsi="Times New Roman" w:cs="Times New Roman"/>
          <w:sz w:val="24"/>
          <w:szCs w:val="24"/>
        </w:rPr>
        <w:t xml:space="preserve"> a efectelor - nu este cazul;</w:t>
      </w:r>
    </w:p>
    <w:p w:rsidR="00946B88" w:rsidRPr="004B7141" w:rsidRDefault="00946B88" w:rsidP="00946B88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riscul pentru sănătatea umană sau pentru mediu (de exemplu, datorită accidentelor) - nu este cazul;</w:t>
      </w:r>
    </w:p>
    <w:p w:rsidR="00946B88" w:rsidRPr="004B7141" w:rsidRDefault="00946B88" w:rsidP="00946B88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mărimea şi spaţialitatea efectelor -</w:t>
      </w:r>
      <w:r w:rsidRPr="004B71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714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4B7141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4B7141">
        <w:rPr>
          <w:rFonts w:ascii="Times New Roman" w:hAnsi="Times New Roman" w:cs="Times New Roman"/>
          <w:sz w:val="24"/>
          <w:szCs w:val="24"/>
        </w:rPr>
        <w:t xml:space="preserve"> totală a terenului de 43.900 mp, se </w:t>
      </w:r>
      <w:proofErr w:type="spellStart"/>
      <w:r w:rsidRPr="004B7141">
        <w:rPr>
          <w:rFonts w:ascii="Times New Roman" w:hAnsi="Times New Roman" w:cs="Times New Roman"/>
          <w:sz w:val="24"/>
          <w:szCs w:val="24"/>
        </w:rPr>
        <w:t>doreste</w:t>
      </w:r>
      <w:proofErr w:type="spellEnd"/>
      <w:r w:rsidRPr="004B7141">
        <w:rPr>
          <w:rFonts w:ascii="Times New Roman" w:hAnsi="Times New Roman" w:cs="Times New Roman"/>
          <w:sz w:val="24"/>
          <w:szCs w:val="24"/>
        </w:rPr>
        <w:t xml:space="preserve"> reglementarea suprafeței de 899 mp, unde se vor amplasa </w:t>
      </w:r>
      <w:proofErr w:type="spellStart"/>
      <w:r w:rsidRPr="004B7141">
        <w:rPr>
          <w:rFonts w:ascii="Times New Roman" w:hAnsi="Times New Roman" w:cs="Times New Roman"/>
          <w:sz w:val="24"/>
          <w:szCs w:val="24"/>
        </w:rPr>
        <w:t>următoale</w:t>
      </w:r>
      <w:proofErr w:type="spellEnd"/>
      <w:r w:rsidRPr="004B7141">
        <w:rPr>
          <w:rFonts w:ascii="Times New Roman" w:hAnsi="Times New Roman" w:cs="Times New Roman"/>
          <w:sz w:val="24"/>
          <w:szCs w:val="24"/>
        </w:rPr>
        <w:t xml:space="preserve"> elemente: Laguna acumulare apa – 156 mp, parc fotovoltaic 136 mp, amplasare container pentru </w:t>
      </w:r>
      <w:proofErr w:type="spellStart"/>
      <w:r w:rsidRPr="004B7141">
        <w:rPr>
          <w:rFonts w:ascii="Times New Roman" w:hAnsi="Times New Roman" w:cs="Times New Roman"/>
          <w:sz w:val="24"/>
          <w:szCs w:val="24"/>
        </w:rPr>
        <w:t>adapostire</w:t>
      </w:r>
      <w:proofErr w:type="spellEnd"/>
      <w:r w:rsidRPr="004B7141">
        <w:rPr>
          <w:rFonts w:ascii="Times New Roman" w:hAnsi="Times New Roman" w:cs="Times New Roman"/>
          <w:sz w:val="24"/>
          <w:szCs w:val="24"/>
        </w:rPr>
        <w:t xml:space="preserve"> pompe, foraj put la </w:t>
      </w:r>
      <w:proofErr w:type="spellStart"/>
      <w:r w:rsidRPr="004B7141">
        <w:rPr>
          <w:rFonts w:ascii="Times New Roman" w:hAnsi="Times New Roman" w:cs="Times New Roman"/>
          <w:sz w:val="24"/>
          <w:szCs w:val="24"/>
        </w:rPr>
        <w:t>adancimea</w:t>
      </w:r>
      <w:proofErr w:type="spellEnd"/>
      <w:r w:rsidRPr="004B7141">
        <w:rPr>
          <w:rFonts w:ascii="Times New Roman" w:hAnsi="Times New Roman" w:cs="Times New Roman"/>
          <w:sz w:val="24"/>
          <w:szCs w:val="24"/>
        </w:rPr>
        <w:t xml:space="preserve"> de 45 m;</w:t>
      </w:r>
    </w:p>
    <w:p w:rsidR="00946B88" w:rsidRPr="004B7141" w:rsidRDefault="00946B88" w:rsidP="00946B88">
      <w:pPr>
        <w:numPr>
          <w:ilvl w:val="1"/>
          <w:numId w:val="3"/>
        </w:numPr>
        <w:autoSpaceDE w:val="0"/>
        <w:autoSpaceDN w:val="0"/>
        <w:adjustRightInd w:val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caracteristicile naturale speciale sau patrimoniul cultural - nu este cazul;</w:t>
      </w:r>
    </w:p>
    <w:p w:rsidR="00946B88" w:rsidRPr="004B7141" w:rsidRDefault="00946B88" w:rsidP="00946B88">
      <w:pPr>
        <w:numPr>
          <w:ilvl w:val="1"/>
          <w:numId w:val="3"/>
        </w:numPr>
        <w:autoSpaceDE w:val="0"/>
        <w:autoSpaceDN w:val="0"/>
        <w:adjustRightInd w:val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 xml:space="preserve">depăşirea standardelor sau a valorilor limită de calitate a </w:t>
      </w:r>
      <w:proofErr w:type="spellStart"/>
      <w:r w:rsidRPr="004B7141">
        <w:rPr>
          <w:rFonts w:ascii="Times New Roman" w:hAnsi="Times New Roman" w:cs="Times New Roman"/>
          <w:sz w:val="24"/>
          <w:szCs w:val="24"/>
        </w:rPr>
        <w:t>mediului-</w:t>
      </w:r>
      <w:proofErr w:type="spellEnd"/>
      <w:r w:rsidRPr="004B7141">
        <w:rPr>
          <w:rFonts w:ascii="Times New Roman" w:hAnsi="Times New Roman" w:cs="Times New Roman"/>
          <w:sz w:val="24"/>
          <w:szCs w:val="24"/>
        </w:rPr>
        <w:t xml:space="preserve"> nu este cazul ;</w:t>
      </w:r>
    </w:p>
    <w:p w:rsidR="00946B88" w:rsidRPr="004B7141" w:rsidRDefault="00946B88" w:rsidP="00946B88">
      <w:pPr>
        <w:numPr>
          <w:ilvl w:val="1"/>
          <w:numId w:val="3"/>
        </w:numPr>
        <w:autoSpaceDE w:val="0"/>
        <w:autoSpaceDN w:val="0"/>
        <w:adjustRightInd w:val="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folosirea terenului în mod intensiv - nu este cazul;</w:t>
      </w:r>
    </w:p>
    <w:p w:rsidR="00946B88" w:rsidRPr="004B7141" w:rsidRDefault="00946B88" w:rsidP="00946B8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f) efectele asupra zonelor sau peisajelor care au un statut de protejare recunoscut pe plan naţional, comunitar sau internaţional-planul nu se află în zonă protejată.</w:t>
      </w:r>
    </w:p>
    <w:p w:rsidR="00946B88" w:rsidRPr="004B7141" w:rsidRDefault="00946B88" w:rsidP="00946B88">
      <w:pPr>
        <w:ind w:left="1430" w:hanging="1100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46B88" w:rsidRPr="004B7141" w:rsidRDefault="00946B88" w:rsidP="00946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41">
        <w:rPr>
          <w:rFonts w:ascii="Times New Roman" w:hAnsi="Times New Roman" w:cs="Times New Roman"/>
          <w:b/>
          <w:sz w:val="24"/>
          <w:szCs w:val="24"/>
        </w:rPr>
        <w:t>Modul de informare a publicului pe parcursul procedurii:</w:t>
      </w:r>
    </w:p>
    <w:p w:rsidR="00946B88" w:rsidRPr="004B7141" w:rsidRDefault="00946B88" w:rsidP="00946B88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anunţuri publice ale titularului privind solicitarea avizului de mediu publicate în cotidianul local ,,Jurnalul Giurgiuvean, din data de 11.05.2017 respectiv 15.05.2017;</w:t>
      </w:r>
    </w:p>
    <w:p w:rsidR="00946B88" w:rsidRPr="004B7141" w:rsidRDefault="00946B88" w:rsidP="00946B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 xml:space="preserve">nu s-au înregistrat contestaţii din partea publicului şi nu s-au înregistrat solicitări pentru consultarea documentaţiei. </w:t>
      </w:r>
    </w:p>
    <w:p w:rsidR="00946B88" w:rsidRPr="004B7141" w:rsidRDefault="00946B88" w:rsidP="00946B88">
      <w:pPr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Prezenta decizie poate fi contestată în conformitate cu prevederile Legii contenciosului administrativ nr. 554/2004, cu modificările şi completările ulterioare.</w:t>
      </w:r>
    </w:p>
    <w:p w:rsidR="00946B88" w:rsidRPr="004B7141" w:rsidRDefault="00946B88" w:rsidP="00946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B88" w:rsidRPr="004B7141" w:rsidRDefault="00946B88" w:rsidP="00946B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 xml:space="preserve">Menţiuni despre procedura de contestare administrativă şi contencios administrativ. </w:t>
      </w:r>
    </w:p>
    <w:p w:rsidR="00946B88" w:rsidRPr="004B7141" w:rsidRDefault="00946B88" w:rsidP="00946B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Orice persoană care face parte din publicul interesat şi care se consideră vătămată într-un drept al său ori într-un interes legitim se poate adresa instanţei de contencios administrativ competente pentru a ataca, din punct de vedere procedural sau substanţial, actele, deciziile sau omisiunile autorităţii publice competente care fac obiectul participării publicului, inclusiv aprobarea de dezvoltare, potrivit prevederilor Legii contenciosului administrativ nr. 554/2004, cu modificările şi completările ulterioare.</w:t>
      </w:r>
    </w:p>
    <w:p w:rsidR="00946B88" w:rsidRPr="004B7141" w:rsidRDefault="00946B88" w:rsidP="00946B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Se poate adresa instanţei de contencios administrativ competente şi orice organizaţie neguvernamentală, considerându-se că acestea sunt vătămate într-un drept al lor sau într-un interes legitim.</w:t>
      </w:r>
    </w:p>
    <w:p w:rsidR="00946B88" w:rsidRPr="004B7141" w:rsidRDefault="00946B88" w:rsidP="00946B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Înainte de a se adresa instanţei de contencios administrativ competente, persoanele au obligaţia să solicite autorităţii publice emitente a deciziei sau autorităţii ierarhic superioare revocarea, în tot sau în parte, a respectivei decizii. Solicitarea trebuie înregistrată în termen de 30 de zile de la data aducerii la cunoştinţa publicului a deciziei.</w:t>
      </w:r>
    </w:p>
    <w:p w:rsidR="00946B88" w:rsidRPr="004B7141" w:rsidRDefault="00946B88" w:rsidP="00946B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Autoritatea publică emitentă are obligaţia de a răspunde la plângerea prealabilă în termen de 30 de zile de la data înregistrării acesteia la acea autoritate.</w:t>
      </w:r>
    </w:p>
    <w:p w:rsidR="00946B88" w:rsidRPr="004B7141" w:rsidRDefault="00946B88" w:rsidP="00946B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7141">
        <w:rPr>
          <w:rFonts w:ascii="Times New Roman" w:hAnsi="Times New Roman" w:cs="Times New Roman"/>
          <w:sz w:val="24"/>
          <w:szCs w:val="24"/>
        </w:rPr>
        <w:t>Procedura de soluţionare a plângerii prealabile este gratuită şi trebuie să fie echitabilă, rapidă şi corectă.</w:t>
      </w:r>
    </w:p>
    <w:p w:rsidR="00946B88" w:rsidRPr="004B7141" w:rsidRDefault="00946B88" w:rsidP="00946B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01D0" w:rsidRDefault="009A01D0">
      <w:bookmarkStart w:id="0" w:name="_GoBack"/>
      <w:bookmarkEnd w:id="0"/>
    </w:p>
    <w:sectPr w:rsidR="009A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33F"/>
    <w:multiLevelType w:val="hybridMultilevel"/>
    <w:tmpl w:val="61FED6BA"/>
    <w:lvl w:ilvl="0" w:tplc="5840EDE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63E43"/>
    <w:multiLevelType w:val="hybridMultilevel"/>
    <w:tmpl w:val="C6BC9B58"/>
    <w:lvl w:ilvl="0" w:tplc="EC3E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3EA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80A7D"/>
    <w:multiLevelType w:val="hybridMultilevel"/>
    <w:tmpl w:val="61EC3468"/>
    <w:lvl w:ilvl="0" w:tplc="27343D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D3E6C470">
      <w:numFmt w:val="bullet"/>
      <w:lvlText w:val="-"/>
      <w:lvlJc w:val="left"/>
      <w:pPr>
        <w:ind w:left="1440" w:hanging="360"/>
      </w:pPr>
      <w:rPr>
        <w:rFonts w:ascii="Garamond" w:eastAsia="Times New Roman" w:hAnsi="Garamond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1467"/>
    <w:multiLevelType w:val="hybridMultilevel"/>
    <w:tmpl w:val="04C41DC8"/>
    <w:lvl w:ilvl="0" w:tplc="27343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A04A59E">
      <w:numFmt w:val="bullet"/>
      <w:lvlText w:val="-"/>
      <w:lvlJc w:val="left"/>
      <w:pPr>
        <w:ind w:left="1440" w:hanging="360"/>
      </w:pPr>
      <w:rPr>
        <w:rFonts w:ascii="Garamond" w:eastAsia="Times New Roman" w:hAnsi="Garamond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2"/>
    <w:rsid w:val="00001118"/>
    <w:rsid w:val="00003023"/>
    <w:rsid w:val="0000766D"/>
    <w:rsid w:val="000309A4"/>
    <w:rsid w:val="00033062"/>
    <w:rsid w:val="00041C45"/>
    <w:rsid w:val="0004534B"/>
    <w:rsid w:val="00060215"/>
    <w:rsid w:val="00062DA2"/>
    <w:rsid w:val="00090776"/>
    <w:rsid w:val="000B0689"/>
    <w:rsid w:val="000D3B44"/>
    <w:rsid w:val="000F463B"/>
    <w:rsid w:val="0011560F"/>
    <w:rsid w:val="00121105"/>
    <w:rsid w:val="00133056"/>
    <w:rsid w:val="0013398B"/>
    <w:rsid w:val="001367D0"/>
    <w:rsid w:val="00137368"/>
    <w:rsid w:val="00142B7E"/>
    <w:rsid w:val="00151FA9"/>
    <w:rsid w:val="001621D1"/>
    <w:rsid w:val="00166983"/>
    <w:rsid w:val="00192CFA"/>
    <w:rsid w:val="00197218"/>
    <w:rsid w:val="001A10F3"/>
    <w:rsid w:val="001A543B"/>
    <w:rsid w:val="001B0AFD"/>
    <w:rsid w:val="001B1729"/>
    <w:rsid w:val="001D1469"/>
    <w:rsid w:val="001E2259"/>
    <w:rsid w:val="00205260"/>
    <w:rsid w:val="00205A48"/>
    <w:rsid w:val="002077B7"/>
    <w:rsid w:val="00210154"/>
    <w:rsid w:val="00214C2F"/>
    <w:rsid w:val="002159D3"/>
    <w:rsid w:val="0023052A"/>
    <w:rsid w:val="00237804"/>
    <w:rsid w:val="00240E9E"/>
    <w:rsid w:val="00241677"/>
    <w:rsid w:val="00273A0B"/>
    <w:rsid w:val="0027422F"/>
    <w:rsid w:val="00283E0A"/>
    <w:rsid w:val="00287CDA"/>
    <w:rsid w:val="002A21C3"/>
    <w:rsid w:val="002C24D0"/>
    <w:rsid w:val="002D24BB"/>
    <w:rsid w:val="002E0E24"/>
    <w:rsid w:val="002E75E5"/>
    <w:rsid w:val="00301B7C"/>
    <w:rsid w:val="003030A7"/>
    <w:rsid w:val="003059A7"/>
    <w:rsid w:val="00305D23"/>
    <w:rsid w:val="003136F6"/>
    <w:rsid w:val="003319C3"/>
    <w:rsid w:val="003332E6"/>
    <w:rsid w:val="00336973"/>
    <w:rsid w:val="00347155"/>
    <w:rsid w:val="00364FA7"/>
    <w:rsid w:val="003651C3"/>
    <w:rsid w:val="00370F9A"/>
    <w:rsid w:val="00376C0D"/>
    <w:rsid w:val="00380414"/>
    <w:rsid w:val="003835B6"/>
    <w:rsid w:val="00391E39"/>
    <w:rsid w:val="003A266F"/>
    <w:rsid w:val="003B6783"/>
    <w:rsid w:val="003C2AD0"/>
    <w:rsid w:val="003F29A6"/>
    <w:rsid w:val="003F4E5F"/>
    <w:rsid w:val="00400D03"/>
    <w:rsid w:val="0040146B"/>
    <w:rsid w:val="004021E0"/>
    <w:rsid w:val="00404431"/>
    <w:rsid w:val="004201DB"/>
    <w:rsid w:val="00455020"/>
    <w:rsid w:val="004612E1"/>
    <w:rsid w:val="00474AD3"/>
    <w:rsid w:val="004A1120"/>
    <w:rsid w:val="004A6663"/>
    <w:rsid w:val="004A7548"/>
    <w:rsid w:val="004B1637"/>
    <w:rsid w:val="004C3753"/>
    <w:rsid w:val="004C5A90"/>
    <w:rsid w:val="004D19F1"/>
    <w:rsid w:val="004E2442"/>
    <w:rsid w:val="004E2E7A"/>
    <w:rsid w:val="004E713B"/>
    <w:rsid w:val="004F0B14"/>
    <w:rsid w:val="004F12DC"/>
    <w:rsid w:val="0053267C"/>
    <w:rsid w:val="00532A8F"/>
    <w:rsid w:val="005330CC"/>
    <w:rsid w:val="00536571"/>
    <w:rsid w:val="0054481D"/>
    <w:rsid w:val="00547144"/>
    <w:rsid w:val="0055585E"/>
    <w:rsid w:val="00557112"/>
    <w:rsid w:val="005701EC"/>
    <w:rsid w:val="00582A02"/>
    <w:rsid w:val="0059076E"/>
    <w:rsid w:val="00593DA4"/>
    <w:rsid w:val="005B6B44"/>
    <w:rsid w:val="005B7C30"/>
    <w:rsid w:val="005C6B3E"/>
    <w:rsid w:val="005D186A"/>
    <w:rsid w:val="005E7910"/>
    <w:rsid w:val="005F11BD"/>
    <w:rsid w:val="005F53CF"/>
    <w:rsid w:val="00607012"/>
    <w:rsid w:val="00612077"/>
    <w:rsid w:val="00617CB8"/>
    <w:rsid w:val="0063289B"/>
    <w:rsid w:val="00633A86"/>
    <w:rsid w:val="00633F09"/>
    <w:rsid w:val="006654F9"/>
    <w:rsid w:val="00665D0E"/>
    <w:rsid w:val="0069403C"/>
    <w:rsid w:val="0069618E"/>
    <w:rsid w:val="006A5792"/>
    <w:rsid w:val="006B7284"/>
    <w:rsid w:val="006C1C9D"/>
    <w:rsid w:val="006E1A52"/>
    <w:rsid w:val="006E265B"/>
    <w:rsid w:val="007042E3"/>
    <w:rsid w:val="007114E3"/>
    <w:rsid w:val="007317D9"/>
    <w:rsid w:val="00741219"/>
    <w:rsid w:val="00741C66"/>
    <w:rsid w:val="00744FA5"/>
    <w:rsid w:val="007463A5"/>
    <w:rsid w:val="00746B97"/>
    <w:rsid w:val="007716BB"/>
    <w:rsid w:val="00784095"/>
    <w:rsid w:val="0079465B"/>
    <w:rsid w:val="007A0025"/>
    <w:rsid w:val="007C3255"/>
    <w:rsid w:val="007C5EDC"/>
    <w:rsid w:val="007C7C21"/>
    <w:rsid w:val="007E65DA"/>
    <w:rsid w:val="007F2C0B"/>
    <w:rsid w:val="007F6704"/>
    <w:rsid w:val="00832AB3"/>
    <w:rsid w:val="00832EEC"/>
    <w:rsid w:val="0085160D"/>
    <w:rsid w:val="00860FC1"/>
    <w:rsid w:val="00864437"/>
    <w:rsid w:val="00870F46"/>
    <w:rsid w:val="00880127"/>
    <w:rsid w:val="0088039E"/>
    <w:rsid w:val="00882B72"/>
    <w:rsid w:val="00885F6E"/>
    <w:rsid w:val="0088614D"/>
    <w:rsid w:val="008863E3"/>
    <w:rsid w:val="008A51B1"/>
    <w:rsid w:val="008A796E"/>
    <w:rsid w:val="008B0095"/>
    <w:rsid w:val="008B1B36"/>
    <w:rsid w:val="008C79BD"/>
    <w:rsid w:val="008D0E26"/>
    <w:rsid w:val="008D771A"/>
    <w:rsid w:val="008F329B"/>
    <w:rsid w:val="00906424"/>
    <w:rsid w:val="009144D7"/>
    <w:rsid w:val="00920FDD"/>
    <w:rsid w:val="009223B7"/>
    <w:rsid w:val="00924BF3"/>
    <w:rsid w:val="00940E5A"/>
    <w:rsid w:val="00943B69"/>
    <w:rsid w:val="00946B88"/>
    <w:rsid w:val="009500C3"/>
    <w:rsid w:val="009548FC"/>
    <w:rsid w:val="00955455"/>
    <w:rsid w:val="00955F89"/>
    <w:rsid w:val="009629D7"/>
    <w:rsid w:val="0097416A"/>
    <w:rsid w:val="009763A6"/>
    <w:rsid w:val="0098547D"/>
    <w:rsid w:val="00987A4C"/>
    <w:rsid w:val="009919E5"/>
    <w:rsid w:val="00992B82"/>
    <w:rsid w:val="009A01D0"/>
    <w:rsid w:val="009A156D"/>
    <w:rsid w:val="009A342D"/>
    <w:rsid w:val="009A56A4"/>
    <w:rsid w:val="009A5EC6"/>
    <w:rsid w:val="009A7378"/>
    <w:rsid w:val="009B3799"/>
    <w:rsid w:val="009E4705"/>
    <w:rsid w:val="009F0B6B"/>
    <w:rsid w:val="009F1A5E"/>
    <w:rsid w:val="00A07AC0"/>
    <w:rsid w:val="00A23522"/>
    <w:rsid w:val="00A358DB"/>
    <w:rsid w:val="00A35D57"/>
    <w:rsid w:val="00A5191A"/>
    <w:rsid w:val="00A54B1F"/>
    <w:rsid w:val="00A7191F"/>
    <w:rsid w:val="00A87353"/>
    <w:rsid w:val="00A877CD"/>
    <w:rsid w:val="00A93B04"/>
    <w:rsid w:val="00AB0816"/>
    <w:rsid w:val="00AC0BF2"/>
    <w:rsid w:val="00AC2362"/>
    <w:rsid w:val="00AC6B27"/>
    <w:rsid w:val="00AD6957"/>
    <w:rsid w:val="00B104FC"/>
    <w:rsid w:val="00B141BD"/>
    <w:rsid w:val="00B267C6"/>
    <w:rsid w:val="00B32580"/>
    <w:rsid w:val="00B336F0"/>
    <w:rsid w:val="00B4529E"/>
    <w:rsid w:val="00B53E0A"/>
    <w:rsid w:val="00B6274D"/>
    <w:rsid w:val="00B67361"/>
    <w:rsid w:val="00B775F8"/>
    <w:rsid w:val="00B81ECE"/>
    <w:rsid w:val="00B91763"/>
    <w:rsid w:val="00B9457D"/>
    <w:rsid w:val="00B95FC6"/>
    <w:rsid w:val="00BA09AC"/>
    <w:rsid w:val="00BA24DB"/>
    <w:rsid w:val="00BB4BA3"/>
    <w:rsid w:val="00BC3152"/>
    <w:rsid w:val="00BC5DAA"/>
    <w:rsid w:val="00BD5C8D"/>
    <w:rsid w:val="00BE6C8B"/>
    <w:rsid w:val="00C0634D"/>
    <w:rsid w:val="00C25CC2"/>
    <w:rsid w:val="00C25EFD"/>
    <w:rsid w:val="00C32FDC"/>
    <w:rsid w:val="00C56B98"/>
    <w:rsid w:val="00C713B2"/>
    <w:rsid w:val="00C71B12"/>
    <w:rsid w:val="00C77D35"/>
    <w:rsid w:val="00C80813"/>
    <w:rsid w:val="00C94F29"/>
    <w:rsid w:val="00CA081F"/>
    <w:rsid w:val="00CA19D5"/>
    <w:rsid w:val="00CA79FE"/>
    <w:rsid w:val="00CB1AFE"/>
    <w:rsid w:val="00CB5B2F"/>
    <w:rsid w:val="00CD12FF"/>
    <w:rsid w:val="00CE5B8C"/>
    <w:rsid w:val="00CE7CAD"/>
    <w:rsid w:val="00CF6DAA"/>
    <w:rsid w:val="00D043F3"/>
    <w:rsid w:val="00D072A3"/>
    <w:rsid w:val="00D147D4"/>
    <w:rsid w:val="00D16119"/>
    <w:rsid w:val="00D56AB2"/>
    <w:rsid w:val="00D57331"/>
    <w:rsid w:val="00D606E8"/>
    <w:rsid w:val="00D61D9D"/>
    <w:rsid w:val="00D6720C"/>
    <w:rsid w:val="00D75575"/>
    <w:rsid w:val="00D8261C"/>
    <w:rsid w:val="00DA178B"/>
    <w:rsid w:val="00DA7B3A"/>
    <w:rsid w:val="00DA7DBD"/>
    <w:rsid w:val="00DD2C48"/>
    <w:rsid w:val="00DE15BD"/>
    <w:rsid w:val="00DE373E"/>
    <w:rsid w:val="00DF1326"/>
    <w:rsid w:val="00E020A1"/>
    <w:rsid w:val="00E217B5"/>
    <w:rsid w:val="00E23AA6"/>
    <w:rsid w:val="00E25D3C"/>
    <w:rsid w:val="00E31830"/>
    <w:rsid w:val="00E31D1B"/>
    <w:rsid w:val="00E34FEF"/>
    <w:rsid w:val="00E41065"/>
    <w:rsid w:val="00E56764"/>
    <w:rsid w:val="00E61B32"/>
    <w:rsid w:val="00E67F9C"/>
    <w:rsid w:val="00E77631"/>
    <w:rsid w:val="00E92C7D"/>
    <w:rsid w:val="00E941E7"/>
    <w:rsid w:val="00E9609A"/>
    <w:rsid w:val="00EA15D8"/>
    <w:rsid w:val="00EA5BE6"/>
    <w:rsid w:val="00EB0924"/>
    <w:rsid w:val="00ED38ED"/>
    <w:rsid w:val="00EE4B44"/>
    <w:rsid w:val="00EE5A19"/>
    <w:rsid w:val="00F017C5"/>
    <w:rsid w:val="00F056A8"/>
    <w:rsid w:val="00F13639"/>
    <w:rsid w:val="00F2440B"/>
    <w:rsid w:val="00F30D48"/>
    <w:rsid w:val="00F437EA"/>
    <w:rsid w:val="00F44223"/>
    <w:rsid w:val="00F44CD5"/>
    <w:rsid w:val="00F45210"/>
    <w:rsid w:val="00F52C27"/>
    <w:rsid w:val="00F677D5"/>
    <w:rsid w:val="00F75C7A"/>
    <w:rsid w:val="00F909CA"/>
    <w:rsid w:val="00F95FA5"/>
    <w:rsid w:val="00F96B4A"/>
    <w:rsid w:val="00FA55BB"/>
    <w:rsid w:val="00FB6601"/>
    <w:rsid w:val="00FC067F"/>
    <w:rsid w:val="00FC12D7"/>
    <w:rsid w:val="00FD0FB0"/>
    <w:rsid w:val="00FD4E1D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88"/>
    <w:pPr>
      <w:spacing w:after="0" w:line="240" w:lineRule="auto"/>
    </w:pPr>
    <w:rPr>
      <w:rFonts w:ascii="Arial" w:eastAsia="Times New Roman" w:hAnsi="Arial" w:cs="Courier New"/>
      <w:kern w:val="16"/>
      <w:sz w:val="20"/>
      <w:szCs w:val="20"/>
    </w:rPr>
  </w:style>
  <w:style w:type="paragraph" w:styleId="Titlu4">
    <w:name w:val="heading 4"/>
    <w:basedOn w:val="Normal"/>
    <w:next w:val="Normal"/>
    <w:link w:val="Titlu4Caracter"/>
    <w:qFormat/>
    <w:rsid w:val="00946B8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rsid w:val="00946B88"/>
    <w:rPr>
      <w:rFonts w:ascii="Times New Roman" w:eastAsia="Times New Roman" w:hAnsi="Times New Roman" w:cs="Times New Roman"/>
      <w:b/>
      <w:bCs/>
      <w:kern w:val="1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88"/>
    <w:pPr>
      <w:spacing w:after="0" w:line="240" w:lineRule="auto"/>
    </w:pPr>
    <w:rPr>
      <w:rFonts w:ascii="Arial" w:eastAsia="Times New Roman" w:hAnsi="Arial" w:cs="Courier New"/>
      <w:kern w:val="16"/>
      <w:sz w:val="20"/>
      <w:szCs w:val="20"/>
    </w:rPr>
  </w:style>
  <w:style w:type="paragraph" w:styleId="Titlu4">
    <w:name w:val="heading 4"/>
    <w:basedOn w:val="Normal"/>
    <w:next w:val="Normal"/>
    <w:link w:val="Titlu4Caracter"/>
    <w:qFormat/>
    <w:rsid w:val="00946B8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rsid w:val="00946B88"/>
    <w:rPr>
      <w:rFonts w:ascii="Times New Roman" w:eastAsia="Times New Roman" w:hAnsi="Times New Roman" w:cs="Times New Roman"/>
      <w:b/>
      <w:bCs/>
      <w:kern w:val="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stocheci</dc:creator>
  <cp:keywords/>
  <dc:description/>
  <cp:lastModifiedBy>larisa stocheci</cp:lastModifiedBy>
  <cp:revision>2</cp:revision>
  <dcterms:created xsi:type="dcterms:W3CDTF">2017-06-06T08:49:00Z</dcterms:created>
  <dcterms:modified xsi:type="dcterms:W3CDTF">2017-06-06T08:49:00Z</dcterms:modified>
</cp:coreProperties>
</file>