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585CC9">
        <w:t>6485</w:t>
      </w:r>
      <w:r w:rsidR="004F3547">
        <w:t xml:space="preserve"> </w:t>
      </w:r>
      <w:r w:rsidR="00C3794E">
        <w:t xml:space="preserve"> din </w:t>
      </w:r>
      <w:r w:rsidR="00AB43D8">
        <w:t>0</w:t>
      </w:r>
      <w:r w:rsidR="00585CC9">
        <w:t>9 august</w:t>
      </w:r>
      <w:r w:rsidR="00AB43D8">
        <w:t xml:space="preserve">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85CC9">
        <w:rPr>
          <w:b/>
          <w:sz w:val="32"/>
        </w:rPr>
        <w:t>09 august</w:t>
      </w:r>
      <w:r w:rsidR="00AB43D8">
        <w:rPr>
          <w:b/>
          <w:sz w:val="32"/>
        </w:rPr>
        <w:t xml:space="preserve"> 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585CC9" w:rsidTr="0023110D">
        <w:tc>
          <w:tcPr>
            <w:tcW w:w="2430" w:type="dxa"/>
          </w:tcPr>
          <w:p w:rsidR="00585CC9" w:rsidRDefault="00585CC9" w:rsidP="000928D9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L.K.L. SENIOR BAGS S.R.L.</w:t>
            </w:r>
          </w:p>
        </w:tc>
        <w:tc>
          <w:tcPr>
            <w:tcW w:w="2263" w:type="dxa"/>
          </w:tcPr>
          <w:p w:rsidR="00585CC9" w:rsidRDefault="00585CC9" w:rsidP="000928D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585CC9" w:rsidRDefault="00585CC9" w:rsidP="000928D9">
            <w:pPr>
              <w:ind w:left="34" w:right="42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str. Bethlen Gabor, nr. 108</w:t>
            </w:r>
          </w:p>
        </w:tc>
        <w:tc>
          <w:tcPr>
            <w:tcW w:w="2273" w:type="dxa"/>
          </w:tcPr>
          <w:p w:rsidR="00585CC9" w:rsidRPr="000F0F04" w:rsidRDefault="00585CC9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585CC9" w:rsidRDefault="00585CC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61</cp:revision>
  <cp:lastPrinted>2016-08-09T08:24:00Z</cp:lastPrinted>
  <dcterms:created xsi:type="dcterms:W3CDTF">2014-07-29T07:06:00Z</dcterms:created>
  <dcterms:modified xsi:type="dcterms:W3CDTF">2016-08-09T08:38:00Z</dcterms:modified>
</cp:coreProperties>
</file>