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941BC7">
        <w:t>5517</w:t>
      </w:r>
      <w:r w:rsidR="00C3794E">
        <w:t xml:space="preserve"> din </w:t>
      </w:r>
      <w:r w:rsidR="00941BC7">
        <w:t xml:space="preserve">11 aprilie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F1661">
        <w:rPr>
          <w:b/>
          <w:sz w:val="32"/>
        </w:rPr>
        <w:t>1</w:t>
      </w:r>
      <w:r w:rsidR="00941BC7">
        <w:rPr>
          <w:b/>
          <w:sz w:val="32"/>
        </w:rPr>
        <w:t xml:space="preserve">1 aprilie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GROFE S.R.L., Praid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LEMNZA-TRANSCOM 2008 S.R.L., Mădăraş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FAB PROD COM S.R.L., Praid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ALEMAIS S.R.L., Praid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Szántó</w:t>
            </w:r>
            <w:proofErr w:type="spellEnd"/>
            <w:r>
              <w:rPr>
                <w:sz w:val="22"/>
                <w:szCs w:val="24"/>
              </w:rPr>
              <w:t xml:space="preserve"> László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ESTERER S.R.L., Praid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Szántó</w:t>
            </w:r>
            <w:proofErr w:type="spellEnd"/>
            <w:r>
              <w:rPr>
                <w:sz w:val="22"/>
                <w:szCs w:val="24"/>
              </w:rPr>
              <w:t xml:space="preserve"> László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VERES FUZ S.R.L. Mădăraş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 w:rsidRPr="00924619">
              <w:rPr>
                <w:caps/>
                <w:sz w:val="22"/>
                <w:szCs w:val="24"/>
                <w:lang w:val="hu-HU"/>
              </w:rPr>
              <w:t>Vilimfer fabian forest s.r.l.</w:t>
            </w:r>
            <w:r>
              <w:rPr>
                <w:sz w:val="22"/>
                <w:szCs w:val="24"/>
                <w:lang w:val="hu-HU"/>
              </w:rPr>
              <w:t xml:space="preserve"> Vărşag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ANDREI RAUL MIHAI Î.I.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Topliţa, str. Crângului, nr. 10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BOSNYAK FOREST S.R.L.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941BC7" w:rsidTr="0023110D">
        <w:tc>
          <w:tcPr>
            <w:tcW w:w="2430" w:type="dxa"/>
          </w:tcPr>
          <w:p w:rsidR="00941BC7" w:rsidRDefault="00941BC7" w:rsidP="00220A43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PALKER</w:t>
            </w:r>
            <w:bookmarkStart w:id="0" w:name="_GoBack"/>
            <w:bookmarkEnd w:id="0"/>
            <w:r>
              <w:rPr>
                <w:sz w:val="22"/>
                <w:szCs w:val="24"/>
                <w:lang w:val="hu-HU"/>
              </w:rPr>
              <w:t xml:space="preserve"> COM S.R.L.</w:t>
            </w:r>
          </w:p>
        </w:tc>
        <w:tc>
          <w:tcPr>
            <w:tcW w:w="2263" w:type="dxa"/>
          </w:tcPr>
          <w:p w:rsidR="00941BC7" w:rsidRDefault="00941BC7" w:rsidP="00220A4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941BC7" w:rsidRDefault="00941BC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41BC7" w:rsidRDefault="00941BC7" w:rsidP="00941BC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0107-FDDD-40C7-AE98-94927E21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70</cp:revision>
  <cp:lastPrinted>2017-04-11T07:57:00Z</cp:lastPrinted>
  <dcterms:created xsi:type="dcterms:W3CDTF">2014-07-29T07:06:00Z</dcterms:created>
  <dcterms:modified xsi:type="dcterms:W3CDTF">2017-04-11T07:57:00Z</dcterms:modified>
</cp:coreProperties>
</file>