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384D9FC8"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7F2388">
        <w:rPr>
          <w:rFonts w:ascii="Trebuchet MS" w:hAnsi="Trebuchet MS"/>
          <w:bCs/>
        </w:rPr>
        <w:t>5601</w:t>
      </w:r>
      <w:r w:rsidRPr="00D146E9">
        <w:rPr>
          <w:rFonts w:ascii="Trebuchet MS" w:hAnsi="Trebuchet MS"/>
          <w:bCs/>
        </w:rPr>
        <w:t>/I/</w:t>
      </w:r>
      <w:r w:rsidR="00777229">
        <w:rPr>
          <w:rFonts w:ascii="Trebuchet MS" w:hAnsi="Trebuchet MS"/>
          <w:bCs/>
        </w:rPr>
        <w:t>06.08</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415DCCE4"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777229">
        <w:rPr>
          <w:rFonts w:ascii="Trebuchet MS" w:hAnsi="Trebuchet MS"/>
          <w:b/>
          <w:bCs/>
          <w:lang w:eastAsia="ro-RO"/>
        </w:rPr>
        <w:t>06.08</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2D35FBB7" w:rsidR="001C4BCF" w:rsidRPr="007F2388" w:rsidRDefault="001C4BCF" w:rsidP="007F2388">
      <w:pPr>
        <w:keepNext/>
        <w:tabs>
          <w:tab w:val="left" w:pos="1714"/>
          <w:tab w:val="center" w:pos="5197"/>
        </w:tabs>
        <w:autoSpaceDE w:val="0"/>
        <w:autoSpaceDN w:val="0"/>
        <w:adjustRightInd w:val="0"/>
        <w:spacing w:after="0" w:line="240" w:lineRule="auto"/>
        <w:ind w:firstLine="420"/>
        <w:jc w:val="both"/>
        <w:outlineLvl w:val="0"/>
        <w:rPr>
          <w:rFonts w:ascii="Trebuchet MS" w:hAnsi="Trebuchet MS"/>
        </w:rPr>
      </w:pPr>
      <w:r w:rsidRPr="00D146E9">
        <w:rPr>
          <w:rFonts w:ascii="Trebuchet MS" w:hAnsi="Trebuchet MS"/>
        </w:rPr>
        <w:t xml:space="preserve">Ca urmare a notificării adresate către </w:t>
      </w:r>
      <w:r w:rsidR="00777229">
        <w:rPr>
          <w:rFonts w:ascii="Trebuchet MS" w:hAnsi="Trebuchet MS"/>
          <w:b/>
          <w:bCs/>
          <w:lang w:eastAsia="ro-RO"/>
        </w:rPr>
        <w:t>Persoanele fizice reprezentate prin elaboratorul planului S.C. RADU PROIECT EXPERT S.R.L.</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C56B22">
        <w:rPr>
          <w:rFonts w:ascii="Trebuchet MS" w:hAnsi="Trebuchet MS"/>
          <w:b/>
        </w:rPr>
        <w:t>I Țifrea</w:t>
      </w:r>
      <w:r w:rsidRPr="00D146E9">
        <w:rPr>
          <w:rFonts w:ascii="Trebuchet MS" w:hAnsi="Trebuchet MS"/>
          <w:b/>
          <w:color w:val="000000"/>
        </w:rPr>
        <w:t>”</w:t>
      </w:r>
      <w:r w:rsidRPr="00D146E9">
        <w:rPr>
          <w:rFonts w:ascii="Trebuchet MS" w:hAnsi="Trebuchet MS"/>
        </w:rPr>
        <w:t xml:space="preserve"> pe o suprafață de </w:t>
      </w:r>
      <w:r w:rsidR="007F2388">
        <w:rPr>
          <w:rFonts w:ascii="Trebuchet MS" w:hAnsi="Trebuchet MS"/>
        </w:rPr>
        <w:t>100.24</w:t>
      </w:r>
      <w:r w:rsidR="009D6B91">
        <w:rPr>
          <w:rFonts w:ascii="Trebuchet MS" w:hAnsi="Trebuchet MS"/>
        </w:rPr>
        <w:t xml:space="preserve"> </w:t>
      </w:r>
      <w:r w:rsidRPr="00D146E9">
        <w:rPr>
          <w:rFonts w:ascii="Trebuchet MS" w:hAnsi="Trebuchet MS"/>
        </w:rPr>
        <w:t xml:space="preserve">ha pe teritoriul administrativ al </w:t>
      </w:r>
      <w:r w:rsidR="007F2388">
        <w:rPr>
          <w:rFonts w:ascii="Trebuchet MS" w:hAnsi="Trebuchet MS"/>
        </w:rPr>
        <w:t xml:space="preserve">orașului Borsec, </w:t>
      </w:r>
      <w:r w:rsidRPr="00D146E9">
        <w:rPr>
          <w:rFonts w:ascii="Trebuchet MS" w:hAnsi="Trebuchet MS"/>
        </w:rPr>
        <w:t>comune</w:t>
      </w:r>
      <w:r w:rsidR="009D62C0">
        <w:rPr>
          <w:rFonts w:ascii="Trebuchet MS" w:hAnsi="Trebuchet MS"/>
        </w:rPr>
        <w:t xml:space="preserve">i </w:t>
      </w:r>
      <w:r w:rsidR="00777229">
        <w:rPr>
          <w:rFonts w:ascii="Trebuchet MS" w:hAnsi="Trebuchet MS"/>
        </w:rPr>
        <w:t>Bilbor</w:t>
      </w:r>
      <w:r w:rsidR="007F2388">
        <w:rPr>
          <w:rFonts w:ascii="Trebuchet MS" w:hAnsi="Trebuchet MS"/>
        </w:rPr>
        <w:t xml:space="preserve"> și comunei Corbu</w:t>
      </w:r>
      <w:r w:rsidRPr="00D146E9">
        <w:rPr>
          <w:rFonts w:ascii="Trebuchet MS" w:hAnsi="Trebuchet MS"/>
        </w:rPr>
        <w:t xml:space="preserve">, înregistrată la APM Harghita cu nr. </w:t>
      </w:r>
      <w:r w:rsidR="007F2388">
        <w:rPr>
          <w:rFonts w:ascii="Trebuchet MS" w:hAnsi="Trebuchet MS"/>
        </w:rPr>
        <w:t>5601</w:t>
      </w:r>
      <w:r w:rsidR="00A35972">
        <w:rPr>
          <w:rFonts w:ascii="Trebuchet MS" w:hAnsi="Trebuchet MS"/>
        </w:rPr>
        <w:t xml:space="preserve"> din 2</w:t>
      </w:r>
      <w:r w:rsidR="007F2388">
        <w:rPr>
          <w:rFonts w:ascii="Trebuchet MS" w:hAnsi="Trebuchet MS"/>
        </w:rPr>
        <w:t>5</w:t>
      </w:r>
      <w:r w:rsidRPr="00D146E9">
        <w:rPr>
          <w:rFonts w:ascii="Trebuchet MS" w:hAnsi="Trebuchet MS"/>
        </w:rPr>
        <w:t>.</w:t>
      </w:r>
      <w:r w:rsidR="009D62C0">
        <w:rPr>
          <w:rFonts w:ascii="Trebuchet MS" w:hAnsi="Trebuchet MS"/>
        </w:rPr>
        <w:t>0</w:t>
      </w:r>
      <w:r w:rsidR="007F2388">
        <w:rPr>
          <w:rFonts w:ascii="Trebuchet MS" w:hAnsi="Trebuchet MS"/>
        </w:rPr>
        <w:t>6</w:t>
      </w:r>
      <w:r w:rsidR="009D62C0">
        <w:rPr>
          <w:rFonts w:ascii="Trebuchet MS" w:hAnsi="Trebuchet MS"/>
        </w:rPr>
        <w:t>.2024</w:t>
      </w:r>
      <w:r w:rsidR="00A35972">
        <w:rPr>
          <w:rFonts w:ascii="Trebuchet MS" w:hAnsi="Trebuchet MS"/>
        </w:rPr>
        <w:t xml:space="preserve">, </w:t>
      </w:r>
      <w:r w:rsidRPr="00D146E9">
        <w:rPr>
          <w:rFonts w:ascii="Trebuchet MS" w:hAnsi="Trebuchet MS"/>
        </w:rPr>
        <w:t>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6A27B6FB" w14:textId="417CCED4" w:rsidR="0051454E" w:rsidRPr="00EB0ECB" w:rsidRDefault="001C4BCF" w:rsidP="00EB0ECB">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4473FBD2"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1326B2">
        <w:rPr>
          <w:rFonts w:ascii="Trebuchet MS" w:hAnsi="Trebuchet MS"/>
          <w:color w:val="000000"/>
        </w:rPr>
        <w:t>06</w:t>
      </w:r>
      <w:r w:rsidRPr="00D146E9">
        <w:rPr>
          <w:rFonts w:ascii="Trebuchet MS" w:hAnsi="Trebuchet MS"/>
          <w:color w:val="000000"/>
        </w:rPr>
        <w:t xml:space="preserve"> </w:t>
      </w:r>
      <w:r w:rsidR="001326B2">
        <w:rPr>
          <w:rFonts w:ascii="Trebuchet MS" w:hAnsi="Trebuchet MS"/>
          <w:color w:val="000000"/>
        </w:rPr>
        <w:t>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06470714"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387F8F" w:rsidRPr="00387F8F">
        <w:rPr>
          <w:rFonts w:ascii="Trebuchet MS" w:hAnsi="Trebuchet MS"/>
          <w:b/>
          <w:i/>
          <w:color w:val="000000"/>
        </w:rPr>
        <w:t>Persoanelor fizice reprezentate prin elaboratorul planului S.C. RADU PROIECT EXPERT S.R.L.</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C56B22">
        <w:rPr>
          <w:rFonts w:ascii="Trebuchet MS" w:hAnsi="Trebuchet MS"/>
          <w:b/>
          <w:i/>
        </w:rPr>
        <w:t>I Țifrea</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21B5CD32" w14:textId="2111AA7F" w:rsidR="00A35972" w:rsidRPr="00D146E9" w:rsidRDefault="001C4BCF" w:rsidP="00A35972">
      <w:pPr>
        <w:tabs>
          <w:tab w:val="left" w:pos="720"/>
        </w:tabs>
        <w:spacing w:after="0" w:line="240" w:lineRule="auto"/>
        <w:jc w:val="both"/>
        <w:rPr>
          <w:rFonts w:ascii="Trebuchet MS" w:hAnsi="Trebuchet MS"/>
        </w:rPr>
      </w:pPr>
      <w:r w:rsidRPr="00D146E9">
        <w:rPr>
          <w:rFonts w:ascii="Trebuchet MS" w:hAnsi="Trebuchet MS"/>
        </w:rPr>
        <w:tab/>
      </w:r>
      <w:r w:rsidR="00A35972" w:rsidRPr="00D146E9">
        <w:rPr>
          <w:rFonts w:ascii="Trebuchet MS" w:hAnsi="Trebuchet MS"/>
        </w:rPr>
        <w:t xml:space="preserve">Amenajamentul silvic </w:t>
      </w:r>
      <w:r w:rsidR="001326B2">
        <w:rPr>
          <w:rFonts w:ascii="Trebuchet MS" w:hAnsi="Trebuchet MS"/>
        </w:rPr>
        <w:t xml:space="preserve">nu </w:t>
      </w:r>
      <w:r w:rsidR="00A35972" w:rsidRPr="00D146E9">
        <w:rPr>
          <w:rFonts w:ascii="Trebuchet MS" w:hAnsi="Trebuchet MS"/>
          <w:b/>
        </w:rPr>
        <w:t>creează cadru pentru proiecte conform Anexei nr. 2 din Legea nr. 292/2018</w:t>
      </w:r>
      <w:r w:rsidR="00A35972" w:rsidRPr="00D146E9">
        <w:rPr>
          <w:rFonts w:ascii="Trebuchet MS" w:hAnsi="Trebuchet MS"/>
        </w:rPr>
        <w:t xml:space="preserve"> privind evaluarea impactului anumitor proiecte pub</w:t>
      </w:r>
      <w:r w:rsidR="00A35972">
        <w:rPr>
          <w:rFonts w:ascii="Trebuchet MS" w:hAnsi="Trebuchet MS"/>
        </w:rPr>
        <w:t>lice şi private asupra mediului</w:t>
      </w:r>
      <w:r w:rsidR="00A35972">
        <w:rPr>
          <w:rFonts w:ascii="Trebuchet MS" w:hAnsi="Trebuchet MS" w:cs="Arial"/>
          <w:bCs/>
        </w:rPr>
        <w:t>.</w:t>
      </w:r>
    </w:p>
    <w:p w14:paraId="5675DF02" w14:textId="77777777" w:rsidR="00124C8D" w:rsidRDefault="001C4BCF" w:rsidP="00A35972">
      <w:pPr>
        <w:tabs>
          <w:tab w:val="left" w:pos="720"/>
        </w:tabs>
        <w:spacing w:after="0" w:line="240" w:lineRule="auto"/>
        <w:jc w:val="both"/>
        <w:rPr>
          <w:rFonts w:ascii="Trebuchet MS" w:hAnsi="Trebuchet MS"/>
        </w:rPr>
      </w:pPr>
      <w:r w:rsidRPr="00D146E9">
        <w:rPr>
          <w:rFonts w:ascii="Trebuchet MS" w:hAnsi="Trebuchet MS"/>
        </w:rPr>
        <w:tab/>
      </w:r>
    </w:p>
    <w:p w14:paraId="2116BB25" w14:textId="23BE4BFD" w:rsidR="001C4BCF" w:rsidRPr="00D146E9" w:rsidRDefault="001C4BCF" w:rsidP="00A35972">
      <w:pPr>
        <w:tabs>
          <w:tab w:val="left" w:pos="720"/>
        </w:tabs>
        <w:spacing w:after="0" w:line="240" w:lineRule="auto"/>
        <w:jc w:val="both"/>
        <w:rPr>
          <w:rFonts w:ascii="Trebuchet MS" w:hAnsi="Trebuchet MS"/>
        </w:rPr>
      </w:pPr>
      <w:r w:rsidRPr="00D146E9">
        <w:rPr>
          <w:rFonts w:ascii="Trebuchet MS" w:hAnsi="Trebuchet MS"/>
        </w:rPr>
        <w:lastRenderedPageBreak/>
        <w:t>Din punct de veder</w:t>
      </w:r>
      <w:r w:rsidR="001F0692">
        <w:rPr>
          <w:rFonts w:ascii="Trebuchet MS" w:hAnsi="Trebuchet MS"/>
        </w:rPr>
        <w:t xml:space="preserve">e administrativ, suprafața U.P. </w:t>
      </w:r>
      <w:r w:rsidR="00C56B22">
        <w:rPr>
          <w:rFonts w:ascii="Trebuchet MS" w:hAnsi="Trebuchet MS"/>
        </w:rPr>
        <w:t>I Țifrea</w:t>
      </w:r>
      <w:r w:rsidRPr="00D146E9">
        <w:rPr>
          <w:rFonts w:ascii="Trebuchet MS" w:hAnsi="Trebuchet MS"/>
        </w:rPr>
        <w:t xml:space="preserve"> se află pe teritoriul administrativ al </w:t>
      </w:r>
      <w:r w:rsidR="00222A32">
        <w:rPr>
          <w:rFonts w:ascii="Trebuchet MS" w:hAnsi="Trebuchet MS"/>
        </w:rPr>
        <w:t>o</w:t>
      </w:r>
      <w:r w:rsidR="00387F8F">
        <w:rPr>
          <w:rFonts w:ascii="Trebuchet MS" w:hAnsi="Trebuchet MS"/>
        </w:rPr>
        <w:t>rașului B</w:t>
      </w:r>
      <w:r w:rsidR="00222A32">
        <w:rPr>
          <w:rFonts w:ascii="Trebuchet MS" w:hAnsi="Trebuchet MS"/>
        </w:rPr>
        <w:t xml:space="preserve">orsec, </w:t>
      </w:r>
      <w:r w:rsidR="00387F8F">
        <w:rPr>
          <w:rFonts w:ascii="Trebuchet MS" w:hAnsi="Trebuchet MS"/>
        </w:rPr>
        <w:t>comunei Bilbor</w:t>
      </w:r>
      <w:r w:rsidR="00222A32">
        <w:rPr>
          <w:rFonts w:ascii="Trebuchet MS" w:hAnsi="Trebuchet MS"/>
        </w:rPr>
        <w:t xml:space="preserve"> și comunei Corbu</w:t>
      </w:r>
      <w:r w:rsidRPr="00D146E9">
        <w:rPr>
          <w:rFonts w:ascii="Trebuchet MS" w:hAnsi="Trebuchet MS"/>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
        <w:gridCol w:w="1789"/>
        <w:gridCol w:w="2928"/>
        <w:gridCol w:w="2600"/>
        <w:gridCol w:w="1306"/>
      </w:tblGrid>
      <w:tr w:rsidR="00222A32" w:rsidRPr="00AF7469" w14:paraId="40EB1F7A" w14:textId="77777777" w:rsidTr="009A7A72">
        <w:tc>
          <w:tcPr>
            <w:tcW w:w="509" w:type="pct"/>
            <w:tcBorders>
              <w:bottom w:val="single" w:sz="12" w:space="0" w:color="auto"/>
              <w:right w:val="single" w:sz="4" w:space="0" w:color="auto"/>
            </w:tcBorders>
            <w:vAlign w:val="center"/>
          </w:tcPr>
          <w:p w14:paraId="55E588C4" w14:textId="77777777" w:rsidR="00222A32" w:rsidRPr="00AF7469" w:rsidRDefault="00222A32" w:rsidP="009A7A72">
            <w:pPr>
              <w:pStyle w:val="Footer"/>
              <w:jc w:val="center"/>
              <w:rPr>
                <w:rFonts w:ascii="Arial" w:hAnsi="Arial" w:cs="Arial"/>
                <w:sz w:val="20"/>
              </w:rPr>
            </w:pPr>
            <w:r w:rsidRPr="00AF7469">
              <w:rPr>
                <w:rFonts w:ascii="Arial" w:hAnsi="Arial" w:cs="Arial"/>
                <w:sz w:val="20"/>
              </w:rPr>
              <w:t>Nr. crt.</w:t>
            </w:r>
          </w:p>
        </w:tc>
        <w:tc>
          <w:tcPr>
            <w:tcW w:w="932" w:type="pct"/>
            <w:tcBorders>
              <w:left w:val="single" w:sz="4" w:space="0" w:color="auto"/>
              <w:bottom w:val="single" w:sz="12" w:space="0" w:color="auto"/>
              <w:right w:val="single" w:sz="4" w:space="0" w:color="auto"/>
            </w:tcBorders>
            <w:vAlign w:val="center"/>
          </w:tcPr>
          <w:p w14:paraId="61BC97E6" w14:textId="77777777" w:rsidR="00222A32" w:rsidRPr="00AF7469" w:rsidRDefault="00222A32" w:rsidP="009A7A72">
            <w:pPr>
              <w:pStyle w:val="Footer"/>
              <w:jc w:val="center"/>
              <w:rPr>
                <w:rFonts w:ascii="Arial" w:hAnsi="Arial" w:cs="Arial"/>
                <w:sz w:val="20"/>
              </w:rPr>
            </w:pPr>
            <w:r w:rsidRPr="00AF7469">
              <w:rPr>
                <w:rFonts w:ascii="Arial" w:hAnsi="Arial" w:cs="Arial"/>
                <w:sz w:val="20"/>
              </w:rPr>
              <w:t>Judeţul</w:t>
            </w:r>
          </w:p>
        </w:tc>
        <w:tc>
          <w:tcPr>
            <w:tcW w:w="1525" w:type="pct"/>
            <w:tcBorders>
              <w:left w:val="single" w:sz="4" w:space="0" w:color="auto"/>
              <w:bottom w:val="single" w:sz="12" w:space="0" w:color="auto"/>
              <w:right w:val="single" w:sz="4" w:space="0" w:color="auto"/>
            </w:tcBorders>
            <w:vAlign w:val="center"/>
          </w:tcPr>
          <w:p w14:paraId="1B1C4473" w14:textId="77777777" w:rsidR="00222A32" w:rsidRPr="00AF7469" w:rsidRDefault="00222A32" w:rsidP="009A7A72">
            <w:pPr>
              <w:pStyle w:val="Footer"/>
              <w:jc w:val="center"/>
              <w:rPr>
                <w:rFonts w:ascii="Arial" w:hAnsi="Arial" w:cs="Arial"/>
                <w:sz w:val="20"/>
              </w:rPr>
            </w:pPr>
            <w:r w:rsidRPr="00AF7469">
              <w:rPr>
                <w:rFonts w:ascii="Arial" w:hAnsi="Arial" w:cs="Arial"/>
                <w:sz w:val="20"/>
              </w:rPr>
              <w:t>Unitatea</w:t>
            </w:r>
          </w:p>
          <w:p w14:paraId="267AA6DA" w14:textId="77777777" w:rsidR="00222A32" w:rsidRPr="00AF7469" w:rsidRDefault="00222A32" w:rsidP="009A7A72">
            <w:pPr>
              <w:pStyle w:val="Footer"/>
              <w:jc w:val="center"/>
              <w:rPr>
                <w:rFonts w:ascii="Arial" w:hAnsi="Arial" w:cs="Arial"/>
                <w:sz w:val="20"/>
              </w:rPr>
            </w:pPr>
            <w:r w:rsidRPr="00AF7469">
              <w:rPr>
                <w:rFonts w:ascii="Arial" w:hAnsi="Arial" w:cs="Arial"/>
                <w:sz w:val="20"/>
              </w:rPr>
              <w:t>administrativ - teritorială</w:t>
            </w:r>
          </w:p>
        </w:tc>
        <w:tc>
          <w:tcPr>
            <w:tcW w:w="1354" w:type="pct"/>
            <w:tcBorders>
              <w:left w:val="single" w:sz="4" w:space="0" w:color="auto"/>
              <w:bottom w:val="single" w:sz="12" w:space="0" w:color="auto"/>
              <w:right w:val="single" w:sz="4" w:space="0" w:color="auto"/>
            </w:tcBorders>
            <w:vAlign w:val="center"/>
          </w:tcPr>
          <w:p w14:paraId="4A5FC014" w14:textId="77777777" w:rsidR="00222A32" w:rsidRPr="00AF7469" w:rsidRDefault="00222A32" w:rsidP="009A7A72">
            <w:pPr>
              <w:pStyle w:val="Footer"/>
              <w:jc w:val="center"/>
              <w:rPr>
                <w:rFonts w:ascii="Arial" w:hAnsi="Arial" w:cs="Arial"/>
                <w:sz w:val="20"/>
              </w:rPr>
            </w:pPr>
            <w:r w:rsidRPr="00AF7469">
              <w:rPr>
                <w:rFonts w:ascii="Arial" w:hAnsi="Arial" w:cs="Arial"/>
                <w:sz w:val="20"/>
              </w:rPr>
              <w:t>Parcele aferente</w:t>
            </w:r>
          </w:p>
        </w:tc>
        <w:tc>
          <w:tcPr>
            <w:tcW w:w="680" w:type="pct"/>
            <w:tcBorders>
              <w:left w:val="single" w:sz="4" w:space="0" w:color="auto"/>
              <w:bottom w:val="single" w:sz="12" w:space="0" w:color="auto"/>
            </w:tcBorders>
            <w:vAlign w:val="center"/>
          </w:tcPr>
          <w:p w14:paraId="565892A9" w14:textId="77777777" w:rsidR="00222A32" w:rsidRPr="00AF7469" w:rsidRDefault="00222A32" w:rsidP="009A7A72">
            <w:pPr>
              <w:pStyle w:val="Footer"/>
              <w:jc w:val="center"/>
              <w:rPr>
                <w:rFonts w:ascii="Arial" w:hAnsi="Arial" w:cs="Arial"/>
                <w:sz w:val="20"/>
              </w:rPr>
            </w:pPr>
            <w:r w:rsidRPr="00AF7469">
              <w:rPr>
                <w:rFonts w:ascii="Arial" w:hAnsi="Arial" w:cs="Arial"/>
                <w:sz w:val="20"/>
              </w:rPr>
              <w:t>Suprafaţa</w:t>
            </w:r>
          </w:p>
          <w:p w14:paraId="1EFF3D9B" w14:textId="77777777" w:rsidR="00222A32" w:rsidRPr="00AF7469" w:rsidRDefault="00222A32" w:rsidP="009A7A72">
            <w:pPr>
              <w:pStyle w:val="Footer"/>
              <w:jc w:val="center"/>
              <w:rPr>
                <w:rFonts w:ascii="Arial" w:hAnsi="Arial" w:cs="Arial"/>
                <w:sz w:val="20"/>
              </w:rPr>
            </w:pPr>
            <w:r w:rsidRPr="00AF7469">
              <w:rPr>
                <w:rFonts w:ascii="Arial" w:hAnsi="Arial" w:cs="Arial"/>
                <w:sz w:val="20"/>
              </w:rPr>
              <w:t>(ha)</w:t>
            </w:r>
          </w:p>
        </w:tc>
      </w:tr>
      <w:tr w:rsidR="00222A32" w:rsidRPr="00AF7469" w14:paraId="4D2283A9" w14:textId="77777777" w:rsidTr="009A7A72">
        <w:trPr>
          <w:cantSplit/>
          <w:trHeight w:val="82"/>
        </w:trPr>
        <w:tc>
          <w:tcPr>
            <w:tcW w:w="509" w:type="pct"/>
            <w:tcBorders>
              <w:bottom w:val="single" w:sz="4" w:space="0" w:color="auto"/>
              <w:right w:val="single" w:sz="4" w:space="0" w:color="auto"/>
            </w:tcBorders>
            <w:vAlign w:val="center"/>
          </w:tcPr>
          <w:p w14:paraId="17235FB1" w14:textId="77777777" w:rsidR="00222A32" w:rsidRPr="00AF7469" w:rsidRDefault="00222A32" w:rsidP="009A7A72">
            <w:pPr>
              <w:pStyle w:val="Footer"/>
              <w:jc w:val="center"/>
              <w:rPr>
                <w:rFonts w:ascii="Arial" w:hAnsi="Arial" w:cs="Arial"/>
                <w:sz w:val="20"/>
              </w:rPr>
            </w:pPr>
            <w:r w:rsidRPr="00AF7469">
              <w:rPr>
                <w:rFonts w:ascii="Arial" w:hAnsi="Arial" w:cs="Arial"/>
                <w:sz w:val="20"/>
              </w:rPr>
              <w:t>1</w:t>
            </w:r>
          </w:p>
        </w:tc>
        <w:tc>
          <w:tcPr>
            <w:tcW w:w="932" w:type="pct"/>
            <w:vMerge w:val="restart"/>
            <w:tcBorders>
              <w:top w:val="single" w:sz="12" w:space="0" w:color="auto"/>
              <w:left w:val="single" w:sz="4" w:space="0" w:color="auto"/>
              <w:right w:val="single" w:sz="4" w:space="0" w:color="auto"/>
            </w:tcBorders>
            <w:vAlign w:val="center"/>
          </w:tcPr>
          <w:p w14:paraId="431AD102" w14:textId="77777777" w:rsidR="00222A32" w:rsidRPr="00AF7469" w:rsidRDefault="00222A32" w:rsidP="009A7A72">
            <w:pPr>
              <w:pStyle w:val="Footer"/>
              <w:jc w:val="center"/>
              <w:rPr>
                <w:rFonts w:ascii="Arial" w:hAnsi="Arial" w:cs="Arial"/>
                <w:sz w:val="20"/>
              </w:rPr>
            </w:pPr>
            <w:r w:rsidRPr="00AF7469">
              <w:rPr>
                <w:rFonts w:ascii="Arial" w:hAnsi="Arial" w:cs="Arial"/>
                <w:sz w:val="20"/>
              </w:rPr>
              <w:t>Harghita</w:t>
            </w:r>
          </w:p>
        </w:tc>
        <w:tc>
          <w:tcPr>
            <w:tcW w:w="1525" w:type="pct"/>
            <w:tcBorders>
              <w:left w:val="single" w:sz="4" w:space="0" w:color="auto"/>
              <w:bottom w:val="single" w:sz="4" w:space="0" w:color="auto"/>
              <w:right w:val="single" w:sz="2" w:space="0" w:color="auto"/>
            </w:tcBorders>
            <w:vAlign w:val="center"/>
          </w:tcPr>
          <w:p w14:paraId="76D10D0B" w14:textId="77777777" w:rsidR="00222A32" w:rsidRPr="00AF7469" w:rsidRDefault="00222A32" w:rsidP="009A7A72">
            <w:pPr>
              <w:pStyle w:val="Footer"/>
              <w:jc w:val="center"/>
              <w:rPr>
                <w:rFonts w:ascii="Arial" w:hAnsi="Arial" w:cs="Arial"/>
                <w:sz w:val="20"/>
              </w:rPr>
            </w:pPr>
            <w:r w:rsidRPr="00AF7469">
              <w:rPr>
                <w:rFonts w:ascii="Arial" w:hAnsi="Arial" w:cs="Arial"/>
                <w:sz w:val="20"/>
              </w:rPr>
              <w:t>B</w:t>
            </w:r>
            <w:r>
              <w:rPr>
                <w:rFonts w:ascii="Arial" w:hAnsi="Arial" w:cs="Arial"/>
                <w:sz w:val="20"/>
              </w:rPr>
              <w:t>ilbor</w:t>
            </w:r>
          </w:p>
        </w:tc>
        <w:tc>
          <w:tcPr>
            <w:tcW w:w="1354" w:type="pct"/>
            <w:tcBorders>
              <w:left w:val="single" w:sz="2" w:space="0" w:color="auto"/>
              <w:bottom w:val="single" w:sz="4" w:space="0" w:color="auto"/>
              <w:right w:val="single" w:sz="2" w:space="0" w:color="auto"/>
            </w:tcBorders>
            <w:vAlign w:val="center"/>
          </w:tcPr>
          <w:p w14:paraId="4CEE5E99" w14:textId="77777777" w:rsidR="00222A32" w:rsidRPr="00AF7469" w:rsidRDefault="00222A32" w:rsidP="009A7A72">
            <w:pPr>
              <w:pStyle w:val="Footer"/>
              <w:jc w:val="center"/>
              <w:rPr>
                <w:rFonts w:ascii="Arial" w:hAnsi="Arial" w:cs="Arial"/>
                <w:sz w:val="20"/>
              </w:rPr>
            </w:pPr>
            <w:r w:rsidRPr="00AF7469">
              <w:rPr>
                <w:rFonts w:ascii="Arial" w:eastAsia="Arial Unicode MS" w:hAnsi="Arial" w:cs="Arial"/>
                <w:sz w:val="20"/>
              </w:rPr>
              <w:t>20B, 23, 69,  87</w:t>
            </w:r>
          </w:p>
        </w:tc>
        <w:tc>
          <w:tcPr>
            <w:tcW w:w="680" w:type="pct"/>
            <w:tcBorders>
              <w:left w:val="single" w:sz="2" w:space="0" w:color="auto"/>
              <w:bottom w:val="single" w:sz="4" w:space="0" w:color="auto"/>
            </w:tcBorders>
            <w:vAlign w:val="center"/>
          </w:tcPr>
          <w:p w14:paraId="6FAFFA4E" w14:textId="77777777" w:rsidR="00222A32" w:rsidRPr="00AF7469" w:rsidRDefault="00222A32" w:rsidP="009A7A72">
            <w:pPr>
              <w:pStyle w:val="Footer"/>
              <w:jc w:val="center"/>
              <w:rPr>
                <w:rFonts w:ascii="Arial" w:hAnsi="Arial" w:cs="Arial"/>
                <w:sz w:val="20"/>
              </w:rPr>
            </w:pPr>
            <w:r w:rsidRPr="00AF7469">
              <w:rPr>
                <w:rFonts w:ascii="Arial" w:hAnsi="Arial" w:cs="Arial"/>
                <w:sz w:val="20"/>
              </w:rPr>
              <w:t>15,69</w:t>
            </w:r>
          </w:p>
        </w:tc>
      </w:tr>
      <w:tr w:rsidR="00222A32" w:rsidRPr="00AF7469" w14:paraId="3D40F9B0" w14:textId="77777777" w:rsidTr="009A7A72">
        <w:trPr>
          <w:cantSplit/>
          <w:trHeight w:val="82"/>
        </w:trPr>
        <w:tc>
          <w:tcPr>
            <w:tcW w:w="509" w:type="pct"/>
            <w:tcBorders>
              <w:top w:val="single" w:sz="4" w:space="0" w:color="auto"/>
              <w:bottom w:val="single" w:sz="4" w:space="0" w:color="auto"/>
              <w:right w:val="single" w:sz="4" w:space="0" w:color="auto"/>
            </w:tcBorders>
            <w:vAlign w:val="center"/>
          </w:tcPr>
          <w:p w14:paraId="4021D804" w14:textId="77777777" w:rsidR="00222A32" w:rsidRPr="00AF7469" w:rsidRDefault="00222A32" w:rsidP="009A7A72">
            <w:pPr>
              <w:pStyle w:val="Footer"/>
              <w:jc w:val="center"/>
              <w:rPr>
                <w:rFonts w:ascii="Arial" w:hAnsi="Arial" w:cs="Arial"/>
                <w:sz w:val="20"/>
              </w:rPr>
            </w:pPr>
            <w:r w:rsidRPr="00AF7469">
              <w:rPr>
                <w:rFonts w:ascii="Arial" w:hAnsi="Arial" w:cs="Arial"/>
                <w:sz w:val="20"/>
              </w:rPr>
              <w:t>2</w:t>
            </w:r>
          </w:p>
        </w:tc>
        <w:tc>
          <w:tcPr>
            <w:tcW w:w="932" w:type="pct"/>
            <w:vMerge/>
            <w:tcBorders>
              <w:left w:val="single" w:sz="4" w:space="0" w:color="auto"/>
              <w:right w:val="single" w:sz="4" w:space="0" w:color="auto"/>
            </w:tcBorders>
            <w:vAlign w:val="center"/>
          </w:tcPr>
          <w:p w14:paraId="6D68E153" w14:textId="77777777" w:rsidR="00222A32" w:rsidRPr="00AF7469" w:rsidRDefault="00222A32" w:rsidP="009A7A72">
            <w:pPr>
              <w:pStyle w:val="Footer"/>
              <w:jc w:val="center"/>
              <w:rPr>
                <w:rFonts w:ascii="Arial" w:hAnsi="Arial" w:cs="Arial"/>
                <w:sz w:val="20"/>
              </w:rPr>
            </w:pPr>
          </w:p>
        </w:tc>
        <w:tc>
          <w:tcPr>
            <w:tcW w:w="1525" w:type="pct"/>
            <w:tcBorders>
              <w:top w:val="single" w:sz="4" w:space="0" w:color="auto"/>
              <w:left w:val="single" w:sz="4" w:space="0" w:color="auto"/>
              <w:bottom w:val="single" w:sz="4" w:space="0" w:color="auto"/>
              <w:right w:val="single" w:sz="2" w:space="0" w:color="auto"/>
            </w:tcBorders>
            <w:vAlign w:val="center"/>
          </w:tcPr>
          <w:p w14:paraId="6B991F1E" w14:textId="77777777" w:rsidR="00222A32" w:rsidRPr="00AF7469" w:rsidRDefault="00222A32" w:rsidP="009A7A72">
            <w:pPr>
              <w:pStyle w:val="Footer"/>
              <w:jc w:val="center"/>
              <w:rPr>
                <w:rFonts w:ascii="Arial" w:hAnsi="Arial" w:cs="Arial"/>
                <w:sz w:val="20"/>
              </w:rPr>
            </w:pPr>
            <w:r w:rsidRPr="00AF7469">
              <w:rPr>
                <w:rFonts w:ascii="Arial" w:hAnsi="Arial" w:cs="Arial"/>
                <w:sz w:val="20"/>
              </w:rPr>
              <w:t>B</w:t>
            </w:r>
            <w:r>
              <w:rPr>
                <w:rFonts w:ascii="Arial" w:hAnsi="Arial" w:cs="Arial"/>
                <w:sz w:val="20"/>
              </w:rPr>
              <w:t>orsec</w:t>
            </w:r>
          </w:p>
        </w:tc>
        <w:tc>
          <w:tcPr>
            <w:tcW w:w="1354" w:type="pct"/>
            <w:tcBorders>
              <w:top w:val="single" w:sz="4" w:space="0" w:color="auto"/>
              <w:left w:val="single" w:sz="2" w:space="0" w:color="auto"/>
              <w:bottom w:val="single" w:sz="4" w:space="0" w:color="auto"/>
              <w:right w:val="single" w:sz="2" w:space="0" w:color="auto"/>
            </w:tcBorders>
            <w:vAlign w:val="center"/>
          </w:tcPr>
          <w:p w14:paraId="6C4BA660" w14:textId="77777777" w:rsidR="00222A32" w:rsidRPr="00AF7469" w:rsidRDefault="00222A32" w:rsidP="009A7A72">
            <w:pPr>
              <w:pStyle w:val="Footer"/>
              <w:jc w:val="center"/>
              <w:rPr>
                <w:rFonts w:ascii="Arial" w:eastAsia="Arial Unicode MS" w:hAnsi="Arial" w:cs="Arial"/>
                <w:sz w:val="20"/>
              </w:rPr>
            </w:pPr>
            <w:r>
              <w:rPr>
                <w:rFonts w:ascii="Arial" w:eastAsia="Arial Unicode MS" w:hAnsi="Arial" w:cs="Arial"/>
                <w:sz w:val="20"/>
              </w:rPr>
              <w:t>35</w:t>
            </w:r>
            <w:r w:rsidRPr="00AF7469">
              <w:rPr>
                <w:rFonts w:ascii="Arial" w:eastAsia="Arial Unicode MS" w:hAnsi="Arial" w:cs="Arial"/>
                <w:sz w:val="20"/>
              </w:rPr>
              <w:t>, 61-62, 75-79</w:t>
            </w:r>
          </w:p>
        </w:tc>
        <w:tc>
          <w:tcPr>
            <w:tcW w:w="680" w:type="pct"/>
            <w:tcBorders>
              <w:top w:val="single" w:sz="4" w:space="0" w:color="auto"/>
              <w:left w:val="single" w:sz="2" w:space="0" w:color="auto"/>
              <w:bottom w:val="single" w:sz="4" w:space="0" w:color="auto"/>
            </w:tcBorders>
            <w:vAlign w:val="center"/>
          </w:tcPr>
          <w:p w14:paraId="2D3AA10B" w14:textId="511DE65F" w:rsidR="00222A32" w:rsidRPr="00AF7469" w:rsidRDefault="007F2388" w:rsidP="009A7A72">
            <w:pPr>
              <w:pStyle w:val="Footer"/>
              <w:jc w:val="center"/>
              <w:rPr>
                <w:rFonts w:ascii="Arial" w:hAnsi="Arial" w:cs="Arial"/>
                <w:sz w:val="20"/>
              </w:rPr>
            </w:pPr>
            <w:r>
              <w:rPr>
                <w:rFonts w:ascii="Arial" w:hAnsi="Arial" w:cs="Arial"/>
                <w:sz w:val="20"/>
              </w:rPr>
              <w:t>37.42</w:t>
            </w:r>
          </w:p>
        </w:tc>
      </w:tr>
      <w:tr w:rsidR="00222A32" w:rsidRPr="00AF7469" w14:paraId="459890D6" w14:textId="77777777" w:rsidTr="009A7A72">
        <w:trPr>
          <w:cantSplit/>
          <w:trHeight w:val="82"/>
        </w:trPr>
        <w:tc>
          <w:tcPr>
            <w:tcW w:w="509" w:type="pct"/>
            <w:tcBorders>
              <w:top w:val="single" w:sz="4" w:space="0" w:color="auto"/>
              <w:bottom w:val="single" w:sz="4" w:space="0" w:color="auto"/>
              <w:right w:val="single" w:sz="4" w:space="0" w:color="auto"/>
            </w:tcBorders>
            <w:vAlign w:val="center"/>
          </w:tcPr>
          <w:p w14:paraId="00B7B4DA" w14:textId="77777777" w:rsidR="00222A32" w:rsidRPr="00AF7469" w:rsidRDefault="00222A32" w:rsidP="009A7A72">
            <w:pPr>
              <w:pStyle w:val="Footer"/>
              <w:jc w:val="center"/>
              <w:rPr>
                <w:rFonts w:ascii="Arial" w:hAnsi="Arial" w:cs="Arial"/>
                <w:sz w:val="20"/>
              </w:rPr>
            </w:pPr>
            <w:r>
              <w:rPr>
                <w:rFonts w:ascii="Arial" w:hAnsi="Arial" w:cs="Arial"/>
                <w:sz w:val="20"/>
              </w:rPr>
              <w:t>3</w:t>
            </w:r>
          </w:p>
        </w:tc>
        <w:tc>
          <w:tcPr>
            <w:tcW w:w="932" w:type="pct"/>
            <w:vMerge/>
            <w:tcBorders>
              <w:left w:val="single" w:sz="4" w:space="0" w:color="auto"/>
              <w:bottom w:val="single" w:sz="4" w:space="0" w:color="auto"/>
              <w:right w:val="single" w:sz="4" w:space="0" w:color="auto"/>
            </w:tcBorders>
            <w:vAlign w:val="center"/>
          </w:tcPr>
          <w:p w14:paraId="22A1AF7E" w14:textId="77777777" w:rsidR="00222A32" w:rsidRPr="00AF7469" w:rsidRDefault="00222A32" w:rsidP="009A7A72">
            <w:pPr>
              <w:pStyle w:val="Footer"/>
              <w:jc w:val="center"/>
              <w:rPr>
                <w:rFonts w:ascii="Arial" w:hAnsi="Arial" w:cs="Arial"/>
                <w:sz w:val="20"/>
              </w:rPr>
            </w:pPr>
          </w:p>
        </w:tc>
        <w:tc>
          <w:tcPr>
            <w:tcW w:w="1525" w:type="pct"/>
            <w:tcBorders>
              <w:top w:val="single" w:sz="4" w:space="0" w:color="auto"/>
              <w:left w:val="single" w:sz="4" w:space="0" w:color="auto"/>
              <w:bottom w:val="single" w:sz="4" w:space="0" w:color="auto"/>
              <w:right w:val="single" w:sz="2" w:space="0" w:color="auto"/>
            </w:tcBorders>
            <w:vAlign w:val="center"/>
          </w:tcPr>
          <w:p w14:paraId="2FD63344" w14:textId="77777777" w:rsidR="00222A32" w:rsidRPr="00AF7469" w:rsidRDefault="00222A32" w:rsidP="009A7A72">
            <w:pPr>
              <w:pStyle w:val="Footer"/>
              <w:jc w:val="center"/>
              <w:rPr>
                <w:rFonts w:ascii="Arial" w:hAnsi="Arial" w:cs="Arial"/>
                <w:sz w:val="20"/>
              </w:rPr>
            </w:pPr>
            <w:r>
              <w:rPr>
                <w:rFonts w:ascii="Arial" w:hAnsi="Arial" w:cs="Arial"/>
                <w:sz w:val="20"/>
              </w:rPr>
              <w:t>Corbu</w:t>
            </w:r>
          </w:p>
        </w:tc>
        <w:tc>
          <w:tcPr>
            <w:tcW w:w="1354" w:type="pct"/>
            <w:tcBorders>
              <w:top w:val="single" w:sz="4" w:space="0" w:color="auto"/>
              <w:left w:val="single" w:sz="2" w:space="0" w:color="auto"/>
              <w:bottom w:val="single" w:sz="4" w:space="0" w:color="auto"/>
              <w:right w:val="single" w:sz="2" w:space="0" w:color="auto"/>
            </w:tcBorders>
            <w:vAlign w:val="center"/>
          </w:tcPr>
          <w:p w14:paraId="4779896A" w14:textId="77777777" w:rsidR="00222A32" w:rsidRPr="00AF7469" w:rsidRDefault="00222A32" w:rsidP="009A7A72">
            <w:pPr>
              <w:pStyle w:val="Footer"/>
              <w:jc w:val="center"/>
              <w:rPr>
                <w:rFonts w:ascii="Arial" w:eastAsia="Arial Unicode MS" w:hAnsi="Arial" w:cs="Arial"/>
                <w:sz w:val="20"/>
              </w:rPr>
            </w:pPr>
            <w:r>
              <w:rPr>
                <w:rFonts w:ascii="Arial" w:eastAsia="Arial Unicode MS" w:hAnsi="Arial" w:cs="Arial"/>
                <w:sz w:val="20"/>
              </w:rPr>
              <w:t>45-47</w:t>
            </w:r>
          </w:p>
        </w:tc>
        <w:tc>
          <w:tcPr>
            <w:tcW w:w="680" w:type="pct"/>
            <w:tcBorders>
              <w:top w:val="single" w:sz="4" w:space="0" w:color="auto"/>
              <w:left w:val="single" w:sz="2" w:space="0" w:color="auto"/>
              <w:bottom w:val="single" w:sz="4" w:space="0" w:color="auto"/>
            </w:tcBorders>
            <w:vAlign w:val="center"/>
          </w:tcPr>
          <w:p w14:paraId="1C997134" w14:textId="20166CA5" w:rsidR="00222A32" w:rsidRPr="00AF7469" w:rsidRDefault="007F2388" w:rsidP="009A7A72">
            <w:pPr>
              <w:pStyle w:val="Footer"/>
              <w:jc w:val="center"/>
              <w:rPr>
                <w:rFonts w:ascii="Arial" w:hAnsi="Arial" w:cs="Arial"/>
                <w:sz w:val="20"/>
              </w:rPr>
            </w:pPr>
            <w:r>
              <w:rPr>
                <w:rFonts w:ascii="Arial" w:hAnsi="Arial" w:cs="Arial"/>
                <w:sz w:val="20"/>
              </w:rPr>
              <w:t>47.13</w:t>
            </w:r>
          </w:p>
        </w:tc>
      </w:tr>
      <w:tr w:rsidR="00222A32" w:rsidRPr="00AF7469" w14:paraId="1646433E" w14:textId="77777777" w:rsidTr="009A7A72">
        <w:trPr>
          <w:cantSplit/>
          <w:trHeight w:val="28"/>
        </w:trPr>
        <w:tc>
          <w:tcPr>
            <w:tcW w:w="4320" w:type="pct"/>
            <w:gridSpan w:val="4"/>
            <w:tcBorders>
              <w:top w:val="single" w:sz="4" w:space="0" w:color="auto"/>
              <w:right w:val="single" w:sz="4" w:space="0" w:color="auto"/>
            </w:tcBorders>
            <w:vAlign w:val="center"/>
          </w:tcPr>
          <w:p w14:paraId="08F93D62" w14:textId="77777777" w:rsidR="00222A32" w:rsidRPr="00AF7469" w:rsidRDefault="00222A32" w:rsidP="009A7A72">
            <w:pPr>
              <w:pStyle w:val="Footer"/>
              <w:jc w:val="center"/>
              <w:rPr>
                <w:rFonts w:ascii="Arial" w:hAnsi="Arial" w:cs="Arial"/>
                <w:b/>
                <w:bCs/>
                <w:sz w:val="20"/>
              </w:rPr>
            </w:pPr>
            <w:r w:rsidRPr="00AF7469">
              <w:rPr>
                <w:rFonts w:ascii="Arial" w:hAnsi="Arial" w:cs="Arial"/>
                <w:b/>
                <w:bCs/>
                <w:sz w:val="20"/>
              </w:rPr>
              <w:t>TOTAL</w:t>
            </w:r>
          </w:p>
        </w:tc>
        <w:tc>
          <w:tcPr>
            <w:tcW w:w="680" w:type="pct"/>
            <w:tcBorders>
              <w:top w:val="single" w:sz="4" w:space="0" w:color="auto"/>
              <w:left w:val="single" w:sz="4" w:space="0" w:color="auto"/>
            </w:tcBorders>
            <w:vAlign w:val="center"/>
          </w:tcPr>
          <w:p w14:paraId="5CB491B2" w14:textId="77777777" w:rsidR="00222A32" w:rsidRPr="00AF7469" w:rsidRDefault="00222A32" w:rsidP="009A7A72">
            <w:pPr>
              <w:pStyle w:val="Footer"/>
              <w:jc w:val="center"/>
              <w:rPr>
                <w:rFonts w:ascii="Arial" w:hAnsi="Arial" w:cs="Arial"/>
                <w:b/>
                <w:bCs/>
                <w:sz w:val="20"/>
              </w:rPr>
            </w:pPr>
            <w:r w:rsidRPr="00AF7469">
              <w:rPr>
                <w:rFonts w:ascii="Arial" w:hAnsi="Arial" w:cs="Arial"/>
                <w:b/>
                <w:bCs/>
                <w:sz w:val="20"/>
              </w:rPr>
              <w:t>100,24</w:t>
            </w:r>
          </w:p>
        </w:tc>
      </w:tr>
    </w:tbl>
    <w:p w14:paraId="25B26D22" w14:textId="4A4D604E" w:rsidR="001C4BCF" w:rsidRPr="00D146E9" w:rsidRDefault="001C4BCF" w:rsidP="00124C8D">
      <w:pPr>
        <w:spacing w:after="0" w:line="240" w:lineRule="auto"/>
        <w:jc w:val="center"/>
        <w:rPr>
          <w:rFonts w:ascii="Trebuchet MS" w:hAnsi="Trebuchet MS" w:cstheme="majorHAnsi"/>
        </w:rPr>
      </w:pPr>
    </w:p>
    <w:p w14:paraId="3DCDFE4E" w14:textId="77777777" w:rsidR="00124C8D" w:rsidRPr="00FB734E" w:rsidRDefault="001C4BCF" w:rsidP="00124C8D">
      <w:pPr>
        <w:pStyle w:val="Footer"/>
        <w:ind w:firstLine="720"/>
        <w:jc w:val="both"/>
        <w:rPr>
          <w:rFonts w:ascii="Arial" w:hAnsi="Arial" w:cs="Arial"/>
          <w:szCs w:val="24"/>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C56B22">
        <w:rPr>
          <w:rFonts w:ascii="Trebuchet MS" w:hAnsi="Trebuchet MS" w:cstheme="majorHAnsi"/>
          <w:b/>
          <w:i/>
        </w:rPr>
        <w:t>I Țifrea</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222A32">
        <w:rPr>
          <w:rFonts w:ascii="Trebuchet MS" w:hAnsi="Trebuchet MS" w:cstheme="majorHAnsi"/>
        </w:rPr>
        <w:t xml:space="preserve">Ocolul Silvic Borsec și </w:t>
      </w:r>
      <w:r w:rsidR="00387F8F">
        <w:rPr>
          <w:rFonts w:ascii="Trebuchet MS" w:hAnsi="Trebuchet MS" w:cstheme="majorHAnsi"/>
        </w:rPr>
        <w:t>Ocolul Silvic de Regim Gheorgheni</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C56B22">
        <w:rPr>
          <w:rFonts w:ascii="Trebuchet MS" w:hAnsi="Trebuchet MS" w:cstheme="majorHAnsi"/>
        </w:rPr>
        <w:t>I Țifrea</w:t>
      </w:r>
      <w:r w:rsidRPr="00D146E9">
        <w:rPr>
          <w:rFonts w:ascii="Trebuchet MS" w:hAnsi="Trebuchet MS" w:cstheme="majorHAnsi"/>
        </w:rPr>
        <w:t xml:space="preserve"> are o suprafaţă de </w:t>
      </w:r>
      <w:r w:rsidR="00222A32">
        <w:rPr>
          <w:rFonts w:ascii="Trebuchet MS" w:hAnsi="Trebuchet MS" w:cstheme="majorHAnsi"/>
          <w:b/>
        </w:rPr>
        <w:t>100,24</w:t>
      </w:r>
      <w:r w:rsidRPr="00D146E9">
        <w:rPr>
          <w:rFonts w:ascii="Trebuchet MS" w:hAnsi="Trebuchet MS" w:cstheme="majorHAnsi"/>
          <w:b/>
        </w:rPr>
        <w:t xml:space="preserve"> ha</w:t>
      </w:r>
      <w:r w:rsidR="001F0692">
        <w:rPr>
          <w:rFonts w:ascii="Trebuchet MS" w:hAnsi="Trebuchet MS" w:cstheme="majorHAnsi"/>
        </w:rPr>
        <w:t>.</w:t>
      </w:r>
      <w:r w:rsidR="00387F8F">
        <w:rPr>
          <w:rFonts w:ascii="Trebuchet MS" w:hAnsi="Trebuchet MS" w:cstheme="majorHAnsi"/>
        </w:rPr>
        <w:t xml:space="preserve"> </w:t>
      </w:r>
      <w:r w:rsidR="00124C8D" w:rsidRPr="00124C8D">
        <w:rPr>
          <w:rFonts w:ascii="Trebuchet MS" w:hAnsi="Trebuchet MS" w:cstheme="majorHAnsi"/>
        </w:rPr>
        <w:t>Pădurea este situată în bazinul hidrografic al râului Bistriţa, bazinetul pârâului Bistricioara, cu afluenţii săi mai importanţi: pârâul Țifrea, pârâul Lung, Pârâul Curmătura, Pârâul Valea Vinului şi pârâul Malnaș și în bazinetul pârâului Răchitișului Mare, afluent al pârâului Sec care se varsă în râul Mureș.</w:t>
      </w:r>
    </w:p>
    <w:p w14:paraId="53336BF6" w14:textId="0EF2CD7F" w:rsidR="00124C8D" w:rsidRDefault="00124C8D" w:rsidP="00E7544C">
      <w:pPr>
        <w:spacing w:after="0" w:line="240" w:lineRule="auto"/>
        <w:jc w:val="both"/>
        <w:rPr>
          <w:rFonts w:ascii="Trebuchet MS" w:hAnsi="Trebuchet MS" w:cstheme="majorHAnsi"/>
        </w:rPr>
      </w:pPr>
    </w:p>
    <w:p w14:paraId="0396CBAE" w14:textId="3F985CF8" w:rsidR="003C2F86" w:rsidRDefault="003C2F86" w:rsidP="00E7544C">
      <w:pPr>
        <w:spacing w:after="0" w:line="240" w:lineRule="auto"/>
        <w:jc w:val="both"/>
        <w:rPr>
          <w:rFonts w:ascii="Trebuchet MS" w:hAnsi="Trebuchet MS" w:cstheme="majorHAnsi"/>
        </w:rPr>
      </w:pPr>
      <w:r>
        <w:rPr>
          <w:rFonts w:ascii="Trebuchet MS" w:hAnsi="Trebuchet MS" w:cstheme="majorHAnsi"/>
        </w:rPr>
        <w:t>Categoria de folosință a terenurilor:</w:t>
      </w:r>
    </w:p>
    <w:p w14:paraId="4E4455E2" w14:textId="40F4AC70" w:rsidR="003C2F86" w:rsidRDefault="00222A32" w:rsidP="007F1006">
      <w:pPr>
        <w:spacing w:after="0" w:line="240" w:lineRule="auto"/>
        <w:jc w:val="center"/>
        <w:rPr>
          <w:rFonts w:ascii="Trebuchet MS" w:hAnsi="Trebuchet MS" w:cstheme="majorHAnsi"/>
        </w:rPr>
      </w:pPr>
      <w:r>
        <w:rPr>
          <w:noProof/>
          <w:lang w:val="en-US"/>
        </w:rPr>
        <w:drawing>
          <wp:inline distT="0" distB="0" distL="0" distR="0" wp14:anchorId="05882B58" wp14:editId="5B6ED7BB">
            <wp:extent cx="5246370" cy="133256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9090" cy="1343418"/>
                    </a:xfrm>
                    <a:prstGeom prst="rect">
                      <a:avLst/>
                    </a:prstGeom>
                  </pic:spPr>
                </pic:pic>
              </a:graphicData>
            </a:graphic>
          </wp:inline>
        </w:drawing>
      </w:r>
    </w:p>
    <w:p w14:paraId="5CD97F8B" w14:textId="77777777" w:rsidR="007F1006" w:rsidRDefault="007F1006" w:rsidP="000166BC">
      <w:pPr>
        <w:spacing w:after="0" w:line="240" w:lineRule="auto"/>
        <w:ind w:firstLine="706"/>
        <w:jc w:val="both"/>
        <w:rPr>
          <w:rFonts w:ascii="Trebuchet MS" w:hAnsi="Trebuchet MS" w:cstheme="majorHAnsi"/>
        </w:rPr>
      </w:pPr>
    </w:p>
    <w:p w14:paraId="7301AE95" w14:textId="1F999CCE" w:rsidR="00E7544C" w:rsidRDefault="001C4BCF" w:rsidP="001050F7">
      <w:pPr>
        <w:spacing w:after="0" w:line="240" w:lineRule="auto"/>
        <w:jc w:val="both"/>
        <w:rPr>
          <w:rFonts w:ascii="Trebuchet MS" w:hAnsi="Trebuchet MS" w:cstheme="majorHAnsi"/>
        </w:rPr>
      </w:pPr>
      <w:r w:rsidRPr="00D146E9">
        <w:rPr>
          <w:rFonts w:ascii="Trebuchet MS" w:hAnsi="Trebuchet MS" w:cstheme="majorHAnsi"/>
        </w:rPr>
        <w:t xml:space="preserve">Suprafaţa studiată </w:t>
      </w:r>
      <w:r w:rsidR="00EB0ECB" w:rsidRPr="00EB0ECB">
        <w:rPr>
          <w:rFonts w:ascii="Trebuchet MS" w:hAnsi="Trebuchet MS" w:cstheme="majorHAnsi"/>
          <w:b/>
          <w:i/>
        </w:rPr>
        <w:t>nu</w:t>
      </w:r>
      <w:r w:rsidR="00EB0ECB">
        <w:rPr>
          <w:rFonts w:ascii="Trebuchet MS" w:hAnsi="Trebuchet MS" w:cstheme="majorHAnsi"/>
        </w:rPr>
        <w:t xml:space="preserve"> </w:t>
      </w:r>
      <w:r w:rsidRPr="00D146E9">
        <w:rPr>
          <w:rFonts w:ascii="Trebuchet MS" w:hAnsi="Trebuchet MS" w:cstheme="majorHAnsi"/>
          <w:b/>
          <w:i/>
        </w:rPr>
        <w:t xml:space="preserve">se suprapune </w:t>
      </w:r>
      <w:r w:rsidR="00EB0ECB">
        <w:rPr>
          <w:rFonts w:ascii="Trebuchet MS" w:hAnsi="Trebuchet MS" w:cstheme="majorHAnsi"/>
          <w:b/>
          <w:i/>
        </w:rPr>
        <w:t xml:space="preserve">cu arii naturale protejate. </w:t>
      </w:r>
    </w:p>
    <w:p w14:paraId="71D8FBA0" w14:textId="77777777" w:rsidR="001050F7" w:rsidRDefault="001050F7" w:rsidP="001050F7">
      <w:pPr>
        <w:spacing w:after="0" w:line="240" w:lineRule="auto"/>
        <w:jc w:val="both"/>
        <w:rPr>
          <w:rFonts w:ascii="Trebuchet MS" w:hAnsi="Trebuchet MS" w:cstheme="majorHAnsi"/>
        </w:rPr>
      </w:pPr>
    </w:p>
    <w:p w14:paraId="3D4276C2" w14:textId="6F1F74B9"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C56B22">
        <w:rPr>
          <w:rFonts w:ascii="Trebuchet MS" w:hAnsi="Trebuchet MS" w:cstheme="majorHAnsi"/>
        </w:rPr>
        <w:t>I Țifrea</w:t>
      </w:r>
      <w:r w:rsidRPr="00D146E9">
        <w:rPr>
          <w:rFonts w:ascii="Trebuchet MS" w:hAnsi="Trebuchet MS" w:cstheme="majorHAnsi"/>
        </w:rPr>
        <w:t xml:space="preserve"> este constituit din</w:t>
      </w:r>
      <w:r w:rsidR="00391A46">
        <w:rPr>
          <w:rFonts w:ascii="Trebuchet MS" w:hAnsi="Trebuchet MS" w:cstheme="majorHAnsi"/>
        </w:rPr>
        <w:t xml:space="preserve"> </w:t>
      </w:r>
      <w:r w:rsidR="00124C8D">
        <w:rPr>
          <w:rFonts w:ascii="Trebuchet MS" w:hAnsi="Trebuchet MS" w:cstheme="majorHAnsi"/>
        </w:rPr>
        <w:t>6</w:t>
      </w:r>
      <w:r w:rsidRPr="00D146E9">
        <w:rPr>
          <w:rFonts w:ascii="Trebuchet MS" w:hAnsi="Trebuchet MS" w:cstheme="majorHAnsi"/>
        </w:rPr>
        <w:t xml:space="preserve"> trupuri de pădure:</w:t>
      </w:r>
    </w:p>
    <w:p w14:paraId="39D2C96B" w14:textId="2E5D1749" w:rsidR="001C4BCF" w:rsidRDefault="00124C8D" w:rsidP="001C4BCF">
      <w:pPr>
        <w:pStyle w:val="ListParagraph"/>
        <w:ind w:left="0"/>
        <w:jc w:val="center"/>
        <w:rPr>
          <w:rFonts w:ascii="Trebuchet MS" w:hAnsi="Trebuchet MS" w:cs="Times New Roman"/>
        </w:rPr>
      </w:pPr>
      <w:r>
        <w:rPr>
          <w:noProof/>
          <w:lang w:val="en-US"/>
        </w:rPr>
        <w:drawing>
          <wp:inline distT="0" distB="0" distL="0" distR="0" wp14:anchorId="396D5FE6" wp14:editId="2FE68F69">
            <wp:extent cx="5276850" cy="1224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6209" cy="1243107"/>
                    </a:xfrm>
                    <a:prstGeom prst="rect">
                      <a:avLst/>
                    </a:prstGeom>
                  </pic:spPr>
                </pic:pic>
              </a:graphicData>
            </a:graphic>
          </wp:inline>
        </w:drawing>
      </w:r>
    </w:p>
    <w:p w14:paraId="032D4F6B" w14:textId="77777777" w:rsidR="005D347C" w:rsidRPr="001326B2" w:rsidRDefault="005D347C" w:rsidP="005D347C">
      <w:pPr>
        <w:pStyle w:val="BodyTextIndent3"/>
        <w:spacing w:after="0" w:line="240" w:lineRule="auto"/>
        <w:ind w:left="0"/>
        <w:jc w:val="both"/>
        <w:rPr>
          <w:rFonts w:ascii="Trebuchet MS" w:hAnsi="Trebuchet MS"/>
          <w:sz w:val="22"/>
          <w:szCs w:val="22"/>
          <w:lang w:val="ro-RO"/>
        </w:rPr>
      </w:pPr>
      <w:r w:rsidRPr="001326B2">
        <w:rPr>
          <w:rFonts w:ascii="Trebuchet MS" w:hAnsi="Trebuchet MS"/>
          <w:sz w:val="22"/>
          <w:szCs w:val="22"/>
          <w:lang w:val="ro-RO"/>
        </w:rPr>
        <w:t>Indicatori de caracterizare ai fondului forestier:</w:t>
      </w:r>
    </w:p>
    <w:p w14:paraId="7C4C7E7B" w14:textId="77777777" w:rsidR="005D347C" w:rsidRPr="001326B2" w:rsidRDefault="005D347C" w:rsidP="005D347C">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1D9D20E3" wp14:editId="666F8A3D">
            <wp:extent cx="5284470" cy="121219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2766" cy="1223269"/>
                    </a:xfrm>
                    <a:prstGeom prst="rect">
                      <a:avLst/>
                    </a:prstGeom>
                  </pic:spPr>
                </pic:pic>
              </a:graphicData>
            </a:graphic>
          </wp:inline>
        </w:drawing>
      </w:r>
    </w:p>
    <w:p w14:paraId="44532715" w14:textId="77777777" w:rsidR="005D347C" w:rsidRPr="00B94380" w:rsidRDefault="005D347C" w:rsidP="001C4BCF">
      <w:pPr>
        <w:pStyle w:val="ListParagraph"/>
        <w:ind w:left="0"/>
        <w:jc w:val="center"/>
        <w:rPr>
          <w:rFonts w:ascii="Trebuchet MS" w:hAnsi="Trebuchet MS" w:cs="Times New Roman"/>
        </w:rPr>
      </w:pPr>
    </w:p>
    <w:p w14:paraId="6685D8A6" w14:textId="68B51DF4"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 xml:space="preserve">S-au  constituit  </w:t>
      </w:r>
      <w:r w:rsidR="001326B2">
        <w:rPr>
          <w:rFonts w:ascii="Trebuchet MS" w:hAnsi="Trebuchet MS" w:cstheme="majorHAnsi"/>
        </w:rPr>
        <w:t>două</w:t>
      </w:r>
      <w:r w:rsidRPr="00D146E9">
        <w:rPr>
          <w:rFonts w:ascii="Trebuchet MS" w:hAnsi="Trebuchet MS" w:cstheme="majorHAnsi"/>
        </w:rPr>
        <w:t xml:space="preserve">  subunităţi  de  gospodărire :</w:t>
      </w:r>
    </w:p>
    <w:p w14:paraId="4F168200" w14:textId="77777777" w:rsidR="00222A32" w:rsidRDefault="00222A32" w:rsidP="00222A32">
      <w:pPr>
        <w:spacing w:after="0" w:line="240" w:lineRule="auto"/>
        <w:ind w:firstLine="708"/>
        <w:jc w:val="both"/>
        <w:rPr>
          <w:rFonts w:ascii="Trebuchet MS" w:hAnsi="Trebuchet MS" w:cs="Arial"/>
        </w:rPr>
      </w:pPr>
      <w:r w:rsidRPr="00222A32">
        <w:rPr>
          <w:rFonts w:ascii="Trebuchet MS" w:hAnsi="Trebuchet MS" w:cs="Arial"/>
        </w:rPr>
        <w:t>- S.U.P. „A” – Codru regulat - sortimente obişnuite</w:t>
      </w:r>
      <w:r>
        <w:rPr>
          <w:rFonts w:ascii="Trebuchet MS" w:hAnsi="Trebuchet MS" w:cs="Arial"/>
        </w:rPr>
        <w:t xml:space="preserve"> pe </w:t>
      </w:r>
      <w:r w:rsidRPr="00222A32">
        <w:rPr>
          <w:rFonts w:ascii="Trebuchet MS" w:hAnsi="Trebuchet MS" w:cs="Arial"/>
        </w:rPr>
        <w:t>96,42 ha (98%);</w:t>
      </w:r>
    </w:p>
    <w:p w14:paraId="196BABC3" w14:textId="68FDC24C" w:rsidR="00222A32" w:rsidRDefault="00222A32" w:rsidP="00222A32">
      <w:pPr>
        <w:spacing w:after="0" w:line="240" w:lineRule="auto"/>
        <w:ind w:firstLine="708"/>
        <w:jc w:val="both"/>
        <w:rPr>
          <w:rFonts w:ascii="Trebuchet MS" w:hAnsi="Trebuchet MS" w:cs="Arial"/>
        </w:rPr>
      </w:pPr>
      <w:r w:rsidRPr="00222A32">
        <w:rPr>
          <w:rFonts w:ascii="Trebuchet MS" w:hAnsi="Trebuchet MS" w:cs="Arial"/>
        </w:rPr>
        <w:t>- S.U.P. „M” – Conservare deosebită</w:t>
      </w:r>
      <w:r>
        <w:rPr>
          <w:rFonts w:ascii="Trebuchet MS" w:hAnsi="Trebuchet MS" w:cs="Arial"/>
        </w:rPr>
        <w:t xml:space="preserve"> pe </w:t>
      </w:r>
      <w:r w:rsidRPr="00222A32">
        <w:rPr>
          <w:rFonts w:ascii="Trebuchet MS" w:hAnsi="Trebuchet MS" w:cs="Arial"/>
        </w:rPr>
        <w:t>1,63 ha (2%).</w:t>
      </w:r>
    </w:p>
    <w:p w14:paraId="6A13D68B" w14:textId="77777777" w:rsidR="00222A32" w:rsidRDefault="00222A32" w:rsidP="00222A32">
      <w:pPr>
        <w:spacing w:after="0" w:line="240" w:lineRule="auto"/>
        <w:ind w:firstLine="708"/>
        <w:jc w:val="both"/>
        <w:rPr>
          <w:rFonts w:ascii="Trebuchet MS" w:hAnsi="Trebuchet MS" w:cs="Arial"/>
        </w:rPr>
      </w:pPr>
    </w:p>
    <w:p w14:paraId="74B29CF0" w14:textId="00AA1EC9" w:rsidR="001326B2" w:rsidRPr="00222A32" w:rsidRDefault="001326B2" w:rsidP="00222A32">
      <w:pPr>
        <w:spacing w:after="0" w:line="240" w:lineRule="auto"/>
        <w:jc w:val="both"/>
        <w:rPr>
          <w:rFonts w:ascii="Trebuchet MS" w:hAnsi="Trebuchet MS" w:cs="Arial"/>
        </w:rPr>
      </w:pPr>
      <w:r w:rsidRPr="00D146E9">
        <w:rPr>
          <w:rFonts w:ascii="Trebuchet MS" w:hAnsi="Trebuchet MS"/>
        </w:rPr>
        <w:t>Au fost constituite următoarele categorii, grupe și subgrupe funcționale:</w:t>
      </w:r>
    </w:p>
    <w:p w14:paraId="033B9DD9" w14:textId="752B1E46" w:rsidR="001326B2" w:rsidRDefault="00124C8D" w:rsidP="001326B2">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123549A3" wp14:editId="0B59F0A0">
            <wp:extent cx="5238750" cy="6669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1571" cy="672400"/>
                    </a:xfrm>
                    <a:prstGeom prst="rect">
                      <a:avLst/>
                    </a:prstGeom>
                  </pic:spPr>
                </pic:pic>
              </a:graphicData>
            </a:graphic>
          </wp:inline>
        </w:drawing>
      </w:r>
    </w:p>
    <w:p w14:paraId="4C1D2822" w14:textId="15E60F76" w:rsidR="001326B2" w:rsidRPr="005D347C" w:rsidRDefault="005D347C" w:rsidP="005D347C">
      <w:pPr>
        <w:pStyle w:val="BodyTextIndent3"/>
        <w:spacing w:after="0" w:line="240" w:lineRule="auto"/>
        <w:ind w:left="0"/>
        <w:jc w:val="both"/>
        <w:rPr>
          <w:rFonts w:ascii="Trebuchet MS" w:hAnsi="Trebuchet MS" w:cstheme="majorHAnsi"/>
          <w:sz w:val="22"/>
          <w:szCs w:val="22"/>
          <w:lang w:val="ro-RO"/>
        </w:rPr>
      </w:pPr>
      <w:r w:rsidRPr="005D347C">
        <w:rPr>
          <w:rFonts w:ascii="Trebuchet MS" w:hAnsi="Trebuchet MS" w:cs="Arial"/>
          <w:sz w:val="22"/>
          <w:szCs w:val="22"/>
          <w:lang w:val="ro-RO"/>
        </w:rPr>
        <w:lastRenderedPageBreak/>
        <w:t>Diferenţa de suprafaţă de 2,19 ha dintre suprafaţa totală a unităţii de producţie (100,24 ha) şi cea de la zonarea funcţională (98,05 ha), reprezintă terenuri destinate hranei vânatului (unitățile amenajistice 76</w:t>
      </w:r>
      <w:r w:rsidRPr="005D347C">
        <w:rPr>
          <w:rFonts w:ascii="Trebuchet MS" w:hAnsi="Trebuchet MS" w:cs="Arial"/>
          <w:b/>
          <w:sz w:val="22"/>
          <w:szCs w:val="22"/>
          <w:lang w:val="ro-RO"/>
        </w:rPr>
        <w:t>V</w:t>
      </w:r>
      <w:r w:rsidRPr="005D347C">
        <w:rPr>
          <w:rFonts w:ascii="Trebuchet MS" w:hAnsi="Trebuchet MS" w:cs="Arial"/>
          <w:sz w:val="22"/>
          <w:szCs w:val="22"/>
          <w:lang w:val="ro-RO"/>
        </w:rPr>
        <w:t xml:space="preserve"> și 77</w:t>
      </w:r>
      <w:r w:rsidRPr="005D347C">
        <w:rPr>
          <w:rFonts w:ascii="Trebuchet MS" w:hAnsi="Trebuchet MS" w:cs="Arial"/>
          <w:b/>
          <w:sz w:val="22"/>
          <w:szCs w:val="22"/>
          <w:lang w:val="ro-RO"/>
        </w:rPr>
        <w:t>V</w:t>
      </w:r>
      <w:r w:rsidRPr="005D347C">
        <w:rPr>
          <w:rFonts w:ascii="Trebuchet MS" w:hAnsi="Trebuchet MS" w:cs="Arial"/>
          <w:sz w:val="22"/>
          <w:szCs w:val="22"/>
          <w:lang w:val="ro-RO"/>
        </w:rPr>
        <w:t>)</w:t>
      </w:r>
    </w:p>
    <w:p w14:paraId="550BF3AA" w14:textId="77777777" w:rsidR="005D347C" w:rsidRDefault="005D347C" w:rsidP="001326B2">
      <w:pPr>
        <w:pStyle w:val="BodyTextIndent3"/>
        <w:spacing w:after="0" w:line="240" w:lineRule="auto"/>
        <w:ind w:left="0"/>
        <w:jc w:val="both"/>
        <w:rPr>
          <w:rFonts w:ascii="Trebuchet MS" w:hAnsi="Trebuchet MS" w:cs="Arial"/>
          <w:bCs/>
          <w:sz w:val="22"/>
          <w:szCs w:val="22"/>
          <w:lang w:val="ro-RO"/>
        </w:rPr>
      </w:pPr>
    </w:p>
    <w:p w14:paraId="7094408D" w14:textId="41CF9ECD" w:rsidR="008848AD" w:rsidRPr="001326B2" w:rsidRDefault="008848AD" w:rsidP="001326B2">
      <w:pPr>
        <w:pStyle w:val="BodyTextIndent3"/>
        <w:spacing w:after="0" w:line="240" w:lineRule="auto"/>
        <w:ind w:left="0"/>
        <w:jc w:val="both"/>
        <w:rPr>
          <w:rFonts w:ascii="Trebuchet MS" w:hAnsi="Trebuchet MS" w:cstheme="majorHAnsi"/>
          <w:sz w:val="22"/>
          <w:szCs w:val="22"/>
          <w:lang w:val="ro-RO"/>
        </w:rPr>
      </w:pPr>
      <w:r w:rsidRPr="001326B2">
        <w:rPr>
          <w:rFonts w:ascii="Trebuchet MS" w:hAnsi="Trebuchet MS" w:cs="Arial"/>
          <w:bCs/>
          <w:sz w:val="22"/>
          <w:szCs w:val="22"/>
          <w:lang w:val="ro-RO"/>
        </w:rPr>
        <w:t>Evidenţa tipurilor naturale de pădure</w:t>
      </w:r>
      <w:r w:rsidR="001326B2">
        <w:rPr>
          <w:rFonts w:ascii="Trebuchet MS" w:hAnsi="Trebuchet MS" w:cs="Arial"/>
          <w:bCs/>
          <w:sz w:val="22"/>
          <w:szCs w:val="22"/>
          <w:lang w:val="ro-RO"/>
        </w:rPr>
        <w:t>:</w:t>
      </w:r>
    </w:p>
    <w:p w14:paraId="023F426E" w14:textId="34E3B55F" w:rsidR="00EB0ECB" w:rsidRDefault="00222A32" w:rsidP="001326B2">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1EB1C8E4" wp14:editId="0F5F97CE">
            <wp:extent cx="5459730" cy="2399333"/>
            <wp:effectExtent l="0" t="0" r="762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9468" cy="2408007"/>
                    </a:xfrm>
                    <a:prstGeom prst="rect">
                      <a:avLst/>
                    </a:prstGeom>
                  </pic:spPr>
                </pic:pic>
              </a:graphicData>
            </a:graphic>
          </wp:inline>
        </w:drawing>
      </w:r>
    </w:p>
    <w:p w14:paraId="45498FE3" w14:textId="3FD31647" w:rsidR="008848AD" w:rsidRDefault="00222A32" w:rsidP="005D347C">
      <w:pPr>
        <w:pStyle w:val="BodyTextIndent3"/>
        <w:spacing w:after="0" w:line="240" w:lineRule="auto"/>
        <w:ind w:left="0"/>
        <w:jc w:val="both"/>
        <w:rPr>
          <w:rFonts w:ascii="Trebuchet MS" w:hAnsi="Trebuchet MS"/>
          <w:sz w:val="22"/>
          <w:szCs w:val="22"/>
          <w:lang w:val="ro-RO"/>
        </w:rPr>
      </w:pPr>
      <w:r w:rsidRPr="00222A32">
        <w:rPr>
          <w:rFonts w:ascii="Trebuchet MS" w:hAnsi="Trebuchet MS"/>
          <w:sz w:val="22"/>
          <w:szCs w:val="22"/>
          <w:lang w:val="ro-RO"/>
        </w:rPr>
        <w:t>Tipurile naturale de pădure se păstrează în cea mai mare parte şi în prezent, dovadă a unei gospodăriri raţionale în trecut. Excepţie fac arboretele artificiale care ocupă, în prezent 29% din suprafaţa unităţii.</w:t>
      </w:r>
    </w:p>
    <w:p w14:paraId="01B5925B" w14:textId="77777777" w:rsidR="001326B2" w:rsidRDefault="001326B2" w:rsidP="005D347C">
      <w:pPr>
        <w:pStyle w:val="BodyTextIndent3"/>
        <w:spacing w:after="0" w:line="240" w:lineRule="auto"/>
        <w:ind w:left="0" w:firstLine="360"/>
        <w:jc w:val="both"/>
        <w:rPr>
          <w:rFonts w:ascii="Trebuchet MS" w:hAnsi="Trebuchet MS"/>
          <w:sz w:val="22"/>
          <w:szCs w:val="22"/>
          <w:lang w:val="ro-RO"/>
        </w:rPr>
      </w:pPr>
    </w:p>
    <w:p w14:paraId="72305033" w14:textId="4004FF1F" w:rsidR="00391A46" w:rsidRDefault="0051454E" w:rsidP="005D347C">
      <w:pPr>
        <w:pStyle w:val="BodyTextIndent3"/>
        <w:spacing w:after="0" w:line="240" w:lineRule="auto"/>
        <w:ind w:left="0" w:firstLine="36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 xml:space="preserve">ia ţel: </w:t>
      </w:r>
      <w:r w:rsidR="00222A32" w:rsidRPr="00222A32">
        <w:rPr>
          <w:rFonts w:ascii="Trebuchet MS" w:hAnsi="Trebuchet MS"/>
          <w:sz w:val="22"/>
          <w:szCs w:val="22"/>
          <w:lang w:val="ro-RO"/>
        </w:rPr>
        <w:t>67MO 21BR 8FA 2DR 1LA 1DT</w:t>
      </w:r>
      <w:r w:rsidR="007F1006">
        <w:rPr>
          <w:rFonts w:ascii="Trebuchet MS" w:hAnsi="Trebuchet MS"/>
          <w:sz w:val="22"/>
          <w:szCs w:val="22"/>
          <w:lang w:val="ro-RO"/>
        </w:rPr>
        <w:t xml:space="preserve">, tratamente: </w:t>
      </w:r>
      <w:r w:rsidR="007F1006" w:rsidRPr="007F1006">
        <w:rPr>
          <w:rFonts w:ascii="Trebuchet MS" w:hAnsi="Trebuchet MS"/>
          <w:sz w:val="22"/>
          <w:szCs w:val="22"/>
          <w:lang w:val="ro-RO"/>
        </w:rPr>
        <w:t xml:space="preserve">tăieri progresive </w:t>
      </w:r>
      <w:r w:rsidR="001326B2">
        <w:rPr>
          <w:rFonts w:ascii="Trebuchet MS" w:hAnsi="Trebuchet MS"/>
          <w:sz w:val="22"/>
          <w:szCs w:val="22"/>
          <w:lang w:val="ro-RO"/>
        </w:rPr>
        <w:t>și tăieri rase, c</w:t>
      </w:r>
      <w:r>
        <w:rPr>
          <w:rFonts w:ascii="Trebuchet MS" w:hAnsi="Trebuchet MS"/>
          <w:sz w:val="22"/>
          <w:szCs w:val="22"/>
          <w:lang w:val="ro-RO"/>
        </w:rPr>
        <w:t>iclul: 110 ani.</w:t>
      </w:r>
    </w:p>
    <w:p w14:paraId="589E95BE" w14:textId="13F33BC2" w:rsidR="00222A32" w:rsidRPr="005D347C" w:rsidRDefault="00222A32" w:rsidP="005D347C">
      <w:pPr>
        <w:spacing w:after="0" w:line="240" w:lineRule="auto"/>
        <w:ind w:firstLine="720"/>
        <w:jc w:val="both"/>
        <w:rPr>
          <w:rFonts w:ascii="Trebuchet MS" w:hAnsi="Trebuchet MS" w:cs="Arial"/>
        </w:rPr>
      </w:pPr>
      <w:r w:rsidRPr="00222A32">
        <w:rPr>
          <w:rFonts w:ascii="Trebuchet MS" w:hAnsi="Trebuchet MS" w:cs="Arial"/>
        </w:rPr>
        <w:t>Posibilitatea de produse principale este de 614 mc/an, iar cea de produse secundare este de 29 mc/ an, rezultând un indice de recoltare de 7,0 mc/an/ha la produse principale şi 0,3 mc/an/ha la produse secundare.</w:t>
      </w:r>
      <w:r>
        <w:rPr>
          <w:rFonts w:ascii="Trebuchet MS" w:hAnsi="Trebuchet MS" w:cs="Arial"/>
        </w:rPr>
        <w:t xml:space="preserve"> </w:t>
      </w:r>
      <w:r w:rsidRPr="00222A32">
        <w:rPr>
          <w:rFonts w:ascii="Trebuchet MS" w:hAnsi="Trebuchet MS" w:cs="Arial"/>
        </w:rPr>
        <w:t>Lucrări de îngrijire a arboretelor se p</w:t>
      </w:r>
      <w:r>
        <w:rPr>
          <w:rFonts w:ascii="Trebuchet MS" w:hAnsi="Trebuchet MS" w:cs="Arial"/>
        </w:rPr>
        <w:t xml:space="preserve">revăd pe următoarele suprafeţe: </w:t>
      </w:r>
      <w:r>
        <w:rPr>
          <w:rFonts w:ascii="Trebuchet MS" w:hAnsi="Trebuchet MS" w:cs="Arial"/>
          <w:szCs w:val="24"/>
        </w:rPr>
        <w:t xml:space="preserve">degajări pe </w:t>
      </w:r>
      <w:r w:rsidRPr="00222A32">
        <w:rPr>
          <w:rFonts w:ascii="Trebuchet MS" w:hAnsi="Trebuchet MS" w:cs="Arial"/>
          <w:szCs w:val="24"/>
        </w:rPr>
        <w:t>1,50 ha/an;</w:t>
      </w:r>
      <w:r>
        <w:rPr>
          <w:rFonts w:ascii="Trebuchet MS" w:hAnsi="Trebuchet MS" w:cs="Arial"/>
        </w:rPr>
        <w:t xml:space="preserve"> </w:t>
      </w:r>
      <w:r>
        <w:rPr>
          <w:rFonts w:ascii="Trebuchet MS" w:hAnsi="Trebuchet MS" w:cs="Arial"/>
          <w:szCs w:val="24"/>
        </w:rPr>
        <w:t>curăţiri pe 0,10 ha/an</w:t>
      </w:r>
      <w:r w:rsidRPr="00222A32">
        <w:rPr>
          <w:rFonts w:ascii="Trebuchet MS" w:hAnsi="Trebuchet MS" w:cs="Arial"/>
          <w:szCs w:val="24"/>
        </w:rPr>
        <w:t xml:space="preserve"> cu un volum de 0,1 mc/an;</w:t>
      </w:r>
      <w:r>
        <w:rPr>
          <w:rFonts w:ascii="Trebuchet MS" w:hAnsi="Trebuchet MS" w:cs="Arial"/>
        </w:rPr>
        <w:t xml:space="preserve"> </w:t>
      </w:r>
      <w:r>
        <w:rPr>
          <w:rFonts w:ascii="Trebuchet MS" w:hAnsi="Trebuchet MS" w:cs="Arial"/>
          <w:szCs w:val="24"/>
        </w:rPr>
        <w:t xml:space="preserve">rărituri pe </w:t>
      </w:r>
      <w:r w:rsidRPr="00222A32">
        <w:rPr>
          <w:rFonts w:ascii="Trebuchet MS" w:hAnsi="Trebuchet MS" w:cs="Arial"/>
          <w:szCs w:val="24"/>
        </w:rPr>
        <w:t>1,21</w:t>
      </w:r>
      <w:r>
        <w:rPr>
          <w:rFonts w:ascii="Trebuchet MS" w:hAnsi="Trebuchet MS" w:cs="Arial"/>
          <w:szCs w:val="24"/>
        </w:rPr>
        <w:t xml:space="preserve"> ha/an </w:t>
      </w:r>
      <w:r w:rsidRPr="00222A32">
        <w:rPr>
          <w:rFonts w:ascii="Trebuchet MS" w:hAnsi="Trebuchet MS" w:cs="Arial"/>
          <w:szCs w:val="24"/>
        </w:rPr>
        <w:t>cu un volum de 29 mc/an;</w:t>
      </w:r>
      <w:r>
        <w:rPr>
          <w:rFonts w:ascii="Trebuchet MS" w:hAnsi="Trebuchet MS" w:cs="Arial"/>
        </w:rPr>
        <w:t xml:space="preserve"> </w:t>
      </w:r>
      <w:r>
        <w:rPr>
          <w:rFonts w:ascii="Trebuchet MS" w:hAnsi="Trebuchet MS" w:cs="Arial"/>
          <w:szCs w:val="24"/>
        </w:rPr>
        <w:t>tăieri de igienă pe 22,97 ha/an</w:t>
      </w:r>
      <w:r w:rsidRPr="00222A32">
        <w:rPr>
          <w:rFonts w:ascii="Trebuchet MS" w:hAnsi="Trebuchet MS" w:cs="Arial"/>
          <w:szCs w:val="24"/>
        </w:rPr>
        <w:t xml:space="preserve"> cu un volum de 20 mc/an.</w:t>
      </w:r>
      <w:r>
        <w:rPr>
          <w:rFonts w:ascii="Trebuchet MS" w:hAnsi="Trebuchet MS" w:cs="Arial"/>
        </w:rPr>
        <w:t xml:space="preserve"> </w:t>
      </w:r>
      <w:r w:rsidRPr="00222A32">
        <w:rPr>
          <w:rFonts w:ascii="Trebuchet MS" w:hAnsi="Trebuchet MS" w:cs="Arial"/>
        </w:rPr>
        <w:t>S-au prevăzut împăduriri pe 10,12 ha, din care 5,33 ha împăduriri integrale şi 4,79 ha completări. Speciile utilizate în lucrările de împădurire sunt: molidul, bradul, fagul şi laricele.</w:t>
      </w:r>
    </w:p>
    <w:p w14:paraId="10849DB7" w14:textId="2F07C85E" w:rsidR="007F1006" w:rsidRDefault="007F1006" w:rsidP="005D347C">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t>Planul decenal:</w:t>
      </w:r>
    </w:p>
    <w:p w14:paraId="06E57833" w14:textId="0D32075D" w:rsidR="007F1006" w:rsidRDefault="005D347C" w:rsidP="005D347C">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53512438" wp14:editId="5EAC50A1">
            <wp:extent cx="4925803" cy="102352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5913" cy="1031857"/>
                    </a:xfrm>
                    <a:prstGeom prst="rect">
                      <a:avLst/>
                    </a:prstGeom>
                  </pic:spPr>
                </pic:pic>
              </a:graphicData>
            </a:graphic>
          </wp:inline>
        </w:drawing>
      </w:r>
    </w:p>
    <w:p w14:paraId="618262B6" w14:textId="5C36E87D" w:rsidR="00222A32" w:rsidRPr="00222A32" w:rsidRDefault="00222A32" w:rsidP="005D347C">
      <w:pPr>
        <w:tabs>
          <w:tab w:val="left" w:pos="-567"/>
        </w:tabs>
        <w:spacing w:after="0" w:line="240" w:lineRule="auto"/>
        <w:jc w:val="both"/>
        <w:rPr>
          <w:rFonts w:ascii="Trebuchet MS" w:hAnsi="Trebuchet MS" w:cs="Arial"/>
          <w:szCs w:val="24"/>
        </w:rPr>
      </w:pPr>
      <w:r w:rsidRPr="00222A32">
        <w:rPr>
          <w:rFonts w:ascii="Trebuchet MS" w:hAnsi="Trebuchet MS" w:cs="Arial"/>
          <w:szCs w:val="24"/>
        </w:rPr>
        <w:t>Instalaţiile de transport existente care deservesc pădurea însumează 6,3 km şi sunt reprezentate de două drumuri publice și cinci drumuri forestiere. Ele asigură accesibilitatea fondului forestier şi a posibilităţii în proporţie de 100%.</w:t>
      </w:r>
    </w:p>
    <w:p w14:paraId="55AEFA31" w14:textId="2EA3CEC6" w:rsidR="001326B2" w:rsidRPr="001326B2" w:rsidRDefault="00F576F5" w:rsidP="005D347C">
      <w:pPr>
        <w:tabs>
          <w:tab w:val="left" w:pos="-567"/>
        </w:tabs>
        <w:spacing w:after="0" w:line="240" w:lineRule="auto"/>
        <w:ind w:firstLine="562"/>
        <w:jc w:val="center"/>
        <w:rPr>
          <w:rFonts w:ascii="Trebuchet MS" w:hAnsi="Trebuchet MS"/>
        </w:rPr>
      </w:pPr>
      <w:r>
        <w:rPr>
          <w:noProof/>
          <w:lang w:val="en-US"/>
        </w:rPr>
        <w:drawing>
          <wp:inline distT="0" distB="0" distL="0" distR="0" wp14:anchorId="27CB0604" wp14:editId="6D5955AA">
            <wp:extent cx="4995569" cy="2034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54641" cy="2058598"/>
                    </a:xfrm>
                    <a:prstGeom prst="rect">
                      <a:avLst/>
                    </a:prstGeom>
                  </pic:spPr>
                </pic:pic>
              </a:graphicData>
            </a:graphic>
          </wp:inline>
        </w:drawing>
      </w:r>
    </w:p>
    <w:p w14:paraId="2D98AFCF"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lastRenderedPageBreak/>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4BC05448" w14:textId="3FDD5913" w:rsidR="001C4BCF" w:rsidRPr="005D347C" w:rsidRDefault="001C4BCF" w:rsidP="005D347C">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050F7">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0FB365B3" w14:textId="09A7EB49" w:rsidR="000B6D71" w:rsidRPr="008848AD" w:rsidRDefault="001C4BCF" w:rsidP="008848AD">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r w:rsidR="008848AD">
        <w:rPr>
          <w:rFonts w:ascii="Trebuchet MS" w:hAnsi="Trebuchet MS"/>
          <w:iCs/>
        </w:rPr>
        <w:t xml:space="preserve"> Amenajamentul silvic cuprinde și un capitol (cap. 9 – Conservarea biodiversității) cu privire la protecția ecosistemelor terestre și acvatice. Condițiile propuse de APM Harghita prin adresa</w:t>
      </w:r>
      <w:r w:rsidR="008848AD" w:rsidRPr="008848AD">
        <w:rPr>
          <w:rFonts w:ascii="Trebuchet MS" w:hAnsi="Trebuchet MS"/>
          <w:iCs/>
        </w:rPr>
        <w:t xml:space="preserve"> nr. 4070/10.05.2024</w:t>
      </w:r>
      <w:r w:rsidR="008848AD">
        <w:rPr>
          <w:rFonts w:ascii="Trebuchet MS" w:hAnsi="Trebuchet MS"/>
          <w:iCs/>
        </w:rPr>
        <w:t xml:space="preserve"> au fost incluse în amenajament.</w:t>
      </w:r>
    </w:p>
    <w:p w14:paraId="2A983B41" w14:textId="6610059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75D30ED2" w14:textId="77777777" w:rsidR="00124C8D" w:rsidRPr="00124C8D" w:rsidRDefault="001C4BCF" w:rsidP="00124C8D">
      <w:pPr>
        <w:tabs>
          <w:tab w:val="left" w:pos="567"/>
        </w:tabs>
        <w:spacing w:after="0" w:line="240" w:lineRule="auto"/>
        <w:ind w:firstLine="720"/>
        <w:jc w:val="both"/>
        <w:rPr>
          <w:rFonts w:ascii="Trebuchet MS" w:hAnsi="Trebuchet MS" w:cs="Arial"/>
          <w:szCs w:val="24"/>
          <w:lang w:eastAsia="en-GB"/>
        </w:rPr>
      </w:pPr>
      <w:r w:rsidRPr="00124C8D">
        <w:rPr>
          <w:rFonts w:ascii="Trebuchet MS" w:hAnsi="Trebuchet MS"/>
        </w:rPr>
        <w:t xml:space="preserve">Menţinerea integrităţii fondului forestier, respectiv protejarea speciilor ocrotite și habitatelor forestiere, a peisajului și menținerea tipului natural fundamental de pădure. </w:t>
      </w:r>
      <w:r w:rsidR="00124C8D" w:rsidRPr="00124C8D">
        <w:rPr>
          <w:rFonts w:ascii="Trebuchet MS" w:hAnsi="Trebuchet MS" w:cs="Arial"/>
          <w:szCs w:val="24"/>
          <w:lang w:eastAsia="en-GB"/>
        </w:rPr>
        <w:t>Înmlăștinarea permanentă a fost identificată în cuprinsul unității pe o suprafață redusă de teren (1,63 ha), în unitatea amenajistică 69 A, astfel că se încadrează limitele normalului ținând cont de condițiile geologice și de relief din această zonă. Arboretul respectiv a fost inclus în grupa I, categoria 2.i și va fi gospodărit în regim de conservare.</w:t>
      </w:r>
    </w:p>
    <w:p w14:paraId="271D1E74" w14:textId="3B47855A" w:rsidR="001C4BCF" w:rsidRPr="003C2F86" w:rsidRDefault="001C4BCF" w:rsidP="003C2F86">
      <w:pPr>
        <w:pStyle w:val="BodyText"/>
        <w:spacing w:after="0" w:line="240" w:lineRule="auto"/>
        <w:jc w:val="both"/>
        <w:rPr>
          <w:rFonts w:ascii="Trebuchet MS" w:hAnsi="Trebuchet MS"/>
          <w:lang w:val="ro-RO"/>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0E35BADB" w14:textId="2C70D288" w:rsidR="001C4BCF"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7F49761B" w14:textId="77777777" w:rsidR="005D347C" w:rsidRPr="001F0692" w:rsidRDefault="005D347C" w:rsidP="005D347C">
      <w:pPr>
        <w:spacing w:after="0" w:line="240" w:lineRule="auto"/>
        <w:ind w:left="360"/>
        <w:jc w:val="both"/>
        <w:rPr>
          <w:rFonts w:ascii="Trebuchet MS" w:hAnsi="Trebuchet MS"/>
        </w:rPr>
      </w:pP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lastRenderedPageBreak/>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411D09BA"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C56B22">
        <w:rPr>
          <w:rFonts w:ascii="Trebuchet MS" w:hAnsi="Trebuchet MS"/>
          <w:i/>
          <w:color w:val="000000"/>
        </w:rPr>
        <w:t>I Țifrea</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637D23D" w14:textId="6D8C0840" w:rsidR="00F576F5"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79109798" w14:textId="6F261FEA" w:rsidR="000B6D71"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3FCE8936" w14:textId="77777777" w:rsidR="000B6D71" w:rsidRDefault="000B6D71" w:rsidP="000B6D71">
      <w:pPr>
        <w:autoSpaceDE w:val="0"/>
        <w:autoSpaceDN w:val="0"/>
        <w:adjustRightInd w:val="0"/>
        <w:spacing w:after="0" w:line="240" w:lineRule="auto"/>
        <w:jc w:val="both"/>
        <w:rPr>
          <w:rFonts w:ascii="Trebuchet MS" w:hAnsi="Trebuchet MS"/>
          <w:i/>
        </w:rPr>
      </w:pPr>
      <w:r>
        <w:rPr>
          <w:rFonts w:ascii="Trebuchet MS" w:hAnsi="Trebuchet MS"/>
          <w:i/>
        </w:rPr>
        <w:t xml:space="preserve">- nu este cazul </w:t>
      </w:r>
    </w:p>
    <w:p w14:paraId="7070E0DE" w14:textId="77777777" w:rsidR="001C4BCF" w:rsidRPr="00D146E9" w:rsidRDefault="001C4BCF" w:rsidP="001C4BCF">
      <w:pPr>
        <w:spacing w:after="0" w:line="240" w:lineRule="auto"/>
        <w:jc w:val="both"/>
        <w:rPr>
          <w:rFonts w:ascii="Trebuchet MS" w:hAnsi="Trebuchet MS"/>
          <w:b/>
        </w:rPr>
      </w:pPr>
    </w:p>
    <w:p w14:paraId="748D3CE0" w14:textId="08E9A227" w:rsidR="001C4BCF" w:rsidRPr="000B6D71" w:rsidRDefault="001C4BCF" w:rsidP="000B6D71">
      <w:pPr>
        <w:pStyle w:val="ListParagraph"/>
        <w:numPr>
          <w:ilvl w:val="0"/>
          <w:numId w:val="26"/>
        </w:numPr>
        <w:spacing w:after="0" w:line="240" w:lineRule="auto"/>
        <w:ind w:left="360" w:hanging="360"/>
        <w:jc w:val="both"/>
        <w:rPr>
          <w:rFonts w:ascii="Trebuchet MS" w:hAnsi="Trebuchet MS"/>
          <w:b/>
        </w:rPr>
      </w:pPr>
      <w:r w:rsidRPr="000B6D71">
        <w:rPr>
          <w:rFonts w:ascii="Trebuchet MS" w:hAnsi="Trebuchet MS"/>
          <w:b/>
        </w:rPr>
        <w:lastRenderedPageBreak/>
        <w:t xml:space="preserve">Planul urmează să fie supus procedurii de adoptare fără aviz de mediu cu următoarele condiţii: </w:t>
      </w:r>
    </w:p>
    <w:p w14:paraId="5BEF76CC" w14:textId="3FBA6684" w:rsidR="001050F7" w:rsidRPr="001050F7"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toate condițiile impuse trebuie respectate de către </w:t>
      </w:r>
      <w:r w:rsidR="005D347C">
        <w:rPr>
          <w:rFonts w:ascii="Trebuchet MS" w:hAnsi="Trebuchet MS" w:cstheme="majorHAnsi"/>
        </w:rPr>
        <w:t>Ocolul Silvic Borsec și Ocolul Silvic de Regim Gheorgheni</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4B72AC72"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C56B22">
        <w:rPr>
          <w:rFonts w:ascii="Trebuchet MS" w:hAnsi="Trebuchet MS"/>
          <w:sz w:val="22"/>
          <w:lang w:eastAsia="ro-RO"/>
        </w:rPr>
        <w:t>I Țifrea</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191B6426" w14:textId="7DDF34D7" w:rsidR="001050F7" w:rsidRPr="00D146E9" w:rsidRDefault="001050F7" w:rsidP="001050F7">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5D347C">
        <w:rPr>
          <w:rFonts w:ascii="Trebuchet MS" w:hAnsi="Trebuchet MS"/>
        </w:rPr>
        <w:t>16</w:t>
      </w:r>
      <w:r w:rsidR="008848AD">
        <w:rPr>
          <w:rFonts w:ascii="Trebuchet MS" w:hAnsi="Trebuchet MS"/>
        </w:rPr>
        <w:t>.07</w:t>
      </w:r>
      <w:r w:rsidRPr="00D146E9">
        <w:rPr>
          <w:rFonts w:ascii="Trebuchet MS" w:hAnsi="Trebuchet MS"/>
        </w:rPr>
        <w:t xml:space="preserve">.2024, </w:t>
      </w:r>
      <w:r w:rsidR="005D347C">
        <w:rPr>
          <w:rFonts w:ascii="Trebuchet MS" w:hAnsi="Trebuchet MS"/>
        </w:rPr>
        <w:t>19</w:t>
      </w:r>
      <w:r w:rsidR="008848AD">
        <w:rPr>
          <w:rFonts w:ascii="Trebuchet MS" w:hAnsi="Trebuchet MS"/>
        </w:rPr>
        <w:t>.07</w:t>
      </w:r>
      <w:r w:rsidRPr="00D146E9">
        <w:rPr>
          <w:rFonts w:ascii="Trebuchet MS" w:hAnsi="Trebuchet MS"/>
        </w:rPr>
        <w:t>.2024, .</w:t>
      </w:r>
      <w:r w:rsidR="008848AD">
        <w:rPr>
          <w:rFonts w:ascii="Trebuchet MS" w:hAnsi="Trebuchet MS"/>
        </w:rPr>
        <w:t>08</w:t>
      </w:r>
      <w:r w:rsidRPr="00D146E9">
        <w:rPr>
          <w:rFonts w:ascii="Trebuchet MS" w:hAnsi="Trebuchet MS"/>
        </w:rPr>
        <w:t xml:space="preserve">.2024, și în ziarul Hargita Népe din data de </w:t>
      </w:r>
      <w:r w:rsidR="005D347C">
        <w:rPr>
          <w:rFonts w:ascii="Trebuchet MS" w:hAnsi="Trebuchet MS"/>
        </w:rPr>
        <w:t>16</w:t>
      </w:r>
      <w:r w:rsidR="001326B2">
        <w:rPr>
          <w:rFonts w:ascii="Trebuchet MS" w:hAnsi="Trebuchet MS"/>
        </w:rPr>
        <w:t>.07</w:t>
      </w:r>
      <w:r w:rsidRPr="00D146E9">
        <w:rPr>
          <w:rFonts w:ascii="Trebuchet MS" w:hAnsi="Trebuchet MS"/>
        </w:rPr>
        <w:t xml:space="preserve">.2024, </w:t>
      </w:r>
      <w:r w:rsidR="005D347C">
        <w:rPr>
          <w:rFonts w:ascii="Trebuchet MS" w:hAnsi="Trebuchet MS"/>
        </w:rPr>
        <w:t>19</w:t>
      </w:r>
      <w:r w:rsidR="001326B2">
        <w:rPr>
          <w:rFonts w:ascii="Trebuchet MS" w:hAnsi="Trebuchet MS"/>
        </w:rPr>
        <w:t>.07</w:t>
      </w:r>
      <w:r w:rsidRPr="00D146E9">
        <w:rPr>
          <w:rFonts w:ascii="Trebuchet MS" w:hAnsi="Trebuchet MS"/>
        </w:rPr>
        <w:t>.2024, .</w:t>
      </w:r>
      <w:r w:rsidR="001326B2">
        <w:rPr>
          <w:rFonts w:ascii="Trebuchet MS" w:hAnsi="Trebuchet MS"/>
        </w:rPr>
        <w:t>08</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5113EF65"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r w:rsidR="001050F7">
        <w:rPr>
          <w:rFonts w:ascii="Trebuchet MS" w:hAnsi="Trebuchet MS"/>
        </w:rPr>
        <w:t>.</w:t>
      </w:r>
    </w:p>
    <w:p w14:paraId="6E5E246F" w14:textId="78EB412B" w:rsidR="001C4BCF" w:rsidRPr="00D146E9" w:rsidRDefault="001C4BCF" w:rsidP="000B6D71">
      <w:pPr>
        <w:autoSpaceDE w:val="0"/>
        <w:autoSpaceDN w:val="0"/>
        <w:adjustRightInd w:val="0"/>
        <w:spacing w:after="0" w:line="240" w:lineRule="auto"/>
        <w:ind w:firstLine="708"/>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lastRenderedPageBreak/>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75DF6F05" w:rsidR="001C4BCF" w:rsidRDefault="001C4BCF" w:rsidP="001C4BCF">
      <w:pPr>
        <w:spacing w:after="0" w:line="240" w:lineRule="auto"/>
        <w:outlineLvl w:val="0"/>
        <w:rPr>
          <w:rFonts w:ascii="Trebuchet MS" w:hAnsi="Trebuchet MS"/>
        </w:rPr>
      </w:pPr>
    </w:p>
    <w:p w14:paraId="17B2F98C" w14:textId="77777777" w:rsidR="00F576F5" w:rsidRDefault="00F576F5" w:rsidP="001C4BCF">
      <w:pPr>
        <w:spacing w:after="0" w:line="240" w:lineRule="auto"/>
        <w:outlineLvl w:val="0"/>
        <w:rPr>
          <w:rFonts w:ascii="Trebuchet MS" w:hAnsi="Trebuchet MS"/>
        </w:rPr>
      </w:pPr>
    </w:p>
    <w:p w14:paraId="1374E5D3" w14:textId="15FB130F" w:rsidR="00D73445" w:rsidRDefault="00D73445" w:rsidP="001C4BCF">
      <w:pPr>
        <w:spacing w:after="0" w:line="240" w:lineRule="auto"/>
        <w:outlineLvl w:val="0"/>
        <w:rPr>
          <w:rFonts w:ascii="Trebuchet MS" w:hAnsi="Trebuchet MS"/>
        </w:rPr>
      </w:pPr>
    </w:p>
    <w:p w14:paraId="5DEEBED9" w14:textId="393F80D1"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7B7F981F" w:rsidR="001C4BCF" w:rsidRPr="00C77A83" w:rsidRDefault="001326B2" w:rsidP="00B3545A">
            <w:pPr>
              <w:spacing w:after="0" w:line="240" w:lineRule="auto"/>
              <w:rPr>
                <w:rFonts w:ascii="Trebuchet MS" w:hAnsi="Trebuchet MS"/>
              </w:rPr>
            </w:pPr>
            <w:r>
              <w:rPr>
                <w:rFonts w:ascii="Trebuchet MS" w:hAnsi="Trebuchet MS"/>
              </w:rPr>
              <w:t>06.08</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791E1908" w:rsidR="001C4BCF" w:rsidRPr="00C77A83" w:rsidRDefault="001326B2" w:rsidP="00B3545A">
            <w:pPr>
              <w:spacing w:after="0" w:line="240" w:lineRule="auto"/>
              <w:rPr>
                <w:rFonts w:ascii="Trebuchet MS" w:hAnsi="Trebuchet MS"/>
              </w:rPr>
            </w:pPr>
            <w:r>
              <w:rPr>
                <w:rFonts w:ascii="Trebuchet MS" w:hAnsi="Trebuchet MS"/>
              </w:rPr>
              <w:t>06.08</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06BDC324" w:rsidR="001C4BCF" w:rsidRPr="00C77A83" w:rsidRDefault="001326B2" w:rsidP="00B3545A">
            <w:pPr>
              <w:spacing w:after="0" w:line="240" w:lineRule="auto"/>
              <w:rPr>
                <w:rFonts w:ascii="Trebuchet MS" w:hAnsi="Trebuchet MS"/>
              </w:rPr>
            </w:pPr>
            <w:r>
              <w:rPr>
                <w:rFonts w:ascii="Trebuchet MS" w:hAnsi="Trebuchet MS"/>
              </w:rPr>
              <w:t>06.08</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3A057A13" w14:textId="6821F839" w:rsidR="001C4BCF" w:rsidRDefault="001C4BCF" w:rsidP="001C4BCF">
      <w:pPr>
        <w:spacing w:after="0" w:line="240" w:lineRule="auto"/>
        <w:rPr>
          <w:rFonts w:ascii="Trebuchet MS" w:hAnsi="Trebuchet MS"/>
          <w:sz w:val="20"/>
          <w:szCs w:val="20"/>
        </w:rPr>
      </w:pPr>
    </w:p>
    <w:p w14:paraId="453CA022" w14:textId="77777777" w:rsidR="00F576F5" w:rsidRDefault="00F576F5" w:rsidP="001C4BCF">
      <w:pPr>
        <w:spacing w:after="0" w:line="240" w:lineRule="auto"/>
        <w:rPr>
          <w:rFonts w:ascii="Trebuchet MS" w:hAnsi="Trebuchet MS"/>
          <w:sz w:val="20"/>
          <w:szCs w:val="20"/>
        </w:rPr>
      </w:pPr>
    </w:p>
    <w:p w14:paraId="5DD18227" w14:textId="77777777" w:rsidR="00F576F5" w:rsidRDefault="00F576F5" w:rsidP="001C4BCF">
      <w:pPr>
        <w:spacing w:after="0" w:line="240" w:lineRule="auto"/>
        <w:rPr>
          <w:rFonts w:ascii="Trebuchet MS" w:hAnsi="Trebuchet MS"/>
          <w:sz w:val="20"/>
          <w:szCs w:val="20"/>
        </w:rPr>
      </w:pPr>
    </w:p>
    <w:p w14:paraId="3D51F2BC" w14:textId="77777777" w:rsidR="00F576F5" w:rsidRDefault="00F576F5" w:rsidP="001C4BCF">
      <w:pPr>
        <w:spacing w:after="0" w:line="240" w:lineRule="auto"/>
        <w:rPr>
          <w:rFonts w:ascii="Trebuchet MS" w:hAnsi="Trebuchet MS"/>
          <w:sz w:val="20"/>
          <w:szCs w:val="20"/>
        </w:rPr>
      </w:pPr>
    </w:p>
    <w:p w14:paraId="19D55251" w14:textId="77777777" w:rsidR="00F576F5" w:rsidRDefault="00F576F5" w:rsidP="001C4BCF">
      <w:pPr>
        <w:spacing w:after="0" w:line="240" w:lineRule="auto"/>
        <w:rPr>
          <w:rFonts w:ascii="Trebuchet MS" w:hAnsi="Trebuchet MS"/>
          <w:sz w:val="20"/>
          <w:szCs w:val="20"/>
        </w:rPr>
      </w:pPr>
    </w:p>
    <w:p w14:paraId="7B80EB62" w14:textId="77777777" w:rsidR="00F576F5" w:rsidRDefault="00F576F5" w:rsidP="001C4BCF">
      <w:pPr>
        <w:spacing w:after="0" w:line="240" w:lineRule="auto"/>
        <w:rPr>
          <w:rFonts w:ascii="Trebuchet MS" w:hAnsi="Trebuchet MS"/>
          <w:sz w:val="20"/>
          <w:szCs w:val="20"/>
        </w:rPr>
      </w:pPr>
    </w:p>
    <w:p w14:paraId="0A5DB7C4" w14:textId="77777777" w:rsidR="00F576F5" w:rsidRDefault="00F576F5" w:rsidP="001C4BCF">
      <w:pPr>
        <w:spacing w:after="0" w:line="240" w:lineRule="auto"/>
        <w:rPr>
          <w:rFonts w:ascii="Trebuchet MS" w:hAnsi="Trebuchet MS"/>
          <w:sz w:val="20"/>
          <w:szCs w:val="20"/>
        </w:rPr>
      </w:pPr>
    </w:p>
    <w:p w14:paraId="27B65D65" w14:textId="77777777" w:rsidR="00F576F5" w:rsidRDefault="00F576F5" w:rsidP="001C4BCF">
      <w:pPr>
        <w:spacing w:after="0" w:line="240" w:lineRule="auto"/>
        <w:rPr>
          <w:rFonts w:ascii="Trebuchet MS" w:hAnsi="Trebuchet MS"/>
          <w:sz w:val="20"/>
          <w:szCs w:val="20"/>
        </w:rPr>
      </w:pPr>
    </w:p>
    <w:p w14:paraId="0B4C7B0C" w14:textId="77777777" w:rsidR="00F576F5" w:rsidRDefault="00F576F5" w:rsidP="001C4BCF">
      <w:pPr>
        <w:spacing w:after="0" w:line="240" w:lineRule="auto"/>
        <w:rPr>
          <w:rFonts w:ascii="Trebuchet MS" w:hAnsi="Trebuchet MS"/>
          <w:sz w:val="20"/>
          <w:szCs w:val="20"/>
        </w:rPr>
      </w:pPr>
    </w:p>
    <w:p w14:paraId="5D2F02AA" w14:textId="77777777" w:rsidR="00F576F5" w:rsidRDefault="00F576F5" w:rsidP="001C4BCF">
      <w:pPr>
        <w:spacing w:after="0" w:line="240" w:lineRule="auto"/>
        <w:rPr>
          <w:rFonts w:ascii="Trebuchet MS" w:hAnsi="Trebuchet MS"/>
          <w:sz w:val="20"/>
          <w:szCs w:val="20"/>
        </w:rPr>
      </w:pPr>
    </w:p>
    <w:p w14:paraId="25B8F3B6" w14:textId="77777777" w:rsidR="00F576F5" w:rsidRDefault="00F576F5" w:rsidP="001C4BCF">
      <w:pPr>
        <w:spacing w:after="0" w:line="240" w:lineRule="auto"/>
        <w:rPr>
          <w:rFonts w:ascii="Trebuchet MS" w:hAnsi="Trebuchet MS"/>
          <w:sz w:val="20"/>
          <w:szCs w:val="20"/>
        </w:rPr>
      </w:pPr>
    </w:p>
    <w:p w14:paraId="6599CAE9" w14:textId="77777777" w:rsidR="00F576F5" w:rsidRDefault="00F576F5" w:rsidP="001C4BCF">
      <w:pPr>
        <w:spacing w:after="0" w:line="240" w:lineRule="auto"/>
        <w:rPr>
          <w:rFonts w:ascii="Trebuchet MS" w:hAnsi="Trebuchet MS"/>
          <w:sz w:val="20"/>
          <w:szCs w:val="20"/>
        </w:rPr>
      </w:pPr>
    </w:p>
    <w:p w14:paraId="090B0BD7" w14:textId="77777777" w:rsidR="00F576F5" w:rsidRDefault="00F576F5" w:rsidP="001C4BCF">
      <w:pPr>
        <w:spacing w:after="0" w:line="240" w:lineRule="auto"/>
        <w:rPr>
          <w:rFonts w:ascii="Trebuchet MS" w:hAnsi="Trebuchet MS"/>
          <w:sz w:val="20"/>
          <w:szCs w:val="20"/>
        </w:rPr>
      </w:pPr>
    </w:p>
    <w:p w14:paraId="346041EC" w14:textId="77777777" w:rsidR="00F576F5" w:rsidRDefault="00F576F5" w:rsidP="001C4BCF">
      <w:pPr>
        <w:spacing w:after="0" w:line="240" w:lineRule="auto"/>
        <w:rPr>
          <w:rFonts w:ascii="Trebuchet MS" w:hAnsi="Trebuchet MS"/>
          <w:sz w:val="20"/>
          <w:szCs w:val="20"/>
        </w:rPr>
      </w:pPr>
    </w:p>
    <w:p w14:paraId="3715AF3F" w14:textId="77777777" w:rsidR="00F576F5" w:rsidRDefault="00F576F5" w:rsidP="001C4BCF">
      <w:pPr>
        <w:spacing w:after="0" w:line="240" w:lineRule="auto"/>
        <w:rPr>
          <w:rFonts w:ascii="Trebuchet MS" w:hAnsi="Trebuchet MS"/>
          <w:sz w:val="20"/>
          <w:szCs w:val="20"/>
        </w:rPr>
      </w:pPr>
    </w:p>
    <w:p w14:paraId="0C23A588" w14:textId="77777777" w:rsidR="00F576F5" w:rsidRDefault="00F576F5" w:rsidP="001C4BCF">
      <w:pPr>
        <w:spacing w:after="0" w:line="240" w:lineRule="auto"/>
        <w:rPr>
          <w:rFonts w:ascii="Trebuchet MS" w:hAnsi="Trebuchet MS"/>
          <w:sz w:val="20"/>
          <w:szCs w:val="20"/>
        </w:rPr>
      </w:pPr>
    </w:p>
    <w:p w14:paraId="217CA417" w14:textId="77777777" w:rsidR="00F576F5" w:rsidRDefault="00F576F5" w:rsidP="001C4BCF">
      <w:pPr>
        <w:spacing w:after="0" w:line="240" w:lineRule="auto"/>
        <w:rPr>
          <w:rFonts w:ascii="Trebuchet MS" w:hAnsi="Trebuchet MS"/>
          <w:sz w:val="20"/>
          <w:szCs w:val="20"/>
        </w:rPr>
      </w:pPr>
    </w:p>
    <w:p w14:paraId="379FDF97" w14:textId="77777777" w:rsidR="00F576F5" w:rsidRDefault="00F576F5" w:rsidP="001C4BCF">
      <w:pPr>
        <w:spacing w:after="0" w:line="240" w:lineRule="auto"/>
        <w:rPr>
          <w:rFonts w:ascii="Trebuchet MS" w:hAnsi="Trebuchet MS"/>
          <w:sz w:val="20"/>
          <w:szCs w:val="20"/>
        </w:rPr>
      </w:pPr>
    </w:p>
    <w:p w14:paraId="770033FC" w14:textId="77777777" w:rsidR="00F576F5" w:rsidRDefault="00F576F5" w:rsidP="001C4BCF">
      <w:pPr>
        <w:spacing w:after="0" w:line="240" w:lineRule="auto"/>
        <w:rPr>
          <w:rFonts w:ascii="Trebuchet MS" w:hAnsi="Trebuchet MS"/>
          <w:sz w:val="20"/>
          <w:szCs w:val="20"/>
        </w:rPr>
      </w:pPr>
    </w:p>
    <w:p w14:paraId="79280246" w14:textId="77777777" w:rsidR="00F576F5" w:rsidRDefault="00F576F5" w:rsidP="001C4BCF">
      <w:pPr>
        <w:spacing w:after="0" w:line="240" w:lineRule="auto"/>
        <w:rPr>
          <w:rFonts w:ascii="Trebuchet MS" w:hAnsi="Trebuchet MS"/>
          <w:sz w:val="20"/>
          <w:szCs w:val="20"/>
        </w:rPr>
      </w:pPr>
    </w:p>
    <w:p w14:paraId="673E5B89" w14:textId="77777777" w:rsidR="00F576F5" w:rsidRDefault="00F576F5" w:rsidP="001C4BCF">
      <w:pPr>
        <w:spacing w:after="0" w:line="240" w:lineRule="auto"/>
        <w:rPr>
          <w:rFonts w:ascii="Trebuchet MS" w:hAnsi="Trebuchet MS"/>
          <w:sz w:val="20"/>
          <w:szCs w:val="20"/>
        </w:rPr>
      </w:pPr>
    </w:p>
    <w:p w14:paraId="7CAB1F5F" w14:textId="77777777" w:rsidR="00F576F5" w:rsidRPr="00C56B22" w:rsidRDefault="00F576F5" w:rsidP="001C4BCF">
      <w:pPr>
        <w:spacing w:after="0" w:line="240" w:lineRule="auto"/>
        <w:rPr>
          <w:rFonts w:ascii="Trebuchet MS" w:hAnsi="Trebuchet MS"/>
          <w:sz w:val="20"/>
          <w:szCs w:val="20"/>
          <w:lang w:val="hu-HU"/>
        </w:rPr>
      </w:pPr>
    </w:p>
    <w:p w14:paraId="5433C78D" w14:textId="77777777" w:rsidR="00F576F5" w:rsidRDefault="00F576F5" w:rsidP="001C4BCF">
      <w:pPr>
        <w:spacing w:after="0" w:line="240" w:lineRule="auto"/>
        <w:rPr>
          <w:rFonts w:ascii="Trebuchet MS" w:hAnsi="Trebuchet MS"/>
          <w:sz w:val="20"/>
          <w:szCs w:val="20"/>
        </w:rPr>
      </w:pPr>
    </w:p>
    <w:p w14:paraId="5A841809" w14:textId="77777777" w:rsidR="00F576F5" w:rsidRDefault="00F576F5" w:rsidP="001C4BCF">
      <w:pPr>
        <w:spacing w:after="0" w:line="240" w:lineRule="auto"/>
        <w:rPr>
          <w:rFonts w:ascii="Trebuchet MS" w:hAnsi="Trebuchet MS"/>
          <w:sz w:val="20"/>
          <w:szCs w:val="20"/>
        </w:rPr>
      </w:pPr>
    </w:p>
    <w:p w14:paraId="32BF0476" w14:textId="77777777" w:rsidR="00F576F5" w:rsidRDefault="00F576F5" w:rsidP="001C4BCF">
      <w:pPr>
        <w:spacing w:after="0" w:line="240" w:lineRule="auto"/>
        <w:rPr>
          <w:rFonts w:ascii="Trebuchet MS" w:hAnsi="Trebuchet MS"/>
          <w:sz w:val="20"/>
          <w:szCs w:val="20"/>
        </w:rPr>
      </w:pPr>
    </w:p>
    <w:p w14:paraId="39B2116A" w14:textId="77777777" w:rsidR="00F576F5" w:rsidRDefault="00F576F5" w:rsidP="001C4BCF">
      <w:pPr>
        <w:spacing w:after="0" w:line="240" w:lineRule="auto"/>
        <w:rPr>
          <w:rFonts w:ascii="Trebuchet MS" w:hAnsi="Trebuchet MS"/>
          <w:sz w:val="20"/>
          <w:szCs w:val="20"/>
        </w:rPr>
      </w:pPr>
    </w:p>
    <w:p w14:paraId="46A2D915" w14:textId="77777777" w:rsidR="00F576F5" w:rsidRDefault="00F576F5" w:rsidP="001C4BCF">
      <w:pPr>
        <w:spacing w:after="0" w:line="240" w:lineRule="auto"/>
        <w:rPr>
          <w:rFonts w:ascii="Trebuchet MS" w:hAnsi="Trebuchet MS"/>
          <w:sz w:val="20"/>
          <w:szCs w:val="20"/>
        </w:rPr>
      </w:pPr>
    </w:p>
    <w:p w14:paraId="514B56FA" w14:textId="77777777" w:rsidR="005D347C" w:rsidRDefault="005D347C" w:rsidP="001C4BCF">
      <w:pPr>
        <w:spacing w:after="0" w:line="240" w:lineRule="auto"/>
        <w:rPr>
          <w:rFonts w:ascii="Trebuchet MS" w:hAnsi="Trebuchet MS"/>
          <w:sz w:val="20"/>
          <w:szCs w:val="20"/>
        </w:rPr>
      </w:pPr>
    </w:p>
    <w:p w14:paraId="230AD12E" w14:textId="77777777" w:rsidR="005D347C" w:rsidRDefault="005D347C" w:rsidP="001C4BCF">
      <w:pPr>
        <w:spacing w:after="0" w:line="240" w:lineRule="auto"/>
        <w:rPr>
          <w:rFonts w:ascii="Trebuchet MS" w:hAnsi="Trebuchet MS"/>
          <w:sz w:val="20"/>
          <w:szCs w:val="20"/>
        </w:rPr>
      </w:pPr>
    </w:p>
    <w:p w14:paraId="577E1618" w14:textId="77777777" w:rsidR="005D347C" w:rsidRDefault="005D347C" w:rsidP="001C4BCF">
      <w:pPr>
        <w:spacing w:after="0" w:line="240" w:lineRule="auto"/>
        <w:rPr>
          <w:rFonts w:ascii="Trebuchet MS" w:hAnsi="Trebuchet MS"/>
          <w:sz w:val="20"/>
          <w:szCs w:val="20"/>
        </w:rPr>
      </w:pPr>
    </w:p>
    <w:p w14:paraId="54328381" w14:textId="77777777" w:rsidR="005D347C" w:rsidRDefault="005D347C" w:rsidP="001C4BCF">
      <w:pPr>
        <w:spacing w:after="0" w:line="240" w:lineRule="auto"/>
        <w:rPr>
          <w:rFonts w:ascii="Trebuchet MS" w:hAnsi="Trebuchet MS"/>
          <w:sz w:val="20"/>
          <w:szCs w:val="20"/>
        </w:rPr>
      </w:pPr>
    </w:p>
    <w:p w14:paraId="7FB10645" w14:textId="77777777" w:rsidR="005D347C" w:rsidRDefault="005D347C" w:rsidP="001C4BCF">
      <w:pPr>
        <w:spacing w:after="0" w:line="240" w:lineRule="auto"/>
        <w:rPr>
          <w:rFonts w:ascii="Trebuchet MS" w:hAnsi="Trebuchet MS"/>
          <w:sz w:val="20"/>
          <w:szCs w:val="20"/>
        </w:rPr>
      </w:pPr>
    </w:p>
    <w:p w14:paraId="49A1B0AC" w14:textId="77777777" w:rsidR="005D347C" w:rsidRDefault="005D347C" w:rsidP="001C4BCF">
      <w:pPr>
        <w:spacing w:after="0" w:line="240" w:lineRule="auto"/>
        <w:rPr>
          <w:rFonts w:ascii="Trebuchet MS" w:hAnsi="Trebuchet MS"/>
          <w:sz w:val="20"/>
          <w:szCs w:val="20"/>
        </w:rPr>
      </w:pPr>
    </w:p>
    <w:p w14:paraId="706EEA4C" w14:textId="60EEF108" w:rsidR="001C4BCF" w:rsidRPr="00713A9E" w:rsidRDefault="001C4BCF" w:rsidP="001C4BCF">
      <w:pPr>
        <w:spacing w:after="0" w:line="240" w:lineRule="auto"/>
        <w:rPr>
          <w:rFonts w:ascii="Trebuchet MS" w:hAnsi="Trebuchet MS"/>
          <w:sz w:val="20"/>
          <w:szCs w:val="20"/>
        </w:rPr>
      </w:pPr>
      <w:bookmarkStart w:id="0" w:name="_GoBack"/>
      <w:bookmarkEnd w:id="0"/>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5"/>
      <w:footerReference w:type="default" r:id="rId16"/>
      <w:headerReference w:type="first" r:id="rId17"/>
      <w:footerReference w:type="first" r:id="rId18"/>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37141" w14:textId="77777777" w:rsidR="009A3028" w:rsidRDefault="009A3028" w:rsidP="00143ACD">
      <w:pPr>
        <w:spacing w:after="0" w:line="240" w:lineRule="auto"/>
      </w:pPr>
      <w:r>
        <w:separator/>
      </w:r>
    </w:p>
  </w:endnote>
  <w:endnote w:type="continuationSeparator" w:id="0">
    <w:p w14:paraId="715C9764" w14:textId="77777777" w:rsidR="009A3028" w:rsidRDefault="009A302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4348FFB4"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5D347C">
              <w:rPr>
                <w:rFonts w:ascii="Trebuchet MS" w:hAnsi="Trebuchet MS"/>
                <w:b/>
                <w:bCs/>
                <w:noProof/>
                <w:sz w:val="16"/>
                <w:szCs w:val="16"/>
              </w:rPr>
              <w:t>8</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5D347C">
              <w:rPr>
                <w:rFonts w:ascii="Trebuchet MS" w:hAnsi="Trebuchet MS"/>
                <w:b/>
                <w:bCs/>
                <w:noProof/>
                <w:sz w:val="16"/>
                <w:szCs w:val="16"/>
              </w:rPr>
              <w:t>8</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664C46C8"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5D347C">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5D347C">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7867B" w14:textId="77777777" w:rsidR="009A3028" w:rsidRDefault="009A3028" w:rsidP="00143ACD">
      <w:pPr>
        <w:spacing w:after="0" w:line="240" w:lineRule="auto"/>
      </w:pPr>
      <w:r>
        <w:separator/>
      </w:r>
    </w:p>
  </w:footnote>
  <w:footnote w:type="continuationSeparator" w:id="0">
    <w:p w14:paraId="1F678072" w14:textId="77777777" w:rsidR="009A3028" w:rsidRDefault="009A302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76E86"/>
    <w:rsid w:val="000A2AFC"/>
    <w:rsid w:val="000A5D61"/>
    <w:rsid w:val="000B6D71"/>
    <w:rsid w:val="000C14AB"/>
    <w:rsid w:val="000C3B8B"/>
    <w:rsid w:val="000F53B5"/>
    <w:rsid w:val="00101A71"/>
    <w:rsid w:val="001050F7"/>
    <w:rsid w:val="001103FC"/>
    <w:rsid w:val="001106DF"/>
    <w:rsid w:val="00110DF5"/>
    <w:rsid w:val="00124C8D"/>
    <w:rsid w:val="001318BF"/>
    <w:rsid w:val="001326B2"/>
    <w:rsid w:val="00142029"/>
    <w:rsid w:val="00143ACD"/>
    <w:rsid w:val="001444A2"/>
    <w:rsid w:val="001B47C8"/>
    <w:rsid w:val="001C4BCF"/>
    <w:rsid w:val="001C5543"/>
    <w:rsid w:val="001D026F"/>
    <w:rsid w:val="001D10A7"/>
    <w:rsid w:val="001F0692"/>
    <w:rsid w:val="0020757D"/>
    <w:rsid w:val="00222A32"/>
    <w:rsid w:val="00251226"/>
    <w:rsid w:val="00292E61"/>
    <w:rsid w:val="002A1D4A"/>
    <w:rsid w:val="002A23A4"/>
    <w:rsid w:val="002C77D2"/>
    <w:rsid w:val="002D19BC"/>
    <w:rsid w:val="00342D63"/>
    <w:rsid w:val="00354326"/>
    <w:rsid w:val="00366800"/>
    <w:rsid w:val="00367D52"/>
    <w:rsid w:val="00387F8F"/>
    <w:rsid w:val="00391A46"/>
    <w:rsid w:val="003A03B4"/>
    <w:rsid w:val="003A1839"/>
    <w:rsid w:val="003C123B"/>
    <w:rsid w:val="003C2F86"/>
    <w:rsid w:val="003E4368"/>
    <w:rsid w:val="003F41DD"/>
    <w:rsid w:val="0040665E"/>
    <w:rsid w:val="00433472"/>
    <w:rsid w:val="00482EF6"/>
    <w:rsid w:val="0049214D"/>
    <w:rsid w:val="004A28A3"/>
    <w:rsid w:val="004B7417"/>
    <w:rsid w:val="004C0CE7"/>
    <w:rsid w:val="004C7186"/>
    <w:rsid w:val="004E607A"/>
    <w:rsid w:val="004F0F51"/>
    <w:rsid w:val="004F42C9"/>
    <w:rsid w:val="0051454E"/>
    <w:rsid w:val="00520258"/>
    <w:rsid w:val="0053065D"/>
    <w:rsid w:val="00542B0D"/>
    <w:rsid w:val="005661D3"/>
    <w:rsid w:val="005863C9"/>
    <w:rsid w:val="005D2C86"/>
    <w:rsid w:val="005D347C"/>
    <w:rsid w:val="005D7C5C"/>
    <w:rsid w:val="005E7D48"/>
    <w:rsid w:val="005F5671"/>
    <w:rsid w:val="00603AD6"/>
    <w:rsid w:val="00631BF9"/>
    <w:rsid w:val="006535D6"/>
    <w:rsid w:val="00677E90"/>
    <w:rsid w:val="00681A83"/>
    <w:rsid w:val="006A5F9B"/>
    <w:rsid w:val="006D4A95"/>
    <w:rsid w:val="006D65DB"/>
    <w:rsid w:val="006E0CBC"/>
    <w:rsid w:val="007155E3"/>
    <w:rsid w:val="0071690C"/>
    <w:rsid w:val="00717FDE"/>
    <w:rsid w:val="00724D6D"/>
    <w:rsid w:val="0073023A"/>
    <w:rsid w:val="00730504"/>
    <w:rsid w:val="00733B88"/>
    <w:rsid w:val="00763575"/>
    <w:rsid w:val="00777229"/>
    <w:rsid w:val="007C4C9B"/>
    <w:rsid w:val="007D4A5C"/>
    <w:rsid w:val="007D7E7F"/>
    <w:rsid w:val="007E6483"/>
    <w:rsid w:val="007F1006"/>
    <w:rsid w:val="007F2388"/>
    <w:rsid w:val="0081504B"/>
    <w:rsid w:val="00826A95"/>
    <w:rsid w:val="008507D9"/>
    <w:rsid w:val="008631FB"/>
    <w:rsid w:val="00884706"/>
    <w:rsid w:val="008848AD"/>
    <w:rsid w:val="008B7F2C"/>
    <w:rsid w:val="008C7811"/>
    <w:rsid w:val="008C78E3"/>
    <w:rsid w:val="008D246C"/>
    <w:rsid w:val="008E19DC"/>
    <w:rsid w:val="008E7CCD"/>
    <w:rsid w:val="008F168B"/>
    <w:rsid w:val="0090061B"/>
    <w:rsid w:val="00905F68"/>
    <w:rsid w:val="009142A5"/>
    <w:rsid w:val="009350D7"/>
    <w:rsid w:val="009866BC"/>
    <w:rsid w:val="009A3028"/>
    <w:rsid w:val="009B480A"/>
    <w:rsid w:val="009D0C2F"/>
    <w:rsid w:val="009D62C0"/>
    <w:rsid w:val="009D6B91"/>
    <w:rsid w:val="009F1F4E"/>
    <w:rsid w:val="009F3FEF"/>
    <w:rsid w:val="009F566A"/>
    <w:rsid w:val="009F7F77"/>
    <w:rsid w:val="00A0719A"/>
    <w:rsid w:val="00A2635D"/>
    <w:rsid w:val="00A35972"/>
    <w:rsid w:val="00A448BD"/>
    <w:rsid w:val="00A906B5"/>
    <w:rsid w:val="00AC6CA8"/>
    <w:rsid w:val="00AE007A"/>
    <w:rsid w:val="00B361C8"/>
    <w:rsid w:val="00B57F87"/>
    <w:rsid w:val="00B6113C"/>
    <w:rsid w:val="00B641F6"/>
    <w:rsid w:val="00B66053"/>
    <w:rsid w:val="00BA7EEF"/>
    <w:rsid w:val="00BC1B81"/>
    <w:rsid w:val="00BE0746"/>
    <w:rsid w:val="00C02DFA"/>
    <w:rsid w:val="00C17D7D"/>
    <w:rsid w:val="00C545F6"/>
    <w:rsid w:val="00C5562D"/>
    <w:rsid w:val="00C56B22"/>
    <w:rsid w:val="00C61733"/>
    <w:rsid w:val="00C76F67"/>
    <w:rsid w:val="00CC0541"/>
    <w:rsid w:val="00CE26BC"/>
    <w:rsid w:val="00CE5F37"/>
    <w:rsid w:val="00CF28E0"/>
    <w:rsid w:val="00D021B6"/>
    <w:rsid w:val="00D1499F"/>
    <w:rsid w:val="00D22437"/>
    <w:rsid w:val="00D24254"/>
    <w:rsid w:val="00D356FA"/>
    <w:rsid w:val="00D41783"/>
    <w:rsid w:val="00D537F8"/>
    <w:rsid w:val="00D56C41"/>
    <w:rsid w:val="00D57899"/>
    <w:rsid w:val="00D62259"/>
    <w:rsid w:val="00D70370"/>
    <w:rsid w:val="00D73445"/>
    <w:rsid w:val="00D81836"/>
    <w:rsid w:val="00D825E1"/>
    <w:rsid w:val="00D8381D"/>
    <w:rsid w:val="00DA3A94"/>
    <w:rsid w:val="00DC3C41"/>
    <w:rsid w:val="00DD4E4A"/>
    <w:rsid w:val="00DD5A01"/>
    <w:rsid w:val="00DD65FA"/>
    <w:rsid w:val="00DE792C"/>
    <w:rsid w:val="00E3080E"/>
    <w:rsid w:val="00E528E0"/>
    <w:rsid w:val="00E7302A"/>
    <w:rsid w:val="00E7544C"/>
    <w:rsid w:val="00E82CD9"/>
    <w:rsid w:val="00E84F3C"/>
    <w:rsid w:val="00EA0B14"/>
    <w:rsid w:val="00EB0ECB"/>
    <w:rsid w:val="00ED25D0"/>
    <w:rsid w:val="00F1090C"/>
    <w:rsid w:val="00F160CA"/>
    <w:rsid w:val="00F20015"/>
    <w:rsid w:val="00F270A8"/>
    <w:rsid w:val="00F50543"/>
    <w:rsid w:val="00F576F5"/>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5CA2-CDDB-4842-9B60-CB790A67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3362</Words>
  <Characters>19170</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5</cp:revision>
  <cp:lastPrinted>2024-08-01T06:53:00Z</cp:lastPrinted>
  <dcterms:created xsi:type="dcterms:W3CDTF">2024-08-01T08:42:00Z</dcterms:created>
  <dcterms:modified xsi:type="dcterms:W3CDTF">2024-08-02T06:18:00Z</dcterms:modified>
</cp:coreProperties>
</file>