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6E06F9" w:rsidP="00660B9C">
      <w:pPr>
        <w:pStyle w:val="lfej"/>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097221" r:id="rId10"/>
        </w:pict>
      </w:r>
      <w:sdt>
        <w:sdtPr>
          <w:rPr>
            <w:lang w:val="ro-RO"/>
          </w:rPr>
          <w:alias w:val="Câmp editabil text"/>
          <w:tag w:val="CampEditabil"/>
          <w:id w:val="-239953112"/>
        </w:sdtPr>
        <w:sdtEndPr/>
        <w:sdtContent>
          <w:r w:rsidR="00660B9C">
            <w:rPr>
              <w:noProof/>
              <w:lang w:val="hu-HU" w:eastAsia="hu-HU"/>
            </w:rPr>
            <w:drawing>
              <wp:inline distT="0" distB="0" distL="0" distR="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0F53CA">
            <w:rPr>
              <w:lang w:val="ro-RO"/>
            </w:rPr>
            <w:t xml:space="preserve">                                                 </w:t>
          </w:r>
          <w:r w:rsidR="00660B9C">
            <w:rPr>
              <w:rFonts w:ascii="Arial" w:hAnsi="Arial" w:cs="Arial"/>
              <w:b/>
              <w:color w:val="00214E"/>
              <w:sz w:val="32"/>
              <w:szCs w:val="32"/>
              <w:lang w:val="ro-RO"/>
            </w:rPr>
            <w:t xml:space="preserve">Ministerul Mediului            </w:t>
          </w:r>
        </w:sdtContent>
      </w:sdt>
    </w:p>
    <w:p w:rsidR="00660B9C" w:rsidRDefault="006E06F9"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6E06F9">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p>
    <w:p w:rsidR="00EA144E" w:rsidRPr="00EA144E" w:rsidRDefault="00EA144E" w:rsidP="000A1707">
      <w:pPr>
        <w:keepNext/>
        <w:tabs>
          <w:tab w:val="left" w:pos="1714"/>
          <w:tab w:val="center" w:pos="5197"/>
        </w:tabs>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DECIZIA ETAPEI DE ÎNCADRARE</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C772B7">
        <w:rPr>
          <w:rFonts w:ascii="Arial" w:eastAsia="SimSun" w:hAnsi="Arial" w:cs="Arial"/>
          <w:b/>
          <w:bCs/>
          <w:iCs/>
          <w:sz w:val="28"/>
          <w:szCs w:val="28"/>
          <w:lang w:val="ro-RO"/>
        </w:rPr>
        <w:t>proiect</w:t>
      </w:r>
      <w:r w:rsidR="006A0490">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w:t>
      </w:r>
      <w:r w:rsidR="00C772B7">
        <w:rPr>
          <w:rFonts w:ascii="Arial" w:eastAsia="SimSun" w:hAnsi="Arial" w:cs="Arial"/>
          <w:b/>
          <w:bCs/>
          <w:iCs/>
          <w:sz w:val="28"/>
          <w:szCs w:val="28"/>
          <w:lang w:val="ro-RO"/>
        </w:rPr>
        <w:t>6</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C772B7">
        <w:rPr>
          <w:rFonts w:ascii="Arial" w:eastAsia="SimSun" w:hAnsi="Arial" w:cs="Arial"/>
          <w:b/>
          <w:bCs/>
          <w:iCs/>
          <w:sz w:val="28"/>
          <w:szCs w:val="28"/>
          <w:lang w:val="ro-RO"/>
        </w:rPr>
        <w:t>5</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8477B">
        <w:rPr>
          <w:rFonts w:ascii="Arial" w:hAnsi="Arial" w:cs="Arial"/>
          <w:b/>
          <w:sz w:val="24"/>
          <w:szCs w:val="24"/>
          <w:lang w:val="ro-RO"/>
        </w:rPr>
        <w:t>BODO LASZLO</w:t>
      </w:r>
      <w:r w:rsidRPr="00EA144E">
        <w:rPr>
          <w:rFonts w:ascii="Arial" w:hAnsi="Arial" w:cs="Arial"/>
          <w:sz w:val="24"/>
          <w:szCs w:val="24"/>
          <w:lang w:val="ro-RO"/>
        </w:rPr>
        <w:t xml:space="preserve">, </w:t>
      </w:r>
      <w:r w:rsidR="00D8477B">
        <w:rPr>
          <w:rFonts w:ascii="Arial" w:hAnsi="Arial" w:cs="Arial"/>
          <w:sz w:val="24"/>
          <w:szCs w:val="24"/>
          <w:lang w:val="ro-RO"/>
        </w:rPr>
        <w:t>reprezentant al proprietarilor,</w:t>
      </w:r>
      <w:r w:rsidRPr="00EA144E">
        <w:rPr>
          <w:rFonts w:ascii="Arial" w:hAnsi="Arial" w:cs="Arial"/>
          <w:sz w:val="24"/>
          <w:szCs w:val="24"/>
          <w:lang w:val="ro-RO"/>
        </w:rPr>
        <w:t xml:space="preserve"> Judetul</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Pr="00EA144E">
        <w:rPr>
          <w:rFonts w:ascii="Times New Roman" w:hAnsi="Times New Roman"/>
          <w:b/>
          <w:i/>
          <w:color w:val="000000"/>
          <w:sz w:val="28"/>
          <w:szCs w:val="28"/>
          <w:lang w:val="ro-RO"/>
        </w:rPr>
        <w:t xml:space="preserve">UP </w:t>
      </w:r>
      <w:r w:rsidR="00BA4FA2">
        <w:rPr>
          <w:rFonts w:ascii="Times New Roman" w:hAnsi="Times New Roman"/>
          <w:b/>
          <w:i/>
          <w:color w:val="000000"/>
          <w:sz w:val="28"/>
          <w:szCs w:val="28"/>
          <w:lang w:val="ro-RO"/>
        </w:rPr>
        <w:t>I</w:t>
      </w:r>
      <w:r w:rsidR="000F53CA">
        <w:rPr>
          <w:rFonts w:ascii="Times New Roman" w:hAnsi="Times New Roman"/>
          <w:b/>
          <w:i/>
          <w:color w:val="000000"/>
          <w:sz w:val="28"/>
          <w:szCs w:val="28"/>
          <w:lang w:val="ro-RO"/>
        </w:rPr>
        <w:t>I GRUPA A II-A SÂNTIMBRU</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D50ADA">
        <w:rPr>
          <w:rFonts w:ascii="Arial" w:hAnsi="Arial" w:cs="Arial"/>
          <w:sz w:val="24"/>
          <w:szCs w:val="24"/>
          <w:lang w:val="ro-RO"/>
        </w:rPr>
        <w:t>1</w:t>
      </w:r>
      <w:r w:rsidR="000F53CA">
        <w:rPr>
          <w:rFonts w:ascii="Arial" w:hAnsi="Arial" w:cs="Arial"/>
          <w:sz w:val="24"/>
          <w:szCs w:val="24"/>
          <w:lang w:val="ro-RO"/>
        </w:rPr>
        <w:t>0</w:t>
      </w:r>
      <w:r w:rsidR="0041319F">
        <w:rPr>
          <w:rFonts w:ascii="Arial" w:hAnsi="Arial" w:cs="Arial"/>
          <w:sz w:val="24"/>
          <w:szCs w:val="24"/>
          <w:lang w:val="ro-RO"/>
        </w:rPr>
        <w:t>0</w:t>
      </w:r>
      <w:r w:rsidR="000F53CA">
        <w:rPr>
          <w:rFonts w:ascii="Arial" w:hAnsi="Arial" w:cs="Arial"/>
          <w:sz w:val="24"/>
          <w:szCs w:val="24"/>
          <w:lang w:val="ro-RO"/>
        </w:rPr>
        <w:t>7</w:t>
      </w:r>
      <w:r w:rsidRPr="00EA144E">
        <w:rPr>
          <w:rFonts w:ascii="Arial" w:hAnsi="Arial" w:cs="Arial"/>
          <w:spacing w:val="-6"/>
          <w:sz w:val="24"/>
          <w:szCs w:val="24"/>
          <w:lang w:val="ro-RO"/>
        </w:rPr>
        <w:t>/</w:t>
      </w:r>
      <w:r w:rsidR="000F53CA">
        <w:rPr>
          <w:rFonts w:ascii="Arial" w:hAnsi="Arial" w:cs="Arial"/>
          <w:spacing w:val="-6"/>
          <w:sz w:val="24"/>
          <w:szCs w:val="24"/>
          <w:lang w:val="ro-RO"/>
        </w:rPr>
        <w:t>31</w:t>
      </w:r>
      <w:r w:rsidRPr="00EA144E">
        <w:rPr>
          <w:rFonts w:ascii="Arial" w:hAnsi="Arial" w:cs="Arial"/>
          <w:spacing w:val="-6"/>
          <w:sz w:val="24"/>
          <w:szCs w:val="24"/>
          <w:lang w:val="ro-RO"/>
        </w:rPr>
        <w:t>.0</w:t>
      </w:r>
      <w:r w:rsidR="000F53CA">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000F53CA">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500F2A" w:rsidRDefault="00EA144E" w:rsidP="00500F2A">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500F2A">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500F2A" w:rsidRDefault="00500F2A" w:rsidP="00500F2A">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500F2A">
        <w:rPr>
          <w:rFonts w:ascii="Arial" w:eastAsia="Times New Roman" w:hAnsi="Arial" w:cs="Arial"/>
          <w:i/>
          <w:color w:val="000000"/>
          <w:sz w:val="24"/>
          <w:szCs w:val="24"/>
          <w:lang w:val="ro-RO"/>
        </w:rPr>
        <w:t>Hotărârea Consiliului Judeţean Harghita nr.162/2005, privind protecţia valorilor naturale de pe teritoriul judeţului Harghita;</w:t>
      </w:r>
    </w:p>
    <w:p w:rsidR="00500F2A" w:rsidRPr="00500F2A" w:rsidRDefault="00500F2A" w:rsidP="00500F2A">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500F2A">
        <w:rPr>
          <w:rFonts w:ascii="Arial" w:eastAsia="Times New Roman" w:hAnsi="Arial" w:cs="Arial"/>
          <w:i/>
          <w:color w:val="000000"/>
          <w:sz w:val="24"/>
          <w:szCs w:val="24"/>
          <w:lang w:val="ro-RO"/>
        </w:rPr>
        <w:t>Respectarea Legii nr.5/2000, pentru aprobarea Planului de amenajare a teritoriului naţional;</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w:t>
      </w:r>
      <w:r w:rsidR="00C772B7">
        <w:rPr>
          <w:rFonts w:ascii="Arial" w:hAnsi="Arial" w:cs="Arial"/>
          <w:color w:val="000000"/>
          <w:sz w:val="24"/>
          <w:szCs w:val="24"/>
          <w:lang w:val="ro-RO"/>
        </w:rPr>
        <w:t>5</w:t>
      </w:r>
      <w:r w:rsidR="0041319F">
        <w:rPr>
          <w:rFonts w:ascii="Arial" w:hAnsi="Arial" w:cs="Arial"/>
          <w:color w:val="000000"/>
          <w:sz w:val="24"/>
          <w:szCs w:val="24"/>
          <w:lang w:val="ro-RO"/>
        </w:rPr>
        <w:t xml:space="preserve"> </w:t>
      </w:r>
      <w:r w:rsidR="00D50ADA">
        <w:rPr>
          <w:rFonts w:ascii="Arial" w:hAnsi="Arial" w:cs="Arial"/>
          <w:color w:val="000000"/>
          <w:sz w:val="24"/>
          <w:szCs w:val="24"/>
          <w:lang w:val="ro-RO"/>
        </w:rPr>
        <w:t>mai</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lastRenderedPageBreak/>
        <w:t>Planul/programul .</w:t>
      </w:r>
      <w:r w:rsidRPr="00EA144E">
        <w:rPr>
          <w:rFonts w:ascii="Times New Roman" w:hAnsi="Times New Roman"/>
          <w:b/>
          <w:i/>
          <w:color w:val="000000"/>
          <w:sz w:val="28"/>
          <w:szCs w:val="28"/>
          <w:lang w:val="ro-RO"/>
        </w:rPr>
        <w:t xml:space="preserve"> „Amenajamentul fondului forestier proprietate privată UP </w:t>
      </w:r>
      <w:r w:rsidR="004F7F31">
        <w:rPr>
          <w:rFonts w:ascii="Times New Roman" w:hAnsi="Times New Roman"/>
          <w:b/>
          <w:i/>
          <w:color w:val="000000"/>
          <w:sz w:val="28"/>
          <w:szCs w:val="28"/>
          <w:lang w:val="ro-RO"/>
        </w:rPr>
        <w:t>II GRUPA A II-a SÂNTIMBRU</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004F7F31">
        <w:rPr>
          <w:rFonts w:ascii="Arial" w:hAnsi="Arial" w:cs="Arial"/>
          <w:i/>
          <w:color w:val="000000"/>
          <w:sz w:val="24"/>
          <w:szCs w:val="24"/>
          <w:lang w:val="ro-RO"/>
        </w:rPr>
        <w:t>persoane fizice</w:t>
      </w:r>
      <w:r w:rsidR="006C79A0">
        <w:rPr>
          <w:rFonts w:ascii="Arial" w:hAnsi="Arial" w:cs="Arial"/>
          <w:i/>
          <w:color w:val="000000"/>
          <w:sz w:val="24"/>
          <w:szCs w:val="24"/>
          <w:lang w:val="ro-RO"/>
        </w:rPr>
        <w:t>, reprezentate de Dl.</w:t>
      </w:r>
      <w:r w:rsidR="004F7F31">
        <w:rPr>
          <w:rFonts w:ascii="Arial" w:hAnsi="Arial" w:cs="Arial"/>
          <w:i/>
          <w:color w:val="000000"/>
          <w:sz w:val="24"/>
          <w:szCs w:val="24"/>
          <w:lang w:val="ro-RO"/>
        </w:rPr>
        <w:t>BODO LASZLO</w:t>
      </w:r>
      <w:r w:rsidRPr="00EA144E">
        <w:rPr>
          <w:rFonts w:ascii="Arial" w:hAnsi="Arial" w:cs="Arial"/>
          <w:b/>
          <w:color w:val="000000"/>
          <w:sz w:val="24"/>
          <w:szCs w:val="24"/>
          <w:lang w:val="ro-RO"/>
        </w:rPr>
        <w:t>,</w:t>
      </w:r>
      <w:r w:rsidR="004F7F31">
        <w:rPr>
          <w:rFonts w:ascii="Arial" w:hAnsi="Arial" w:cs="Arial"/>
          <w:b/>
          <w:color w:val="000000"/>
          <w:sz w:val="24"/>
          <w:szCs w:val="24"/>
          <w:lang w:val="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r>
    </w:p>
    <w:p w:rsidR="00EA144E" w:rsidRPr="00EA144E" w:rsidRDefault="00F46542"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EA144E" w:rsidRPr="00EA144E">
        <w:rPr>
          <w:rFonts w:ascii="Times New Roman" w:hAnsi="Times New Roman"/>
          <w:sz w:val="24"/>
          <w:szCs w:val="24"/>
          <w:lang w:val="ro-RO"/>
        </w:rPr>
        <w:t xml:space="preserve">Amenajamentul este elaborat pentru fondul forestier proprietate privată aparţinând </w:t>
      </w:r>
      <w:r w:rsidR="004F7F31">
        <w:rPr>
          <w:rFonts w:ascii="Times New Roman" w:hAnsi="Times New Roman"/>
          <w:sz w:val="24"/>
          <w:szCs w:val="24"/>
          <w:lang w:val="ro-RO"/>
        </w:rPr>
        <w:t>persoanelor fizice</w:t>
      </w:r>
      <w:r w:rsidR="00EA144E" w:rsidRPr="00EA144E">
        <w:rPr>
          <w:rFonts w:ascii="Times New Roman" w:hAnsi="Times New Roman"/>
          <w:sz w:val="24"/>
          <w:szCs w:val="24"/>
          <w:lang w:val="ro-RO"/>
        </w:rPr>
        <w:t xml:space="preserve">, judeţul Harghita constituit în </w:t>
      </w:r>
      <w:r w:rsidR="00EA144E" w:rsidRPr="00EA144E">
        <w:rPr>
          <w:rFonts w:ascii="Times New Roman" w:hAnsi="Times New Roman"/>
          <w:b/>
          <w:i/>
          <w:sz w:val="24"/>
          <w:szCs w:val="24"/>
          <w:lang w:val="ro-RO"/>
        </w:rPr>
        <w:t>U.P.</w:t>
      </w:r>
      <w:r w:rsidR="00DB6AEE">
        <w:rPr>
          <w:rFonts w:ascii="Times New Roman" w:hAnsi="Times New Roman"/>
          <w:b/>
          <w:i/>
          <w:sz w:val="24"/>
          <w:szCs w:val="24"/>
          <w:lang w:val="ro-RO"/>
        </w:rPr>
        <w:t>I</w:t>
      </w:r>
      <w:r w:rsidR="004F7F31">
        <w:rPr>
          <w:rFonts w:ascii="Times New Roman" w:hAnsi="Times New Roman"/>
          <w:b/>
          <w:i/>
          <w:sz w:val="24"/>
          <w:szCs w:val="24"/>
          <w:lang w:val="ro-RO"/>
        </w:rPr>
        <w:t>I GRUPA A II-a SÂNTIMBRU.</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A61195" w:rsidRPr="00EA144E">
        <w:rPr>
          <w:rFonts w:ascii="Times New Roman" w:hAnsi="Times New Roman"/>
          <w:b/>
          <w:i/>
          <w:sz w:val="24"/>
          <w:szCs w:val="24"/>
          <w:lang w:val="ro-RO"/>
        </w:rPr>
        <w:t>U.P.</w:t>
      </w:r>
      <w:r w:rsidR="00A61195">
        <w:rPr>
          <w:rFonts w:ascii="Times New Roman" w:hAnsi="Times New Roman"/>
          <w:b/>
          <w:i/>
          <w:sz w:val="24"/>
          <w:szCs w:val="24"/>
          <w:lang w:val="ro-RO"/>
        </w:rPr>
        <w:t>I</w:t>
      </w:r>
      <w:r w:rsidR="004F7F31">
        <w:rPr>
          <w:rFonts w:ascii="Times New Roman" w:hAnsi="Times New Roman"/>
          <w:b/>
          <w:i/>
          <w:sz w:val="24"/>
          <w:szCs w:val="24"/>
          <w:lang w:val="ro-RO"/>
        </w:rPr>
        <w:t>I</w:t>
      </w:r>
      <w:r w:rsidR="00A61195">
        <w:rPr>
          <w:rFonts w:ascii="Times New Roman" w:hAnsi="Times New Roman"/>
          <w:b/>
          <w:i/>
          <w:sz w:val="24"/>
          <w:szCs w:val="24"/>
          <w:lang w:val="ro-RO"/>
        </w:rPr>
        <w:t xml:space="preserve"> </w:t>
      </w:r>
      <w:r w:rsidR="004F7F31">
        <w:rPr>
          <w:rFonts w:ascii="Times New Roman" w:hAnsi="Times New Roman"/>
          <w:b/>
          <w:i/>
          <w:sz w:val="24"/>
          <w:szCs w:val="24"/>
          <w:lang w:val="ro-RO"/>
        </w:rPr>
        <w:t>GRUPA A II-a SÂNTIMBRU</w:t>
      </w:r>
      <w:r w:rsidR="0041319F">
        <w:rPr>
          <w:rFonts w:ascii="Times New Roman" w:hAnsi="Times New Roman"/>
          <w:b/>
          <w:i/>
          <w:sz w:val="24"/>
          <w:szCs w:val="24"/>
          <w:lang w:val="ro-RO"/>
        </w:rPr>
        <w:t xml:space="preserve"> </w:t>
      </w:r>
      <w:r w:rsidRPr="00EA144E">
        <w:rPr>
          <w:rFonts w:ascii="Times New Roman" w:hAnsi="Times New Roman"/>
          <w:lang w:val="ro-RO"/>
        </w:rPr>
        <w:t>este administrată de O.S.</w:t>
      </w:r>
      <w:r w:rsidR="004F7F31">
        <w:rPr>
          <w:rFonts w:ascii="Times New Roman" w:hAnsi="Times New Roman"/>
          <w:lang w:val="ro-RO"/>
        </w:rPr>
        <w:t>Miercurea Ciuc c</w:t>
      </w:r>
      <w:r w:rsidRPr="00EA144E">
        <w:rPr>
          <w:rFonts w:ascii="Times New Roman" w:hAnsi="Times New Roman"/>
          <w:lang w:val="ro-RO"/>
        </w:rPr>
        <w:t xml:space="preserve">are o suprafaţă de </w:t>
      </w:r>
      <w:r w:rsidR="004F7F31" w:rsidRPr="004F7F31">
        <w:rPr>
          <w:rFonts w:ascii="Times New Roman" w:hAnsi="Times New Roman"/>
          <w:b/>
          <w:i/>
          <w:lang w:val="ro-RO"/>
        </w:rPr>
        <w:t>109,6</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p w:rsidR="00652B7F" w:rsidRPr="0044036B" w:rsidRDefault="00652B7F" w:rsidP="00EA144E">
      <w:pPr>
        <w:tabs>
          <w:tab w:val="left" w:pos="720"/>
        </w:tabs>
        <w:spacing w:after="0" w:line="240" w:lineRule="auto"/>
        <w:jc w:val="both"/>
        <w:rPr>
          <w:rFonts w:ascii="Times New Roman" w:hAnsi="Times New Roman"/>
          <w:sz w:val="16"/>
          <w:szCs w:val="16"/>
          <w:lang w:val="ro-RO"/>
        </w:rPr>
      </w:pPr>
    </w:p>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6"/>
          <w:szCs w:val="6"/>
        </w:rPr>
      </w:pPr>
    </w:p>
    <w:tbl>
      <w:tblPr>
        <w:tblW w:w="0" w:type="auto"/>
        <w:tblInd w:w="123" w:type="dxa"/>
        <w:tblLayout w:type="fixed"/>
        <w:tblCellMar>
          <w:left w:w="0" w:type="dxa"/>
          <w:right w:w="0" w:type="dxa"/>
        </w:tblCellMar>
        <w:tblLook w:val="0000" w:firstRow="0" w:lastRow="0" w:firstColumn="0" w:lastColumn="0" w:noHBand="0" w:noVBand="0"/>
      </w:tblPr>
      <w:tblGrid>
        <w:gridCol w:w="739"/>
        <w:gridCol w:w="1337"/>
        <w:gridCol w:w="2182"/>
        <w:gridCol w:w="2204"/>
        <w:gridCol w:w="1201"/>
        <w:gridCol w:w="1774"/>
      </w:tblGrid>
      <w:tr w:rsidR="004F7F31" w:rsidRPr="004F7F31">
        <w:trPr>
          <w:trHeight w:hRule="exact" w:val="720"/>
        </w:trPr>
        <w:tc>
          <w:tcPr>
            <w:tcW w:w="739" w:type="dxa"/>
            <w:tcBorders>
              <w:top w:val="single" w:sz="11" w:space="0" w:color="000000"/>
              <w:left w:val="single" w:sz="11" w:space="0" w:color="000000"/>
              <w:bottom w:val="single" w:sz="11" w:space="0" w:color="000000"/>
              <w:right w:val="single" w:sz="4" w:space="0" w:color="000000"/>
            </w:tcBorders>
            <w:shd w:val="clear" w:color="auto" w:fill="D9D9D9"/>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19"/>
                <w:szCs w:val="19"/>
              </w:rPr>
            </w:pPr>
          </w:p>
          <w:p w:rsidR="004F7F31" w:rsidRPr="004F7F31" w:rsidRDefault="004F7F31" w:rsidP="004F7F31">
            <w:pPr>
              <w:kinsoku w:val="0"/>
              <w:overflowPunct w:val="0"/>
              <w:autoSpaceDE w:val="0"/>
              <w:autoSpaceDN w:val="0"/>
              <w:adjustRightInd w:val="0"/>
              <w:spacing w:after="0" w:line="240" w:lineRule="auto"/>
              <w:ind w:left="206" w:right="199" w:firstLine="7"/>
              <w:rPr>
                <w:rFonts w:ascii="Times New Roman" w:eastAsiaTheme="minorHAnsi" w:hAnsi="Times New Roman"/>
                <w:sz w:val="24"/>
                <w:szCs w:val="24"/>
              </w:rPr>
            </w:pPr>
            <w:r w:rsidRPr="004F7F31">
              <w:rPr>
                <w:rFonts w:ascii="Times New Roman" w:eastAsiaTheme="minorHAnsi" w:hAnsi="Times New Roman"/>
                <w:b/>
                <w:bCs/>
                <w:sz w:val="20"/>
                <w:szCs w:val="20"/>
              </w:rPr>
              <w:t>Nr. crt.</w:t>
            </w:r>
          </w:p>
        </w:tc>
        <w:tc>
          <w:tcPr>
            <w:tcW w:w="1337" w:type="dxa"/>
            <w:tcBorders>
              <w:top w:val="single" w:sz="11" w:space="0" w:color="000000"/>
              <w:left w:val="single" w:sz="4" w:space="0" w:color="000000"/>
              <w:bottom w:val="single" w:sz="11" w:space="0" w:color="000000"/>
              <w:right w:val="single" w:sz="4" w:space="0" w:color="000000"/>
            </w:tcBorders>
            <w:shd w:val="clear" w:color="auto" w:fill="D9D9D9"/>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19"/>
                <w:szCs w:val="19"/>
              </w:rPr>
            </w:pPr>
          </w:p>
          <w:p w:rsidR="004F7F31" w:rsidRPr="004F7F31" w:rsidRDefault="004F7F31" w:rsidP="004F7F31">
            <w:pPr>
              <w:kinsoku w:val="0"/>
              <w:overflowPunct w:val="0"/>
              <w:autoSpaceDE w:val="0"/>
              <w:autoSpaceDN w:val="0"/>
              <w:adjustRightInd w:val="0"/>
              <w:spacing w:after="0" w:line="240" w:lineRule="auto"/>
              <w:ind w:left="292" w:right="292"/>
              <w:jc w:val="center"/>
              <w:rPr>
                <w:rFonts w:ascii="Times New Roman" w:eastAsiaTheme="minorHAnsi" w:hAnsi="Times New Roman"/>
                <w:sz w:val="24"/>
                <w:szCs w:val="24"/>
              </w:rPr>
            </w:pPr>
            <w:r w:rsidRPr="004F7F31">
              <w:rPr>
                <w:rFonts w:ascii="Times New Roman" w:eastAsiaTheme="minorHAnsi" w:hAnsi="Times New Roman"/>
                <w:b/>
                <w:bCs/>
                <w:sz w:val="20"/>
                <w:szCs w:val="20"/>
              </w:rPr>
              <w:t>Judeţul</w:t>
            </w:r>
          </w:p>
        </w:tc>
        <w:tc>
          <w:tcPr>
            <w:tcW w:w="2182" w:type="dxa"/>
            <w:tcBorders>
              <w:top w:val="single" w:sz="11" w:space="0" w:color="000000"/>
              <w:left w:val="single" w:sz="4" w:space="0" w:color="000000"/>
              <w:bottom w:val="single" w:sz="11" w:space="0" w:color="000000"/>
              <w:right w:val="single" w:sz="4" w:space="0" w:color="000000"/>
            </w:tcBorders>
            <w:shd w:val="clear" w:color="auto" w:fill="D9D9D9"/>
          </w:tcPr>
          <w:p w:rsidR="004F7F31" w:rsidRPr="004F7F31" w:rsidRDefault="004F7F31" w:rsidP="004F7F31">
            <w:pPr>
              <w:kinsoku w:val="0"/>
              <w:overflowPunct w:val="0"/>
              <w:autoSpaceDE w:val="0"/>
              <w:autoSpaceDN w:val="0"/>
              <w:adjustRightInd w:val="0"/>
              <w:spacing w:before="113" w:after="0" w:line="240" w:lineRule="auto"/>
              <w:ind w:left="487" w:right="471" w:firstLine="170"/>
              <w:rPr>
                <w:rFonts w:ascii="Times New Roman" w:eastAsiaTheme="minorHAnsi" w:hAnsi="Times New Roman"/>
                <w:sz w:val="24"/>
                <w:szCs w:val="24"/>
              </w:rPr>
            </w:pPr>
            <w:r w:rsidRPr="004F7F31">
              <w:rPr>
                <w:rFonts w:ascii="Times New Roman" w:eastAsiaTheme="minorHAnsi" w:hAnsi="Times New Roman"/>
                <w:b/>
                <w:bCs/>
                <w:sz w:val="20"/>
                <w:szCs w:val="20"/>
              </w:rPr>
              <w:t>Denumire fost O.S., U.P.</w:t>
            </w:r>
          </w:p>
        </w:tc>
        <w:tc>
          <w:tcPr>
            <w:tcW w:w="2204" w:type="dxa"/>
            <w:tcBorders>
              <w:top w:val="single" w:sz="11" w:space="0" w:color="000000"/>
              <w:left w:val="single" w:sz="4" w:space="0" w:color="000000"/>
              <w:bottom w:val="single" w:sz="11" w:space="0" w:color="000000"/>
              <w:right w:val="single" w:sz="4" w:space="0" w:color="000000"/>
            </w:tcBorders>
            <w:shd w:val="clear" w:color="auto" w:fill="D9D9D9"/>
          </w:tcPr>
          <w:p w:rsidR="004F7F31" w:rsidRPr="004F7F31" w:rsidRDefault="004F7F31" w:rsidP="004F7F31">
            <w:pPr>
              <w:kinsoku w:val="0"/>
              <w:overflowPunct w:val="0"/>
              <w:autoSpaceDE w:val="0"/>
              <w:autoSpaceDN w:val="0"/>
              <w:adjustRightInd w:val="0"/>
              <w:spacing w:before="113" w:after="0" w:line="240" w:lineRule="auto"/>
              <w:ind w:left="780" w:right="779"/>
              <w:jc w:val="center"/>
              <w:rPr>
                <w:rFonts w:ascii="Times New Roman" w:eastAsiaTheme="minorHAnsi" w:hAnsi="Times New Roman"/>
                <w:sz w:val="24"/>
                <w:szCs w:val="24"/>
              </w:rPr>
            </w:pPr>
            <w:r w:rsidRPr="004F7F31">
              <w:rPr>
                <w:rFonts w:ascii="Times New Roman" w:eastAsiaTheme="minorHAnsi" w:hAnsi="Times New Roman"/>
                <w:b/>
                <w:bCs/>
                <w:w w:val="95"/>
                <w:sz w:val="20"/>
                <w:szCs w:val="20"/>
              </w:rPr>
              <w:t xml:space="preserve">Parcele </w:t>
            </w:r>
            <w:r w:rsidRPr="004F7F31">
              <w:rPr>
                <w:rFonts w:ascii="Times New Roman" w:eastAsiaTheme="minorHAnsi" w:hAnsi="Times New Roman"/>
                <w:b/>
                <w:bCs/>
                <w:sz w:val="20"/>
                <w:szCs w:val="20"/>
              </w:rPr>
              <w:t>actuale</w:t>
            </w:r>
          </w:p>
        </w:tc>
        <w:tc>
          <w:tcPr>
            <w:tcW w:w="1201" w:type="dxa"/>
            <w:tcBorders>
              <w:top w:val="single" w:sz="11" w:space="0" w:color="000000"/>
              <w:left w:val="single" w:sz="4" w:space="0" w:color="000000"/>
              <w:bottom w:val="single" w:sz="11" w:space="0" w:color="000000"/>
              <w:right w:val="single" w:sz="4" w:space="0" w:color="000000"/>
            </w:tcBorders>
            <w:shd w:val="clear" w:color="auto" w:fill="D9D9D9"/>
          </w:tcPr>
          <w:p w:rsidR="004F7F31" w:rsidRPr="004F7F31" w:rsidRDefault="004F7F31" w:rsidP="004F7F31">
            <w:pPr>
              <w:kinsoku w:val="0"/>
              <w:overflowPunct w:val="0"/>
              <w:autoSpaceDE w:val="0"/>
              <w:autoSpaceDN w:val="0"/>
              <w:adjustRightInd w:val="0"/>
              <w:spacing w:before="113" w:after="0" w:line="240" w:lineRule="auto"/>
              <w:ind w:left="490" w:right="150" w:hanging="325"/>
              <w:rPr>
                <w:rFonts w:ascii="Times New Roman" w:eastAsiaTheme="minorHAnsi" w:hAnsi="Times New Roman"/>
                <w:sz w:val="24"/>
                <w:szCs w:val="24"/>
              </w:rPr>
            </w:pPr>
            <w:r w:rsidRPr="004F7F31">
              <w:rPr>
                <w:rFonts w:ascii="Times New Roman" w:eastAsiaTheme="minorHAnsi" w:hAnsi="Times New Roman"/>
                <w:b/>
                <w:bCs/>
                <w:sz w:val="20"/>
                <w:szCs w:val="20"/>
              </w:rPr>
              <w:t>Suprafaţa ha</w:t>
            </w:r>
          </w:p>
        </w:tc>
        <w:tc>
          <w:tcPr>
            <w:tcW w:w="1774" w:type="dxa"/>
            <w:tcBorders>
              <w:top w:val="single" w:sz="11" w:space="0" w:color="000000"/>
              <w:left w:val="single" w:sz="4" w:space="0" w:color="000000"/>
              <w:bottom w:val="single" w:sz="11" w:space="0" w:color="000000"/>
              <w:right w:val="single" w:sz="11" w:space="0" w:color="000000"/>
            </w:tcBorders>
            <w:shd w:val="clear" w:color="auto" w:fill="D9D9D9"/>
          </w:tcPr>
          <w:p w:rsidR="004F7F31" w:rsidRPr="004F7F31" w:rsidRDefault="004F7F31" w:rsidP="004F7F31">
            <w:pPr>
              <w:kinsoku w:val="0"/>
              <w:overflowPunct w:val="0"/>
              <w:autoSpaceDE w:val="0"/>
              <w:autoSpaceDN w:val="0"/>
              <w:adjustRightInd w:val="0"/>
              <w:spacing w:after="0" w:line="240" w:lineRule="auto"/>
              <w:ind w:left="254" w:right="243" w:hanging="4"/>
              <w:jc w:val="center"/>
              <w:rPr>
                <w:rFonts w:ascii="Times New Roman" w:eastAsiaTheme="minorHAnsi" w:hAnsi="Times New Roman"/>
                <w:sz w:val="24"/>
                <w:szCs w:val="24"/>
              </w:rPr>
            </w:pPr>
            <w:r w:rsidRPr="004F7F31">
              <w:rPr>
                <w:rFonts w:ascii="Times New Roman" w:eastAsiaTheme="minorHAnsi" w:hAnsi="Times New Roman"/>
                <w:b/>
                <w:bCs/>
                <w:sz w:val="20"/>
                <w:szCs w:val="20"/>
              </w:rPr>
              <w:t xml:space="preserve">Unitatea teritorial- </w:t>
            </w:r>
            <w:r w:rsidRPr="004F7F31">
              <w:rPr>
                <w:rFonts w:ascii="Times New Roman" w:eastAsiaTheme="minorHAnsi" w:hAnsi="Times New Roman"/>
                <w:b/>
                <w:bCs/>
                <w:w w:val="95"/>
                <w:sz w:val="20"/>
                <w:szCs w:val="20"/>
              </w:rPr>
              <w:t>administrativă</w:t>
            </w:r>
          </w:p>
        </w:tc>
      </w:tr>
      <w:tr w:rsidR="004F7F31" w:rsidRPr="004F7F31">
        <w:trPr>
          <w:trHeight w:hRule="exact" w:val="835"/>
        </w:trPr>
        <w:tc>
          <w:tcPr>
            <w:tcW w:w="739" w:type="dxa"/>
            <w:tcBorders>
              <w:top w:val="single" w:sz="11" w:space="0" w:color="000000"/>
              <w:left w:val="single" w:sz="11" w:space="0" w:color="000000"/>
              <w:bottom w:val="single" w:sz="4"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24"/>
                <w:szCs w:val="24"/>
              </w:rPr>
            </w:pPr>
          </w:p>
          <w:p w:rsidR="004F7F31" w:rsidRPr="004F7F31" w:rsidRDefault="004F7F31" w:rsidP="004F7F31">
            <w:pPr>
              <w:kinsoku w:val="0"/>
              <w:overflowPunct w:val="0"/>
              <w:autoSpaceDE w:val="0"/>
              <w:autoSpaceDN w:val="0"/>
              <w:adjustRightInd w:val="0"/>
              <w:spacing w:after="0" w:line="240" w:lineRule="auto"/>
              <w:ind w:right="8"/>
              <w:jc w:val="center"/>
              <w:rPr>
                <w:rFonts w:ascii="Times New Roman" w:eastAsiaTheme="minorHAnsi" w:hAnsi="Times New Roman"/>
                <w:sz w:val="24"/>
                <w:szCs w:val="24"/>
              </w:rPr>
            </w:pPr>
            <w:r w:rsidRPr="004F7F31">
              <w:rPr>
                <w:rFonts w:ascii="Times New Roman" w:eastAsiaTheme="minorHAnsi" w:hAnsi="Times New Roman"/>
                <w:w w:val="99"/>
                <w:sz w:val="20"/>
                <w:szCs w:val="20"/>
              </w:rPr>
              <w:t>1</w:t>
            </w:r>
          </w:p>
        </w:tc>
        <w:tc>
          <w:tcPr>
            <w:tcW w:w="1337" w:type="dxa"/>
            <w:tcBorders>
              <w:top w:val="single" w:sz="11" w:space="0" w:color="000000"/>
              <w:left w:val="single" w:sz="4" w:space="0" w:color="000000"/>
              <w:bottom w:val="single" w:sz="4"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24"/>
                <w:szCs w:val="24"/>
              </w:rPr>
            </w:pPr>
          </w:p>
          <w:p w:rsidR="004F7F31" w:rsidRPr="004F7F31" w:rsidRDefault="004F7F31" w:rsidP="004F7F31">
            <w:pPr>
              <w:kinsoku w:val="0"/>
              <w:overflowPunct w:val="0"/>
              <w:autoSpaceDE w:val="0"/>
              <w:autoSpaceDN w:val="0"/>
              <w:adjustRightInd w:val="0"/>
              <w:spacing w:after="0" w:line="240" w:lineRule="auto"/>
              <w:ind w:left="292" w:right="295"/>
              <w:jc w:val="center"/>
              <w:rPr>
                <w:rFonts w:ascii="Times New Roman" w:eastAsiaTheme="minorHAnsi" w:hAnsi="Times New Roman"/>
                <w:sz w:val="24"/>
                <w:szCs w:val="24"/>
              </w:rPr>
            </w:pPr>
            <w:r w:rsidRPr="004F7F31">
              <w:rPr>
                <w:rFonts w:ascii="Times New Roman" w:eastAsiaTheme="minorHAnsi" w:hAnsi="Times New Roman"/>
                <w:sz w:val="20"/>
                <w:szCs w:val="20"/>
              </w:rPr>
              <w:t>Harghita</w:t>
            </w:r>
          </w:p>
        </w:tc>
        <w:tc>
          <w:tcPr>
            <w:tcW w:w="2182" w:type="dxa"/>
            <w:tcBorders>
              <w:top w:val="single" w:sz="11" w:space="0" w:color="000000"/>
              <w:left w:val="single" w:sz="4" w:space="0" w:color="000000"/>
              <w:bottom w:val="single" w:sz="4" w:space="0" w:color="000000"/>
              <w:right w:val="single" w:sz="4" w:space="0" w:color="000000"/>
            </w:tcBorders>
          </w:tcPr>
          <w:p w:rsidR="004F7F31" w:rsidRPr="004F7F31" w:rsidRDefault="004F7F31" w:rsidP="004F7F31">
            <w:pPr>
              <w:kinsoku w:val="0"/>
              <w:overflowPunct w:val="0"/>
              <w:autoSpaceDE w:val="0"/>
              <w:autoSpaceDN w:val="0"/>
              <w:adjustRightInd w:val="0"/>
              <w:spacing w:before="171" w:after="0" w:line="240" w:lineRule="auto"/>
              <w:ind w:left="257"/>
              <w:rPr>
                <w:rFonts w:ascii="Times New Roman" w:eastAsiaTheme="minorHAnsi" w:hAnsi="Times New Roman"/>
                <w:sz w:val="20"/>
                <w:szCs w:val="20"/>
              </w:rPr>
            </w:pPr>
            <w:r w:rsidRPr="004F7F31">
              <w:rPr>
                <w:rFonts w:ascii="Times New Roman" w:eastAsiaTheme="minorHAnsi" w:hAnsi="Times New Roman"/>
                <w:sz w:val="20"/>
                <w:szCs w:val="20"/>
              </w:rPr>
              <w:t>O.S. Miercurea Ciuc</w:t>
            </w:r>
          </w:p>
          <w:p w:rsidR="004F7F31" w:rsidRPr="004F7F31" w:rsidRDefault="004F7F31" w:rsidP="004F7F31">
            <w:pPr>
              <w:kinsoku w:val="0"/>
              <w:overflowPunct w:val="0"/>
              <w:autoSpaceDE w:val="0"/>
              <w:autoSpaceDN w:val="0"/>
              <w:adjustRightInd w:val="0"/>
              <w:spacing w:after="0" w:line="240" w:lineRule="auto"/>
              <w:ind w:left="372"/>
              <w:rPr>
                <w:rFonts w:ascii="Times New Roman" w:eastAsiaTheme="minorHAnsi" w:hAnsi="Times New Roman"/>
                <w:sz w:val="24"/>
                <w:szCs w:val="24"/>
              </w:rPr>
            </w:pPr>
            <w:r w:rsidRPr="004F7F31">
              <w:rPr>
                <w:rFonts w:ascii="Times New Roman" w:eastAsiaTheme="minorHAnsi" w:hAnsi="Times New Roman"/>
                <w:sz w:val="20"/>
                <w:szCs w:val="20"/>
              </w:rPr>
              <w:t>U.P. II Sântimbru</w:t>
            </w:r>
          </w:p>
        </w:tc>
        <w:tc>
          <w:tcPr>
            <w:tcW w:w="2204" w:type="dxa"/>
            <w:tcBorders>
              <w:top w:val="single" w:sz="11" w:space="0" w:color="000000"/>
              <w:left w:val="single" w:sz="4" w:space="0" w:color="000000"/>
              <w:bottom w:val="single" w:sz="4"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24"/>
                <w:szCs w:val="24"/>
              </w:rPr>
            </w:pPr>
          </w:p>
          <w:p w:rsidR="004F7F31" w:rsidRPr="004F7F31" w:rsidRDefault="004F7F31" w:rsidP="004F7F31">
            <w:pPr>
              <w:kinsoku w:val="0"/>
              <w:overflowPunct w:val="0"/>
              <w:autoSpaceDE w:val="0"/>
              <w:autoSpaceDN w:val="0"/>
              <w:adjustRightInd w:val="0"/>
              <w:spacing w:after="0" w:line="240" w:lineRule="auto"/>
              <w:ind w:left="376" w:right="377"/>
              <w:jc w:val="center"/>
              <w:rPr>
                <w:rFonts w:ascii="Times New Roman" w:eastAsiaTheme="minorHAnsi" w:hAnsi="Times New Roman"/>
                <w:sz w:val="24"/>
                <w:szCs w:val="24"/>
              </w:rPr>
            </w:pPr>
            <w:r w:rsidRPr="004F7F31">
              <w:rPr>
                <w:rFonts w:ascii="Times New Roman" w:eastAsiaTheme="minorHAnsi" w:hAnsi="Times New Roman"/>
                <w:sz w:val="20"/>
                <w:szCs w:val="20"/>
              </w:rPr>
              <w:t>40, 41, 48, 50, 51</w:t>
            </w:r>
          </w:p>
        </w:tc>
        <w:tc>
          <w:tcPr>
            <w:tcW w:w="1201" w:type="dxa"/>
            <w:tcBorders>
              <w:top w:val="single" w:sz="11" w:space="0" w:color="000000"/>
              <w:left w:val="single" w:sz="4" w:space="0" w:color="000000"/>
              <w:bottom w:val="single" w:sz="4"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rPr>
                <w:rFonts w:ascii="Times New Roman" w:eastAsiaTheme="minorHAnsi" w:hAnsi="Times New Roman"/>
                <w:sz w:val="24"/>
                <w:szCs w:val="24"/>
              </w:rPr>
            </w:pPr>
          </w:p>
          <w:p w:rsidR="004F7F31" w:rsidRPr="004F7F31" w:rsidRDefault="004F7F31" w:rsidP="004F7F31">
            <w:pPr>
              <w:kinsoku w:val="0"/>
              <w:overflowPunct w:val="0"/>
              <w:autoSpaceDE w:val="0"/>
              <w:autoSpaceDN w:val="0"/>
              <w:adjustRightInd w:val="0"/>
              <w:spacing w:after="0" w:line="240" w:lineRule="auto"/>
              <w:ind w:left="350" w:right="350"/>
              <w:jc w:val="center"/>
              <w:rPr>
                <w:rFonts w:ascii="Times New Roman" w:eastAsiaTheme="minorHAnsi" w:hAnsi="Times New Roman"/>
                <w:sz w:val="24"/>
                <w:szCs w:val="24"/>
              </w:rPr>
            </w:pPr>
            <w:r w:rsidRPr="004F7F31">
              <w:rPr>
                <w:rFonts w:ascii="Times New Roman" w:eastAsiaTheme="minorHAnsi" w:hAnsi="Times New Roman"/>
                <w:sz w:val="20"/>
                <w:szCs w:val="20"/>
              </w:rPr>
              <w:t>109,6</w:t>
            </w:r>
          </w:p>
        </w:tc>
        <w:tc>
          <w:tcPr>
            <w:tcW w:w="1774" w:type="dxa"/>
            <w:tcBorders>
              <w:top w:val="single" w:sz="11" w:space="0" w:color="000000"/>
              <w:left w:val="single" w:sz="4" w:space="0" w:color="000000"/>
              <w:bottom w:val="single" w:sz="4" w:space="0" w:color="000000"/>
              <w:right w:val="single" w:sz="11" w:space="0" w:color="000000"/>
            </w:tcBorders>
          </w:tcPr>
          <w:p w:rsidR="004F7F31" w:rsidRPr="004F7F31" w:rsidRDefault="004F7F31" w:rsidP="004F7F31">
            <w:pPr>
              <w:kinsoku w:val="0"/>
              <w:overflowPunct w:val="0"/>
              <w:autoSpaceDE w:val="0"/>
              <w:autoSpaceDN w:val="0"/>
              <w:adjustRightInd w:val="0"/>
              <w:spacing w:before="171" w:after="0" w:line="240" w:lineRule="auto"/>
              <w:ind w:left="465" w:firstLine="79"/>
              <w:rPr>
                <w:rFonts w:ascii="Times New Roman" w:eastAsiaTheme="minorHAnsi" w:hAnsi="Times New Roman"/>
                <w:sz w:val="24"/>
                <w:szCs w:val="24"/>
              </w:rPr>
            </w:pPr>
            <w:r w:rsidRPr="004F7F31">
              <w:rPr>
                <w:rFonts w:ascii="Times New Roman" w:eastAsiaTheme="minorHAnsi" w:hAnsi="Times New Roman"/>
                <w:sz w:val="20"/>
                <w:szCs w:val="20"/>
              </w:rPr>
              <w:t xml:space="preserve">Comuna </w:t>
            </w:r>
            <w:r w:rsidRPr="004F7F31">
              <w:rPr>
                <w:rFonts w:ascii="Times New Roman" w:eastAsiaTheme="minorHAnsi" w:hAnsi="Times New Roman"/>
                <w:w w:val="95"/>
                <w:sz w:val="20"/>
                <w:szCs w:val="20"/>
              </w:rPr>
              <w:t>Sântimbru</w:t>
            </w:r>
          </w:p>
        </w:tc>
      </w:tr>
      <w:tr w:rsidR="004F7F31" w:rsidRPr="004F7F31">
        <w:trPr>
          <w:trHeight w:hRule="exact" w:val="274"/>
        </w:trPr>
        <w:tc>
          <w:tcPr>
            <w:tcW w:w="739" w:type="dxa"/>
            <w:tcBorders>
              <w:top w:val="single" w:sz="4" w:space="0" w:color="000000"/>
              <w:left w:val="single" w:sz="11" w:space="0" w:color="000000"/>
              <w:bottom w:val="single" w:sz="11"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ind w:left="107" w:right="116"/>
              <w:jc w:val="center"/>
              <w:rPr>
                <w:rFonts w:ascii="Times New Roman" w:eastAsiaTheme="minorHAnsi" w:hAnsi="Times New Roman"/>
                <w:sz w:val="24"/>
                <w:szCs w:val="24"/>
              </w:rPr>
            </w:pPr>
            <w:r w:rsidRPr="004F7F31">
              <w:rPr>
                <w:rFonts w:ascii="Times New Roman" w:eastAsiaTheme="minorHAnsi" w:hAnsi="Times New Roman"/>
                <w:b/>
                <w:bCs/>
                <w:sz w:val="20"/>
                <w:szCs w:val="20"/>
              </w:rPr>
              <w:t>Total</w:t>
            </w:r>
          </w:p>
        </w:tc>
        <w:tc>
          <w:tcPr>
            <w:tcW w:w="1337" w:type="dxa"/>
            <w:tcBorders>
              <w:top w:val="single" w:sz="4" w:space="0" w:color="000000"/>
              <w:left w:val="single" w:sz="4" w:space="0" w:color="000000"/>
              <w:bottom w:val="single" w:sz="11"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ind w:right="1"/>
              <w:jc w:val="center"/>
              <w:rPr>
                <w:rFonts w:ascii="Times New Roman" w:eastAsiaTheme="minorHAnsi" w:hAnsi="Times New Roman"/>
                <w:sz w:val="24"/>
                <w:szCs w:val="24"/>
              </w:rPr>
            </w:pPr>
            <w:r w:rsidRPr="004F7F31">
              <w:rPr>
                <w:rFonts w:ascii="Times New Roman" w:eastAsiaTheme="minorHAnsi" w:hAnsi="Times New Roman"/>
                <w:b/>
                <w:bCs/>
                <w:w w:val="99"/>
                <w:sz w:val="20"/>
                <w:szCs w:val="20"/>
              </w:rPr>
              <w:t>-</w:t>
            </w:r>
          </w:p>
        </w:tc>
        <w:tc>
          <w:tcPr>
            <w:tcW w:w="2182" w:type="dxa"/>
            <w:tcBorders>
              <w:top w:val="single" w:sz="4" w:space="0" w:color="000000"/>
              <w:left w:val="single" w:sz="4" w:space="0" w:color="000000"/>
              <w:bottom w:val="single" w:sz="11"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jc w:val="center"/>
              <w:rPr>
                <w:rFonts w:ascii="Times New Roman" w:eastAsiaTheme="minorHAnsi" w:hAnsi="Times New Roman"/>
                <w:sz w:val="24"/>
                <w:szCs w:val="24"/>
              </w:rPr>
            </w:pPr>
            <w:r w:rsidRPr="004F7F31">
              <w:rPr>
                <w:rFonts w:ascii="Times New Roman" w:eastAsiaTheme="minorHAnsi" w:hAnsi="Times New Roman"/>
                <w:b/>
                <w:bCs/>
                <w:w w:val="99"/>
                <w:sz w:val="20"/>
                <w:szCs w:val="20"/>
              </w:rPr>
              <w:t>-</w:t>
            </w:r>
          </w:p>
        </w:tc>
        <w:tc>
          <w:tcPr>
            <w:tcW w:w="2204" w:type="dxa"/>
            <w:tcBorders>
              <w:top w:val="single" w:sz="4" w:space="0" w:color="000000"/>
              <w:left w:val="single" w:sz="4" w:space="0" w:color="000000"/>
              <w:bottom w:val="single" w:sz="11"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jc w:val="center"/>
              <w:rPr>
                <w:rFonts w:ascii="Times New Roman" w:eastAsiaTheme="minorHAnsi" w:hAnsi="Times New Roman"/>
                <w:sz w:val="24"/>
                <w:szCs w:val="24"/>
              </w:rPr>
            </w:pPr>
            <w:r w:rsidRPr="004F7F31">
              <w:rPr>
                <w:rFonts w:ascii="Times New Roman" w:eastAsiaTheme="minorHAnsi" w:hAnsi="Times New Roman"/>
                <w:b/>
                <w:bCs/>
                <w:w w:val="99"/>
                <w:sz w:val="20"/>
                <w:szCs w:val="20"/>
              </w:rPr>
              <w:t>-</w:t>
            </w:r>
          </w:p>
        </w:tc>
        <w:tc>
          <w:tcPr>
            <w:tcW w:w="1201" w:type="dxa"/>
            <w:tcBorders>
              <w:top w:val="single" w:sz="4" w:space="0" w:color="000000"/>
              <w:left w:val="single" w:sz="4" w:space="0" w:color="000000"/>
              <w:bottom w:val="single" w:sz="11" w:space="0" w:color="000000"/>
              <w:right w:val="single" w:sz="4" w:space="0" w:color="000000"/>
            </w:tcBorders>
          </w:tcPr>
          <w:p w:rsidR="004F7F31" w:rsidRPr="004F7F31" w:rsidRDefault="004F7F31" w:rsidP="004F7F31">
            <w:pPr>
              <w:kinsoku w:val="0"/>
              <w:overflowPunct w:val="0"/>
              <w:autoSpaceDE w:val="0"/>
              <w:autoSpaceDN w:val="0"/>
              <w:adjustRightInd w:val="0"/>
              <w:spacing w:before="10" w:after="0" w:line="240" w:lineRule="auto"/>
              <w:ind w:left="350" w:right="350"/>
              <w:jc w:val="center"/>
              <w:rPr>
                <w:rFonts w:ascii="Times New Roman" w:eastAsiaTheme="minorHAnsi" w:hAnsi="Times New Roman"/>
                <w:sz w:val="24"/>
                <w:szCs w:val="24"/>
              </w:rPr>
            </w:pPr>
            <w:r w:rsidRPr="004F7F31">
              <w:rPr>
                <w:rFonts w:ascii="Times New Roman" w:eastAsiaTheme="minorHAnsi" w:hAnsi="Times New Roman"/>
                <w:b/>
                <w:bCs/>
                <w:sz w:val="20"/>
                <w:szCs w:val="20"/>
              </w:rPr>
              <w:t>109,6</w:t>
            </w:r>
          </w:p>
        </w:tc>
        <w:tc>
          <w:tcPr>
            <w:tcW w:w="1774" w:type="dxa"/>
            <w:tcBorders>
              <w:top w:val="single" w:sz="4" w:space="0" w:color="000000"/>
              <w:left w:val="single" w:sz="4" w:space="0" w:color="000000"/>
              <w:bottom w:val="single" w:sz="11" w:space="0" w:color="000000"/>
              <w:right w:val="single" w:sz="11" w:space="0" w:color="000000"/>
            </w:tcBorders>
          </w:tcPr>
          <w:p w:rsidR="004F7F31" w:rsidRPr="004F7F31" w:rsidRDefault="004F7F31" w:rsidP="004F7F31">
            <w:pPr>
              <w:kinsoku w:val="0"/>
              <w:overflowPunct w:val="0"/>
              <w:autoSpaceDE w:val="0"/>
              <w:autoSpaceDN w:val="0"/>
              <w:adjustRightInd w:val="0"/>
              <w:spacing w:before="5" w:after="0" w:line="240" w:lineRule="auto"/>
              <w:ind w:left="5"/>
              <w:jc w:val="center"/>
              <w:rPr>
                <w:rFonts w:ascii="Times New Roman" w:eastAsiaTheme="minorHAnsi" w:hAnsi="Times New Roman"/>
                <w:sz w:val="24"/>
                <w:szCs w:val="24"/>
              </w:rPr>
            </w:pPr>
            <w:r w:rsidRPr="004F7F31">
              <w:rPr>
                <w:rFonts w:ascii="Times New Roman" w:eastAsiaTheme="minorHAnsi" w:hAnsi="Times New Roman"/>
                <w:w w:val="99"/>
                <w:sz w:val="20"/>
                <w:szCs w:val="20"/>
              </w:rPr>
              <w:t>-</w:t>
            </w:r>
          </w:p>
        </w:tc>
      </w:tr>
    </w:tbl>
    <w:p w:rsidR="004F7F31" w:rsidRPr="0044036B" w:rsidRDefault="004F7F31" w:rsidP="00EA144E">
      <w:pPr>
        <w:tabs>
          <w:tab w:val="left" w:pos="720"/>
        </w:tabs>
        <w:spacing w:after="0" w:line="240" w:lineRule="auto"/>
        <w:jc w:val="both"/>
        <w:rPr>
          <w:rFonts w:ascii="Times New Roman" w:hAnsi="Times New Roman"/>
          <w:sz w:val="16"/>
          <w:szCs w:val="16"/>
          <w:lang w:val="ro-RO"/>
        </w:rPr>
      </w:pPr>
    </w:p>
    <w:p w:rsidR="00652B7F" w:rsidRPr="00652B7F" w:rsidRDefault="00652B7F" w:rsidP="00652B7F">
      <w:pPr>
        <w:kinsoku w:val="0"/>
        <w:overflowPunct w:val="0"/>
        <w:autoSpaceDE w:val="0"/>
        <w:autoSpaceDN w:val="0"/>
        <w:adjustRightInd w:val="0"/>
        <w:spacing w:before="11" w:after="0" w:line="240" w:lineRule="auto"/>
        <w:rPr>
          <w:rFonts w:ascii="Times New Roman" w:eastAsiaTheme="minorHAnsi" w:hAnsi="Times New Roman"/>
          <w:sz w:val="2"/>
          <w:szCs w:val="2"/>
        </w:rPr>
      </w:pPr>
    </w:p>
    <w:tbl>
      <w:tblPr>
        <w:tblW w:w="4869" w:type="pct"/>
        <w:tblInd w:w="250" w:type="dxa"/>
        <w:tblLook w:val="04A0" w:firstRow="1" w:lastRow="0" w:firstColumn="1" w:lastColumn="0" w:noHBand="0" w:noVBand="1"/>
      </w:tblPr>
      <w:tblGrid>
        <w:gridCol w:w="1814"/>
        <w:gridCol w:w="2436"/>
        <w:gridCol w:w="1233"/>
        <w:gridCol w:w="1921"/>
        <w:gridCol w:w="1921"/>
      </w:tblGrid>
      <w:tr w:rsidR="00CD4549" w:rsidRPr="00CD4549" w:rsidTr="0044036B">
        <w:trPr>
          <w:trHeight w:val="284"/>
        </w:trPr>
        <w:tc>
          <w:tcPr>
            <w:tcW w:w="973" w:type="pct"/>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CD4549" w:rsidRPr="00CD4549" w:rsidRDefault="00CD4549" w:rsidP="00361430">
            <w:pPr>
              <w:jc w:val="center"/>
              <w:rPr>
                <w:b/>
                <w:bCs/>
                <w:color w:val="000000"/>
                <w:sz w:val="20"/>
                <w:szCs w:val="20"/>
              </w:rPr>
            </w:pPr>
            <w:r w:rsidRPr="00CD4549">
              <w:rPr>
                <w:b/>
                <w:bCs/>
                <w:color w:val="000000"/>
                <w:sz w:val="20"/>
                <w:szCs w:val="20"/>
              </w:rPr>
              <w:t>UP</w:t>
            </w:r>
          </w:p>
        </w:tc>
        <w:tc>
          <w:tcPr>
            <w:tcW w:w="1306" w:type="pct"/>
            <w:tcBorders>
              <w:top w:val="double" w:sz="4" w:space="0" w:color="auto"/>
              <w:left w:val="nil"/>
              <w:bottom w:val="double" w:sz="4" w:space="0" w:color="auto"/>
              <w:right w:val="single" w:sz="4" w:space="0" w:color="auto"/>
            </w:tcBorders>
            <w:shd w:val="clear" w:color="auto" w:fill="F2F2F2" w:themeFill="background1" w:themeFillShade="F2"/>
            <w:vAlign w:val="center"/>
          </w:tcPr>
          <w:p w:rsidR="00CD4549" w:rsidRPr="00CD4549" w:rsidRDefault="00CD4549" w:rsidP="00361430">
            <w:pPr>
              <w:jc w:val="center"/>
              <w:rPr>
                <w:b/>
                <w:bCs/>
                <w:color w:val="000000"/>
                <w:sz w:val="20"/>
                <w:szCs w:val="20"/>
              </w:rPr>
            </w:pPr>
            <w:r w:rsidRPr="00CD4549">
              <w:rPr>
                <w:b/>
                <w:bCs/>
                <w:color w:val="000000"/>
                <w:sz w:val="20"/>
                <w:szCs w:val="20"/>
              </w:rPr>
              <w:t>Trup</w:t>
            </w:r>
          </w:p>
        </w:tc>
        <w:tc>
          <w:tcPr>
            <w:tcW w:w="661" w:type="pct"/>
            <w:tcBorders>
              <w:top w:val="double" w:sz="4" w:space="0" w:color="auto"/>
              <w:left w:val="nil"/>
              <w:bottom w:val="double" w:sz="4" w:space="0" w:color="auto"/>
              <w:right w:val="single" w:sz="4" w:space="0" w:color="auto"/>
            </w:tcBorders>
            <w:shd w:val="clear" w:color="auto" w:fill="F2F2F2" w:themeFill="background1" w:themeFillShade="F2"/>
            <w:vAlign w:val="center"/>
          </w:tcPr>
          <w:p w:rsidR="00CD4549" w:rsidRPr="00CD4549" w:rsidRDefault="00CD4549" w:rsidP="00361430">
            <w:pPr>
              <w:jc w:val="center"/>
              <w:rPr>
                <w:b/>
                <w:bCs/>
                <w:color w:val="000000"/>
                <w:sz w:val="20"/>
                <w:szCs w:val="20"/>
              </w:rPr>
            </w:pPr>
            <w:r w:rsidRPr="00CD4549">
              <w:rPr>
                <w:b/>
                <w:bCs/>
                <w:color w:val="000000"/>
                <w:sz w:val="20"/>
                <w:szCs w:val="20"/>
              </w:rPr>
              <w:t>Punct</w:t>
            </w:r>
          </w:p>
        </w:tc>
        <w:tc>
          <w:tcPr>
            <w:tcW w:w="1030" w:type="pct"/>
            <w:tcBorders>
              <w:top w:val="double" w:sz="4" w:space="0" w:color="auto"/>
              <w:left w:val="nil"/>
              <w:bottom w:val="double" w:sz="4" w:space="0" w:color="auto"/>
              <w:right w:val="single" w:sz="4" w:space="0" w:color="auto"/>
            </w:tcBorders>
            <w:shd w:val="clear" w:color="auto" w:fill="F2F2F2" w:themeFill="background1" w:themeFillShade="F2"/>
            <w:vAlign w:val="center"/>
          </w:tcPr>
          <w:p w:rsidR="00CD4549" w:rsidRPr="00CD4549" w:rsidRDefault="00CD4549" w:rsidP="00361430">
            <w:pPr>
              <w:jc w:val="center"/>
              <w:rPr>
                <w:b/>
                <w:bCs/>
                <w:color w:val="000000"/>
                <w:sz w:val="20"/>
                <w:szCs w:val="20"/>
              </w:rPr>
            </w:pPr>
            <w:r w:rsidRPr="00CD4549">
              <w:rPr>
                <w:b/>
                <w:bCs/>
                <w:color w:val="000000"/>
                <w:sz w:val="20"/>
                <w:szCs w:val="20"/>
              </w:rPr>
              <w:t>X</w:t>
            </w:r>
          </w:p>
        </w:tc>
        <w:tc>
          <w:tcPr>
            <w:tcW w:w="1030" w:type="pct"/>
            <w:tcBorders>
              <w:top w:val="double" w:sz="4" w:space="0" w:color="auto"/>
              <w:left w:val="nil"/>
              <w:bottom w:val="double" w:sz="4" w:space="0" w:color="auto"/>
              <w:right w:val="double" w:sz="4" w:space="0" w:color="auto"/>
            </w:tcBorders>
            <w:shd w:val="clear" w:color="auto" w:fill="F2F2F2" w:themeFill="background1" w:themeFillShade="F2"/>
            <w:vAlign w:val="center"/>
          </w:tcPr>
          <w:p w:rsidR="00CD4549" w:rsidRPr="00CD4549" w:rsidRDefault="00CD4549" w:rsidP="00361430">
            <w:pPr>
              <w:jc w:val="center"/>
              <w:rPr>
                <w:b/>
                <w:bCs/>
                <w:color w:val="000000"/>
                <w:sz w:val="20"/>
                <w:szCs w:val="20"/>
              </w:rPr>
            </w:pPr>
            <w:r w:rsidRPr="00CD4549">
              <w:rPr>
                <w:b/>
                <w:bCs/>
                <w:color w:val="000000"/>
                <w:sz w:val="20"/>
                <w:szCs w:val="20"/>
              </w:rPr>
              <w:t>Y</w:t>
            </w:r>
          </w:p>
        </w:tc>
      </w:tr>
      <w:tr w:rsidR="00CD4549" w:rsidRPr="00CD4549" w:rsidTr="0044036B">
        <w:trPr>
          <w:trHeight w:val="284"/>
        </w:trPr>
        <w:tc>
          <w:tcPr>
            <w:tcW w:w="973" w:type="pct"/>
            <w:vMerge w:val="restart"/>
            <w:tcBorders>
              <w:top w:val="double" w:sz="4" w:space="0" w:color="auto"/>
              <w:left w:val="double" w:sz="4" w:space="0" w:color="auto"/>
              <w:bottom w:val="single" w:sz="4" w:space="0" w:color="auto"/>
              <w:right w:val="single" w:sz="4" w:space="0" w:color="auto"/>
            </w:tcBorders>
            <w:shd w:val="clear" w:color="auto" w:fill="auto"/>
            <w:vAlign w:val="center"/>
          </w:tcPr>
          <w:p w:rsidR="00CD4549" w:rsidRPr="00CD4549" w:rsidRDefault="00CD4549" w:rsidP="00361430">
            <w:pPr>
              <w:jc w:val="center"/>
              <w:rPr>
                <w:b/>
                <w:i/>
                <w:color w:val="000000"/>
                <w:sz w:val="20"/>
                <w:szCs w:val="20"/>
              </w:rPr>
            </w:pPr>
            <w:r w:rsidRPr="00CD4549">
              <w:rPr>
                <w:b/>
                <w:i/>
                <w:sz w:val="20"/>
                <w:szCs w:val="20"/>
              </w:rPr>
              <w:t xml:space="preserve">U.P. </w:t>
            </w:r>
            <w:r w:rsidRPr="00CD4549">
              <w:rPr>
                <w:b/>
                <w:i/>
                <w:sz w:val="20"/>
                <w:szCs w:val="20"/>
                <w:lang w:val="hu-HU"/>
              </w:rPr>
              <w:t>II Grupa a II-a Sântimbru</w:t>
            </w:r>
          </w:p>
        </w:tc>
        <w:tc>
          <w:tcPr>
            <w:tcW w:w="1306"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CD4549" w:rsidRPr="00CD4549" w:rsidRDefault="00CD4549" w:rsidP="00361430">
            <w:pPr>
              <w:jc w:val="center"/>
              <w:rPr>
                <w:color w:val="000000"/>
                <w:sz w:val="20"/>
                <w:szCs w:val="20"/>
                <w:lang w:val="hu-HU"/>
              </w:rPr>
            </w:pPr>
            <w:r w:rsidRPr="00CD4549">
              <w:rPr>
                <w:color w:val="000000"/>
                <w:sz w:val="20"/>
                <w:szCs w:val="20"/>
                <w:lang w:val="hu-HU"/>
              </w:rPr>
              <w:t>Grupa a II-a</w:t>
            </w:r>
          </w:p>
        </w:tc>
        <w:tc>
          <w:tcPr>
            <w:tcW w:w="661" w:type="pct"/>
            <w:tcBorders>
              <w:top w:val="double" w:sz="4" w:space="0" w:color="auto"/>
              <w:left w:val="nil"/>
              <w:bottom w:val="single" w:sz="4" w:space="0" w:color="auto"/>
              <w:right w:val="single" w:sz="4" w:space="0" w:color="auto"/>
            </w:tcBorders>
            <w:shd w:val="clear" w:color="auto" w:fill="auto"/>
            <w:vAlign w:val="bottom"/>
          </w:tcPr>
          <w:p w:rsidR="00CD4549" w:rsidRPr="00CD4549" w:rsidRDefault="00CD4549" w:rsidP="00361430">
            <w:pPr>
              <w:jc w:val="center"/>
              <w:rPr>
                <w:color w:val="000000"/>
                <w:sz w:val="20"/>
                <w:szCs w:val="20"/>
              </w:rPr>
            </w:pPr>
            <w:r w:rsidRPr="00CD4549">
              <w:rPr>
                <w:color w:val="000000"/>
                <w:sz w:val="20"/>
                <w:szCs w:val="20"/>
              </w:rPr>
              <w:t>1</w:t>
            </w:r>
          </w:p>
        </w:tc>
        <w:tc>
          <w:tcPr>
            <w:tcW w:w="1030" w:type="pct"/>
            <w:tcBorders>
              <w:top w:val="double" w:sz="4" w:space="0" w:color="auto"/>
              <w:left w:val="nil"/>
              <w:bottom w:val="single" w:sz="4" w:space="0" w:color="auto"/>
              <w:right w:val="sing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559405</w:t>
            </w:r>
          </w:p>
        </w:tc>
        <w:tc>
          <w:tcPr>
            <w:tcW w:w="1030" w:type="pct"/>
            <w:tcBorders>
              <w:top w:val="double" w:sz="4" w:space="0" w:color="auto"/>
              <w:left w:val="nil"/>
              <w:bottom w:val="single" w:sz="4" w:space="0" w:color="auto"/>
              <w:right w:val="doub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529765</w:t>
            </w:r>
          </w:p>
        </w:tc>
      </w:tr>
      <w:tr w:rsidR="00CD4549" w:rsidRPr="00CD4549" w:rsidTr="0044036B">
        <w:trPr>
          <w:trHeight w:val="284"/>
        </w:trPr>
        <w:tc>
          <w:tcPr>
            <w:tcW w:w="973" w:type="pct"/>
            <w:vMerge/>
            <w:tcBorders>
              <w:top w:val="single" w:sz="4" w:space="0" w:color="auto"/>
              <w:left w:val="double" w:sz="4" w:space="0" w:color="auto"/>
              <w:bottom w:val="single" w:sz="4" w:space="0" w:color="auto"/>
              <w:right w:val="single" w:sz="4" w:space="0" w:color="auto"/>
            </w:tcBorders>
            <w:vAlign w:val="center"/>
          </w:tcPr>
          <w:p w:rsidR="00CD4549" w:rsidRPr="00CD4549" w:rsidRDefault="00CD4549" w:rsidP="00361430">
            <w:pPr>
              <w:rPr>
                <w:color w:val="000000"/>
                <w:sz w:val="20"/>
                <w:szCs w:val="20"/>
              </w:rPr>
            </w:pPr>
          </w:p>
        </w:tc>
        <w:tc>
          <w:tcPr>
            <w:tcW w:w="1306" w:type="pct"/>
            <w:vMerge/>
            <w:tcBorders>
              <w:top w:val="single" w:sz="4" w:space="0" w:color="auto"/>
              <w:left w:val="single" w:sz="4" w:space="0" w:color="auto"/>
              <w:bottom w:val="single" w:sz="4" w:space="0" w:color="auto"/>
              <w:right w:val="single" w:sz="4" w:space="0" w:color="auto"/>
            </w:tcBorders>
            <w:vAlign w:val="center"/>
          </w:tcPr>
          <w:p w:rsidR="00CD4549" w:rsidRPr="00CD4549" w:rsidRDefault="00CD4549" w:rsidP="00361430">
            <w:pPr>
              <w:jc w:val="center"/>
              <w:rPr>
                <w:color w:val="000000"/>
                <w:sz w:val="20"/>
                <w:szCs w:val="20"/>
              </w:rPr>
            </w:pPr>
          </w:p>
        </w:tc>
        <w:tc>
          <w:tcPr>
            <w:tcW w:w="661" w:type="pct"/>
            <w:tcBorders>
              <w:top w:val="nil"/>
              <w:left w:val="nil"/>
              <w:bottom w:val="single" w:sz="4" w:space="0" w:color="auto"/>
              <w:right w:val="single" w:sz="4" w:space="0" w:color="auto"/>
            </w:tcBorders>
            <w:shd w:val="clear" w:color="auto" w:fill="auto"/>
            <w:vAlign w:val="bottom"/>
          </w:tcPr>
          <w:p w:rsidR="00CD4549" w:rsidRPr="00CD4549" w:rsidRDefault="00CD4549" w:rsidP="00361430">
            <w:pPr>
              <w:jc w:val="center"/>
              <w:rPr>
                <w:color w:val="000000"/>
                <w:sz w:val="20"/>
                <w:szCs w:val="20"/>
              </w:rPr>
            </w:pPr>
            <w:r w:rsidRPr="00CD4549">
              <w:rPr>
                <w:color w:val="000000"/>
                <w:sz w:val="20"/>
                <w:szCs w:val="20"/>
              </w:rPr>
              <w:t>2</w:t>
            </w:r>
          </w:p>
        </w:tc>
        <w:tc>
          <w:tcPr>
            <w:tcW w:w="1030" w:type="pct"/>
            <w:tcBorders>
              <w:top w:val="nil"/>
              <w:left w:val="nil"/>
              <w:bottom w:val="single" w:sz="4" w:space="0" w:color="auto"/>
              <w:right w:val="sing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559609</w:t>
            </w:r>
          </w:p>
        </w:tc>
        <w:tc>
          <w:tcPr>
            <w:tcW w:w="1030" w:type="pct"/>
            <w:tcBorders>
              <w:top w:val="nil"/>
              <w:left w:val="nil"/>
              <w:bottom w:val="single" w:sz="4" w:space="0" w:color="auto"/>
              <w:right w:val="doub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527999</w:t>
            </w:r>
          </w:p>
        </w:tc>
      </w:tr>
      <w:tr w:rsidR="00CD4549" w:rsidRPr="00CD4549" w:rsidTr="0044036B">
        <w:trPr>
          <w:trHeight w:val="284"/>
        </w:trPr>
        <w:tc>
          <w:tcPr>
            <w:tcW w:w="973" w:type="pct"/>
            <w:vMerge/>
            <w:tcBorders>
              <w:top w:val="single" w:sz="4" w:space="0" w:color="auto"/>
              <w:left w:val="double" w:sz="4" w:space="0" w:color="auto"/>
              <w:bottom w:val="single" w:sz="4" w:space="0" w:color="auto"/>
              <w:right w:val="single" w:sz="4" w:space="0" w:color="auto"/>
            </w:tcBorders>
            <w:vAlign w:val="center"/>
          </w:tcPr>
          <w:p w:rsidR="00CD4549" w:rsidRPr="00CD4549" w:rsidRDefault="00CD4549" w:rsidP="00361430">
            <w:pPr>
              <w:rPr>
                <w:color w:val="000000"/>
                <w:sz w:val="20"/>
                <w:szCs w:val="20"/>
              </w:rPr>
            </w:pPr>
          </w:p>
        </w:tc>
        <w:tc>
          <w:tcPr>
            <w:tcW w:w="1306" w:type="pct"/>
            <w:vMerge/>
            <w:tcBorders>
              <w:top w:val="single" w:sz="4" w:space="0" w:color="auto"/>
              <w:left w:val="single" w:sz="4" w:space="0" w:color="auto"/>
              <w:bottom w:val="single" w:sz="4" w:space="0" w:color="auto"/>
              <w:right w:val="single" w:sz="4" w:space="0" w:color="auto"/>
            </w:tcBorders>
            <w:vAlign w:val="center"/>
          </w:tcPr>
          <w:p w:rsidR="00CD4549" w:rsidRPr="00CD4549" w:rsidRDefault="00CD4549" w:rsidP="00361430">
            <w:pPr>
              <w:jc w:val="center"/>
              <w:rPr>
                <w:color w:val="000000"/>
                <w:sz w:val="20"/>
                <w:szCs w:val="20"/>
              </w:rPr>
            </w:pPr>
          </w:p>
        </w:tc>
        <w:tc>
          <w:tcPr>
            <w:tcW w:w="661" w:type="pct"/>
            <w:tcBorders>
              <w:top w:val="nil"/>
              <w:left w:val="nil"/>
              <w:bottom w:val="single" w:sz="4" w:space="0" w:color="auto"/>
              <w:right w:val="single" w:sz="4" w:space="0" w:color="auto"/>
            </w:tcBorders>
            <w:shd w:val="clear" w:color="auto" w:fill="auto"/>
            <w:vAlign w:val="bottom"/>
          </w:tcPr>
          <w:p w:rsidR="00CD4549" w:rsidRPr="00CD4549" w:rsidRDefault="00CD4549" w:rsidP="00361430">
            <w:pPr>
              <w:jc w:val="center"/>
              <w:rPr>
                <w:color w:val="000000"/>
                <w:sz w:val="20"/>
                <w:szCs w:val="20"/>
              </w:rPr>
            </w:pPr>
            <w:r w:rsidRPr="00CD4549">
              <w:rPr>
                <w:color w:val="000000"/>
                <w:sz w:val="20"/>
                <w:szCs w:val="20"/>
              </w:rPr>
              <w:t>3</w:t>
            </w:r>
          </w:p>
        </w:tc>
        <w:tc>
          <w:tcPr>
            <w:tcW w:w="1030" w:type="pct"/>
            <w:tcBorders>
              <w:top w:val="nil"/>
              <w:left w:val="nil"/>
              <w:bottom w:val="single" w:sz="4" w:space="0" w:color="auto"/>
              <w:right w:val="sing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559045</w:t>
            </w:r>
          </w:p>
        </w:tc>
        <w:tc>
          <w:tcPr>
            <w:tcW w:w="1030" w:type="pct"/>
            <w:tcBorders>
              <w:top w:val="nil"/>
              <w:left w:val="nil"/>
              <w:bottom w:val="single" w:sz="4" w:space="0" w:color="auto"/>
              <w:right w:val="doub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529336</w:t>
            </w:r>
          </w:p>
        </w:tc>
      </w:tr>
      <w:tr w:rsidR="00CD4549" w:rsidRPr="00CD4549" w:rsidTr="0044036B">
        <w:trPr>
          <w:trHeight w:val="284"/>
        </w:trPr>
        <w:tc>
          <w:tcPr>
            <w:tcW w:w="973" w:type="pct"/>
            <w:vMerge/>
            <w:tcBorders>
              <w:top w:val="single" w:sz="4" w:space="0" w:color="auto"/>
              <w:left w:val="double" w:sz="4" w:space="0" w:color="auto"/>
              <w:bottom w:val="double" w:sz="4" w:space="0" w:color="auto"/>
              <w:right w:val="single" w:sz="4" w:space="0" w:color="auto"/>
            </w:tcBorders>
            <w:vAlign w:val="center"/>
          </w:tcPr>
          <w:p w:rsidR="00CD4549" w:rsidRPr="00CD4549" w:rsidRDefault="00CD4549" w:rsidP="00361430">
            <w:pPr>
              <w:rPr>
                <w:color w:val="000000"/>
                <w:sz w:val="20"/>
                <w:szCs w:val="20"/>
              </w:rPr>
            </w:pPr>
          </w:p>
        </w:tc>
        <w:tc>
          <w:tcPr>
            <w:tcW w:w="1306" w:type="pct"/>
            <w:vMerge/>
            <w:tcBorders>
              <w:top w:val="single" w:sz="4" w:space="0" w:color="auto"/>
              <w:left w:val="single" w:sz="4" w:space="0" w:color="auto"/>
              <w:bottom w:val="double" w:sz="4" w:space="0" w:color="auto"/>
              <w:right w:val="single" w:sz="4" w:space="0" w:color="auto"/>
            </w:tcBorders>
            <w:vAlign w:val="center"/>
          </w:tcPr>
          <w:p w:rsidR="00CD4549" w:rsidRPr="00CD4549" w:rsidRDefault="00CD4549" w:rsidP="00361430">
            <w:pPr>
              <w:jc w:val="center"/>
              <w:rPr>
                <w:color w:val="000000"/>
                <w:sz w:val="20"/>
                <w:szCs w:val="20"/>
              </w:rPr>
            </w:pPr>
          </w:p>
        </w:tc>
        <w:tc>
          <w:tcPr>
            <w:tcW w:w="661" w:type="pct"/>
            <w:tcBorders>
              <w:top w:val="nil"/>
              <w:left w:val="nil"/>
              <w:bottom w:val="double" w:sz="4" w:space="0" w:color="auto"/>
              <w:right w:val="single" w:sz="4" w:space="0" w:color="auto"/>
            </w:tcBorders>
            <w:shd w:val="clear" w:color="auto" w:fill="auto"/>
            <w:vAlign w:val="bottom"/>
          </w:tcPr>
          <w:p w:rsidR="00CD4549" w:rsidRPr="00CD4549" w:rsidRDefault="00CD4549" w:rsidP="00361430">
            <w:pPr>
              <w:jc w:val="center"/>
              <w:rPr>
                <w:color w:val="000000"/>
                <w:sz w:val="20"/>
                <w:szCs w:val="20"/>
              </w:rPr>
            </w:pPr>
            <w:r w:rsidRPr="00CD4549">
              <w:rPr>
                <w:color w:val="000000"/>
                <w:sz w:val="20"/>
                <w:szCs w:val="20"/>
              </w:rPr>
              <w:t>4</w:t>
            </w:r>
          </w:p>
        </w:tc>
        <w:tc>
          <w:tcPr>
            <w:tcW w:w="1030" w:type="pct"/>
            <w:tcBorders>
              <w:top w:val="nil"/>
              <w:left w:val="nil"/>
              <w:bottom w:val="double" w:sz="4" w:space="0" w:color="auto"/>
              <w:right w:val="sing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560247</w:t>
            </w:r>
          </w:p>
        </w:tc>
        <w:tc>
          <w:tcPr>
            <w:tcW w:w="1030" w:type="pct"/>
            <w:tcBorders>
              <w:top w:val="nil"/>
              <w:left w:val="nil"/>
              <w:bottom w:val="double" w:sz="4" w:space="0" w:color="auto"/>
              <w:right w:val="double" w:sz="4" w:space="0" w:color="auto"/>
            </w:tcBorders>
            <w:shd w:val="clear" w:color="auto" w:fill="auto"/>
            <w:vAlign w:val="center"/>
          </w:tcPr>
          <w:p w:rsidR="00CD4549" w:rsidRPr="00CD4549" w:rsidRDefault="00CD4549" w:rsidP="00361430">
            <w:pPr>
              <w:jc w:val="right"/>
              <w:rPr>
                <w:color w:val="000000"/>
                <w:sz w:val="20"/>
                <w:szCs w:val="20"/>
              </w:rPr>
            </w:pPr>
            <w:r w:rsidRPr="00CD4549">
              <w:rPr>
                <w:color w:val="000000"/>
                <w:sz w:val="20"/>
                <w:szCs w:val="20"/>
              </w:rPr>
              <w:t>529284</w:t>
            </w:r>
          </w:p>
        </w:tc>
      </w:tr>
    </w:tbl>
    <w:p w:rsidR="00EA144E" w:rsidRDefault="00EA144E" w:rsidP="00EA144E">
      <w:pPr>
        <w:tabs>
          <w:tab w:val="left" w:pos="720"/>
        </w:tabs>
        <w:spacing w:after="0" w:line="240" w:lineRule="auto"/>
        <w:jc w:val="both"/>
        <w:rPr>
          <w:rFonts w:ascii="Times New Roman" w:hAnsi="Times New Roman"/>
          <w:sz w:val="24"/>
          <w:szCs w:val="24"/>
          <w:lang w:val="ro-RO"/>
        </w:rPr>
      </w:pPr>
      <w:bookmarkStart w:id="0" w:name="bookmark3"/>
      <w:bookmarkStart w:id="1" w:name="bookmark0"/>
      <w:bookmarkStart w:id="2" w:name="bookmark1"/>
      <w:bookmarkStart w:id="3" w:name="bookmark2"/>
      <w:bookmarkEnd w:id="0"/>
      <w:bookmarkEnd w:id="1"/>
      <w:bookmarkEnd w:id="2"/>
      <w:bookmarkEnd w:id="3"/>
      <w:r w:rsidRPr="00EA144E">
        <w:rPr>
          <w:rFonts w:ascii="Times New Roman" w:hAnsi="Times New Roman"/>
          <w:sz w:val="24"/>
          <w:szCs w:val="24"/>
          <w:lang w:val="ro-RO"/>
        </w:rPr>
        <w:tab/>
        <w:t>Suprafaţa fondului din U.P.</w:t>
      </w:r>
      <w:r w:rsidR="00CD4549" w:rsidRPr="00CD4549">
        <w:rPr>
          <w:rFonts w:ascii="Times New Roman" w:hAnsi="Times New Roman"/>
          <w:b/>
          <w:i/>
          <w:sz w:val="24"/>
          <w:szCs w:val="24"/>
          <w:lang w:val="ro-RO"/>
        </w:rPr>
        <w:t xml:space="preserve"> </w:t>
      </w:r>
      <w:r w:rsidR="00CD4549">
        <w:rPr>
          <w:rFonts w:ascii="Times New Roman" w:hAnsi="Times New Roman"/>
          <w:b/>
          <w:i/>
          <w:sz w:val="24"/>
          <w:szCs w:val="24"/>
          <w:lang w:val="ro-RO"/>
        </w:rPr>
        <w:t>II GRUPA A II-a SÂNTIMBRU</w:t>
      </w:r>
      <w:r w:rsidR="00A61195">
        <w:rPr>
          <w:rFonts w:ascii="Times New Roman" w:hAnsi="Times New Roman"/>
          <w:sz w:val="24"/>
          <w:szCs w:val="24"/>
          <w:lang w:val="ro-RO"/>
        </w:rPr>
        <w:t>,</w:t>
      </w:r>
      <w:r w:rsidRPr="00EA144E">
        <w:rPr>
          <w:rFonts w:ascii="Times New Roman" w:hAnsi="Times New Roman"/>
          <w:sz w:val="24"/>
          <w:szCs w:val="24"/>
          <w:lang w:val="ro-RO"/>
        </w:rPr>
        <w:t xml:space="preserve"> este de </w:t>
      </w:r>
      <w:r w:rsidR="0041319F">
        <w:rPr>
          <w:rFonts w:ascii="Times New Roman" w:hAnsi="Times New Roman"/>
          <w:sz w:val="24"/>
          <w:szCs w:val="24"/>
          <w:lang w:val="ro-RO"/>
        </w:rPr>
        <w:t>1</w:t>
      </w:r>
      <w:r w:rsidR="00CD4549">
        <w:rPr>
          <w:rFonts w:ascii="Times New Roman" w:hAnsi="Times New Roman"/>
          <w:sz w:val="24"/>
          <w:szCs w:val="24"/>
          <w:lang w:val="ro-RO"/>
        </w:rPr>
        <w:t>09</w:t>
      </w:r>
      <w:r w:rsidR="0041319F">
        <w:rPr>
          <w:rFonts w:ascii="Times New Roman" w:hAnsi="Times New Roman"/>
          <w:sz w:val="24"/>
          <w:szCs w:val="24"/>
          <w:lang w:val="ro-RO"/>
        </w:rPr>
        <w:t>,</w:t>
      </w:r>
      <w:r w:rsidR="00CD4549">
        <w:rPr>
          <w:rFonts w:ascii="Times New Roman" w:hAnsi="Times New Roman"/>
          <w:sz w:val="24"/>
          <w:szCs w:val="24"/>
          <w:lang w:val="ro-RO"/>
        </w:rPr>
        <w:t>6</w:t>
      </w:r>
      <w:r w:rsidR="0041319F">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00CD4549">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76663C">
        <w:rPr>
          <w:rFonts w:ascii="Times New Roman" w:hAnsi="Times New Roman"/>
          <w:sz w:val="24"/>
          <w:szCs w:val="24"/>
          <w:lang w:val="ro-RO"/>
        </w:rPr>
        <w:t>e</w:t>
      </w:r>
      <w:r w:rsidR="00CD4549">
        <w:rPr>
          <w:rFonts w:ascii="Times New Roman" w:hAnsi="Times New Roman"/>
          <w:sz w:val="24"/>
          <w:szCs w:val="24"/>
          <w:lang w:val="ro-RO"/>
        </w:rPr>
        <w:t xml:space="preserve"> </w:t>
      </w:r>
      <w:r w:rsidR="00BD2681">
        <w:rPr>
          <w:rFonts w:ascii="Times New Roman" w:hAnsi="Times New Roman"/>
          <w:sz w:val="24"/>
          <w:szCs w:val="24"/>
          <w:lang w:val="ro-RO"/>
        </w:rPr>
        <w:t>-</w:t>
      </w:r>
      <w:r w:rsidR="00CD4549">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D36ED0">
        <w:rPr>
          <w:rFonts w:ascii="Times New Roman" w:hAnsi="Times New Roman"/>
          <w:sz w:val="24"/>
          <w:szCs w:val="24"/>
          <w:lang w:val="ro-RO"/>
        </w:rPr>
        <w:t xml:space="preserve">. </w:t>
      </w: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CD4549" w:rsidRPr="00CD4549" w:rsidRDefault="00CD4549" w:rsidP="00CD4549">
      <w:pPr>
        <w:kinsoku w:val="0"/>
        <w:overflowPunct w:val="0"/>
        <w:autoSpaceDE w:val="0"/>
        <w:autoSpaceDN w:val="0"/>
        <w:adjustRightInd w:val="0"/>
        <w:spacing w:before="1" w:after="0" w:line="240" w:lineRule="auto"/>
        <w:rPr>
          <w:rFonts w:ascii="Times New Roman" w:eastAsiaTheme="minorHAnsi" w:hAnsi="Times New Roman"/>
          <w:sz w:val="5"/>
          <w:szCs w:val="5"/>
        </w:rPr>
      </w:pPr>
    </w:p>
    <w:tbl>
      <w:tblPr>
        <w:tblW w:w="9923" w:type="dxa"/>
        <w:tblInd w:w="14" w:type="dxa"/>
        <w:tblLayout w:type="fixed"/>
        <w:tblCellMar>
          <w:left w:w="0" w:type="dxa"/>
          <w:right w:w="0" w:type="dxa"/>
        </w:tblCellMar>
        <w:tblLook w:val="0000" w:firstRow="0" w:lastRow="0" w:firstColumn="0" w:lastColumn="0" w:noHBand="0" w:noVBand="0"/>
      </w:tblPr>
      <w:tblGrid>
        <w:gridCol w:w="1273"/>
        <w:gridCol w:w="538"/>
        <w:gridCol w:w="1433"/>
        <w:gridCol w:w="732"/>
        <w:gridCol w:w="4104"/>
        <w:gridCol w:w="992"/>
        <w:gridCol w:w="851"/>
      </w:tblGrid>
      <w:tr w:rsidR="00CD4549" w:rsidRPr="00CD4549" w:rsidTr="0044036B">
        <w:trPr>
          <w:trHeight w:hRule="exact" w:val="226"/>
        </w:trPr>
        <w:tc>
          <w:tcPr>
            <w:tcW w:w="12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before="4" w:after="0" w:line="240" w:lineRule="auto"/>
              <w:ind w:left="132" w:right="122" w:firstLine="180"/>
              <w:rPr>
                <w:rFonts w:ascii="Times New Roman" w:eastAsiaTheme="minorHAnsi" w:hAnsi="Times New Roman"/>
                <w:sz w:val="24"/>
                <w:szCs w:val="24"/>
              </w:rPr>
            </w:pPr>
            <w:r w:rsidRPr="00CD4549">
              <w:rPr>
                <w:rFonts w:ascii="Times New Roman" w:eastAsiaTheme="minorHAnsi" w:hAnsi="Times New Roman"/>
                <w:b/>
                <w:bCs/>
                <w:sz w:val="18"/>
                <w:szCs w:val="18"/>
              </w:rPr>
              <w:t>Grupa funcţională</w:t>
            </w:r>
          </w:p>
        </w:tc>
        <w:tc>
          <w:tcPr>
            <w:tcW w:w="1971" w:type="dxa"/>
            <w:gridSpan w:val="2"/>
            <w:tcBorders>
              <w:top w:val="single" w:sz="11" w:space="0" w:color="000000"/>
              <w:left w:val="single" w:sz="4" w:space="0" w:color="000000"/>
              <w:bottom w:val="single" w:sz="4"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600"/>
              <w:rPr>
                <w:rFonts w:ascii="Times New Roman" w:eastAsiaTheme="minorHAnsi" w:hAnsi="Times New Roman"/>
                <w:sz w:val="24"/>
                <w:szCs w:val="24"/>
              </w:rPr>
            </w:pPr>
            <w:r w:rsidRPr="00CD4549">
              <w:rPr>
                <w:rFonts w:ascii="Times New Roman" w:eastAsiaTheme="minorHAnsi" w:hAnsi="Times New Roman"/>
                <w:b/>
                <w:bCs/>
                <w:sz w:val="18"/>
                <w:szCs w:val="18"/>
              </w:rPr>
              <w:t>Subgrupa</w:t>
            </w:r>
          </w:p>
        </w:tc>
        <w:tc>
          <w:tcPr>
            <w:tcW w:w="4836" w:type="dxa"/>
            <w:gridSpan w:val="2"/>
            <w:tcBorders>
              <w:top w:val="single" w:sz="11" w:space="0" w:color="000000"/>
              <w:left w:val="single" w:sz="4" w:space="0" w:color="000000"/>
              <w:bottom w:val="single" w:sz="4"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1850" w:right="1851"/>
              <w:jc w:val="center"/>
              <w:rPr>
                <w:rFonts w:ascii="Times New Roman" w:eastAsiaTheme="minorHAnsi" w:hAnsi="Times New Roman"/>
                <w:sz w:val="24"/>
                <w:szCs w:val="24"/>
              </w:rPr>
            </w:pPr>
            <w:r w:rsidRPr="00CD4549">
              <w:rPr>
                <w:rFonts w:ascii="Times New Roman" w:eastAsiaTheme="minorHAnsi" w:hAnsi="Times New Roman"/>
                <w:b/>
                <w:bCs/>
                <w:sz w:val="18"/>
                <w:szCs w:val="18"/>
              </w:rPr>
              <w:t>Categoria funcţională</w:t>
            </w:r>
          </w:p>
        </w:tc>
        <w:tc>
          <w:tcPr>
            <w:tcW w:w="1843" w:type="dxa"/>
            <w:gridSpan w:val="2"/>
            <w:tcBorders>
              <w:top w:val="single" w:sz="11" w:space="0" w:color="000000"/>
              <w:left w:val="single" w:sz="4" w:space="0" w:color="000000"/>
              <w:bottom w:val="single" w:sz="4" w:space="0" w:color="000000"/>
              <w:right w:val="single" w:sz="11"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403"/>
              <w:rPr>
                <w:rFonts w:ascii="Times New Roman" w:eastAsiaTheme="minorHAnsi" w:hAnsi="Times New Roman"/>
                <w:sz w:val="24"/>
                <w:szCs w:val="24"/>
              </w:rPr>
            </w:pPr>
            <w:r w:rsidRPr="00CD4549">
              <w:rPr>
                <w:rFonts w:ascii="Times New Roman" w:eastAsiaTheme="minorHAnsi" w:hAnsi="Times New Roman"/>
                <w:b/>
                <w:bCs/>
                <w:sz w:val="18"/>
                <w:szCs w:val="18"/>
              </w:rPr>
              <w:t>Suprafaţa</w:t>
            </w:r>
          </w:p>
        </w:tc>
      </w:tr>
      <w:tr w:rsidR="00CD4549" w:rsidRPr="00CD4549" w:rsidTr="0044036B">
        <w:trPr>
          <w:trHeight w:hRule="exact" w:val="228"/>
        </w:trPr>
        <w:tc>
          <w:tcPr>
            <w:tcW w:w="1273" w:type="dxa"/>
            <w:vMerge/>
            <w:tcBorders>
              <w:top w:val="single" w:sz="11" w:space="0" w:color="000000"/>
              <w:left w:val="single" w:sz="11"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403"/>
              <w:rPr>
                <w:rFonts w:ascii="Times New Roman" w:eastAsiaTheme="minorHAnsi" w:hAnsi="Times New Roman"/>
                <w:sz w:val="24"/>
                <w:szCs w:val="24"/>
              </w:rPr>
            </w:pPr>
          </w:p>
        </w:tc>
        <w:tc>
          <w:tcPr>
            <w:tcW w:w="538" w:type="dxa"/>
            <w:tcBorders>
              <w:top w:val="single" w:sz="4" w:space="0" w:color="000000"/>
              <w:left w:val="single" w:sz="4"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83" w:right="84"/>
              <w:jc w:val="center"/>
              <w:rPr>
                <w:rFonts w:ascii="Times New Roman" w:eastAsiaTheme="minorHAnsi" w:hAnsi="Times New Roman"/>
                <w:sz w:val="24"/>
                <w:szCs w:val="24"/>
              </w:rPr>
            </w:pPr>
            <w:r w:rsidRPr="00CD4549">
              <w:rPr>
                <w:rFonts w:ascii="Times New Roman" w:eastAsiaTheme="minorHAnsi" w:hAnsi="Times New Roman"/>
                <w:b/>
                <w:bCs/>
                <w:sz w:val="18"/>
                <w:szCs w:val="18"/>
              </w:rPr>
              <w:t>Cod</w:t>
            </w:r>
          </w:p>
        </w:tc>
        <w:tc>
          <w:tcPr>
            <w:tcW w:w="1433" w:type="dxa"/>
            <w:tcBorders>
              <w:top w:val="single" w:sz="4" w:space="0" w:color="000000"/>
              <w:left w:val="single" w:sz="4"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326"/>
              <w:rPr>
                <w:rFonts w:ascii="Times New Roman" w:eastAsiaTheme="minorHAnsi" w:hAnsi="Times New Roman"/>
                <w:sz w:val="24"/>
                <w:szCs w:val="24"/>
              </w:rPr>
            </w:pPr>
            <w:r w:rsidRPr="00CD4549">
              <w:rPr>
                <w:rFonts w:ascii="Times New Roman" w:eastAsiaTheme="minorHAnsi" w:hAnsi="Times New Roman"/>
                <w:b/>
                <w:bCs/>
                <w:sz w:val="18"/>
                <w:szCs w:val="18"/>
              </w:rPr>
              <w:t>Denumire</w:t>
            </w:r>
          </w:p>
        </w:tc>
        <w:tc>
          <w:tcPr>
            <w:tcW w:w="732" w:type="dxa"/>
            <w:tcBorders>
              <w:top w:val="single" w:sz="4" w:space="0" w:color="000000"/>
              <w:left w:val="single" w:sz="4"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181" w:right="181"/>
              <w:jc w:val="center"/>
              <w:rPr>
                <w:rFonts w:ascii="Times New Roman" w:eastAsiaTheme="minorHAnsi" w:hAnsi="Times New Roman"/>
                <w:sz w:val="24"/>
                <w:szCs w:val="24"/>
              </w:rPr>
            </w:pPr>
            <w:r w:rsidRPr="00CD4549">
              <w:rPr>
                <w:rFonts w:ascii="Times New Roman" w:eastAsiaTheme="minorHAnsi" w:hAnsi="Times New Roman"/>
                <w:b/>
                <w:bCs/>
                <w:sz w:val="18"/>
                <w:szCs w:val="18"/>
              </w:rPr>
              <w:t>Cod</w:t>
            </w:r>
          </w:p>
        </w:tc>
        <w:tc>
          <w:tcPr>
            <w:tcW w:w="4104" w:type="dxa"/>
            <w:tcBorders>
              <w:top w:val="single" w:sz="4" w:space="0" w:color="000000"/>
              <w:left w:val="single" w:sz="4"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1938" w:right="1938"/>
              <w:jc w:val="center"/>
              <w:rPr>
                <w:rFonts w:ascii="Times New Roman" w:eastAsiaTheme="minorHAnsi" w:hAnsi="Times New Roman"/>
                <w:sz w:val="24"/>
                <w:szCs w:val="24"/>
              </w:rPr>
            </w:pPr>
            <w:r w:rsidRPr="00CD4549">
              <w:rPr>
                <w:rFonts w:ascii="Times New Roman" w:eastAsiaTheme="minorHAnsi" w:hAnsi="Times New Roman"/>
                <w:b/>
                <w:bCs/>
                <w:sz w:val="18"/>
                <w:szCs w:val="18"/>
              </w:rPr>
              <w:t>Denumire</w:t>
            </w:r>
          </w:p>
        </w:tc>
        <w:tc>
          <w:tcPr>
            <w:tcW w:w="992" w:type="dxa"/>
            <w:tcBorders>
              <w:top w:val="single" w:sz="4" w:space="0" w:color="000000"/>
              <w:left w:val="single" w:sz="4" w:space="0" w:color="000000"/>
              <w:bottom w:val="single" w:sz="11" w:space="0" w:color="000000"/>
              <w:right w:val="single" w:sz="4"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197" w:right="200"/>
              <w:jc w:val="center"/>
              <w:rPr>
                <w:rFonts w:ascii="Times New Roman" w:eastAsiaTheme="minorHAnsi" w:hAnsi="Times New Roman"/>
                <w:sz w:val="24"/>
                <w:szCs w:val="24"/>
              </w:rPr>
            </w:pPr>
            <w:r w:rsidRPr="00CD4549">
              <w:rPr>
                <w:rFonts w:ascii="Times New Roman" w:eastAsiaTheme="minorHAnsi" w:hAnsi="Times New Roman"/>
                <w:b/>
                <w:bCs/>
                <w:sz w:val="18"/>
                <w:szCs w:val="18"/>
              </w:rPr>
              <w:t>ha</w:t>
            </w:r>
          </w:p>
        </w:tc>
        <w:tc>
          <w:tcPr>
            <w:tcW w:w="851" w:type="dxa"/>
            <w:tcBorders>
              <w:top w:val="single" w:sz="4" w:space="0" w:color="000000"/>
              <w:left w:val="single" w:sz="4" w:space="0" w:color="000000"/>
              <w:bottom w:val="single" w:sz="11" w:space="0" w:color="000000"/>
              <w:right w:val="single" w:sz="11" w:space="0" w:color="000000"/>
            </w:tcBorders>
            <w:shd w:val="clear" w:color="auto" w:fill="D9D9D9"/>
          </w:tcPr>
          <w:p w:rsidR="00CD4549" w:rsidRPr="00CD4549" w:rsidRDefault="00CD4549" w:rsidP="00CD4549">
            <w:pPr>
              <w:kinsoku w:val="0"/>
              <w:overflowPunct w:val="0"/>
              <w:autoSpaceDE w:val="0"/>
              <w:autoSpaceDN w:val="0"/>
              <w:adjustRightInd w:val="0"/>
              <w:spacing w:after="0" w:line="240" w:lineRule="auto"/>
              <w:ind w:left="7"/>
              <w:jc w:val="center"/>
              <w:rPr>
                <w:rFonts w:ascii="Times New Roman" w:eastAsiaTheme="minorHAnsi" w:hAnsi="Times New Roman"/>
                <w:sz w:val="24"/>
                <w:szCs w:val="24"/>
              </w:rPr>
            </w:pPr>
            <w:r w:rsidRPr="00CD4549">
              <w:rPr>
                <w:rFonts w:ascii="Times New Roman" w:eastAsiaTheme="minorHAnsi" w:hAnsi="Times New Roman"/>
                <w:b/>
                <w:bCs/>
                <w:sz w:val="18"/>
                <w:szCs w:val="18"/>
              </w:rPr>
              <w:t>%</w:t>
            </w:r>
          </w:p>
        </w:tc>
      </w:tr>
      <w:tr w:rsidR="00CD4549" w:rsidRPr="00CD4549" w:rsidTr="0044036B">
        <w:trPr>
          <w:trHeight w:hRule="exact" w:val="1054"/>
        </w:trPr>
        <w:tc>
          <w:tcPr>
            <w:tcW w:w="1273" w:type="dxa"/>
            <w:tcBorders>
              <w:top w:val="single" w:sz="11" w:space="0" w:color="000000"/>
              <w:left w:val="single" w:sz="11"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ind w:left="129" w:right="136"/>
              <w:jc w:val="center"/>
              <w:rPr>
                <w:rFonts w:ascii="Times New Roman" w:eastAsiaTheme="minorHAnsi" w:hAnsi="Times New Roman"/>
                <w:sz w:val="24"/>
                <w:szCs w:val="24"/>
              </w:rPr>
            </w:pPr>
            <w:r w:rsidRPr="00CD4549">
              <w:rPr>
                <w:rFonts w:ascii="Times New Roman" w:eastAsiaTheme="minorHAnsi" w:hAnsi="Times New Roman"/>
                <w:sz w:val="18"/>
                <w:szCs w:val="18"/>
              </w:rPr>
              <w:t>Grupa II – a Păduri cu funcţii de producție si protecție</w:t>
            </w:r>
          </w:p>
        </w:tc>
        <w:tc>
          <w:tcPr>
            <w:tcW w:w="538" w:type="dxa"/>
            <w:tcBorders>
              <w:top w:val="single" w:sz="11" w:space="0" w:color="000000"/>
              <w:left w:val="single" w:sz="4"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rPr>
                <w:rFonts w:ascii="Times New Roman" w:eastAsiaTheme="minorHAnsi" w:hAnsi="Times New Roman"/>
                <w:sz w:val="20"/>
                <w:szCs w:val="20"/>
              </w:rPr>
            </w:pPr>
          </w:p>
          <w:p w:rsidR="00CD4549" w:rsidRPr="00CD4549" w:rsidRDefault="00CD4549" w:rsidP="00CD4549">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CD4549">
              <w:rPr>
                <w:rFonts w:ascii="Times New Roman" w:eastAsiaTheme="minorHAnsi" w:hAnsi="Times New Roman"/>
                <w:sz w:val="18"/>
                <w:szCs w:val="18"/>
              </w:rPr>
              <w:t>1</w:t>
            </w:r>
          </w:p>
        </w:tc>
        <w:tc>
          <w:tcPr>
            <w:tcW w:w="1433" w:type="dxa"/>
            <w:tcBorders>
              <w:top w:val="single" w:sz="11" w:space="0" w:color="000000"/>
              <w:left w:val="single" w:sz="4"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before="6" w:after="0" w:line="240" w:lineRule="auto"/>
              <w:rPr>
                <w:rFonts w:ascii="Times New Roman" w:eastAsiaTheme="minorHAnsi" w:hAnsi="Times New Roman"/>
                <w:sz w:val="17"/>
                <w:szCs w:val="17"/>
              </w:rPr>
            </w:pPr>
          </w:p>
          <w:p w:rsidR="00CD4549" w:rsidRPr="00CD4549" w:rsidRDefault="00CD4549" w:rsidP="00CD4549">
            <w:pPr>
              <w:kinsoku w:val="0"/>
              <w:overflowPunct w:val="0"/>
              <w:autoSpaceDE w:val="0"/>
              <w:autoSpaceDN w:val="0"/>
              <w:adjustRightInd w:val="0"/>
              <w:spacing w:after="0" w:line="240" w:lineRule="auto"/>
              <w:ind w:left="103" w:right="99"/>
              <w:jc w:val="both"/>
              <w:rPr>
                <w:rFonts w:ascii="Times New Roman" w:eastAsiaTheme="minorHAnsi" w:hAnsi="Times New Roman"/>
                <w:sz w:val="24"/>
                <w:szCs w:val="24"/>
              </w:rPr>
            </w:pPr>
            <w:r w:rsidRPr="00CD4549">
              <w:rPr>
                <w:rFonts w:ascii="Times New Roman" w:eastAsiaTheme="minorHAnsi" w:hAnsi="Times New Roman"/>
                <w:sz w:val="18"/>
                <w:szCs w:val="18"/>
              </w:rPr>
              <w:t>Păduri cu funcţii de producție a lemnului</w:t>
            </w:r>
          </w:p>
        </w:tc>
        <w:tc>
          <w:tcPr>
            <w:tcW w:w="732" w:type="dxa"/>
            <w:tcBorders>
              <w:top w:val="single" w:sz="11" w:space="0" w:color="000000"/>
              <w:left w:val="single" w:sz="4"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rPr>
                <w:rFonts w:ascii="Times New Roman" w:eastAsiaTheme="minorHAnsi" w:hAnsi="Times New Roman"/>
                <w:sz w:val="20"/>
                <w:szCs w:val="20"/>
              </w:rPr>
            </w:pPr>
          </w:p>
          <w:p w:rsidR="00CD4549" w:rsidRPr="00CD4549" w:rsidRDefault="00CD4549" w:rsidP="00CD4549">
            <w:pPr>
              <w:kinsoku w:val="0"/>
              <w:overflowPunct w:val="0"/>
              <w:autoSpaceDE w:val="0"/>
              <w:autoSpaceDN w:val="0"/>
              <w:adjustRightInd w:val="0"/>
              <w:spacing w:before="1" w:after="0" w:line="240" w:lineRule="auto"/>
              <w:ind w:left="180" w:right="181"/>
              <w:jc w:val="center"/>
              <w:rPr>
                <w:rFonts w:ascii="Times New Roman" w:eastAsiaTheme="minorHAnsi" w:hAnsi="Times New Roman"/>
                <w:sz w:val="24"/>
                <w:szCs w:val="24"/>
              </w:rPr>
            </w:pPr>
            <w:r w:rsidRPr="00CD4549">
              <w:rPr>
                <w:rFonts w:ascii="Times New Roman" w:eastAsiaTheme="minorHAnsi" w:hAnsi="Times New Roman"/>
                <w:sz w:val="18"/>
                <w:szCs w:val="18"/>
              </w:rPr>
              <w:t>1B</w:t>
            </w:r>
          </w:p>
        </w:tc>
        <w:tc>
          <w:tcPr>
            <w:tcW w:w="4104" w:type="dxa"/>
            <w:tcBorders>
              <w:top w:val="single" w:sz="11" w:space="0" w:color="000000"/>
              <w:left w:val="single" w:sz="4"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CD4549" w:rsidRPr="00CD4549" w:rsidRDefault="00CD4549" w:rsidP="00CD4549">
            <w:pPr>
              <w:kinsoku w:val="0"/>
              <w:overflowPunct w:val="0"/>
              <w:autoSpaceDE w:val="0"/>
              <w:autoSpaceDN w:val="0"/>
              <w:adjustRightInd w:val="0"/>
              <w:spacing w:after="0" w:line="240" w:lineRule="auto"/>
              <w:ind w:left="105" w:right="97"/>
              <w:rPr>
                <w:rFonts w:ascii="Times New Roman" w:eastAsiaTheme="minorHAnsi" w:hAnsi="Times New Roman"/>
                <w:sz w:val="24"/>
                <w:szCs w:val="24"/>
              </w:rPr>
            </w:pPr>
            <w:r w:rsidRPr="00CD4549">
              <w:rPr>
                <w:rFonts w:ascii="Times New Roman" w:eastAsiaTheme="minorHAnsi" w:hAnsi="Times New Roman"/>
                <w:sz w:val="18"/>
                <w:szCs w:val="18"/>
              </w:rPr>
              <w:t>Păduri destinate să producă în principal, arbori groși de calitate superioară pentru lemn de cherestea (T VI)</w:t>
            </w:r>
          </w:p>
        </w:tc>
        <w:tc>
          <w:tcPr>
            <w:tcW w:w="992" w:type="dxa"/>
            <w:tcBorders>
              <w:top w:val="single" w:sz="11" w:space="0" w:color="000000"/>
              <w:left w:val="single" w:sz="4" w:space="0" w:color="000000"/>
              <w:bottom w:val="single" w:sz="4"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rPr>
                <w:rFonts w:ascii="Times New Roman" w:eastAsiaTheme="minorHAnsi" w:hAnsi="Times New Roman"/>
                <w:sz w:val="20"/>
                <w:szCs w:val="20"/>
              </w:rPr>
            </w:pPr>
          </w:p>
          <w:p w:rsidR="00CD4549" w:rsidRPr="00CD4549" w:rsidRDefault="00CD4549" w:rsidP="00CD4549">
            <w:pPr>
              <w:kinsoku w:val="0"/>
              <w:overflowPunct w:val="0"/>
              <w:autoSpaceDE w:val="0"/>
              <w:autoSpaceDN w:val="0"/>
              <w:adjustRightInd w:val="0"/>
              <w:spacing w:before="1" w:after="0" w:line="240" w:lineRule="auto"/>
              <w:ind w:left="200" w:right="200"/>
              <w:jc w:val="center"/>
              <w:rPr>
                <w:rFonts w:ascii="Times New Roman" w:eastAsiaTheme="minorHAnsi" w:hAnsi="Times New Roman"/>
                <w:sz w:val="24"/>
                <w:szCs w:val="24"/>
              </w:rPr>
            </w:pPr>
            <w:r w:rsidRPr="00CD4549">
              <w:rPr>
                <w:rFonts w:ascii="Times New Roman" w:eastAsiaTheme="minorHAnsi" w:hAnsi="Times New Roman"/>
                <w:sz w:val="18"/>
                <w:szCs w:val="18"/>
              </w:rPr>
              <w:t>109,6</w:t>
            </w:r>
          </w:p>
        </w:tc>
        <w:tc>
          <w:tcPr>
            <w:tcW w:w="851" w:type="dxa"/>
            <w:tcBorders>
              <w:top w:val="single" w:sz="11" w:space="0" w:color="000000"/>
              <w:left w:val="single" w:sz="4" w:space="0" w:color="000000"/>
              <w:bottom w:val="single" w:sz="4" w:space="0" w:color="000000"/>
              <w:right w:val="single" w:sz="11" w:space="0" w:color="000000"/>
            </w:tcBorders>
          </w:tcPr>
          <w:p w:rsidR="00CD4549" w:rsidRPr="00CD4549" w:rsidRDefault="00CD4549" w:rsidP="00CD4549">
            <w:pPr>
              <w:kinsoku w:val="0"/>
              <w:overflowPunct w:val="0"/>
              <w:autoSpaceDE w:val="0"/>
              <w:autoSpaceDN w:val="0"/>
              <w:adjustRightInd w:val="0"/>
              <w:spacing w:after="0" w:line="240" w:lineRule="auto"/>
              <w:rPr>
                <w:rFonts w:ascii="Times New Roman" w:eastAsiaTheme="minorHAnsi" w:hAnsi="Times New Roman"/>
                <w:sz w:val="20"/>
                <w:szCs w:val="20"/>
              </w:rPr>
            </w:pPr>
          </w:p>
          <w:p w:rsidR="00CD4549" w:rsidRPr="00CD4549" w:rsidRDefault="00CD4549" w:rsidP="00CD4549">
            <w:pPr>
              <w:kinsoku w:val="0"/>
              <w:overflowPunct w:val="0"/>
              <w:autoSpaceDE w:val="0"/>
              <w:autoSpaceDN w:val="0"/>
              <w:adjustRightInd w:val="0"/>
              <w:spacing w:before="1" w:after="0" w:line="240" w:lineRule="auto"/>
              <w:ind w:left="207" w:right="198"/>
              <w:jc w:val="center"/>
              <w:rPr>
                <w:rFonts w:ascii="Times New Roman" w:eastAsiaTheme="minorHAnsi" w:hAnsi="Times New Roman"/>
                <w:sz w:val="24"/>
                <w:szCs w:val="24"/>
              </w:rPr>
            </w:pPr>
            <w:r w:rsidRPr="00CD4549">
              <w:rPr>
                <w:rFonts w:ascii="Times New Roman" w:eastAsiaTheme="minorHAnsi" w:hAnsi="Times New Roman"/>
                <w:sz w:val="18"/>
                <w:szCs w:val="18"/>
              </w:rPr>
              <w:t>100</w:t>
            </w:r>
          </w:p>
        </w:tc>
      </w:tr>
      <w:tr w:rsidR="00CD4549" w:rsidRPr="00CD4549" w:rsidTr="0044036B">
        <w:trPr>
          <w:trHeight w:hRule="exact" w:val="226"/>
        </w:trPr>
        <w:tc>
          <w:tcPr>
            <w:tcW w:w="8080" w:type="dxa"/>
            <w:gridSpan w:val="5"/>
            <w:tcBorders>
              <w:top w:val="single" w:sz="4" w:space="0" w:color="000000"/>
              <w:left w:val="single" w:sz="11" w:space="0" w:color="000000"/>
              <w:bottom w:val="single" w:sz="11"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ind w:left="3272" w:right="3278"/>
              <w:jc w:val="center"/>
              <w:rPr>
                <w:rFonts w:ascii="Times New Roman" w:eastAsiaTheme="minorHAnsi" w:hAnsi="Times New Roman"/>
                <w:sz w:val="24"/>
                <w:szCs w:val="24"/>
              </w:rPr>
            </w:pPr>
            <w:r w:rsidRPr="00CD4549">
              <w:rPr>
                <w:rFonts w:ascii="Times New Roman" w:eastAsiaTheme="minorHAnsi" w:hAnsi="Times New Roman"/>
                <w:b/>
                <w:bCs/>
                <w:i/>
                <w:iCs/>
                <w:sz w:val="18"/>
                <w:szCs w:val="18"/>
              </w:rPr>
              <w:t>TOTAL  GENERAL</w:t>
            </w:r>
          </w:p>
        </w:tc>
        <w:tc>
          <w:tcPr>
            <w:tcW w:w="992" w:type="dxa"/>
            <w:tcBorders>
              <w:top w:val="single" w:sz="4" w:space="0" w:color="000000"/>
              <w:left w:val="single" w:sz="4" w:space="0" w:color="000000"/>
              <w:bottom w:val="single" w:sz="11" w:space="0" w:color="000000"/>
              <w:right w:val="single" w:sz="4" w:space="0" w:color="000000"/>
            </w:tcBorders>
          </w:tcPr>
          <w:p w:rsidR="00CD4549" w:rsidRPr="00CD4549" w:rsidRDefault="00CD4549" w:rsidP="00CD4549">
            <w:pPr>
              <w:kinsoku w:val="0"/>
              <w:overflowPunct w:val="0"/>
              <w:autoSpaceDE w:val="0"/>
              <w:autoSpaceDN w:val="0"/>
              <w:adjustRightInd w:val="0"/>
              <w:spacing w:after="0" w:line="240" w:lineRule="auto"/>
              <w:ind w:left="200" w:right="200"/>
              <w:jc w:val="center"/>
              <w:rPr>
                <w:rFonts w:ascii="Times New Roman" w:eastAsiaTheme="minorHAnsi" w:hAnsi="Times New Roman"/>
                <w:sz w:val="24"/>
                <w:szCs w:val="24"/>
              </w:rPr>
            </w:pPr>
            <w:r w:rsidRPr="00CD4549">
              <w:rPr>
                <w:rFonts w:ascii="Times New Roman" w:eastAsiaTheme="minorHAnsi" w:hAnsi="Times New Roman"/>
                <w:b/>
                <w:bCs/>
                <w:sz w:val="18"/>
                <w:szCs w:val="18"/>
              </w:rPr>
              <w:t>109,6</w:t>
            </w:r>
          </w:p>
        </w:tc>
        <w:tc>
          <w:tcPr>
            <w:tcW w:w="851" w:type="dxa"/>
            <w:tcBorders>
              <w:top w:val="single" w:sz="4" w:space="0" w:color="000000"/>
              <w:left w:val="single" w:sz="4" w:space="0" w:color="000000"/>
              <w:bottom w:val="single" w:sz="11" w:space="0" w:color="000000"/>
              <w:right w:val="single" w:sz="11" w:space="0" w:color="000000"/>
            </w:tcBorders>
          </w:tcPr>
          <w:p w:rsidR="00CD4549" w:rsidRPr="00CD4549" w:rsidRDefault="00CD4549" w:rsidP="00CD4549">
            <w:pPr>
              <w:kinsoku w:val="0"/>
              <w:overflowPunct w:val="0"/>
              <w:autoSpaceDE w:val="0"/>
              <w:autoSpaceDN w:val="0"/>
              <w:adjustRightInd w:val="0"/>
              <w:spacing w:after="0" w:line="240" w:lineRule="auto"/>
              <w:ind w:left="207" w:right="198"/>
              <w:jc w:val="center"/>
              <w:rPr>
                <w:rFonts w:ascii="Times New Roman" w:eastAsiaTheme="minorHAnsi" w:hAnsi="Times New Roman"/>
                <w:sz w:val="24"/>
                <w:szCs w:val="24"/>
              </w:rPr>
            </w:pPr>
            <w:r w:rsidRPr="00CD4549">
              <w:rPr>
                <w:rFonts w:ascii="Times New Roman" w:eastAsiaTheme="minorHAnsi" w:hAnsi="Times New Roman"/>
                <w:b/>
                <w:bCs/>
                <w:sz w:val="18"/>
                <w:szCs w:val="18"/>
              </w:rPr>
              <w:t>100</w:t>
            </w:r>
          </w:p>
        </w:tc>
      </w:tr>
    </w:tbl>
    <w:p w:rsidR="00CD4549" w:rsidRDefault="00CD4549" w:rsidP="00EA144E">
      <w:pPr>
        <w:spacing w:after="0" w:line="240" w:lineRule="auto"/>
        <w:jc w:val="both"/>
        <w:rPr>
          <w:rFonts w:ascii="Times New Roman" w:hAnsi="Times New Roman"/>
          <w:sz w:val="24"/>
          <w:szCs w:val="24"/>
          <w:lang w:val="ro-RO"/>
        </w:rPr>
      </w:pPr>
    </w:p>
    <w:p w:rsidR="00CD4549" w:rsidRPr="00CD4549" w:rsidRDefault="000622D5" w:rsidP="00CD4549">
      <w:pPr>
        <w:kinsoku w:val="0"/>
        <w:overflowPunct w:val="0"/>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noProof/>
          <w:sz w:val="20"/>
          <w:szCs w:val="20"/>
          <w:lang w:val="hu-HU" w:eastAsia="hu-HU"/>
        </w:rPr>
        <mc:AlternateContent>
          <mc:Choice Requires="wps">
            <w:drawing>
              <wp:inline distT="0" distB="0" distL="0" distR="0">
                <wp:extent cx="6330950" cy="1360170"/>
                <wp:effectExtent l="0" t="1270" r="3175" b="635"/>
                <wp:docPr id="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6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3044"/>
                              <w:gridCol w:w="1723"/>
                              <w:gridCol w:w="3378"/>
                              <w:gridCol w:w="895"/>
                              <w:gridCol w:w="886"/>
                            </w:tblGrid>
                            <w:tr w:rsidR="00CD4549">
                              <w:trPr>
                                <w:trHeight w:hRule="exact" w:val="226"/>
                              </w:trPr>
                              <w:tc>
                                <w:tcPr>
                                  <w:tcW w:w="3044"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482"/>
                                    <w:jc w:val="left"/>
                                  </w:pPr>
                                  <w:r>
                                    <w:rPr>
                                      <w:b/>
                                      <w:bCs/>
                                      <w:sz w:val="16"/>
                                      <w:szCs w:val="16"/>
                                    </w:rPr>
                                    <w:t>Tipul de categorie funcţională</w:t>
                                  </w:r>
                                </w:p>
                              </w:tc>
                              <w:tc>
                                <w:tcPr>
                                  <w:tcW w:w="172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134"/>
                                    <w:jc w:val="left"/>
                                  </w:pPr>
                                  <w:r>
                                    <w:rPr>
                                      <w:b/>
                                      <w:bCs/>
                                      <w:sz w:val="16"/>
                                      <w:szCs w:val="16"/>
                                    </w:rPr>
                                    <w:t>Categorii funcţionale</w:t>
                                  </w:r>
                                </w:p>
                              </w:tc>
                              <w:tc>
                                <w:tcPr>
                                  <w:tcW w:w="337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938"/>
                                    <w:jc w:val="left"/>
                                  </w:pPr>
                                  <w:r>
                                    <w:rPr>
                                      <w:b/>
                                      <w:bCs/>
                                      <w:sz w:val="16"/>
                                      <w:szCs w:val="16"/>
                                    </w:rPr>
                                    <w:t>Ţeluri de gospodărire</w:t>
                                  </w:r>
                                </w:p>
                              </w:tc>
                              <w:tc>
                                <w:tcPr>
                                  <w:tcW w:w="1781" w:type="dxa"/>
                                  <w:gridSpan w:val="2"/>
                                  <w:tcBorders>
                                    <w:top w:val="single" w:sz="11" w:space="0" w:color="000000"/>
                                    <w:left w:val="single" w:sz="4" w:space="0" w:color="000000"/>
                                    <w:bottom w:val="single" w:sz="4" w:space="0" w:color="000000"/>
                                    <w:right w:val="single" w:sz="11" w:space="0" w:color="000000"/>
                                  </w:tcBorders>
                                  <w:shd w:val="clear" w:color="auto" w:fill="D9D9D9"/>
                                </w:tcPr>
                                <w:p w:rsidR="00CD4549" w:rsidRDefault="00CD4549" w:rsidP="00CD4549">
                                  <w:r>
                                    <w:t>Suprafața</w:t>
                                  </w:r>
                                </w:p>
                              </w:tc>
                            </w:tr>
                            <w:tr w:rsidR="00CD4549">
                              <w:trPr>
                                <w:trHeight w:hRule="exact" w:val="224"/>
                              </w:trPr>
                              <w:tc>
                                <w:tcPr>
                                  <w:tcW w:w="3044" w:type="dxa"/>
                                  <w:vMerge/>
                                  <w:tcBorders>
                                    <w:top w:val="single" w:sz="11" w:space="0" w:color="000000"/>
                                    <w:left w:val="single" w:sz="11" w:space="0" w:color="000000"/>
                                    <w:bottom w:val="single" w:sz="11" w:space="0" w:color="000000"/>
                                    <w:right w:val="single" w:sz="4" w:space="0" w:color="000000"/>
                                  </w:tcBorders>
                                  <w:shd w:val="clear" w:color="auto" w:fill="D9D9D9"/>
                                </w:tcPr>
                                <w:p w:rsidR="00CD4549" w:rsidRDefault="00CD4549"/>
                              </w:tc>
                              <w:tc>
                                <w:tcPr>
                                  <w:tcW w:w="1723" w:type="dxa"/>
                                  <w:vMerge/>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tc>
                              <w:tc>
                                <w:tcPr>
                                  <w:tcW w:w="3378" w:type="dxa"/>
                                  <w:vMerge/>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tc>
                              <w:tc>
                                <w:tcPr>
                                  <w:tcW w:w="895" w:type="dxa"/>
                                  <w:tcBorders>
                                    <w:top w:val="single" w:sz="4" w:space="0" w:color="000000"/>
                                    <w:left w:val="single" w:sz="4" w:space="0" w:color="000000"/>
                                    <w:bottom w:val="single" w:sz="11" w:space="0" w:color="000000"/>
                                    <w:right w:val="single" w:sz="4" w:space="0" w:color="000000"/>
                                  </w:tcBorders>
                                  <w:shd w:val="clear" w:color="auto" w:fill="D9D9D9"/>
                                </w:tcPr>
                                <w:p w:rsidR="00CD4549" w:rsidRDefault="00CD4549">
                                  <w:r>
                                    <w:t>ha</w:t>
                                  </w:r>
                                </w:p>
                              </w:tc>
                              <w:tc>
                                <w:tcPr>
                                  <w:tcW w:w="886" w:type="dxa"/>
                                  <w:tcBorders>
                                    <w:top w:val="single" w:sz="4" w:space="0" w:color="000000"/>
                                    <w:left w:val="single" w:sz="4" w:space="0" w:color="000000"/>
                                    <w:bottom w:val="single" w:sz="11" w:space="0" w:color="000000"/>
                                    <w:right w:val="single" w:sz="11" w:space="0" w:color="000000"/>
                                  </w:tcBorders>
                                  <w:shd w:val="clear" w:color="auto" w:fill="D9D9D9"/>
                                </w:tcPr>
                                <w:p w:rsidR="00CD4549" w:rsidRDefault="00CD4549">
                                  <w:r>
                                    <w:t>%</w:t>
                                  </w:r>
                                </w:p>
                              </w:tc>
                            </w:tr>
                            <w:tr w:rsidR="00CD4549">
                              <w:trPr>
                                <w:trHeight w:hRule="exact" w:val="1217"/>
                              </w:trPr>
                              <w:tc>
                                <w:tcPr>
                                  <w:tcW w:w="3044" w:type="dxa"/>
                                  <w:vMerge w:val="restart"/>
                                  <w:tcBorders>
                                    <w:top w:val="single" w:sz="11" w:space="0" w:color="000000"/>
                                    <w:left w:val="single" w:sz="11" w:space="0" w:color="000000"/>
                                    <w:bottom w:val="single" w:sz="4" w:space="0" w:color="000000"/>
                                    <w:right w:val="single" w:sz="4" w:space="0" w:color="000000"/>
                                  </w:tcBorders>
                                </w:tcPr>
                                <w:p w:rsidR="00CD4549" w:rsidRDefault="00CD4549">
                                  <w:pPr>
                                    <w:pStyle w:val="TableParagraph"/>
                                    <w:kinsoku w:val="0"/>
                                    <w:overflowPunct w:val="0"/>
                                    <w:spacing w:before="2"/>
                                    <w:jc w:val="left"/>
                                    <w:rPr>
                                      <w:b/>
                                      <w:bCs/>
                                      <w:sz w:val="21"/>
                                      <w:szCs w:val="21"/>
                                    </w:rPr>
                                  </w:pPr>
                                </w:p>
                                <w:p w:rsidR="00CD4549" w:rsidRDefault="00CD4549">
                                  <w:pPr>
                                    <w:pStyle w:val="TableParagraph"/>
                                    <w:kinsoku w:val="0"/>
                                    <w:overflowPunct w:val="0"/>
                                    <w:ind w:left="93" w:right="98"/>
                                    <w:jc w:val="both"/>
                                  </w:pPr>
                                  <w:r>
                                    <w:rPr>
                                      <w:sz w:val="16"/>
                                      <w:szCs w:val="16"/>
                                    </w:rPr>
                                    <w:t>T.VI – păduri cu funcţii de producţie şi protecţie la care se poate aplica întreaga gamă a tratamentelor potrivit condiţiilor ecologice, social-economice şi tehnico- organizatorice</w:t>
                                  </w:r>
                                </w:p>
                              </w:tc>
                              <w:tc>
                                <w:tcPr>
                                  <w:tcW w:w="1723"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jc w:val="left"/>
                                    <w:rPr>
                                      <w:b/>
                                      <w:bCs/>
                                      <w:sz w:val="18"/>
                                      <w:szCs w:val="18"/>
                                    </w:rPr>
                                  </w:pPr>
                                </w:p>
                                <w:p w:rsidR="00CD4549" w:rsidRDefault="00CD4549">
                                  <w:pPr>
                                    <w:pStyle w:val="TableParagraph"/>
                                    <w:kinsoku w:val="0"/>
                                    <w:overflowPunct w:val="0"/>
                                    <w:spacing w:before="1"/>
                                    <w:ind w:left="676" w:right="677"/>
                                  </w:pPr>
                                  <w:r>
                                    <w:rPr>
                                      <w:sz w:val="16"/>
                                      <w:szCs w:val="16"/>
                                    </w:rPr>
                                    <w:t>2-1B</w:t>
                                  </w:r>
                                </w:p>
                              </w:tc>
                              <w:tc>
                                <w:tcPr>
                                  <w:tcW w:w="3378"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spacing w:before="9"/>
                                    <w:jc w:val="left"/>
                                    <w:rPr>
                                      <w:b/>
                                      <w:bCs/>
                                    </w:rPr>
                                  </w:pPr>
                                </w:p>
                                <w:p w:rsidR="00CD4549" w:rsidRDefault="00CD4549">
                                  <w:pPr>
                                    <w:pStyle w:val="TableParagraph"/>
                                    <w:kinsoku w:val="0"/>
                                    <w:overflowPunct w:val="0"/>
                                    <w:ind w:left="103" w:right="105"/>
                                    <w:jc w:val="both"/>
                                  </w:pPr>
                                  <w:r>
                                    <w:rPr>
                                      <w:sz w:val="18"/>
                                      <w:szCs w:val="18"/>
                                    </w:rPr>
                                    <w:t>Păduri destinate să producă în principal, arbori groși de calitate superioară pentru lemn de cherestea (T VI)</w:t>
                                  </w:r>
                                </w:p>
                              </w:tc>
                              <w:tc>
                                <w:tcPr>
                                  <w:tcW w:w="895"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jc w:val="left"/>
                                    <w:rPr>
                                      <w:b/>
                                      <w:bCs/>
                                      <w:sz w:val="20"/>
                                      <w:szCs w:val="20"/>
                                    </w:rPr>
                                  </w:pPr>
                                </w:p>
                                <w:p w:rsidR="00CD4549" w:rsidRDefault="00CD4549">
                                  <w:pPr>
                                    <w:pStyle w:val="TableParagraph"/>
                                    <w:kinsoku w:val="0"/>
                                    <w:overflowPunct w:val="0"/>
                                    <w:ind w:left="219" w:right="221"/>
                                  </w:pPr>
                                  <w:r>
                                    <w:rPr>
                                      <w:sz w:val="18"/>
                                      <w:szCs w:val="18"/>
                                    </w:rPr>
                                    <w:t>109,6</w:t>
                                  </w:r>
                                </w:p>
                              </w:tc>
                              <w:tc>
                                <w:tcPr>
                                  <w:tcW w:w="886" w:type="dxa"/>
                                  <w:tcBorders>
                                    <w:top w:val="single" w:sz="11" w:space="0" w:color="000000"/>
                                    <w:left w:val="single" w:sz="4" w:space="0" w:color="000000"/>
                                    <w:bottom w:val="single" w:sz="4" w:space="0" w:color="000000"/>
                                    <w:right w:val="single" w:sz="11" w:space="0" w:color="000000"/>
                                  </w:tcBorders>
                                </w:tcPr>
                                <w:p w:rsidR="00CD4549" w:rsidRDefault="00CD4549">
                                  <w:pPr>
                                    <w:pStyle w:val="TableParagraph"/>
                                    <w:kinsoku w:val="0"/>
                                    <w:overflowPunct w:val="0"/>
                                    <w:jc w:val="left"/>
                                    <w:rPr>
                                      <w:b/>
                                      <w:bCs/>
                                      <w:sz w:val="20"/>
                                      <w:szCs w:val="20"/>
                                    </w:rPr>
                                  </w:pPr>
                                </w:p>
                                <w:p w:rsidR="00CD4549" w:rsidRDefault="00CD4549">
                                  <w:pPr>
                                    <w:pStyle w:val="TableParagraph"/>
                                    <w:kinsoku w:val="0"/>
                                    <w:overflowPunct w:val="0"/>
                                    <w:ind w:left="283" w:right="272"/>
                                  </w:pPr>
                                  <w:r>
                                    <w:rPr>
                                      <w:sz w:val="18"/>
                                      <w:szCs w:val="18"/>
                                    </w:rPr>
                                    <w:t>100</w:t>
                                  </w:r>
                                </w:p>
                              </w:tc>
                            </w:tr>
                            <w:tr w:rsidR="00CD4549">
                              <w:trPr>
                                <w:trHeight w:hRule="exact" w:val="218"/>
                              </w:trPr>
                              <w:tc>
                                <w:tcPr>
                                  <w:tcW w:w="3044" w:type="dxa"/>
                                  <w:vMerge/>
                                  <w:tcBorders>
                                    <w:top w:val="single" w:sz="11" w:space="0" w:color="000000"/>
                                    <w:left w:val="single" w:sz="11" w:space="0" w:color="000000"/>
                                    <w:bottom w:val="single" w:sz="4" w:space="0" w:color="000000"/>
                                    <w:right w:val="single" w:sz="4" w:space="0" w:color="000000"/>
                                  </w:tcBorders>
                                </w:tcPr>
                                <w:p w:rsidR="00CD4549" w:rsidRDefault="00CD4549">
                                  <w:pPr>
                                    <w:pStyle w:val="TableParagraph"/>
                                    <w:kinsoku w:val="0"/>
                                    <w:overflowPunct w:val="0"/>
                                    <w:ind w:left="283" w:right="272"/>
                                  </w:pPr>
                                </w:p>
                              </w:tc>
                              <w:tc>
                                <w:tcPr>
                                  <w:tcW w:w="5101" w:type="dxa"/>
                                  <w:gridSpan w:val="2"/>
                                  <w:tcBorders>
                                    <w:top w:val="single" w:sz="4"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spacing w:before="9"/>
                                    <w:ind w:left="2160" w:right="2161"/>
                                  </w:pPr>
                                  <w:r>
                                    <w:rPr>
                                      <w:b/>
                                      <w:bCs/>
                                      <w:sz w:val="16"/>
                                      <w:szCs w:val="16"/>
                                    </w:rPr>
                                    <w:t>Total T.VI</w:t>
                                  </w:r>
                                </w:p>
                              </w:tc>
                              <w:tc>
                                <w:tcPr>
                                  <w:tcW w:w="895" w:type="dxa"/>
                                  <w:tcBorders>
                                    <w:top w:val="single" w:sz="4"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ind w:left="219" w:right="221"/>
                                  </w:pPr>
                                  <w:r>
                                    <w:rPr>
                                      <w:b/>
                                      <w:bCs/>
                                      <w:sz w:val="18"/>
                                      <w:szCs w:val="18"/>
                                    </w:rPr>
                                    <w:t>109,6</w:t>
                                  </w:r>
                                </w:p>
                              </w:tc>
                              <w:tc>
                                <w:tcPr>
                                  <w:tcW w:w="886" w:type="dxa"/>
                                  <w:tcBorders>
                                    <w:top w:val="single" w:sz="4" w:space="0" w:color="000000"/>
                                    <w:left w:val="single" w:sz="4" w:space="0" w:color="000000"/>
                                    <w:bottom w:val="single" w:sz="4" w:space="0" w:color="000000"/>
                                    <w:right w:val="single" w:sz="11" w:space="0" w:color="000000"/>
                                  </w:tcBorders>
                                </w:tcPr>
                                <w:p w:rsidR="00CD4549" w:rsidRDefault="00CD4549">
                                  <w:pPr>
                                    <w:pStyle w:val="TableParagraph"/>
                                    <w:kinsoku w:val="0"/>
                                    <w:overflowPunct w:val="0"/>
                                    <w:ind w:left="283" w:right="272"/>
                                  </w:pPr>
                                  <w:r>
                                    <w:rPr>
                                      <w:b/>
                                      <w:bCs/>
                                      <w:sz w:val="18"/>
                                      <w:szCs w:val="18"/>
                                    </w:rPr>
                                    <w:t>100</w:t>
                                  </w:r>
                                </w:p>
                              </w:tc>
                            </w:tr>
                            <w:tr w:rsidR="00CD4549">
                              <w:trPr>
                                <w:trHeight w:hRule="exact" w:val="228"/>
                              </w:trPr>
                              <w:tc>
                                <w:tcPr>
                                  <w:tcW w:w="8145" w:type="dxa"/>
                                  <w:gridSpan w:val="3"/>
                                  <w:tcBorders>
                                    <w:top w:val="single" w:sz="4" w:space="0" w:color="000000"/>
                                    <w:left w:val="single" w:sz="11" w:space="0" w:color="000000"/>
                                    <w:bottom w:val="single" w:sz="11" w:space="0" w:color="000000"/>
                                    <w:right w:val="single" w:sz="4" w:space="0" w:color="000000"/>
                                  </w:tcBorders>
                                </w:tcPr>
                                <w:p w:rsidR="00CD4549" w:rsidRDefault="00CD4549">
                                  <w:pPr>
                                    <w:pStyle w:val="TableParagraph"/>
                                    <w:kinsoku w:val="0"/>
                                    <w:overflowPunct w:val="0"/>
                                    <w:spacing w:before="9"/>
                                    <w:ind w:left="3591" w:right="3600"/>
                                  </w:pPr>
                                  <w:r>
                                    <w:rPr>
                                      <w:b/>
                                      <w:bCs/>
                                      <w:sz w:val="16"/>
                                      <w:szCs w:val="16"/>
                                    </w:rPr>
                                    <w:t>TOTAL U.P.</w:t>
                                  </w:r>
                                </w:p>
                              </w:tc>
                              <w:tc>
                                <w:tcPr>
                                  <w:tcW w:w="895" w:type="dxa"/>
                                  <w:tcBorders>
                                    <w:top w:val="single" w:sz="4" w:space="0" w:color="000000"/>
                                    <w:left w:val="single" w:sz="4" w:space="0" w:color="000000"/>
                                    <w:bottom w:val="single" w:sz="11" w:space="0" w:color="000000"/>
                                    <w:right w:val="single" w:sz="4" w:space="0" w:color="000000"/>
                                  </w:tcBorders>
                                </w:tcPr>
                                <w:p w:rsidR="00CD4549" w:rsidRDefault="00CD4549">
                                  <w:pPr>
                                    <w:pStyle w:val="TableParagraph"/>
                                    <w:kinsoku w:val="0"/>
                                    <w:overflowPunct w:val="0"/>
                                    <w:spacing w:before="9"/>
                                    <w:ind w:left="217" w:right="221"/>
                                  </w:pPr>
                                  <w:r>
                                    <w:rPr>
                                      <w:b/>
                                      <w:bCs/>
                                      <w:sz w:val="16"/>
                                      <w:szCs w:val="16"/>
                                    </w:rPr>
                                    <w:t>109,6</w:t>
                                  </w:r>
                                </w:p>
                              </w:tc>
                              <w:tc>
                                <w:tcPr>
                                  <w:tcW w:w="886" w:type="dxa"/>
                                  <w:tcBorders>
                                    <w:top w:val="single" w:sz="4" w:space="0" w:color="000000"/>
                                    <w:left w:val="single" w:sz="4" w:space="0" w:color="000000"/>
                                    <w:bottom w:val="single" w:sz="11" w:space="0" w:color="000000"/>
                                    <w:right w:val="single" w:sz="11" w:space="0" w:color="000000"/>
                                  </w:tcBorders>
                                </w:tcPr>
                                <w:p w:rsidR="00CD4549" w:rsidRDefault="00CD4549">
                                  <w:pPr>
                                    <w:pStyle w:val="TableParagraph"/>
                                    <w:kinsoku w:val="0"/>
                                    <w:overflowPunct w:val="0"/>
                                    <w:spacing w:before="9"/>
                                    <w:ind w:left="279" w:right="272"/>
                                  </w:pPr>
                                  <w:r>
                                    <w:rPr>
                                      <w:b/>
                                      <w:bCs/>
                                      <w:sz w:val="16"/>
                                      <w:szCs w:val="16"/>
                                    </w:rPr>
                                    <w:t>100</w:t>
                                  </w:r>
                                </w:p>
                              </w:tc>
                            </w:tr>
                          </w:tbl>
                          <w:p w:rsidR="00CD4549" w:rsidRDefault="00CD4549" w:rsidP="00CD4549">
                            <w:pPr>
                              <w:pStyle w:val="Szvegtrzs"/>
                              <w:kinsoku w:val="0"/>
                              <w:overflowPunct w:val="0"/>
                              <w:rPr>
                                <w:b/>
                                <w:bCs/>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36" o:spid="_x0000_s1026" type="#_x0000_t202" style="width:498.5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"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3044"/>
                        <w:gridCol w:w="1723"/>
                        <w:gridCol w:w="3378"/>
                        <w:gridCol w:w="895"/>
                        <w:gridCol w:w="886"/>
                      </w:tblGrid>
                      <w:tr w:rsidR="00CD4549">
                        <w:trPr>
                          <w:trHeight w:hRule="exact" w:val="226"/>
                        </w:trPr>
                        <w:tc>
                          <w:tcPr>
                            <w:tcW w:w="3044"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482"/>
                              <w:jc w:val="left"/>
                            </w:pPr>
                            <w:r>
                              <w:rPr>
                                <w:b/>
                                <w:bCs/>
                                <w:sz w:val="16"/>
                                <w:szCs w:val="16"/>
                              </w:rPr>
                              <w:t>Tipul de categorie funcţională</w:t>
                            </w:r>
                          </w:p>
                        </w:tc>
                        <w:tc>
                          <w:tcPr>
                            <w:tcW w:w="172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134"/>
                              <w:jc w:val="left"/>
                            </w:pPr>
                            <w:r>
                              <w:rPr>
                                <w:b/>
                                <w:bCs/>
                                <w:sz w:val="16"/>
                                <w:szCs w:val="16"/>
                              </w:rPr>
                              <w:t>Categorii funcţionale</w:t>
                            </w:r>
                          </w:p>
                        </w:tc>
                        <w:tc>
                          <w:tcPr>
                            <w:tcW w:w="337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pPr>
                              <w:pStyle w:val="TableParagraph"/>
                              <w:kinsoku w:val="0"/>
                              <w:overflowPunct w:val="0"/>
                              <w:spacing w:before="114"/>
                              <w:ind w:left="938"/>
                              <w:jc w:val="left"/>
                            </w:pPr>
                            <w:r>
                              <w:rPr>
                                <w:b/>
                                <w:bCs/>
                                <w:sz w:val="16"/>
                                <w:szCs w:val="16"/>
                              </w:rPr>
                              <w:t>Ţeluri de gospodărire</w:t>
                            </w:r>
                          </w:p>
                        </w:tc>
                        <w:tc>
                          <w:tcPr>
                            <w:tcW w:w="1781" w:type="dxa"/>
                            <w:gridSpan w:val="2"/>
                            <w:tcBorders>
                              <w:top w:val="single" w:sz="11" w:space="0" w:color="000000"/>
                              <w:left w:val="single" w:sz="4" w:space="0" w:color="000000"/>
                              <w:bottom w:val="single" w:sz="4" w:space="0" w:color="000000"/>
                              <w:right w:val="single" w:sz="11" w:space="0" w:color="000000"/>
                            </w:tcBorders>
                            <w:shd w:val="clear" w:color="auto" w:fill="D9D9D9"/>
                          </w:tcPr>
                          <w:p w:rsidR="00CD4549" w:rsidRDefault="00CD4549" w:rsidP="00CD4549">
                            <w:r>
                              <w:t>Suprafața</w:t>
                            </w:r>
                          </w:p>
                        </w:tc>
                      </w:tr>
                      <w:tr w:rsidR="00CD4549">
                        <w:trPr>
                          <w:trHeight w:hRule="exact" w:val="224"/>
                        </w:trPr>
                        <w:tc>
                          <w:tcPr>
                            <w:tcW w:w="3044" w:type="dxa"/>
                            <w:vMerge/>
                            <w:tcBorders>
                              <w:top w:val="single" w:sz="11" w:space="0" w:color="000000"/>
                              <w:left w:val="single" w:sz="11" w:space="0" w:color="000000"/>
                              <w:bottom w:val="single" w:sz="11" w:space="0" w:color="000000"/>
                              <w:right w:val="single" w:sz="4" w:space="0" w:color="000000"/>
                            </w:tcBorders>
                            <w:shd w:val="clear" w:color="auto" w:fill="D9D9D9"/>
                          </w:tcPr>
                          <w:p w:rsidR="00CD4549" w:rsidRDefault="00CD4549"/>
                        </w:tc>
                        <w:tc>
                          <w:tcPr>
                            <w:tcW w:w="1723" w:type="dxa"/>
                            <w:vMerge/>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tc>
                        <w:tc>
                          <w:tcPr>
                            <w:tcW w:w="3378" w:type="dxa"/>
                            <w:vMerge/>
                            <w:tcBorders>
                              <w:top w:val="single" w:sz="11" w:space="0" w:color="000000"/>
                              <w:left w:val="single" w:sz="4" w:space="0" w:color="000000"/>
                              <w:bottom w:val="single" w:sz="11" w:space="0" w:color="000000"/>
                              <w:right w:val="single" w:sz="4" w:space="0" w:color="000000"/>
                            </w:tcBorders>
                            <w:shd w:val="clear" w:color="auto" w:fill="D9D9D9"/>
                          </w:tcPr>
                          <w:p w:rsidR="00CD4549" w:rsidRDefault="00CD4549"/>
                        </w:tc>
                        <w:tc>
                          <w:tcPr>
                            <w:tcW w:w="895" w:type="dxa"/>
                            <w:tcBorders>
                              <w:top w:val="single" w:sz="4" w:space="0" w:color="000000"/>
                              <w:left w:val="single" w:sz="4" w:space="0" w:color="000000"/>
                              <w:bottom w:val="single" w:sz="11" w:space="0" w:color="000000"/>
                              <w:right w:val="single" w:sz="4" w:space="0" w:color="000000"/>
                            </w:tcBorders>
                            <w:shd w:val="clear" w:color="auto" w:fill="D9D9D9"/>
                          </w:tcPr>
                          <w:p w:rsidR="00CD4549" w:rsidRDefault="00CD4549">
                            <w:r>
                              <w:t>ha</w:t>
                            </w:r>
                          </w:p>
                        </w:tc>
                        <w:tc>
                          <w:tcPr>
                            <w:tcW w:w="886" w:type="dxa"/>
                            <w:tcBorders>
                              <w:top w:val="single" w:sz="4" w:space="0" w:color="000000"/>
                              <w:left w:val="single" w:sz="4" w:space="0" w:color="000000"/>
                              <w:bottom w:val="single" w:sz="11" w:space="0" w:color="000000"/>
                              <w:right w:val="single" w:sz="11" w:space="0" w:color="000000"/>
                            </w:tcBorders>
                            <w:shd w:val="clear" w:color="auto" w:fill="D9D9D9"/>
                          </w:tcPr>
                          <w:p w:rsidR="00CD4549" w:rsidRDefault="00CD4549">
                            <w:r>
                              <w:t>%</w:t>
                            </w:r>
                          </w:p>
                        </w:tc>
                      </w:tr>
                      <w:tr w:rsidR="00CD4549">
                        <w:trPr>
                          <w:trHeight w:hRule="exact" w:val="1217"/>
                        </w:trPr>
                        <w:tc>
                          <w:tcPr>
                            <w:tcW w:w="3044" w:type="dxa"/>
                            <w:vMerge w:val="restart"/>
                            <w:tcBorders>
                              <w:top w:val="single" w:sz="11" w:space="0" w:color="000000"/>
                              <w:left w:val="single" w:sz="11" w:space="0" w:color="000000"/>
                              <w:bottom w:val="single" w:sz="4" w:space="0" w:color="000000"/>
                              <w:right w:val="single" w:sz="4" w:space="0" w:color="000000"/>
                            </w:tcBorders>
                          </w:tcPr>
                          <w:p w:rsidR="00CD4549" w:rsidRDefault="00CD4549">
                            <w:pPr>
                              <w:pStyle w:val="TableParagraph"/>
                              <w:kinsoku w:val="0"/>
                              <w:overflowPunct w:val="0"/>
                              <w:spacing w:before="2"/>
                              <w:jc w:val="left"/>
                              <w:rPr>
                                <w:b/>
                                <w:bCs/>
                                <w:sz w:val="21"/>
                                <w:szCs w:val="21"/>
                              </w:rPr>
                            </w:pPr>
                          </w:p>
                          <w:p w:rsidR="00CD4549" w:rsidRDefault="00CD4549">
                            <w:pPr>
                              <w:pStyle w:val="TableParagraph"/>
                              <w:kinsoku w:val="0"/>
                              <w:overflowPunct w:val="0"/>
                              <w:ind w:left="93" w:right="98"/>
                              <w:jc w:val="both"/>
                            </w:pPr>
                            <w:r>
                              <w:rPr>
                                <w:sz w:val="16"/>
                                <w:szCs w:val="16"/>
                              </w:rPr>
                              <w:t>T.VI – păduri cu funcţii de producţie şi protecţie la care se poate aplica întreaga gamă a tratamentelor potrivit condiţiilor ecologice, social-economice şi tehnico- organizatorice</w:t>
                            </w:r>
                          </w:p>
                        </w:tc>
                        <w:tc>
                          <w:tcPr>
                            <w:tcW w:w="1723"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jc w:val="left"/>
                              <w:rPr>
                                <w:b/>
                                <w:bCs/>
                                <w:sz w:val="18"/>
                                <w:szCs w:val="18"/>
                              </w:rPr>
                            </w:pPr>
                          </w:p>
                          <w:p w:rsidR="00CD4549" w:rsidRDefault="00CD4549">
                            <w:pPr>
                              <w:pStyle w:val="TableParagraph"/>
                              <w:kinsoku w:val="0"/>
                              <w:overflowPunct w:val="0"/>
                              <w:spacing w:before="1"/>
                              <w:ind w:left="676" w:right="677"/>
                            </w:pPr>
                            <w:r>
                              <w:rPr>
                                <w:sz w:val="16"/>
                                <w:szCs w:val="16"/>
                              </w:rPr>
                              <w:t>2-1B</w:t>
                            </w:r>
                          </w:p>
                        </w:tc>
                        <w:tc>
                          <w:tcPr>
                            <w:tcW w:w="3378"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spacing w:before="9"/>
                              <w:jc w:val="left"/>
                              <w:rPr>
                                <w:b/>
                                <w:bCs/>
                              </w:rPr>
                            </w:pPr>
                          </w:p>
                          <w:p w:rsidR="00CD4549" w:rsidRDefault="00CD4549">
                            <w:pPr>
                              <w:pStyle w:val="TableParagraph"/>
                              <w:kinsoku w:val="0"/>
                              <w:overflowPunct w:val="0"/>
                              <w:ind w:left="103" w:right="105"/>
                              <w:jc w:val="both"/>
                            </w:pPr>
                            <w:r>
                              <w:rPr>
                                <w:sz w:val="18"/>
                                <w:szCs w:val="18"/>
                              </w:rPr>
                              <w:t>Păduri destinate să producă în principal, arbori groși de calitate superioară pentru lemn de cherestea (T VI)</w:t>
                            </w:r>
                          </w:p>
                        </w:tc>
                        <w:tc>
                          <w:tcPr>
                            <w:tcW w:w="895" w:type="dxa"/>
                            <w:tcBorders>
                              <w:top w:val="single" w:sz="11"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jc w:val="left"/>
                              <w:rPr>
                                <w:b/>
                                <w:bCs/>
                                <w:sz w:val="20"/>
                                <w:szCs w:val="20"/>
                              </w:rPr>
                            </w:pPr>
                          </w:p>
                          <w:p w:rsidR="00CD4549" w:rsidRDefault="00CD4549">
                            <w:pPr>
                              <w:pStyle w:val="TableParagraph"/>
                              <w:kinsoku w:val="0"/>
                              <w:overflowPunct w:val="0"/>
                              <w:ind w:left="219" w:right="221"/>
                            </w:pPr>
                            <w:r>
                              <w:rPr>
                                <w:sz w:val="18"/>
                                <w:szCs w:val="18"/>
                              </w:rPr>
                              <w:t>109,6</w:t>
                            </w:r>
                          </w:p>
                        </w:tc>
                        <w:tc>
                          <w:tcPr>
                            <w:tcW w:w="886" w:type="dxa"/>
                            <w:tcBorders>
                              <w:top w:val="single" w:sz="11" w:space="0" w:color="000000"/>
                              <w:left w:val="single" w:sz="4" w:space="0" w:color="000000"/>
                              <w:bottom w:val="single" w:sz="4" w:space="0" w:color="000000"/>
                              <w:right w:val="single" w:sz="11" w:space="0" w:color="000000"/>
                            </w:tcBorders>
                          </w:tcPr>
                          <w:p w:rsidR="00CD4549" w:rsidRDefault="00CD4549">
                            <w:pPr>
                              <w:pStyle w:val="TableParagraph"/>
                              <w:kinsoku w:val="0"/>
                              <w:overflowPunct w:val="0"/>
                              <w:jc w:val="left"/>
                              <w:rPr>
                                <w:b/>
                                <w:bCs/>
                                <w:sz w:val="20"/>
                                <w:szCs w:val="20"/>
                              </w:rPr>
                            </w:pPr>
                          </w:p>
                          <w:p w:rsidR="00CD4549" w:rsidRDefault="00CD4549">
                            <w:pPr>
                              <w:pStyle w:val="TableParagraph"/>
                              <w:kinsoku w:val="0"/>
                              <w:overflowPunct w:val="0"/>
                              <w:ind w:left="283" w:right="272"/>
                            </w:pPr>
                            <w:r>
                              <w:rPr>
                                <w:sz w:val="18"/>
                                <w:szCs w:val="18"/>
                              </w:rPr>
                              <w:t>100</w:t>
                            </w:r>
                          </w:p>
                        </w:tc>
                      </w:tr>
                      <w:tr w:rsidR="00CD4549">
                        <w:trPr>
                          <w:trHeight w:hRule="exact" w:val="218"/>
                        </w:trPr>
                        <w:tc>
                          <w:tcPr>
                            <w:tcW w:w="3044" w:type="dxa"/>
                            <w:vMerge/>
                            <w:tcBorders>
                              <w:top w:val="single" w:sz="11" w:space="0" w:color="000000"/>
                              <w:left w:val="single" w:sz="11" w:space="0" w:color="000000"/>
                              <w:bottom w:val="single" w:sz="4" w:space="0" w:color="000000"/>
                              <w:right w:val="single" w:sz="4" w:space="0" w:color="000000"/>
                            </w:tcBorders>
                          </w:tcPr>
                          <w:p w:rsidR="00CD4549" w:rsidRDefault="00CD4549">
                            <w:pPr>
                              <w:pStyle w:val="TableParagraph"/>
                              <w:kinsoku w:val="0"/>
                              <w:overflowPunct w:val="0"/>
                              <w:ind w:left="283" w:right="272"/>
                            </w:pPr>
                          </w:p>
                        </w:tc>
                        <w:tc>
                          <w:tcPr>
                            <w:tcW w:w="5101" w:type="dxa"/>
                            <w:gridSpan w:val="2"/>
                            <w:tcBorders>
                              <w:top w:val="single" w:sz="4"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spacing w:before="9"/>
                              <w:ind w:left="2160" w:right="2161"/>
                            </w:pPr>
                            <w:r>
                              <w:rPr>
                                <w:b/>
                                <w:bCs/>
                                <w:sz w:val="16"/>
                                <w:szCs w:val="16"/>
                              </w:rPr>
                              <w:t>Total T.VI</w:t>
                            </w:r>
                          </w:p>
                        </w:tc>
                        <w:tc>
                          <w:tcPr>
                            <w:tcW w:w="895" w:type="dxa"/>
                            <w:tcBorders>
                              <w:top w:val="single" w:sz="4" w:space="0" w:color="000000"/>
                              <w:left w:val="single" w:sz="4" w:space="0" w:color="000000"/>
                              <w:bottom w:val="single" w:sz="4" w:space="0" w:color="000000"/>
                              <w:right w:val="single" w:sz="4" w:space="0" w:color="000000"/>
                            </w:tcBorders>
                          </w:tcPr>
                          <w:p w:rsidR="00CD4549" w:rsidRDefault="00CD4549">
                            <w:pPr>
                              <w:pStyle w:val="TableParagraph"/>
                              <w:kinsoku w:val="0"/>
                              <w:overflowPunct w:val="0"/>
                              <w:ind w:left="219" w:right="221"/>
                            </w:pPr>
                            <w:r>
                              <w:rPr>
                                <w:b/>
                                <w:bCs/>
                                <w:sz w:val="18"/>
                                <w:szCs w:val="18"/>
                              </w:rPr>
                              <w:t>109,6</w:t>
                            </w:r>
                          </w:p>
                        </w:tc>
                        <w:tc>
                          <w:tcPr>
                            <w:tcW w:w="886" w:type="dxa"/>
                            <w:tcBorders>
                              <w:top w:val="single" w:sz="4" w:space="0" w:color="000000"/>
                              <w:left w:val="single" w:sz="4" w:space="0" w:color="000000"/>
                              <w:bottom w:val="single" w:sz="4" w:space="0" w:color="000000"/>
                              <w:right w:val="single" w:sz="11" w:space="0" w:color="000000"/>
                            </w:tcBorders>
                          </w:tcPr>
                          <w:p w:rsidR="00CD4549" w:rsidRDefault="00CD4549">
                            <w:pPr>
                              <w:pStyle w:val="TableParagraph"/>
                              <w:kinsoku w:val="0"/>
                              <w:overflowPunct w:val="0"/>
                              <w:ind w:left="283" w:right="272"/>
                            </w:pPr>
                            <w:r>
                              <w:rPr>
                                <w:b/>
                                <w:bCs/>
                                <w:sz w:val="18"/>
                                <w:szCs w:val="18"/>
                              </w:rPr>
                              <w:t>100</w:t>
                            </w:r>
                          </w:p>
                        </w:tc>
                      </w:tr>
                      <w:tr w:rsidR="00CD4549">
                        <w:trPr>
                          <w:trHeight w:hRule="exact" w:val="228"/>
                        </w:trPr>
                        <w:tc>
                          <w:tcPr>
                            <w:tcW w:w="8145" w:type="dxa"/>
                            <w:gridSpan w:val="3"/>
                            <w:tcBorders>
                              <w:top w:val="single" w:sz="4" w:space="0" w:color="000000"/>
                              <w:left w:val="single" w:sz="11" w:space="0" w:color="000000"/>
                              <w:bottom w:val="single" w:sz="11" w:space="0" w:color="000000"/>
                              <w:right w:val="single" w:sz="4" w:space="0" w:color="000000"/>
                            </w:tcBorders>
                          </w:tcPr>
                          <w:p w:rsidR="00CD4549" w:rsidRDefault="00CD4549">
                            <w:pPr>
                              <w:pStyle w:val="TableParagraph"/>
                              <w:kinsoku w:val="0"/>
                              <w:overflowPunct w:val="0"/>
                              <w:spacing w:before="9"/>
                              <w:ind w:left="3591" w:right="3600"/>
                            </w:pPr>
                            <w:r>
                              <w:rPr>
                                <w:b/>
                                <w:bCs/>
                                <w:sz w:val="16"/>
                                <w:szCs w:val="16"/>
                              </w:rPr>
                              <w:t>TOTAL U.P.</w:t>
                            </w:r>
                          </w:p>
                        </w:tc>
                        <w:tc>
                          <w:tcPr>
                            <w:tcW w:w="895" w:type="dxa"/>
                            <w:tcBorders>
                              <w:top w:val="single" w:sz="4" w:space="0" w:color="000000"/>
                              <w:left w:val="single" w:sz="4" w:space="0" w:color="000000"/>
                              <w:bottom w:val="single" w:sz="11" w:space="0" w:color="000000"/>
                              <w:right w:val="single" w:sz="4" w:space="0" w:color="000000"/>
                            </w:tcBorders>
                          </w:tcPr>
                          <w:p w:rsidR="00CD4549" w:rsidRDefault="00CD4549">
                            <w:pPr>
                              <w:pStyle w:val="TableParagraph"/>
                              <w:kinsoku w:val="0"/>
                              <w:overflowPunct w:val="0"/>
                              <w:spacing w:before="9"/>
                              <w:ind w:left="217" w:right="221"/>
                            </w:pPr>
                            <w:r>
                              <w:rPr>
                                <w:b/>
                                <w:bCs/>
                                <w:sz w:val="16"/>
                                <w:szCs w:val="16"/>
                              </w:rPr>
                              <w:t>109,6</w:t>
                            </w:r>
                          </w:p>
                        </w:tc>
                        <w:tc>
                          <w:tcPr>
                            <w:tcW w:w="886" w:type="dxa"/>
                            <w:tcBorders>
                              <w:top w:val="single" w:sz="4" w:space="0" w:color="000000"/>
                              <w:left w:val="single" w:sz="4" w:space="0" w:color="000000"/>
                              <w:bottom w:val="single" w:sz="11" w:space="0" w:color="000000"/>
                              <w:right w:val="single" w:sz="11" w:space="0" w:color="000000"/>
                            </w:tcBorders>
                          </w:tcPr>
                          <w:p w:rsidR="00CD4549" w:rsidRDefault="00CD4549">
                            <w:pPr>
                              <w:pStyle w:val="TableParagraph"/>
                              <w:kinsoku w:val="0"/>
                              <w:overflowPunct w:val="0"/>
                              <w:spacing w:before="9"/>
                              <w:ind w:left="279" w:right="272"/>
                            </w:pPr>
                            <w:r>
                              <w:rPr>
                                <w:b/>
                                <w:bCs/>
                                <w:sz w:val="16"/>
                                <w:szCs w:val="16"/>
                              </w:rPr>
                              <w:t>100</w:t>
                            </w:r>
                          </w:p>
                        </w:tc>
                      </w:tr>
                    </w:tbl>
                    <w:p w:rsidR="00CD4549" w:rsidRDefault="00CD4549" w:rsidP="00CD4549">
                      <w:pPr>
                        <w:pStyle w:val="Szvegtrzs"/>
                        <w:kinsoku w:val="0"/>
                        <w:overflowPunct w:val="0"/>
                        <w:rPr>
                          <w:b/>
                          <w:bCs/>
                          <w:sz w:val="24"/>
                          <w:szCs w:val="24"/>
                        </w:rPr>
                      </w:pPr>
                    </w:p>
                  </w:txbxContent>
                </v:textbox>
                <w10:anchorlock/>
              </v:shape>
            </w:pict>
          </mc:Fallback>
        </mc:AlternateContent>
      </w:r>
    </w:p>
    <w:p w:rsidR="00CD4549" w:rsidRDefault="00CD4549" w:rsidP="00EA144E">
      <w:pPr>
        <w:spacing w:after="0" w:line="240" w:lineRule="auto"/>
        <w:jc w:val="both"/>
        <w:rPr>
          <w:rFonts w:ascii="Times New Roman" w:hAnsi="Times New Roman"/>
          <w:sz w:val="24"/>
          <w:szCs w:val="24"/>
          <w:lang w:val="ro-RO"/>
        </w:rPr>
      </w:pPr>
    </w:p>
    <w:p w:rsidR="00EA144E" w:rsidRPr="00EA144E" w:rsidRDefault="00CD4549" w:rsidP="00EA144E">
      <w:pPr>
        <w:tabs>
          <w:tab w:val="right" w:pos="9356"/>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S</w:t>
      </w:r>
      <w:r w:rsidR="00EA144E" w:rsidRPr="00EA144E">
        <w:rPr>
          <w:rFonts w:ascii="Times New Roman" w:hAnsi="Times New Roman"/>
          <w:sz w:val="24"/>
          <w:szCs w:val="24"/>
          <w:lang w:val="ro-RO"/>
        </w:rPr>
        <w:t xml:space="preserve">uprafaţa </w:t>
      </w:r>
      <w:r w:rsidR="00CC71B9">
        <w:rPr>
          <w:rFonts w:ascii="Times New Roman" w:hAnsi="Times New Roman"/>
          <w:sz w:val="24"/>
          <w:szCs w:val="24"/>
          <w:lang w:val="ro-RO"/>
        </w:rPr>
        <w:t xml:space="preserve">nu </w:t>
      </w:r>
      <w:r w:rsidR="00EA144E"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002271D4">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00EA144E" w:rsidRPr="00EA144E">
        <w:rPr>
          <w:rFonts w:ascii="Times New Roman" w:hAnsi="Times New Roman"/>
          <w:sz w:val="24"/>
          <w:szCs w:val="24"/>
          <w:lang w:val="ro-RO"/>
        </w:rPr>
        <w:t>protejat</w:t>
      </w:r>
      <w:r w:rsidR="008A190E">
        <w:rPr>
          <w:rFonts w:ascii="Times New Roman" w:hAnsi="Times New Roman"/>
          <w:sz w:val="24"/>
          <w:szCs w:val="24"/>
          <w:lang w:val="ro-RO"/>
        </w:rPr>
        <w:t>e-</w:t>
      </w:r>
      <w:r w:rsidR="00EA144E"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În scopul reglementării procesului de producţie/protecţie conform obiectivelor şi funcţiilor ecologice şi social-economice atribuite arboretelor au fost constituite următoarele subunităţi de gospodărire:</w:t>
      </w:r>
    </w:p>
    <w:p w:rsidR="002271D4" w:rsidRPr="002271D4" w:rsidRDefault="002271D4" w:rsidP="002271D4">
      <w:pPr>
        <w:numPr>
          <w:ilvl w:val="0"/>
          <w:numId w:val="13"/>
        </w:numPr>
        <w:spacing w:after="0" w:line="240" w:lineRule="auto"/>
        <w:jc w:val="both"/>
        <w:rPr>
          <w:rFonts w:ascii="Times New Roman" w:hAnsi="Times New Roman"/>
          <w:szCs w:val="24"/>
        </w:rPr>
      </w:pPr>
      <w:r w:rsidRPr="002271D4">
        <w:rPr>
          <w:rFonts w:ascii="Times New Roman" w:hAnsi="Times New Roman"/>
          <w:szCs w:val="24"/>
        </w:rPr>
        <w:t>S.U.P. „A” – Codru regulat – sortimente obişnuite – 1</w:t>
      </w:r>
      <w:r w:rsidR="00CD4549">
        <w:rPr>
          <w:rFonts w:ascii="Times New Roman" w:hAnsi="Times New Roman"/>
          <w:szCs w:val="24"/>
        </w:rPr>
        <w:t>09,6</w:t>
      </w:r>
      <w:r w:rsidRPr="002271D4">
        <w:rPr>
          <w:rFonts w:ascii="Times New Roman" w:hAnsi="Times New Roman"/>
          <w:szCs w:val="24"/>
        </w:rPr>
        <w:t xml:space="preserve"> ha;</w:t>
      </w:r>
    </w:p>
    <w:p w:rsidR="00AA790D" w:rsidRDefault="00AA790D" w:rsidP="00EA144E">
      <w:pPr>
        <w:tabs>
          <w:tab w:val="right" w:pos="9356"/>
        </w:tabs>
        <w:spacing w:after="0" w:line="240" w:lineRule="auto"/>
        <w:ind w:firstLine="567"/>
        <w:jc w:val="both"/>
        <w:rPr>
          <w:rFonts w:ascii="Times New Roman" w:hAnsi="Times New Roman"/>
          <w:szCs w:val="24"/>
          <w:lang w:val="ro-RO"/>
        </w:rPr>
      </w:pPr>
    </w:p>
    <w:p w:rsidR="002271D4" w:rsidRPr="00CC59ED" w:rsidRDefault="00EA144E" w:rsidP="002271D4">
      <w:pPr>
        <w:pStyle w:val="textproiect"/>
      </w:pPr>
      <w:r w:rsidRPr="00EA144E">
        <w:rPr>
          <w:bCs/>
          <w:i/>
          <w:iCs/>
          <w:szCs w:val="24"/>
        </w:rPr>
        <w:t>Bazele de amenajare: regimul</w:t>
      </w:r>
      <w:r w:rsidRPr="00EA144E">
        <w:rPr>
          <w:bCs/>
          <w:iCs/>
          <w:szCs w:val="24"/>
        </w:rPr>
        <w:t xml:space="preserve"> –codru; </w:t>
      </w:r>
      <w:r w:rsidRPr="00EA144E">
        <w:rPr>
          <w:bCs/>
          <w:i/>
          <w:iCs/>
          <w:szCs w:val="24"/>
        </w:rPr>
        <w:t xml:space="preserve">tratamentele </w:t>
      </w:r>
      <w:r w:rsidRPr="00EA144E">
        <w:rPr>
          <w:bCs/>
          <w:iCs/>
          <w:szCs w:val="24"/>
        </w:rPr>
        <w:t xml:space="preserve">ce se vor aplica: </w:t>
      </w:r>
      <w:r w:rsidRPr="00EA144E">
        <w:rPr>
          <w:bCs/>
          <w:i/>
          <w:iCs/>
          <w:szCs w:val="24"/>
        </w:rPr>
        <w:t>t</w:t>
      </w:r>
      <w:r w:rsidR="005B0C27">
        <w:rPr>
          <w:bCs/>
          <w:i/>
          <w:iCs/>
          <w:szCs w:val="24"/>
        </w:rPr>
        <w:t xml:space="preserve">ratamentul tăierilor </w:t>
      </w:r>
      <w:r w:rsidR="00CD4549">
        <w:rPr>
          <w:bCs/>
          <w:i/>
          <w:iCs/>
          <w:szCs w:val="24"/>
        </w:rPr>
        <w:t>rase și succesive</w:t>
      </w:r>
      <w:r w:rsidRPr="00EA144E">
        <w:rPr>
          <w:bCs/>
          <w:i/>
          <w:iCs/>
          <w:szCs w:val="24"/>
        </w:rPr>
        <w:t>;</w:t>
      </w:r>
      <w:r w:rsidR="002271D4">
        <w:rPr>
          <w:bCs/>
          <w:i/>
          <w:iCs/>
          <w:szCs w:val="24"/>
        </w:rPr>
        <w:t xml:space="preserve"> </w:t>
      </w:r>
      <w:r w:rsidRPr="00EA144E">
        <w:rPr>
          <w:bCs/>
          <w:i/>
          <w:iCs/>
          <w:szCs w:val="24"/>
        </w:rPr>
        <w:t>exploatabilitatea</w:t>
      </w:r>
      <w:r w:rsidRPr="00EA144E">
        <w:rPr>
          <w:bCs/>
          <w:iCs/>
          <w:szCs w:val="24"/>
        </w:rPr>
        <w:t xml:space="preserve"> –de protecție și tehnică</w:t>
      </w:r>
      <w:r w:rsidR="00CC71B9">
        <w:rPr>
          <w:bCs/>
          <w:iCs/>
          <w:szCs w:val="24"/>
        </w:rPr>
        <w:t xml:space="preserve"> – vârsta medie </w:t>
      </w:r>
      <w:r w:rsidR="00AD2F8E">
        <w:rPr>
          <w:bCs/>
          <w:iCs/>
          <w:szCs w:val="24"/>
        </w:rPr>
        <w:t>10</w:t>
      </w:r>
      <w:r w:rsidR="00CD4549">
        <w:rPr>
          <w:bCs/>
          <w:iCs/>
          <w:szCs w:val="24"/>
        </w:rPr>
        <w:t>0</w:t>
      </w:r>
      <w:r w:rsidR="00CC71B9">
        <w:rPr>
          <w:bCs/>
          <w:iCs/>
          <w:szCs w:val="24"/>
        </w:rPr>
        <w:t xml:space="preserve"> ani; </w:t>
      </w:r>
      <w:r w:rsidRPr="00EA144E">
        <w:rPr>
          <w:bCs/>
          <w:i/>
          <w:iCs/>
          <w:szCs w:val="24"/>
        </w:rPr>
        <w:t>Ciclul</w:t>
      </w:r>
      <w:r w:rsidR="00E602BB">
        <w:rPr>
          <w:bCs/>
          <w:iCs/>
          <w:szCs w:val="24"/>
        </w:rPr>
        <w:t>- 1</w:t>
      </w:r>
      <w:r w:rsidR="00CD4549">
        <w:rPr>
          <w:bCs/>
          <w:iCs/>
          <w:szCs w:val="24"/>
        </w:rPr>
        <w:t>0</w:t>
      </w:r>
      <w:r w:rsidRPr="00EA144E">
        <w:rPr>
          <w:bCs/>
          <w:iCs/>
          <w:szCs w:val="24"/>
        </w:rPr>
        <w:t>0 ani.</w:t>
      </w:r>
    </w:p>
    <w:p w:rsidR="00EA144E" w:rsidRPr="00EA144E" w:rsidRDefault="00EA144E" w:rsidP="002271D4">
      <w:pPr>
        <w:pStyle w:val="Szvegtrzs"/>
        <w:kinsoku w:val="0"/>
        <w:overflowPunct w:val="0"/>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CD4549">
        <w:rPr>
          <w:rFonts w:ascii="Times New Roman" w:hAnsi="Times New Roman"/>
          <w:b/>
          <w:i/>
          <w:sz w:val="24"/>
          <w:szCs w:val="24"/>
          <w:lang w:val="ro-RO"/>
        </w:rPr>
        <w:t>550</w:t>
      </w:r>
      <w:r w:rsidR="002271D4">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271D4">
        <w:rPr>
          <w:rFonts w:ascii="Times New Roman" w:hAnsi="Times New Roman"/>
          <w:b/>
          <w:i/>
          <w:sz w:val="24"/>
          <w:szCs w:val="24"/>
          <w:lang w:val="ro-RO"/>
        </w:rPr>
        <w:t>/a</w:t>
      </w:r>
      <w:r w:rsidR="00CD4549">
        <w:rPr>
          <w:rFonts w:ascii="Times New Roman" w:hAnsi="Times New Roman"/>
          <w:b/>
          <w:i/>
          <w:sz w:val="24"/>
          <w:szCs w:val="24"/>
          <w:lang w:val="ro-RO"/>
        </w:rPr>
        <w:t>n</w:t>
      </w:r>
      <w:r w:rsidR="007F172E">
        <w:rPr>
          <w:rFonts w:ascii="Times New Roman" w:hAnsi="Times New Roman"/>
          <w:b/>
          <w:i/>
          <w:sz w:val="24"/>
          <w:szCs w:val="24"/>
          <w:lang w:val="ro-RO"/>
        </w:rPr>
        <w:t>,</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Evidenţa arboretelor din care urmează să se recolteze posibilitatea decenală de produse principale</w:t>
      </w:r>
    </w:p>
    <w:p w:rsid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00F2A" w:rsidRPr="00500F2A" w:rsidRDefault="00500F2A" w:rsidP="00500F2A">
      <w:pPr>
        <w:kinsoku w:val="0"/>
        <w:overflowPunct w:val="0"/>
        <w:autoSpaceDE w:val="0"/>
        <w:autoSpaceDN w:val="0"/>
        <w:adjustRightInd w:val="0"/>
        <w:spacing w:before="4" w:after="0" w:line="240" w:lineRule="auto"/>
        <w:rPr>
          <w:rFonts w:ascii="Times New Roman" w:eastAsiaTheme="minorHAnsi" w:hAnsi="Times New Roman"/>
          <w:sz w:val="7"/>
          <w:szCs w:val="7"/>
        </w:rPr>
      </w:pPr>
      <w:bookmarkStart w:id="4" w:name="bookmark5"/>
      <w:bookmarkEnd w:id="4"/>
    </w:p>
    <w:tbl>
      <w:tblPr>
        <w:tblW w:w="8671" w:type="dxa"/>
        <w:tblInd w:w="123" w:type="dxa"/>
        <w:tblLayout w:type="fixed"/>
        <w:tblCellMar>
          <w:left w:w="0" w:type="dxa"/>
          <w:right w:w="0" w:type="dxa"/>
        </w:tblCellMar>
        <w:tblLook w:val="0000" w:firstRow="0" w:lastRow="0" w:firstColumn="0" w:lastColumn="0" w:noHBand="0" w:noVBand="0"/>
      </w:tblPr>
      <w:tblGrid>
        <w:gridCol w:w="799"/>
        <w:gridCol w:w="622"/>
        <w:gridCol w:w="1978"/>
        <w:gridCol w:w="492"/>
        <w:gridCol w:w="488"/>
        <w:gridCol w:w="532"/>
        <w:gridCol w:w="858"/>
        <w:gridCol w:w="528"/>
        <w:gridCol w:w="818"/>
        <w:gridCol w:w="745"/>
        <w:gridCol w:w="811"/>
      </w:tblGrid>
      <w:tr w:rsidR="00500F2A" w:rsidRPr="00500F2A" w:rsidTr="00500F2A">
        <w:trPr>
          <w:trHeight w:hRule="exact" w:val="435"/>
        </w:trPr>
        <w:tc>
          <w:tcPr>
            <w:tcW w:w="799"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4" w:after="0" w:line="240" w:lineRule="auto"/>
              <w:rPr>
                <w:rFonts w:ascii="Times New Roman" w:eastAsiaTheme="minorHAnsi" w:hAnsi="Times New Roman"/>
                <w:sz w:val="28"/>
                <w:szCs w:val="28"/>
              </w:rPr>
            </w:pPr>
          </w:p>
          <w:p w:rsidR="00500F2A" w:rsidRPr="00500F2A" w:rsidRDefault="00500F2A" w:rsidP="00500F2A">
            <w:pPr>
              <w:kinsoku w:val="0"/>
              <w:overflowPunct w:val="0"/>
              <w:autoSpaceDE w:val="0"/>
              <w:autoSpaceDN w:val="0"/>
              <w:adjustRightInd w:val="0"/>
              <w:spacing w:before="1" w:after="0" w:line="240" w:lineRule="auto"/>
              <w:ind w:left="208"/>
              <w:rPr>
                <w:rFonts w:ascii="Times New Roman" w:eastAsiaTheme="minorHAnsi" w:hAnsi="Times New Roman"/>
                <w:sz w:val="24"/>
                <w:szCs w:val="24"/>
              </w:rPr>
            </w:pPr>
            <w:r w:rsidRPr="00500F2A">
              <w:rPr>
                <w:rFonts w:ascii="Times New Roman" w:eastAsiaTheme="minorHAnsi" w:hAnsi="Times New Roman"/>
                <w:b/>
                <w:bCs/>
                <w:sz w:val="18"/>
                <w:szCs w:val="18"/>
              </w:rPr>
              <w:t>U.A.</w:t>
            </w:r>
          </w:p>
        </w:tc>
        <w:tc>
          <w:tcPr>
            <w:tcW w:w="622"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20" w:after="0" w:line="240" w:lineRule="auto"/>
              <w:ind w:left="9" w:right="8"/>
              <w:jc w:val="center"/>
              <w:rPr>
                <w:rFonts w:ascii="Times New Roman" w:eastAsiaTheme="minorHAnsi" w:hAnsi="Times New Roman"/>
                <w:sz w:val="24"/>
                <w:szCs w:val="24"/>
              </w:rPr>
            </w:pPr>
            <w:r w:rsidRPr="00500F2A">
              <w:rPr>
                <w:rFonts w:ascii="Times New Roman" w:eastAsiaTheme="minorHAnsi" w:hAnsi="Times New Roman"/>
                <w:b/>
                <w:bCs/>
                <w:sz w:val="18"/>
                <w:szCs w:val="18"/>
              </w:rPr>
              <w:t>Supraf. totală ha</w:t>
            </w:r>
          </w:p>
        </w:tc>
        <w:tc>
          <w:tcPr>
            <w:tcW w:w="197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4" w:after="0" w:line="240" w:lineRule="auto"/>
              <w:rPr>
                <w:rFonts w:ascii="Times New Roman" w:eastAsiaTheme="minorHAnsi" w:hAnsi="Times New Roman"/>
                <w:sz w:val="28"/>
                <w:szCs w:val="28"/>
              </w:rPr>
            </w:pPr>
          </w:p>
          <w:p w:rsidR="00500F2A" w:rsidRPr="00500F2A" w:rsidRDefault="00500F2A" w:rsidP="00500F2A">
            <w:pPr>
              <w:kinsoku w:val="0"/>
              <w:overflowPunct w:val="0"/>
              <w:autoSpaceDE w:val="0"/>
              <w:autoSpaceDN w:val="0"/>
              <w:adjustRightInd w:val="0"/>
              <w:spacing w:before="1" w:after="0" w:line="240" w:lineRule="auto"/>
              <w:ind w:left="350"/>
              <w:rPr>
                <w:rFonts w:ascii="Times New Roman" w:eastAsiaTheme="minorHAnsi" w:hAnsi="Times New Roman"/>
                <w:sz w:val="24"/>
                <w:szCs w:val="24"/>
              </w:rPr>
            </w:pPr>
            <w:r w:rsidRPr="00500F2A">
              <w:rPr>
                <w:rFonts w:ascii="Times New Roman" w:eastAsiaTheme="minorHAnsi" w:hAnsi="Times New Roman"/>
                <w:b/>
                <w:bCs/>
                <w:sz w:val="18"/>
                <w:szCs w:val="18"/>
              </w:rPr>
              <w:t>Lucrări propuse</w:t>
            </w:r>
          </w:p>
        </w:tc>
        <w:tc>
          <w:tcPr>
            <w:tcW w:w="492"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4" w:after="0" w:line="240" w:lineRule="auto"/>
              <w:rPr>
                <w:rFonts w:ascii="Times New Roman" w:eastAsiaTheme="minorHAnsi" w:hAnsi="Times New Roman"/>
                <w:sz w:val="28"/>
                <w:szCs w:val="28"/>
              </w:rPr>
            </w:pPr>
          </w:p>
          <w:p w:rsidR="00500F2A" w:rsidRPr="00500F2A" w:rsidRDefault="00500F2A" w:rsidP="00500F2A">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500F2A">
              <w:rPr>
                <w:rFonts w:ascii="Times New Roman" w:eastAsiaTheme="minorHAnsi" w:hAnsi="Times New Roman"/>
                <w:b/>
                <w:bCs/>
                <w:sz w:val="18"/>
                <w:szCs w:val="18"/>
              </w:rPr>
              <w:t>K</w:t>
            </w:r>
          </w:p>
        </w:tc>
        <w:tc>
          <w:tcPr>
            <w:tcW w:w="1020" w:type="dxa"/>
            <w:gridSpan w:val="2"/>
            <w:tcBorders>
              <w:top w:val="single" w:sz="11" w:space="0" w:color="000000"/>
              <w:left w:val="single" w:sz="4" w:space="0" w:color="000000"/>
              <w:bottom w:val="single" w:sz="4"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after="0" w:line="240" w:lineRule="auto"/>
              <w:ind w:left="254" w:right="231" w:firstLine="12"/>
              <w:rPr>
                <w:rFonts w:ascii="Times New Roman" w:eastAsiaTheme="minorHAnsi" w:hAnsi="Times New Roman"/>
                <w:sz w:val="24"/>
                <w:szCs w:val="24"/>
              </w:rPr>
            </w:pPr>
            <w:r w:rsidRPr="00500F2A">
              <w:rPr>
                <w:rFonts w:ascii="Times New Roman" w:eastAsiaTheme="minorHAnsi" w:hAnsi="Times New Roman"/>
                <w:b/>
                <w:bCs/>
                <w:sz w:val="18"/>
                <w:szCs w:val="18"/>
              </w:rPr>
              <w:t>Nr. de interv.</w:t>
            </w:r>
          </w:p>
        </w:tc>
        <w:tc>
          <w:tcPr>
            <w:tcW w:w="85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5" w:after="0" w:line="240" w:lineRule="auto"/>
              <w:ind w:left="69" w:right="43" w:hanging="2"/>
              <w:jc w:val="center"/>
              <w:rPr>
                <w:rFonts w:ascii="Times New Roman" w:eastAsiaTheme="minorHAnsi" w:hAnsi="Times New Roman"/>
                <w:sz w:val="24"/>
                <w:szCs w:val="24"/>
              </w:rPr>
            </w:pPr>
            <w:r w:rsidRPr="00500F2A">
              <w:rPr>
                <w:rFonts w:ascii="Times New Roman" w:eastAsiaTheme="minorHAnsi" w:hAnsi="Times New Roman"/>
                <w:b/>
                <w:bCs/>
                <w:sz w:val="18"/>
                <w:szCs w:val="18"/>
              </w:rPr>
              <w:t>Supraf. inclusă în planul dec.</w:t>
            </w:r>
          </w:p>
        </w:tc>
        <w:tc>
          <w:tcPr>
            <w:tcW w:w="52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4" w:after="0" w:line="240" w:lineRule="auto"/>
              <w:rPr>
                <w:rFonts w:ascii="Times New Roman" w:eastAsiaTheme="minorHAnsi" w:hAnsi="Times New Roman"/>
                <w:sz w:val="28"/>
                <w:szCs w:val="28"/>
              </w:rPr>
            </w:pPr>
          </w:p>
          <w:p w:rsidR="00500F2A" w:rsidRPr="00500F2A" w:rsidRDefault="00500F2A" w:rsidP="00500F2A">
            <w:pPr>
              <w:kinsoku w:val="0"/>
              <w:overflowPunct w:val="0"/>
              <w:autoSpaceDE w:val="0"/>
              <w:autoSpaceDN w:val="0"/>
              <w:adjustRightInd w:val="0"/>
              <w:spacing w:before="1" w:after="0" w:line="240" w:lineRule="auto"/>
              <w:ind w:left="122" w:right="-3"/>
              <w:rPr>
                <w:rFonts w:ascii="Times New Roman" w:eastAsiaTheme="minorHAnsi" w:hAnsi="Times New Roman"/>
                <w:sz w:val="24"/>
                <w:szCs w:val="24"/>
              </w:rPr>
            </w:pPr>
            <w:r w:rsidRPr="00500F2A">
              <w:rPr>
                <w:rFonts w:ascii="Times New Roman" w:eastAsiaTheme="minorHAnsi" w:hAnsi="Times New Roman"/>
                <w:b/>
                <w:bCs/>
                <w:spacing w:val="-1"/>
                <w:sz w:val="18"/>
                <w:szCs w:val="18"/>
              </w:rPr>
              <w:t>URG</w:t>
            </w:r>
          </w:p>
        </w:tc>
        <w:tc>
          <w:tcPr>
            <w:tcW w:w="81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201" w:right="83"/>
              <w:jc w:val="center"/>
              <w:rPr>
                <w:rFonts w:ascii="Times New Roman" w:eastAsiaTheme="minorHAnsi" w:hAnsi="Times New Roman"/>
                <w:sz w:val="24"/>
                <w:szCs w:val="24"/>
              </w:rPr>
            </w:pPr>
            <w:r w:rsidRPr="00500F2A">
              <w:rPr>
                <w:rFonts w:ascii="Times New Roman" w:eastAsiaTheme="minorHAnsi" w:hAnsi="Times New Roman"/>
                <w:b/>
                <w:bCs/>
                <w:sz w:val="18"/>
                <w:szCs w:val="18"/>
              </w:rPr>
              <w:t xml:space="preserve">Volum pe ua </w:t>
            </w:r>
            <w:r w:rsidRPr="00500F2A">
              <w:rPr>
                <w:rFonts w:ascii="Times New Roman" w:eastAsiaTheme="minorHAnsi" w:hAnsi="Times New Roman"/>
                <w:b/>
                <w:bCs/>
                <w:position w:val="-8"/>
                <w:sz w:val="18"/>
                <w:szCs w:val="18"/>
              </w:rPr>
              <w:t>m</w:t>
            </w:r>
            <w:r w:rsidRPr="00500F2A">
              <w:rPr>
                <w:rFonts w:ascii="Times New Roman" w:eastAsiaTheme="minorHAnsi" w:hAnsi="Times New Roman"/>
                <w:b/>
                <w:bCs/>
                <w:sz w:val="12"/>
                <w:szCs w:val="12"/>
              </w:rPr>
              <w:t>3</w:t>
            </w:r>
          </w:p>
        </w:tc>
        <w:tc>
          <w:tcPr>
            <w:tcW w:w="74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20" w:after="0" w:line="207" w:lineRule="exact"/>
              <w:ind w:left="90" w:right="83"/>
              <w:jc w:val="center"/>
              <w:rPr>
                <w:rFonts w:ascii="Times New Roman" w:eastAsiaTheme="minorHAnsi" w:hAnsi="Times New Roman"/>
                <w:b/>
                <w:bCs/>
                <w:sz w:val="18"/>
                <w:szCs w:val="18"/>
              </w:rPr>
            </w:pPr>
            <w:r w:rsidRPr="00500F2A">
              <w:rPr>
                <w:rFonts w:ascii="Times New Roman" w:eastAsiaTheme="minorHAnsi" w:hAnsi="Times New Roman"/>
                <w:b/>
                <w:bCs/>
                <w:sz w:val="18"/>
                <w:szCs w:val="18"/>
              </w:rPr>
              <w:t>Volum</w:t>
            </w:r>
          </w:p>
          <w:p w:rsidR="00500F2A" w:rsidRPr="00500F2A" w:rsidRDefault="00500F2A" w:rsidP="00500F2A">
            <w:pPr>
              <w:kinsoku w:val="0"/>
              <w:overflowPunct w:val="0"/>
              <w:autoSpaceDE w:val="0"/>
              <w:autoSpaceDN w:val="0"/>
              <w:adjustRightInd w:val="0"/>
              <w:spacing w:after="0" w:line="195" w:lineRule="exact"/>
              <w:ind w:left="87" w:right="83"/>
              <w:jc w:val="center"/>
              <w:rPr>
                <w:rFonts w:ascii="Times New Roman" w:eastAsiaTheme="minorHAnsi" w:hAnsi="Times New Roman"/>
                <w:b/>
                <w:bCs/>
                <w:sz w:val="18"/>
                <w:szCs w:val="18"/>
              </w:rPr>
            </w:pPr>
            <w:r w:rsidRPr="00500F2A">
              <w:rPr>
                <w:rFonts w:ascii="Times New Roman" w:eastAsiaTheme="minorHAnsi" w:hAnsi="Times New Roman"/>
                <w:b/>
                <w:bCs/>
                <w:sz w:val="18"/>
                <w:szCs w:val="18"/>
              </w:rPr>
              <w:t>+ 5 Cr</w:t>
            </w:r>
          </w:p>
          <w:p w:rsidR="00500F2A" w:rsidRPr="00500F2A" w:rsidRDefault="00500F2A" w:rsidP="00500F2A">
            <w:pPr>
              <w:kinsoku w:val="0"/>
              <w:overflowPunct w:val="0"/>
              <w:autoSpaceDE w:val="0"/>
              <w:autoSpaceDN w:val="0"/>
              <w:adjustRightInd w:val="0"/>
              <w:spacing w:after="0" w:line="219" w:lineRule="exact"/>
              <w:ind w:left="83" w:right="83"/>
              <w:jc w:val="center"/>
              <w:rPr>
                <w:rFonts w:ascii="Times New Roman" w:eastAsiaTheme="minorHAnsi" w:hAnsi="Times New Roman"/>
                <w:sz w:val="24"/>
                <w:szCs w:val="24"/>
              </w:rPr>
            </w:pPr>
            <w:r w:rsidRPr="00500F2A">
              <w:rPr>
                <w:rFonts w:ascii="Times New Roman" w:eastAsiaTheme="minorHAnsi" w:hAnsi="Times New Roman"/>
                <w:b/>
                <w:bCs/>
                <w:position w:val="-8"/>
                <w:sz w:val="18"/>
                <w:szCs w:val="18"/>
              </w:rPr>
              <w:t>m</w:t>
            </w:r>
            <w:r w:rsidRPr="00500F2A">
              <w:rPr>
                <w:rFonts w:ascii="Times New Roman" w:eastAsiaTheme="minorHAnsi" w:hAnsi="Times New Roman"/>
                <w:b/>
                <w:bCs/>
                <w:sz w:val="12"/>
                <w:szCs w:val="12"/>
              </w:rPr>
              <w:t>3</w:t>
            </w:r>
          </w:p>
        </w:tc>
        <w:tc>
          <w:tcPr>
            <w:tcW w:w="811"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105" w:right="-8" w:firstLine="10"/>
              <w:jc w:val="center"/>
              <w:rPr>
                <w:rFonts w:ascii="Times New Roman" w:eastAsiaTheme="minorHAnsi" w:hAnsi="Times New Roman"/>
                <w:sz w:val="24"/>
                <w:szCs w:val="24"/>
              </w:rPr>
            </w:pPr>
            <w:r w:rsidRPr="00500F2A">
              <w:rPr>
                <w:rFonts w:ascii="Times New Roman" w:eastAsiaTheme="minorHAnsi" w:hAnsi="Times New Roman"/>
                <w:b/>
                <w:bCs/>
                <w:sz w:val="18"/>
                <w:szCs w:val="18"/>
              </w:rPr>
              <w:t>Volum de extras</w:t>
            </w:r>
            <w:r w:rsidRPr="00500F2A">
              <w:rPr>
                <w:rFonts w:ascii="Times New Roman" w:eastAsiaTheme="minorHAnsi" w:hAnsi="Times New Roman"/>
                <w:b/>
                <w:bCs/>
                <w:w w:val="99"/>
                <w:sz w:val="18"/>
                <w:szCs w:val="18"/>
              </w:rPr>
              <w:t xml:space="preserve"> </w:t>
            </w:r>
            <w:r w:rsidRPr="00500F2A">
              <w:rPr>
                <w:rFonts w:ascii="Times New Roman" w:eastAsiaTheme="minorHAnsi" w:hAnsi="Times New Roman"/>
                <w:b/>
                <w:bCs/>
                <w:position w:val="-8"/>
                <w:sz w:val="18"/>
                <w:szCs w:val="18"/>
              </w:rPr>
              <w:t>m</w:t>
            </w:r>
            <w:r w:rsidRPr="00500F2A">
              <w:rPr>
                <w:rFonts w:ascii="Times New Roman" w:eastAsiaTheme="minorHAnsi" w:hAnsi="Times New Roman"/>
                <w:b/>
                <w:bCs/>
                <w:sz w:val="12"/>
                <w:szCs w:val="12"/>
              </w:rPr>
              <w:t>3</w:t>
            </w:r>
          </w:p>
        </w:tc>
      </w:tr>
      <w:tr w:rsidR="00500F2A" w:rsidRPr="00500F2A" w:rsidTr="00500F2A">
        <w:trPr>
          <w:trHeight w:hRule="exact" w:val="454"/>
        </w:trPr>
        <w:tc>
          <w:tcPr>
            <w:tcW w:w="799" w:type="dxa"/>
            <w:vMerge/>
            <w:tcBorders>
              <w:top w:val="single" w:sz="11" w:space="0" w:color="000000"/>
              <w:left w:val="single" w:sz="11"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105" w:right="-8" w:firstLine="10"/>
              <w:jc w:val="center"/>
              <w:rPr>
                <w:rFonts w:ascii="Times New Roman" w:eastAsiaTheme="minorHAnsi" w:hAnsi="Times New Roman"/>
                <w:sz w:val="24"/>
                <w:szCs w:val="24"/>
              </w:rPr>
            </w:pPr>
          </w:p>
        </w:tc>
        <w:tc>
          <w:tcPr>
            <w:tcW w:w="622"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105" w:right="-8" w:firstLine="10"/>
              <w:jc w:val="center"/>
              <w:rPr>
                <w:rFonts w:ascii="Times New Roman" w:eastAsiaTheme="minorHAnsi" w:hAnsi="Times New Roman"/>
                <w:sz w:val="24"/>
                <w:szCs w:val="24"/>
              </w:rPr>
            </w:pPr>
          </w:p>
        </w:tc>
        <w:tc>
          <w:tcPr>
            <w:tcW w:w="1978"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105" w:right="-8" w:firstLine="10"/>
              <w:jc w:val="center"/>
              <w:rPr>
                <w:rFonts w:ascii="Times New Roman" w:eastAsiaTheme="minorHAnsi" w:hAnsi="Times New Roman"/>
                <w:sz w:val="24"/>
                <w:szCs w:val="24"/>
              </w:rPr>
            </w:pPr>
          </w:p>
        </w:tc>
        <w:tc>
          <w:tcPr>
            <w:tcW w:w="492"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30" w:after="0" w:line="225" w:lineRule="auto"/>
              <w:ind w:left="105" w:right="-8" w:firstLine="10"/>
              <w:jc w:val="center"/>
              <w:rPr>
                <w:rFonts w:ascii="Times New Roman" w:eastAsiaTheme="minorHAnsi" w:hAnsi="Times New Roman"/>
                <w:sz w:val="24"/>
                <w:szCs w:val="24"/>
              </w:rPr>
            </w:pPr>
          </w:p>
        </w:tc>
        <w:tc>
          <w:tcPr>
            <w:tcW w:w="488" w:type="dxa"/>
            <w:tcBorders>
              <w:top w:val="single" w:sz="4"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41" w:right="82" w:hanging="36"/>
              <w:rPr>
                <w:rFonts w:ascii="Times New Roman" w:eastAsiaTheme="minorHAnsi" w:hAnsi="Times New Roman"/>
                <w:sz w:val="24"/>
                <w:szCs w:val="24"/>
              </w:rPr>
            </w:pPr>
            <w:r w:rsidRPr="00500F2A">
              <w:rPr>
                <w:rFonts w:ascii="Times New Roman" w:eastAsiaTheme="minorHAnsi" w:hAnsi="Times New Roman"/>
                <w:b/>
                <w:bCs/>
                <w:sz w:val="18"/>
                <w:szCs w:val="18"/>
              </w:rPr>
              <w:t>To- tal</w:t>
            </w:r>
          </w:p>
        </w:tc>
        <w:tc>
          <w:tcPr>
            <w:tcW w:w="532" w:type="dxa"/>
            <w:tcBorders>
              <w:top w:val="single" w:sz="4"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r w:rsidRPr="00500F2A">
              <w:rPr>
                <w:rFonts w:ascii="Times New Roman" w:eastAsiaTheme="minorHAnsi" w:hAnsi="Times New Roman"/>
                <w:b/>
                <w:bCs/>
                <w:sz w:val="18"/>
                <w:szCs w:val="18"/>
              </w:rPr>
              <w:t>În dec.</w:t>
            </w:r>
          </w:p>
        </w:tc>
        <w:tc>
          <w:tcPr>
            <w:tcW w:w="858"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p>
        </w:tc>
        <w:tc>
          <w:tcPr>
            <w:tcW w:w="528"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p>
        </w:tc>
        <w:tc>
          <w:tcPr>
            <w:tcW w:w="818"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p>
        </w:tc>
        <w:tc>
          <w:tcPr>
            <w:tcW w:w="745" w:type="dxa"/>
            <w:vMerge/>
            <w:tcBorders>
              <w:top w:val="single" w:sz="11" w:space="0" w:color="000000"/>
              <w:left w:val="single" w:sz="4" w:space="0" w:color="000000"/>
              <w:bottom w:val="single" w:sz="11" w:space="0" w:color="000000"/>
              <w:right w:val="single" w:sz="4"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p>
        </w:tc>
        <w:tc>
          <w:tcPr>
            <w:tcW w:w="811" w:type="dxa"/>
            <w:vMerge/>
            <w:tcBorders>
              <w:top w:val="single" w:sz="11" w:space="0" w:color="000000"/>
              <w:left w:val="single" w:sz="4" w:space="0" w:color="000000"/>
              <w:bottom w:val="single" w:sz="11" w:space="0" w:color="000000"/>
              <w:right w:val="single" w:sz="11" w:space="0" w:color="000000"/>
            </w:tcBorders>
            <w:shd w:val="clear" w:color="auto" w:fill="D9D9D9"/>
          </w:tcPr>
          <w:p w:rsidR="00500F2A" w:rsidRPr="00500F2A" w:rsidRDefault="00500F2A" w:rsidP="00500F2A">
            <w:pPr>
              <w:kinsoku w:val="0"/>
              <w:overflowPunct w:val="0"/>
              <w:autoSpaceDE w:val="0"/>
              <w:autoSpaceDN w:val="0"/>
              <w:adjustRightInd w:val="0"/>
              <w:spacing w:before="19" w:after="0" w:line="240" w:lineRule="auto"/>
              <w:ind w:left="108" w:firstLine="69"/>
              <w:rPr>
                <w:rFonts w:ascii="Times New Roman" w:eastAsiaTheme="minorHAnsi" w:hAnsi="Times New Roman"/>
                <w:sz w:val="24"/>
                <w:szCs w:val="24"/>
              </w:rPr>
            </w:pPr>
          </w:p>
        </w:tc>
      </w:tr>
      <w:tr w:rsidR="00500F2A" w:rsidRPr="00500F2A" w:rsidTr="00500F2A">
        <w:trPr>
          <w:trHeight w:hRule="exact" w:val="286"/>
        </w:trPr>
        <w:tc>
          <w:tcPr>
            <w:tcW w:w="799" w:type="dxa"/>
            <w:tcBorders>
              <w:top w:val="single" w:sz="11" w:space="0" w:color="000000"/>
              <w:left w:val="single" w:sz="11"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left="93"/>
              <w:rPr>
                <w:rFonts w:ascii="Times New Roman" w:eastAsiaTheme="minorHAnsi" w:hAnsi="Times New Roman"/>
                <w:sz w:val="24"/>
                <w:szCs w:val="24"/>
              </w:rPr>
            </w:pPr>
            <w:r w:rsidRPr="00500F2A">
              <w:rPr>
                <w:rFonts w:ascii="Times New Roman" w:eastAsiaTheme="minorHAnsi" w:hAnsi="Times New Roman"/>
                <w:sz w:val="18"/>
                <w:szCs w:val="18"/>
              </w:rPr>
              <w:t>40 A</w:t>
            </w:r>
          </w:p>
        </w:tc>
        <w:tc>
          <w:tcPr>
            <w:tcW w:w="622"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24,3</w:t>
            </w:r>
          </w:p>
        </w:tc>
        <w:tc>
          <w:tcPr>
            <w:tcW w:w="1978"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228"/>
              <w:rPr>
                <w:rFonts w:ascii="Times New Roman" w:eastAsiaTheme="minorHAnsi" w:hAnsi="Times New Roman"/>
                <w:sz w:val="24"/>
                <w:szCs w:val="24"/>
              </w:rPr>
            </w:pPr>
            <w:r w:rsidRPr="00500F2A">
              <w:rPr>
                <w:rFonts w:ascii="Times New Roman" w:eastAsiaTheme="minorHAnsi" w:hAnsi="Times New Roman"/>
                <w:sz w:val="18"/>
                <w:szCs w:val="18"/>
              </w:rPr>
              <w:t>T. succ. marg. masiv</w:t>
            </w:r>
          </w:p>
        </w:tc>
        <w:tc>
          <w:tcPr>
            <w:tcW w:w="492"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153"/>
              <w:rPr>
                <w:rFonts w:ascii="Times New Roman" w:eastAsiaTheme="minorHAnsi" w:hAnsi="Times New Roman"/>
                <w:sz w:val="24"/>
                <w:szCs w:val="24"/>
              </w:rPr>
            </w:pPr>
            <w:r w:rsidRPr="00500F2A">
              <w:rPr>
                <w:rFonts w:ascii="Times New Roman" w:eastAsiaTheme="minorHAnsi" w:hAnsi="Times New Roman"/>
                <w:sz w:val="18"/>
                <w:szCs w:val="18"/>
              </w:rPr>
              <w:t>0,6</w:t>
            </w:r>
          </w:p>
        </w:tc>
        <w:tc>
          <w:tcPr>
            <w:tcW w:w="488"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1"/>
              <w:jc w:val="right"/>
              <w:rPr>
                <w:rFonts w:ascii="Times New Roman" w:eastAsiaTheme="minorHAnsi" w:hAnsi="Times New Roman"/>
                <w:sz w:val="24"/>
                <w:szCs w:val="24"/>
              </w:rPr>
            </w:pPr>
            <w:r w:rsidRPr="00500F2A">
              <w:rPr>
                <w:rFonts w:ascii="Times New Roman" w:eastAsiaTheme="minorHAnsi" w:hAnsi="Times New Roman"/>
                <w:sz w:val="18"/>
                <w:szCs w:val="18"/>
              </w:rPr>
              <w:t>2</w:t>
            </w:r>
          </w:p>
        </w:tc>
        <w:tc>
          <w:tcPr>
            <w:tcW w:w="532"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2"/>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858"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sz w:val="18"/>
                <w:szCs w:val="18"/>
              </w:rPr>
              <w:t>12,2</w:t>
            </w:r>
          </w:p>
        </w:tc>
        <w:tc>
          <w:tcPr>
            <w:tcW w:w="528"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237"/>
              <w:rPr>
                <w:rFonts w:ascii="Times New Roman" w:eastAsiaTheme="minorHAnsi" w:hAnsi="Times New Roman"/>
                <w:sz w:val="24"/>
                <w:szCs w:val="24"/>
              </w:rPr>
            </w:pPr>
            <w:r w:rsidRPr="00500F2A">
              <w:rPr>
                <w:rFonts w:ascii="Times New Roman" w:eastAsiaTheme="minorHAnsi" w:hAnsi="Times New Roman"/>
                <w:sz w:val="18"/>
                <w:szCs w:val="18"/>
              </w:rPr>
              <w:t>26</w:t>
            </w:r>
          </w:p>
        </w:tc>
        <w:tc>
          <w:tcPr>
            <w:tcW w:w="818"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4714</w:t>
            </w:r>
          </w:p>
        </w:tc>
        <w:tc>
          <w:tcPr>
            <w:tcW w:w="745" w:type="dxa"/>
            <w:tcBorders>
              <w:top w:val="single" w:sz="11"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8"/>
              <w:jc w:val="right"/>
              <w:rPr>
                <w:rFonts w:ascii="Times New Roman" w:eastAsiaTheme="minorHAnsi" w:hAnsi="Times New Roman"/>
                <w:sz w:val="24"/>
                <w:szCs w:val="24"/>
              </w:rPr>
            </w:pPr>
            <w:r w:rsidRPr="00500F2A">
              <w:rPr>
                <w:rFonts w:ascii="Times New Roman" w:eastAsiaTheme="minorHAnsi" w:hAnsi="Times New Roman"/>
                <w:sz w:val="18"/>
                <w:szCs w:val="18"/>
              </w:rPr>
              <w:t>4994</w:t>
            </w:r>
          </w:p>
        </w:tc>
        <w:tc>
          <w:tcPr>
            <w:tcW w:w="811" w:type="dxa"/>
            <w:tcBorders>
              <w:top w:val="single" w:sz="11" w:space="0" w:color="000000"/>
              <w:left w:val="single" w:sz="4" w:space="0" w:color="000000"/>
              <w:bottom w:val="single" w:sz="4" w:space="0" w:color="000000"/>
              <w:right w:val="single" w:sz="11" w:space="0" w:color="000000"/>
            </w:tcBorders>
          </w:tcPr>
          <w:p w:rsidR="00500F2A" w:rsidRPr="00500F2A" w:rsidRDefault="00500F2A" w:rsidP="00500F2A">
            <w:pPr>
              <w:kinsoku w:val="0"/>
              <w:overflowPunct w:val="0"/>
              <w:autoSpaceDE w:val="0"/>
              <w:autoSpaceDN w:val="0"/>
              <w:adjustRightInd w:val="0"/>
              <w:spacing w:before="24" w:after="0" w:line="240" w:lineRule="auto"/>
              <w:ind w:right="90"/>
              <w:jc w:val="right"/>
              <w:rPr>
                <w:rFonts w:ascii="Times New Roman" w:eastAsiaTheme="minorHAnsi" w:hAnsi="Times New Roman"/>
                <w:sz w:val="24"/>
                <w:szCs w:val="24"/>
              </w:rPr>
            </w:pPr>
            <w:r w:rsidRPr="00500F2A">
              <w:rPr>
                <w:rFonts w:ascii="Times New Roman" w:eastAsiaTheme="minorHAnsi" w:hAnsi="Times New Roman"/>
                <w:sz w:val="18"/>
                <w:szCs w:val="18"/>
              </w:rPr>
              <w:t>2827</w:t>
            </w:r>
          </w:p>
        </w:tc>
      </w:tr>
      <w:tr w:rsidR="00500F2A" w:rsidRPr="00500F2A" w:rsidTr="00500F2A">
        <w:trPr>
          <w:trHeight w:hRule="exact" w:val="274"/>
        </w:trPr>
        <w:tc>
          <w:tcPr>
            <w:tcW w:w="799" w:type="dxa"/>
            <w:tcBorders>
              <w:top w:val="single" w:sz="4" w:space="0" w:color="000000"/>
              <w:left w:val="single" w:sz="11"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left="93"/>
              <w:rPr>
                <w:rFonts w:ascii="Times New Roman" w:eastAsiaTheme="minorHAnsi" w:hAnsi="Times New Roman"/>
                <w:sz w:val="24"/>
                <w:szCs w:val="24"/>
              </w:rPr>
            </w:pPr>
            <w:r w:rsidRPr="00500F2A">
              <w:rPr>
                <w:rFonts w:ascii="Times New Roman" w:eastAsiaTheme="minorHAnsi" w:hAnsi="Times New Roman"/>
                <w:sz w:val="18"/>
                <w:szCs w:val="18"/>
              </w:rPr>
              <w:t>41 A</w:t>
            </w:r>
          </w:p>
        </w:tc>
        <w:tc>
          <w:tcPr>
            <w:tcW w:w="62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9,6</w:t>
            </w:r>
          </w:p>
        </w:tc>
        <w:tc>
          <w:tcPr>
            <w:tcW w:w="197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735"/>
              <w:rPr>
                <w:rFonts w:ascii="Times New Roman" w:eastAsiaTheme="minorHAnsi" w:hAnsi="Times New Roman"/>
                <w:sz w:val="24"/>
                <w:szCs w:val="24"/>
              </w:rPr>
            </w:pPr>
            <w:r w:rsidRPr="00500F2A">
              <w:rPr>
                <w:rFonts w:ascii="Times New Roman" w:eastAsiaTheme="minorHAnsi" w:hAnsi="Times New Roman"/>
                <w:sz w:val="18"/>
                <w:szCs w:val="18"/>
              </w:rPr>
              <w:t>T. rase</w:t>
            </w:r>
          </w:p>
        </w:tc>
        <w:tc>
          <w:tcPr>
            <w:tcW w:w="49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153"/>
              <w:rPr>
                <w:rFonts w:ascii="Times New Roman" w:eastAsiaTheme="minorHAnsi" w:hAnsi="Times New Roman"/>
                <w:sz w:val="24"/>
                <w:szCs w:val="24"/>
              </w:rPr>
            </w:pPr>
            <w:r w:rsidRPr="00500F2A">
              <w:rPr>
                <w:rFonts w:ascii="Times New Roman" w:eastAsiaTheme="minorHAnsi" w:hAnsi="Times New Roman"/>
                <w:sz w:val="18"/>
                <w:szCs w:val="18"/>
              </w:rPr>
              <w:t>0,4</w:t>
            </w:r>
          </w:p>
        </w:tc>
        <w:tc>
          <w:tcPr>
            <w:tcW w:w="48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1"/>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53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2"/>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85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sz w:val="18"/>
                <w:szCs w:val="18"/>
              </w:rPr>
              <w:t>4,8</w:t>
            </w:r>
          </w:p>
        </w:tc>
        <w:tc>
          <w:tcPr>
            <w:tcW w:w="52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237"/>
              <w:rPr>
                <w:rFonts w:ascii="Times New Roman" w:eastAsiaTheme="minorHAnsi" w:hAnsi="Times New Roman"/>
                <w:sz w:val="24"/>
                <w:szCs w:val="24"/>
              </w:rPr>
            </w:pPr>
            <w:r w:rsidRPr="00500F2A">
              <w:rPr>
                <w:rFonts w:ascii="Times New Roman" w:eastAsiaTheme="minorHAnsi" w:hAnsi="Times New Roman"/>
                <w:sz w:val="18"/>
                <w:szCs w:val="18"/>
              </w:rPr>
              <w:t>26</w:t>
            </w:r>
          </w:p>
        </w:tc>
        <w:tc>
          <w:tcPr>
            <w:tcW w:w="81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970</w:t>
            </w:r>
          </w:p>
        </w:tc>
        <w:tc>
          <w:tcPr>
            <w:tcW w:w="745"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8"/>
              <w:jc w:val="right"/>
              <w:rPr>
                <w:rFonts w:ascii="Times New Roman" w:eastAsiaTheme="minorHAnsi" w:hAnsi="Times New Roman"/>
                <w:sz w:val="24"/>
                <w:szCs w:val="24"/>
              </w:rPr>
            </w:pPr>
            <w:r w:rsidRPr="00500F2A">
              <w:rPr>
                <w:rFonts w:ascii="Times New Roman" w:eastAsiaTheme="minorHAnsi" w:hAnsi="Times New Roman"/>
                <w:sz w:val="18"/>
                <w:szCs w:val="18"/>
              </w:rPr>
              <w:t>1030</w:t>
            </w:r>
          </w:p>
        </w:tc>
        <w:tc>
          <w:tcPr>
            <w:tcW w:w="811" w:type="dxa"/>
            <w:tcBorders>
              <w:top w:val="single" w:sz="4" w:space="0" w:color="000000"/>
              <w:left w:val="single" w:sz="4" w:space="0" w:color="000000"/>
              <w:bottom w:val="single" w:sz="4" w:space="0" w:color="000000"/>
              <w:right w:val="single" w:sz="11" w:space="0" w:color="000000"/>
            </w:tcBorders>
          </w:tcPr>
          <w:p w:rsidR="00500F2A" w:rsidRPr="00500F2A" w:rsidRDefault="00500F2A" w:rsidP="00500F2A">
            <w:pPr>
              <w:kinsoku w:val="0"/>
              <w:overflowPunct w:val="0"/>
              <w:autoSpaceDE w:val="0"/>
              <w:autoSpaceDN w:val="0"/>
              <w:adjustRightInd w:val="0"/>
              <w:spacing w:before="24" w:after="0" w:line="240" w:lineRule="auto"/>
              <w:ind w:right="90"/>
              <w:jc w:val="right"/>
              <w:rPr>
                <w:rFonts w:ascii="Times New Roman" w:eastAsiaTheme="minorHAnsi" w:hAnsi="Times New Roman"/>
                <w:sz w:val="24"/>
                <w:szCs w:val="24"/>
              </w:rPr>
            </w:pPr>
            <w:r w:rsidRPr="00500F2A">
              <w:rPr>
                <w:rFonts w:ascii="Times New Roman" w:eastAsiaTheme="minorHAnsi" w:hAnsi="Times New Roman"/>
                <w:sz w:val="18"/>
                <w:szCs w:val="18"/>
              </w:rPr>
              <w:t>1030</w:t>
            </w:r>
          </w:p>
        </w:tc>
      </w:tr>
      <w:tr w:rsidR="00500F2A" w:rsidRPr="00500F2A" w:rsidTr="00500F2A">
        <w:trPr>
          <w:trHeight w:hRule="exact" w:val="276"/>
        </w:trPr>
        <w:tc>
          <w:tcPr>
            <w:tcW w:w="799" w:type="dxa"/>
            <w:tcBorders>
              <w:top w:val="single" w:sz="4" w:space="0" w:color="000000"/>
              <w:left w:val="single" w:sz="11"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left="93"/>
              <w:rPr>
                <w:rFonts w:ascii="Times New Roman" w:eastAsiaTheme="minorHAnsi" w:hAnsi="Times New Roman"/>
                <w:sz w:val="24"/>
                <w:szCs w:val="24"/>
              </w:rPr>
            </w:pPr>
            <w:r w:rsidRPr="00500F2A">
              <w:rPr>
                <w:rFonts w:ascii="Times New Roman" w:eastAsiaTheme="minorHAnsi" w:hAnsi="Times New Roman"/>
                <w:sz w:val="18"/>
                <w:szCs w:val="18"/>
              </w:rPr>
              <w:t>41 C</w:t>
            </w:r>
          </w:p>
        </w:tc>
        <w:tc>
          <w:tcPr>
            <w:tcW w:w="62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3,5</w:t>
            </w:r>
          </w:p>
        </w:tc>
        <w:tc>
          <w:tcPr>
            <w:tcW w:w="197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735"/>
              <w:rPr>
                <w:rFonts w:ascii="Times New Roman" w:eastAsiaTheme="minorHAnsi" w:hAnsi="Times New Roman"/>
                <w:sz w:val="24"/>
                <w:szCs w:val="24"/>
              </w:rPr>
            </w:pPr>
            <w:r w:rsidRPr="00500F2A">
              <w:rPr>
                <w:rFonts w:ascii="Times New Roman" w:eastAsiaTheme="minorHAnsi" w:hAnsi="Times New Roman"/>
                <w:sz w:val="18"/>
                <w:szCs w:val="18"/>
              </w:rPr>
              <w:t>T. rase</w:t>
            </w:r>
          </w:p>
        </w:tc>
        <w:tc>
          <w:tcPr>
            <w:tcW w:w="49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153"/>
              <w:rPr>
                <w:rFonts w:ascii="Times New Roman" w:eastAsiaTheme="minorHAnsi" w:hAnsi="Times New Roman"/>
                <w:sz w:val="24"/>
                <w:szCs w:val="24"/>
              </w:rPr>
            </w:pPr>
            <w:r w:rsidRPr="00500F2A">
              <w:rPr>
                <w:rFonts w:ascii="Times New Roman" w:eastAsiaTheme="minorHAnsi" w:hAnsi="Times New Roman"/>
                <w:sz w:val="18"/>
                <w:szCs w:val="18"/>
              </w:rPr>
              <w:t>0,6</w:t>
            </w:r>
          </w:p>
        </w:tc>
        <w:tc>
          <w:tcPr>
            <w:tcW w:w="48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1"/>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53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2"/>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85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sz w:val="18"/>
                <w:szCs w:val="18"/>
              </w:rPr>
              <w:t>1,8</w:t>
            </w:r>
          </w:p>
        </w:tc>
        <w:tc>
          <w:tcPr>
            <w:tcW w:w="52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237"/>
              <w:rPr>
                <w:rFonts w:ascii="Times New Roman" w:eastAsiaTheme="minorHAnsi" w:hAnsi="Times New Roman"/>
                <w:sz w:val="24"/>
                <w:szCs w:val="24"/>
              </w:rPr>
            </w:pPr>
            <w:r w:rsidRPr="00500F2A">
              <w:rPr>
                <w:rFonts w:ascii="Times New Roman" w:eastAsiaTheme="minorHAnsi" w:hAnsi="Times New Roman"/>
                <w:sz w:val="18"/>
                <w:szCs w:val="18"/>
              </w:rPr>
              <w:t>26</w:t>
            </w:r>
          </w:p>
        </w:tc>
        <w:tc>
          <w:tcPr>
            <w:tcW w:w="81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387</w:t>
            </w:r>
          </w:p>
        </w:tc>
        <w:tc>
          <w:tcPr>
            <w:tcW w:w="745"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422</w:t>
            </w:r>
          </w:p>
        </w:tc>
        <w:tc>
          <w:tcPr>
            <w:tcW w:w="811" w:type="dxa"/>
            <w:tcBorders>
              <w:top w:val="single" w:sz="4" w:space="0" w:color="000000"/>
              <w:left w:val="single" w:sz="4" w:space="0" w:color="000000"/>
              <w:bottom w:val="single" w:sz="4" w:space="0" w:color="000000"/>
              <w:right w:val="single" w:sz="11" w:space="0" w:color="000000"/>
            </w:tcBorders>
          </w:tcPr>
          <w:p w:rsidR="00500F2A" w:rsidRPr="00500F2A" w:rsidRDefault="00500F2A" w:rsidP="00500F2A">
            <w:pPr>
              <w:kinsoku w:val="0"/>
              <w:overflowPunct w:val="0"/>
              <w:autoSpaceDE w:val="0"/>
              <w:autoSpaceDN w:val="0"/>
              <w:adjustRightInd w:val="0"/>
              <w:spacing w:before="24" w:after="0" w:line="240" w:lineRule="auto"/>
              <w:ind w:right="89"/>
              <w:jc w:val="right"/>
              <w:rPr>
                <w:rFonts w:ascii="Times New Roman" w:eastAsiaTheme="minorHAnsi" w:hAnsi="Times New Roman"/>
                <w:sz w:val="24"/>
                <w:szCs w:val="24"/>
              </w:rPr>
            </w:pPr>
            <w:r w:rsidRPr="00500F2A">
              <w:rPr>
                <w:rFonts w:ascii="Times New Roman" w:eastAsiaTheme="minorHAnsi" w:hAnsi="Times New Roman"/>
                <w:sz w:val="18"/>
                <w:szCs w:val="18"/>
              </w:rPr>
              <w:t>422</w:t>
            </w:r>
          </w:p>
        </w:tc>
      </w:tr>
      <w:tr w:rsidR="00500F2A" w:rsidRPr="00500F2A" w:rsidTr="00500F2A">
        <w:trPr>
          <w:trHeight w:hRule="exact" w:val="274"/>
        </w:trPr>
        <w:tc>
          <w:tcPr>
            <w:tcW w:w="799" w:type="dxa"/>
            <w:tcBorders>
              <w:top w:val="single" w:sz="4" w:space="0" w:color="000000"/>
              <w:left w:val="single" w:sz="11"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left="93"/>
              <w:rPr>
                <w:rFonts w:ascii="Times New Roman" w:eastAsiaTheme="minorHAnsi" w:hAnsi="Times New Roman"/>
                <w:sz w:val="24"/>
                <w:szCs w:val="24"/>
              </w:rPr>
            </w:pPr>
            <w:r w:rsidRPr="00500F2A">
              <w:rPr>
                <w:rFonts w:ascii="Times New Roman" w:eastAsiaTheme="minorHAnsi" w:hAnsi="Times New Roman"/>
                <w:sz w:val="18"/>
                <w:szCs w:val="18"/>
              </w:rPr>
              <w:t>50 A</w:t>
            </w:r>
          </w:p>
        </w:tc>
        <w:tc>
          <w:tcPr>
            <w:tcW w:w="62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2"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3,3</w:t>
            </w:r>
          </w:p>
        </w:tc>
        <w:tc>
          <w:tcPr>
            <w:tcW w:w="197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after="0" w:line="202" w:lineRule="exact"/>
              <w:ind w:left="739"/>
              <w:rPr>
                <w:rFonts w:ascii="Times New Roman" w:eastAsiaTheme="minorHAnsi" w:hAnsi="Times New Roman"/>
                <w:sz w:val="24"/>
                <w:szCs w:val="24"/>
              </w:rPr>
            </w:pPr>
            <w:r w:rsidRPr="00500F2A">
              <w:rPr>
                <w:rFonts w:ascii="Times New Roman" w:eastAsiaTheme="minorHAnsi" w:hAnsi="Times New Roman"/>
                <w:sz w:val="18"/>
                <w:szCs w:val="18"/>
              </w:rPr>
              <w:t>T. rase</w:t>
            </w:r>
          </w:p>
        </w:tc>
        <w:tc>
          <w:tcPr>
            <w:tcW w:w="49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153"/>
              <w:rPr>
                <w:rFonts w:ascii="Times New Roman" w:eastAsiaTheme="minorHAnsi" w:hAnsi="Times New Roman"/>
                <w:sz w:val="24"/>
                <w:szCs w:val="24"/>
              </w:rPr>
            </w:pPr>
            <w:r w:rsidRPr="00500F2A">
              <w:rPr>
                <w:rFonts w:ascii="Times New Roman" w:eastAsiaTheme="minorHAnsi" w:hAnsi="Times New Roman"/>
                <w:sz w:val="18"/>
                <w:szCs w:val="18"/>
              </w:rPr>
              <w:t>0,7</w:t>
            </w:r>
          </w:p>
        </w:tc>
        <w:tc>
          <w:tcPr>
            <w:tcW w:w="48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1"/>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53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2"/>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85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sz w:val="18"/>
                <w:szCs w:val="18"/>
              </w:rPr>
              <w:t>1,3</w:t>
            </w:r>
          </w:p>
        </w:tc>
        <w:tc>
          <w:tcPr>
            <w:tcW w:w="52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left="237"/>
              <w:rPr>
                <w:rFonts w:ascii="Times New Roman" w:eastAsiaTheme="minorHAnsi" w:hAnsi="Times New Roman"/>
                <w:sz w:val="24"/>
                <w:szCs w:val="24"/>
              </w:rPr>
            </w:pPr>
            <w:r w:rsidRPr="00500F2A">
              <w:rPr>
                <w:rFonts w:ascii="Times New Roman" w:eastAsiaTheme="minorHAnsi" w:hAnsi="Times New Roman"/>
                <w:sz w:val="18"/>
                <w:szCs w:val="18"/>
              </w:rPr>
              <w:t>34</w:t>
            </w:r>
          </w:p>
        </w:tc>
        <w:tc>
          <w:tcPr>
            <w:tcW w:w="81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480</w:t>
            </w:r>
          </w:p>
        </w:tc>
        <w:tc>
          <w:tcPr>
            <w:tcW w:w="745"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4"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510</w:t>
            </w:r>
          </w:p>
        </w:tc>
        <w:tc>
          <w:tcPr>
            <w:tcW w:w="811" w:type="dxa"/>
            <w:tcBorders>
              <w:top w:val="single" w:sz="4" w:space="0" w:color="000000"/>
              <w:left w:val="single" w:sz="4" w:space="0" w:color="000000"/>
              <w:bottom w:val="single" w:sz="4" w:space="0" w:color="000000"/>
              <w:right w:val="single" w:sz="11" w:space="0" w:color="000000"/>
            </w:tcBorders>
          </w:tcPr>
          <w:p w:rsidR="00500F2A" w:rsidRPr="00500F2A" w:rsidRDefault="00500F2A" w:rsidP="00500F2A">
            <w:pPr>
              <w:kinsoku w:val="0"/>
              <w:overflowPunct w:val="0"/>
              <w:autoSpaceDE w:val="0"/>
              <w:autoSpaceDN w:val="0"/>
              <w:adjustRightInd w:val="0"/>
              <w:spacing w:before="24" w:after="0" w:line="240" w:lineRule="auto"/>
              <w:ind w:right="89"/>
              <w:jc w:val="right"/>
              <w:rPr>
                <w:rFonts w:ascii="Times New Roman" w:eastAsiaTheme="minorHAnsi" w:hAnsi="Times New Roman"/>
                <w:sz w:val="24"/>
                <w:szCs w:val="24"/>
              </w:rPr>
            </w:pPr>
            <w:r w:rsidRPr="00500F2A">
              <w:rPr>
                <w:rFonts w:ascii="Times New Roman" w:eastAsiaTheme="minorHAnsi" w:hAnsi="Times New Roman"/>
                <w:sz w:val="18"/>
                <w:szCs w:val="18"/>
              </w:rPr>
              <w:t>510</w:t>
            </w:r>
          </w:p>
        </w:tc>
      </w:tr>
      <w:tr w:rsidR="00500F2A" w:rsidRPr="00500F2A" w:rsidTr="00500F2A">
        <w:trPr>
          <w:trHeight w:hRule="exact" w:val="276"/>
        </w:trPr>
        <w:tc>
          <w:tcPr>
            <w:tcW w:w="799" w:type="dxa"/>
            <w:tcBorders>
              <w:top w:val="single" w:sz="4" w:space="0" w:color="000000"/>
              <w:left w:val="single" w:sz="11"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5" w:after="0" w:line="240" w:lineRule="auto"/>
              <w:ind w:left="93"/>
              <w:rPr>
                <w:rFonts w:ascii="Times New Roman" w:eastAsiaTheme="minorHAnsi" w:hAnsi="Times New Roman"/>
                <w:sz w:val="24"/>
                <w:szCs w:val="24"/>
              </w:rPr>
            </w:pPr>
            <w:r w:rsidRPr="00500F2A">
              <w:rPr>
                <w:rFonts w:ascii="Times New Roman" w:eastAsiaTheme="minorHAnsi" w:hAnsi="Times New Roman"/>
                <w:sz w:val="18"/>
                <w:szCs w:val="18"/>
              </w:rPr>
              <w:t>51 A</w:t>
            </w:r>
          </w:p>
        </w:tc>
        <w:tc>
          <w:tcPr>
            <w:tcW w:w="62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55" w:after="0" w:line="240" w:lineRule="auto"/>
              <w:ind w:right="97"/>
              <w:jc w:val="right"/>
              <w:rPr>
                <w:rFonts w:ascii="Times New Roman" w:eastAsiaTheme="minorHAnsi" w:hAnsi="Times New Roman"/>
                <w:sz w:val="24"/>
                <w:szCs w:val="24"/>
              </w:rPr>
            </w:pPr>
            <w:r w:rsidRPr="00500F2A">
              <w:rPr>
                <w:rFonts w:ascii="Times New Roman" w:eastAsiaTheme="minorHAnsi" w:hAnsi="Times New Roman"/>
                <w:sz w:val="18"/>
                <w:szCs w:val="18"/>
              </w:rPr>
              <w:t>2,2</w:t>
            </w:r>
          </w:p>
        </w:tc>
        <w:tc>
          <w:tcPr>
            <w:tcW w:w="197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after="0" w:line="202" w:lineRule="exact"/>
              <w:ind w:left="739"/>
              <w:rPr>
                <w:rFonts w:ascii="Times New Roman" w:eastAsiaTheme="minorHAnsi" w:hAnsi="Times New Roman"/>
                <w:sz w:val="24"/>
                <w:szCs w:val="24"/>
              </w:rPr>
            </w:pPr>
            <w:r w:rsidRPr="00500F2A">
              <w:rPr>
                <w:rFonts w:ascii="Times New Roman" w:eastAsiaTheme="minorHAnsi" w:hAnsi="Times New Roman"/>
                <w:sz w:val="18"/>
                <w:szCs w:val="18"/>
              </w:rPr>
              <w:t>T. rase</w:t>
            </w:r>
          </w:p>
        </w:tc>
        <w:tc>
          <w:tcPr>
            <w:tcW w:w="49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left="153"/>
              <w:rPr>
                <w:rFonts w:ascii="Times New Roman" w:eastAsiaTheme="minorHAnsi" w:hAnsi="Times New Roman"/>
                <w:sz w:val="24"/>
                <w:szCs w:val="24"/>
              </w:rPr>
            </w:pPr>
            <w:r w:rsidRPr="00500F2A">
              <w:rPr>
                <w:rFonts w:ascii="Times New Roman" w:eastAsiaTheme="minorHAnsi" w:hAnsi="Times New Roman"/>
                <w:sz w:val="18"/>
                <w:szCs w:val="18"/>
              </w:rPr>
              <w:t>0,6</w:t>
            </w:r>
          </w:p>
        </w:tc>
        <w:tc>
          <w:tcPr>
            <w:tcW w:w="48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right="101"/>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532"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right="102"/>
              <w:jc w:val="right"/>
              <w:rPr>
                <w:rFonts w:ascii="Times New Roman" w:eastAsiaTheme="minorHAnsi" w:hAnsi="Times New Roman"/>
                <w:sz w:val="24"/>
                <w:szCs w:val="24"/>
              </w:rPr>
            </w:pPr>
            <w:r w:rsidRPr="00500F2A">
              <w:rPr>
                <w:rFonts w:ascii="Times New Roman" w:eastAsiaTheme="minorHAnsi" w:hAnsi="Times New Roman"/>
                <w:sz w:val="18"/>
                <w:szCs w:val="18"/>
              </w:rPr>
              <w:t>1</w:t>
            </w:r>
          </w:p>
        </w:tc>
        <w:tc>
          <w:tcPr>
            <w:tcW w:w="85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sz w:val="18"/>
                <w:szCs w:val="18"/>
              </w:rPr>
              <w:t>2,7</w:t>
            </w:r>
          </w:p>
        </w:tc>
        <w:tc>
          <w:tcPr>
            <w:tcW w:w="52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left="237"/>
              <w:rPr>
                <w:rFonts w:ascii="Times New Roman" w:eastAsiaTheme="minorHAnsi" w:hAnsi="Times New Roman"/>
                <w:sz w:val="24"/>
                <w:szCs w:val="24"/>
              </w:rPr>
            </w:pPr>
            <w:r w:rsidRPr="00500F2A">
              <w:rPr>
                <w:rFonts w:ascii="Times New Roman" w:eastAsiaTheme="minorHAnsi" w:hAnsi="Times New Roman"/>
                <w:sz w:val="18"/>
                <w:szCs w:val="18"/>
              </w:rPr>
              <w:t>26</w:t>
            </w:r>
          </w:p>
        </w:tc>
        <w:tc>
          <w:tcPr>
            <w:tcW w:w="818"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656</w:t>
            </w:r>
          </w:p>
        </w:tc>
        <w:tc>
          <w:tcPr>
            <w:tcW w:w="745" w:type="dxa"/>
            <w:tcBorders>
              <w:top w:val="single" w:sz="4" w:space="0" w:color="000000"/>
              <w:left w:val="single" w:sz="4" w:space="0" w:color="000000"/>
              <w:bottom w:val="single" w:sz="4" w:space="0" w:color="000000"/>
              <w:right w:val="single" w:sz="4" w:space="0" w:color="000000"/>
            </w:tcBorders>
          </w:tcPr>
          <w:p w:rsidR="00500F2A" w:rsidRPr="00500F2A" w:rsidRDefault="00500F2A" w:rsidP="00500F2A">
            <w:pPr>
              <w:kinsoku w:val="0"/>
              <w:overflowPunct w:val="0"/>
              <w:autoSpaceDE w:val="0"/>
              <w:autoSpaceDN w:val="0"/>
              <w:adjustRightInd w:val="0"/>
              <w:spacing w:before="26" w:after="0" w:line="240" w:lineRule="auto"/>
              <w:ind w:right="96"/>
              <w:jc w:val="right"/>
              <w:rPr>
                <w:rFonts w:ascii="Times New Roman" w:eastAsiaTheme="minorHAnsi" w:hAnsi="Times New Roman"/>
                <w:sz w:val="24"/>
                <w:szCs w:val="24"/>
              </w:rPr>
            </w:pPr>
            <w:r w:rsidRPr="00500F2A">
              <w:rPr>
                <w:rFonts w:ascii="Times New Roman" w:eastAsiaTheme="minorHAnsi" w:hAnsi="Times New Roman"/>
                <w:sz w:val="18"/>
                <w:szCs w:val="18"/>
              </w:rPr>
              <w:t>711</w:t>
            </w:r>
          </w:p>
        </w:tc>
        <w:tc>
          <w:tcPr>
            <w:tcW w:w="811" w:type="dxa"/>
            <w:tcBorders>
              <w:top w:val="single" w:sz="4" w:space="0" w:color="000000"/>
              <w:left w:val="single" w:sz="4" w:space="0" w:color="000000"/>
              <w:bottom w:val="single" w:sz="4" w:space="0" w:color="000000"/>
              <w:right w:val="single" w:sz="11" w:space="0" w:color="000000"/>
            </w:tcBorders>
          </w:tcPr>
          <w:p w:rsidR="00500F2A" w:rsidRPr="00500F2A" w:rsidRDefault="00500F2A" w:rsidP="00500F2A">
            <w:pPr>
              <w:kinsoku w:val="0"/>
              <w:overflowPunct w:val="0"/>
              <w:autoSpaceDE w:val="0"/>
              <w:autoSpaceDN w:val="0"/>
              <w:adjustRightInd w:val="0"/>
              <w:spacing w:before="26" w:after="0" w:line="240" w:lineRule="auto"/>
              <w:ind w:right="89"/>
              <w:jc w:val="right"/>
              <w:rPr>
                <w:rFonts w:ascii="Times New Roman" w:eastAsiaTheme="minorHAnsi" w:hAnsi="Times New Roman"/>
                <w:sz w:val="24"/>
                <w:szCs w:val="24"/>
              </w:rPr>
            </w:pPr>
            <w:r w:rsidRPr="00500F2A">
              <w:rPr>
                <w:rFonts w:ascii="Times New Roman" w:eastAsiaTheme="minorHAnsi" w:hAnsi="Times New Roman"/>
                <w:sz w:val="18"/>
                <w:szCs w:val="18"/>
              </w:rPr>
              <w:t>711</w:t>
            </w:r>
          </w:p>
        </w:tc>
      </w:tr>
      <w:tr w:rsidR="00500F2A" w:rsidRPr="00500F2A" w:rsidTr="00500F2A">
        <w:trPr>
          <w:trHeight w:hRule="exact" w:val="283"/>
        </w:trPr>
        <w:tc>
          <w:tcPr>
            <w:tcW w:w="799" w:type="dxa"/>
            <w:tcBorders>
              <w:top w:val="single" w:sz="4" w:space="0" w:color="000000"/>
              <w:left w:val="single" w:sz="11"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left="38"/>
              <w:rPr>
                <w:rFonts w:ascii="Times New Roman" w:eastAsiaTheme="minorHAnsi" w:hAnsi="Times New Roman"/>
                <w:sz w:val="24"/>
                <w:szCs w:val="24"/>
              </w:rPr>
            </w:pPr>
            <w:r w:rsidRPr="00500F2A">
              <w:rPr>
                <w:rFonts w:ascii="Times New Roman" w:eastAsiaTheme="minorHAnsi" w:hAnsi="Times New Roman"/>
                <w:b/>
                <w:bCs/>
                <w:sz w:val="18"/>
                <w:szCs w:val="18"/>
              </w:rPr>
              <w:t>TOTAL</w:t>
            </w:r>
          </w:p>
        </w:tc>
        <w:tc>
          <w:tcPr>
            <w:tcW w:w="622"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right="143"/>
              <w:jc w:val="right"/>
              <w:rPr>
                <w:rFonts w:ascii="Times New Roman" w:eastAsiaTheme="minorHAnsi" w:hAnsi="Times New Roman"/>
                <w:sz w:val="24"/>
                <w:szCs w:val="24"/>
              </w:rPr>
            </w:pPr>
            <w:r w:rsidRPr="00500F2A">
              <w:rPr>
                <w:rFonts w:ascii="Times New Roman" w:eastAsiaTheme="minorHAnsi" w:hAnsi="Times New Roman"/>
                <w:b/>
                <w:bCs/>
                <w:sz w:val="18"/>
                <w:szCs w:val="18"/>
              </w:rPr>
              <w:t>42,9</w:t>
            </w:r>
          </w:p>
        </w:tc>
        <w:tc>
          <w:tcPr>
            <w:tcW w:w="1978"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right="4"/>
              <w:jc w:val="center"/>
              <w:rPr>
                <w:rFonts w:ascii="Times New Roman" w:eastAsiaTheme="minorHAnsi" w:hAnsi="Times New Roman"/>
                <w:sz w:val="24"/>
                <w:szCs w:val="24"/>
              </w:rPr>
            </w:pPr>
            <w:r w:rsidRPr="00500F2A">
              <w:rPr>
                <w:rFonts w:ascii="Times New Roman" w:eastAsiaTheme="minorHAnsi" w:hAnsi="Times New Roman"/>
                <w:b/>
                <w:bCs/>
                <w:w w:val="99"/>
                <w:sz w:val="18"/>
                <w:szCs w:val="18"/>
              </w:rPr>
              <w:t>-</w:t>
            </w:r>
          </w:p>
        </w:tc>
        <w:tc>
          <w:tcPr>
            <w:tcW w:w="492"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left="211"/>
              <w:rPr>
                <w:rFonts w:ascii="Times New Roman" w:eastAsiaTheme="minorHAnsi" w:hAnsi="Times New Roman"/>
                <w:sz w:val="24"/>
                <w:szCs w:val="24"/>
              </w:rPr>
            </w:pPr>
            <w:r w:rsidRPr="00500F2A">
              <w:rPr>
                <w:rFonts w:ascii="Times New Roman" w:eastAsiaTheme="minorHAnsi" w:hAnsi="Times New Roman"/>
                <w:b/>
                <w:bCs/>
                <w:w w:val="99"/>
                <w:sz w:val="18"/>
                <w:szCs w:val="18"/>
              </w:rPr>
              <w:t>-</w:t>
            </w:r>
          </w:p>
        </w:tc>
        <w:tc>
          <w:tcPr>
            <w:tcW w:w="488"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left="4"/>
              <w:jc w:val="center"/>
              <w:rPr>
                <w:rFonts w:ascii="Times New Roman" w:eastAsiaTheme="minorHAnsi" w:hAnsi="Times New Roman"/>
                <w:sz w:val="24"/>
                <w:szCs w:val="24"/>
              </w:rPr>
            </w:pPr>
            <w:r w:rsidRPr="00500F2A">
              <w:rPr>
                <w:rFonts w:ascii="Times New Roman" w:eastAsiaTheme="minorHAnsi" w:hAnsi="Times New Roman"/>
                <w:b/>
                <w:bCs/>
                <w:w w:val="99"/>
                <w:sz w:val="18"/>
                <w:szCs w:val="18"/>
              </w:rPr>
              <w:t>-</w:t>
            </w:r>
          </w:p>
        </w:tc>
        <w:tc>
          <w:tcPr>
            <w:tcW w:w="532"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500F2A">
              <w:rPr>
                <w:rFonts w:ascii="Times New Roman" w:eastAsiaTheme="minorHAnsi" w:hAnsi="Times New Roman"/>
                <w:b/>
                <w:bCs/>
                <w:w w:val="99"/>
                <w:sz w:val="18"/>
                <w:szCs w:val="18"/>
              </w:rPr>
              <w:t>-</w:t>
            </w:r>
          </w:p>
        </w:tc>
        <w:tc>
          <w:tcPr>
            <w:tcW w:w="858"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right="100"/>
              <w:jc w:val="right"/>
              <w:rPr>
                <w:rFonts w:ascii="Times New Roman" w:eastAsiaTheme="minorHAnsi" w:hAnsi="Times New Roman"/>
                <w:sz w:val="24"/>
                <w:szCs w:val="24"/>
              </w:rPr>
            </w:pPr>
            <w:r w:rsidRPr="00500F2A">
              <w:rPr>
                <w:rFonts w:ascii="Times New Roman" w:eastAsiaTheme="minorHAnsi" w:hAnsi="Times New Roman"/>
                <w:b/>
                <w:bCs/>
                <w:sz w:val="18"/>
                <w:szCs w:val="18"/>
              </w:rPr>
              <w:t>22,8</w:t>
            </w:r>
          </w:p>
        </w:tc>
        <w:tc>
          <w:tcPr>
            <w:tcW w:w="528"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left="230"/>
              <w:rPr>
                <w:rFonts w:ascii="Times New Roman" w:eastAsiaTheme="minorHAnsi" w:hAnsi="Times New Roman"/>
                <w:sz w:val="24"/>
                <w:szCs w:val="24"/>
              </w:rPr>
            </w:pPr>
            <w:r w:rsidRPr="00500F2A">
              <w:rPr>
                <w:rFonts w:ascii="Times New Roman" w:eastAsiaTheme="minorHAnsi" w:hAnsi="Times New Roman"/>
                <w:b/>
                <w:bCs/>
                <w:w w:val="99"/>
                <w:sz w:val="18"/>
                <w:szCs w:val="18"/>
              </w:rPr>
              <w:t>-</w:t>
            </w:r>
          </w:p>
        </w:tc>
        <w:tc>
          <w:tcPr>
            <w:tcW w:w="818"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right="97"/>
              <w:jc w:val="right"/>
              <w:rPr>
                <w:rFonts w:ascii="Times New Roman" w:eastAsiaTheme="minorHAnsi" w:hAnsi="Times New Roman"/>
                <w:sz w:val="24"/>
                <w:szCs w:val="24"/>
              </w:rPr>
            </w:pPr>
            <w:r w:rsidRPr="00500F2A">
              <w:rPr>
                <w:rFonts w:ascii="Times New Roman" w:eastAsiaTheme="minorHAnsi" w:hAnsi="Times New Roman"/>
                <w:b/>
                <w:bCs/>
                <w:sz w:val="18"/>
                <w:szCs w:val="18"/>
              </w:rPr>
              <w:t>7207</w:t>
            </w:r>
          </w:p>
        </w:tc>
        <w:tc>
          <w:tcPr>
            <w:tcW w:w="745" w:type="dxa"/>
            <w:tcBorders>
              <w:top w:val="single" w:sz="4" w:space="0" w:color="000000"/>
              <w:left w:val="single" w:sz="4" w:space="0" w:color="000000"/>
              <w:bottom w:val="single" w:sz="11" w:space="0" w:color="000000"/>
              <w:right w:val="single" w:sz="4" w:space="0" w:color="000000"/>
            </w:tcBorders>
          </w:tcPr>
          <w:p w:rsidR="00500F2A" w:rsidRPr="00500F2A" w:rsidRDefault="00500F2A" w:rsidP="00500F2A">
            <w:pPr>
              <w:kinsoku w:val="0"/>
              <w:overflowPunct w:val="0"/>
              <w:autoSpaceDE w:val="0"/>
              <w:autoSpaceDN w:val="0"/>
              <w:adjustRightInd w:val="0"/>
              <w:spacing w:before="28" w:after="0" w:line="240" w:lineRule="auto"/>
              <w:ind w:right="98"/>
              <w:jc w:val="right"/>
              <w:rPr>
                <w:rFonts w:ascii="Times New Roman" w:eastAsiaTheme="minorHAnsi" w:hAnsi="Times New Roman"/>
                <w:sz w:val="24"/>
                <w:szCs w:val="24"/>
              </w:rPr>
            </w:pPr>
            <w:r w:rsidRPr="00500F2A">
              <w:rPr>
                <w:rFonts w:ascii="Times New Roman" w:eastAsiaTheme="minorHAnsi" w:hAnsi="Times New Roman"/>
                <w:b/>
                <w:bCs/>
                <w:sz w:val="18"/>
                <w:szCs w:val="18"/>
              </w:rPr>
              <w:t>7667</w:t>
            </w:r>
          </w:p>
        </w:tc>
        <w:tc>
          <w:tcPr>
            <w:tcW w:w="811" w:type="dxa"/>
            <w:tcBorders>
              <w:top w:val="single" w:sz="4" w:space="0" w:color="000000"/>
              <w:left w:val="single" w:sz="4" w:space="0" w:color="000000"/>
              <w:bottom w:val="single" w:sz="11" w:space="0" w:color="000000"/>
              <w:right w:val="single" w:sz="11" w:space="0" w:color="000000"/>
            </w:tcBorders>
          </w:tcPr>
          <w:p w:rsidR="00500F2A" w:rsidRPr="00500F2A" w:rsidRDefault="00500F2A" w:rsidP="00500F2A">
            <w:pPr>
              <w:kinsoku w:val="0"/>
              <w:overflowPunct w:val="0"/>
              <w:autoSpaceDE w:val="0"/>
              <w:autoSpaceDN w:val="0"/>
              <w:adjustRightInd w:val="0"/>
              <w:spacing w:before="28" w:after="0" w:line="240" w:lineRule="auto"/>
              <w:ind w:right="90"/>
              <w:jc w:val="right"/>
              <w:rPr>
                <w:rFonts w:ascii="Times New Roman" w:eastAsiaTheme="minorHAnsi" w:hAnsi="Times New Roman"/>
                <w:sz w:val="24"/>
                <w:szCs w:val="24"/>
              </w:rPr>
            </w:pPr>
            <w:r w:rsidRPr="00500F2A">
              <w:rPr>
                <w:rFonts w:ascii="Times New Roman" w:eastAsiaTheme="minorHAnsi" w:hAnsi="Times New Roman"/>
                <w:b/>
                <w:bCs/>
                <w:sz w:val="18"/>
                <w:szCs w:val="18"/>
              </w:rPr>
              <w:t>5500</w:t>
            </w:r>
          </w:p>
        </w:tc>
      </w:tr>
    </w:tbl>
    <w:p w:rsidR="00500F2A" w:rsidRDefault="00500F2A"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002271D4">
        <w:rPr>
          <w:rFonts w:ascii="Times New Roman" w:hAnsi="Times New Roman"/>
          <w:sz w:val="24"/>
          <w:szCs w:val="24"/>
          <w:lang w:val="ro-RO"/>
        </w:rPr>
        <w:t>-</w:t>
      </w:r>
      <w:r w:rsidR="00CD4549">
        <w:rPr>
          <w:rFonts w:ascii="Times New Roman" w:hAnsi="Times New Roman"/>
          <w:sz w:val="24"/>
          <w:szCs w:val="24"/>
          <w:lang w:val="ro-RO"/>
        </w:rPr>
        <w:t xml:space="preserve">3,1 </w:t>
      </w:r>
      <w:r w:rsidRPr="007636CE">
        <w:rPr>
          <w:rFonts w:ascii="Times New Roman" w:hAnsi="Times New Roman"/>
          <w:sz w:val="24"/>
          <w:szCs w:val="24"/>
          <w:lang w:val="ro-RO"/>
        </w:rPr>
        <w:t>ha/</w:t>
      </w:r>
      <w:r w:rsidR="000730CD">
        <w:rPr>
          <w:rFonts w:ascii="Times New Roman" w:hAnsi="Times New Roman"/>
          <w:sz w:val="24"/>
          <w:szCs w:val="24"/>
          <w:lang w:val="ro-RO"/>
        </w:rPr>
        <w:t>deceniu</w:t>
      </w:r>
      <w:r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CD4549">
        <w:rPr>
          <w:rFonts w:ascii="Times New Roman" w:hAnsi="Times New Roman"/>
          <w:sz w:val="24"/>
          <w:szCs w:val="24"/>
          <w:lang w:val="ro-RO"/>
        </w:rPr>
        <w:t>3,1</w:t>
      </w:r>
      <w:r w:rsidR="002271D4">
        <w:rPr>
          <w:rFonts w:ascii="Times New Roman" w:hAnsi="Times New Roman"/>
          <w:sz w:val="24"/>
          <w:szCs w:val="24"/>
          <w:lang w:val="ro-RO"/>
        </w:rPr>
        <w:t xml:space="preserve"> </w:t>
      </w:r>
      <w:r w:rsidR="00242BAB">
        <w:rPr>
          <w:rFonts w:ascii="Times New Roman" w:hAnsi="Times New Roman"/>
          <w:sz w:val="24"/>
          <w:szCs w:val="24"/>
          <w:lang w:val="ro-RO"/>
        </w:rPr>
        <w:t>ha</w:t>
      </w:r>
      <w:r w:rsidRPr="007636CE">
        <w:rPr>
          <w:rFonts w:ascii="Times New Roman" w:hAnsi="Times New Roman"/>
          <w:sz w:val="24"/>
          <w:szCs w:val="24"/>
          <w:lang w:val="ro-RO"/>
        </w:rPr>
        <w:t>/</w:t>
      </w:r>
      <w:r w:rsidR="000730CD">
        <w:rPr>
          <w:rFonts w:ascii="Times New Roman" w:hAnsi="Times New Roman"/>
          <w:sz w:val="24"/>
          <w:szCs w:val="24"/>
          <w:lang w:val="ro-RO"/>
        </w:rPr>
        <w:t>deceniu</w:t>
      </w:r>
      <w:r w:rsidR="007F172E">
        <w:rPr>
          <w:rFonts w:ascii="Times New Roman" w:hAnsi="Times New Roman"/>
          <w:sz w:val="24"/>
          <w:szCs w:val="24"/>
          <w:lang w:val="ro-RO"/>
        </w:rPr>
        <w:t xml:space="preserve"> cu volum de </w:t>
      </w:r>
      <w:r w:rsidR="00CD4549">
        <w:rPr>
          <w:rFonts w:ascii="Times New Roman" w:hAnsi="Times New Roman"/>
          <w:sz w:val="24"/>
          <w:szCs w:val="24"/>
          <w:lang w:val="ro-RO"/>
        </w:rPr>
        <w:t>-</w:t>
      </w:r>
      <w:r w:rsidR="007F172E">
        <w:rPr>
          <w:rFonts w:ascii="Times New Roman" w:hAnsi="Times New Roman"/>
          <w:sz w:val="24"/>
          <w:szCs w:val="24"/>
          <w:lang w:val="ro-RO"/>
        </w:rPr>
        <w:t xml:space="preserve"> mc/</w:t>
      </w:r>
      <w:r w:rsidR="000730CD">
        <w:rPr>
          <w:rFonts w:ascii="Times New Roman" w:hAnsi="Times New Roman"/>
          <w:sz w:val="24"/>
          <w:szCs w:val="24"/>
          <w:lang w:val="ro-RO"/>
        </w:rPr>
        <w:t>dec.</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00CD4549">
        <w:rPr>
          <w:rFonts w:ascii="Times New Roman" w:hAnsi="Times New Roman"/>
          <w:sz w:val="24"/>
          <w:szCs w:val="24"/>
          <w:lang w:val="ro-RO"/>
        </w:rPr>
        <w:t>13,7</w:t>
      </w:r>
      <w:r w:rsidR="000730CD">
        <w:rPr>
          <w:rFonts w:ascii="Times New Roman" w:hAnsi="Times New Roman"/>
          <w:sz w:val="24"/>
          <w:szCs w:val="24"/>
          <w:lang w:val="ro-RO"/>
        </w:rPr>
        <w:t xml:space="preserve"> </w:t>
      </w:r>
      <w:r w:rsidRPr="007636CE">
        <w:rPr>
          <w:rFonts w:ascii="Times New Roman" w:hAnsi="Times New Roman"/>
          <w:sz w:val="24"/>
          <w:szCs w:val="24"/>
          <w:lang w:val="ro-RO"/>
        </w:rPr>
        <w:t>ha/</w:t>
      </w:r>
      <w:r w:rsidR="000730CD">
        <w:rPr>
          <w:rFonts w:ascii="Times New Roman" w:hAnsi="Times New Roman"/>
          <w:sz w:val="24"/>
          <w:szCs w:val="24"/>
          <w:lang w:val="ro-RO"/>
        </w:rPr>
        <w:t>deceniu</w:t>
      </w:r>
      <w:r w:rsidR="00B16CB7" w:rsidRPr="007636CE">
        <w:rPr>
          <w:rFonts w:ascii="Times New Roman" w:hAnsi="Times New Roman"/>
          <w:sz w:val="24"/>
          <w:szCs w:val="24"/>
          <w:lang w:val="ro-RO"/>
        </w:rPr>
        <w:t xml:space="preserve"> cu un volum de extras de </w:t>
      </w:r>
      <w:r w:rsidR="00CD4549">
        <w:rPr>
          <w:rFonts w:ascii="Times New Roman" w:hAnsi="Times New Roman"/>
          <w:sz w:val="24"/>
          <w:szCs w:val="24"/>
          <w:lang w:val="ro-RO"/>
        </w:rPr>
        <w:t>634</w:t>
      </w:r>
      <w:r w:rsidR="002271D4">
        <w:rPr>
          <w:rFonts w:ascii="Times New Roman" w:hAnsi="Times New Roman"/>
          <w:sz w:val="24"/>
          <w:szCs w:val="24"/>
          <w:lang w:val="ro-RO"/>
        </w:rPr>
        <w:t xml:space="preserve"> </w:t>
      </w:r>
      <w:r w:rsidR="00B16CB7" w:rsidRPr="007636CE">
        <w:rPr>
          <w:rFonts w:ascii="Times New Roman" w:hAnsi="Times New Roman"/>
          <w:sz w:val="24"/>
          <w:szCs w:val="24"/>
          <w:lang w:val="ro-RO"/>
        </w:rPr>
        <w:t>mc/</w:t>
      </w:r>
      <w:r w:rsidR="000730CD">
        <w:rPr>
          <w:rFonts w:ascii="Times New Roman" w:hAnsi="Times New Roman"/>
          <w:sz w:val="24"/>
          <w:szCs w:val="24"/>
          <w:lang w:val="ro-RO"/>
        </w:rPr>
        <w:t>deceniu</w:t>
      </w:r>
      <w:r w:rsidR="00B16CB7" w:rsidRPr="007636CE">
        <w:rPr>
          <w:rFonts w:ascii="Times New Roman" w:hAnsi="Times New Roman"/>
          <w:sz w:val="24"/>
          <w:szCs w:val="24"/>
          <w:lang w:val="ro-RO"/>
        </w:rPr>
        <w:t>;</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CD4549">
        <w:rPr>
          <w:rFonts w:ascii="Times New Roman" w:hAnsi="Times New Roman"/>
          <w:sz w:val="24"/>
          <w:szCs w:val="24"/>
          <w:lang w:val="ro-RO"/>
        </w:rPr>
        <w:t>34,0</w:t>
      </w:r>
      <w:r w:rsidR="002271D4">
        <w:rPr>
          <w:rFonts w:ascii="Times New Roman" w:hAnsi="Times New Roman"/>
          <w:sz w:val="24"/>
          <w:szCs w:val="24"/>
          <w:lang w:val="ro-RO"/>
        </w:rPr>
        <w:t xml:space="preserve"> </w:t>
      </w:r>
      <w:r w:rsidRPr="007636CE">
        <w:rPr>
          <w:rFonts w:ascii="Times New Roman" w:hAnsi="Times New Roman"/>
          <w:sz w:val="24"/>
          <w:szCs w:val="24"/>
          <w:lang w:val="ro-RO"/>
        </w:rPr>
        <w:t>ha/</w:t>
      </w:r>
      <w:r w:rsidR="000730CD">
        <w:rPr>
          <w:rFonts w:ascii="Times New Roman" w:hAnsi="Times New Roman"/>
          <w:sz w:val="24"/>
          <w:szCs w:val="24"/>
          <w:lang w:val="ro-RO"/>
        </w:rPr>
        <w:t>deceniu</w:t>
      </w:r>
      <w:r w:rsidRPr="007636CE">
        <w:rPr>
          <w:rFonts w:ascii="Times New Roman" w:hAnsi="Times New Roman"/>
          <w:sz w:val="24"/>
          <w:szCs w:val="24"/>
          <w:lang w:val="ro-RO"/>
        </w:rPr>
        <w:t xml:space="preserve"> de pe care se vor recolta </w:t>
      </w:r>
      <w:r w:rsidR="00CD4549">
        <w:rPr>
          <w:rFonts w:ascii="Times New Roman" w:hAnsi="Times New Roman"/>
          <w:sz w:val="24"/>
          <w:szCs w:val="24"/>
          <w:lang w:val="ro-RO"/>
        </w:rPr>
        <w:t>931</w:t>
      </w:r>
      <w:r w:rsidRPr="007636CE">
        <w:rPr>
          <w:rFonts w:ascii="Times New Roman" w:hAnsi="Times New Roman"/>
          <w:sz w:val="24"/>
          <w:szCs w:val="24"/>
          <w:lang w:val="ro-RO"/>
        </w:rPr>
        <w:t xml:space="preserve"> mc/</w:t>
      </w:r>
      <w:r w:rsidR="000730CD">
        <w:rPr>
          <w:rFonts w:ascii="Times New Roman" w:hAnsi="Times New Roman"/>
          <w:sz w:val="24"/>
          <w:szCs w:val="24"/>
          <w:lang w:val="ro-RO"/>
        </w:rPr>
        <w:t>deceniu</w:t>
      </w:r>
      <w:r w:rsidRPr="007636CE">
        <w:rPr>
          <w:rFonts w:ascii="Times New Roman" w:hAnsi="Times New Roman"/>
          <w:sz w:val="24"/>
          <w:szCs w:val="24"/>
          <w:lang w:val="ro-RO"/>
        </w:rPr>
        <w:t>.</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 xml:space="preserve">În total </w:t>
      </w:r>
      <w:r w:rsidR="00500F2A">
        <w:rPr>
          <w:rFonts w:ascii="Times New Roman" w:hAnsi="Times New Roman"/>
          <w:sz w:val="24"/>
          <w:szCs w:val="24"/>
          <w:lang w:val="ro-RO"/>
        </w:rPr>
        <w:t>se va împăduri 13,6 ha cu cca. 66,0 mii buc. puieți ș</w:t>
      </w:r>
      <w:r w:rsidR="005D2142">
        <w:rPr>
          <w:rFonts w:ascii="Times New Roman" w:hAnsi="Times New Roman"/>
          <w:sz w:val="24"/>
          <w:szCs w:val="24"/>
          <w:lang w:val="ro-RO"/>
        </w:rPr>
        <w:t xml:space="preserve">i </w:t>
      </w:r>
      <w:r w:rsidR="009F21BD">
        <w:rPr>
          <w:rFonts w:ascii="Times New Roman" w:hAnsi="Times New Roman"/>
          <w:sz w:val="24"/>
          <w:szCs w:val="24"/>
          <w:lang w:val="ro-RO"/>
        </w:rPr>
        <w:t>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500F2A">
        <w:rPr>
          <w:rFonts w:ascii="Times New Roman" w:hAnsi="Times New Roman"/>
          <w:b/>
          <w:i/>
          <w:lang w:val="ro-RO"/>
        </w:rPr>
        <w:t>7</w:t>
      </w:r>
      <w:r w:rsidRPr="004627B7">
        <w:rPr>
          <w:rFonts w:ascii="Times New Roman" w:hAnsi="Times New Roman"/>
          <w:b/>
          <w:i/>
          <w:lang w:val="ro-RO"/>
        </w:rPr>
        <w:t xml:space="preserve"> revizuirea lui urmând a se face în anul 202</w:t>
      </w:r>
      <w:r w:rsidR="00500F2A">
        <w:rPr>
          <w:rFonts w:ascii="Times New Roman" w:hAnsi="Times New Roman"/>
          <w:b/>
          <w:i/>
          <w:lang w:val="ro-RO"/>
        </w:rPr>
        <w:t>6</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500F2A" w:rsidRDefault="001E1FA2" w:rsidP="00500F2A">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ARII NATURALE PROTEJATEDE INTERES NAŢIONAL: </w:t>
      </w:r>
    </w:p>
    <w:p w:rsidR="00500F2A" w:rsidRPr="00500F2A" w:rsidRDefault="00500F2A" w:rsidP="00500F2A">
      <w:pPr>
        <w:numPr>
          <w:ilvl w:val="0"/>
          <w:numId w:val="20"/>
        </w:numPr>
        <w:spacing w:after="0" w:line="240" w:lineRule="auto"/>
        <w:ind w:left="540" w:firstLine="0"/>
        <w:jc w:val="both"/>
        <w:rPr>
          <w:rFonts w:ascii="Garamond" w:eastAsia="Times New Roman" w:hAnsi="Garamond"/>
          <w:sz w:val="28"/>
          <w:szCs w:val="28"/>
          <w:lang w:val="pt-BR" w:eastAsia="ro-RO"/>
        </w:rPr>
      </w:pPr>
      <w:r w:rsidRPr="00500F2A">
        <w:rPr>
          <w:rFonts w:ascii="Garamond" w:eastAsia="Times New Roman" w:hAnsi="Garamond"/>
          <w:b/>
          <w:sz w:val="28"/>
          <w:szCs w:val="28"/>
          <w:lang w:val="ro-RO" w:eastAsia="ro-RO"/>
        </w:rPr>
        <w:t xml:space="preserve">rezervaţia geologică de la Sâncrăieni – cu nr. crt.2459 din Anexa nr.1 din Legea nr.5/2000, cu o suprafaţă de 10,00 </w:t>
      </w:r>
      <w:r w:rsidRPr="00500F2A">
        <w:rPr>
          <w:rFonts w:ascii="Garamond" w:eastAsia="Times New Roman" w:hAnsi="Garamond"/>
          <w:sz w:val="28"/>
          <w:szCs w:val="28"/>
          <w:lang w:val="ro-RO" w:eastAsia="ro-RO"/>
        </w:rPr>
        <w:t>ha parţial pe u.a.-urile 47, 48;</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lastRenderedPageBreak/>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w:t>
      </w:r>
      <w:r w:rsidR="00500F2A" w:rsidRPr="00500F2A">
        <w:rPr>
          <w:rFonts w:ascii="Times New Roman" w:hAnsi="Times New Roman"/>
          <w:b/>
          <w:i/>
          <w:lang w:val="ro-RO"/>
        </w:rPr>
        <w:t>U.P. II GRUPA A II-a SÂNTIMBRU</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stabilirea unor ansamblu de măsuri silviculturale,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ii cu maximă eficen</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ă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-Principiul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-Principiul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-Principiul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Szvegtrzsbehzssal"/>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Szvegtrzsbehzssal"/>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transfrontieră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lastRenderedPageBreak/>
        <w:t xml:space="preserve">La implementarea obiectivelor incluse în </w:t>
      </w:r>
      <w:r w:rsidRPr="00D125CC">
        <w:rPr>
          <w:rFonts w:ascii="Times New Roman" w:hAnsi="Times New Roman"/>
          <w:bCs/>
          <w:iCs/>
          <w:lang w:val="ro-RO"/>
        </w:rPr>
        <w:t>“</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w:t>
      </w:r>
      <w:r w:rsidR="00500F2A" w:rsidRPr="00500F2A">
        <w:rPr>
          <w:rFonts w:ascii="Times New Roman" w:hAnsi="Times New Roman"/>
          <w:i/>
          <w:lang w:val="ro-RO"/>
        </w:rPr>
        <w:t>U.P. II GRUPA A II-a SÂNTIMBRU</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Măsuri propuse în cazul apariţiei unor calamităţi naturale (incendii de pădure şi păşuni, alunecările de teren, inundaţii, doborâturi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r w:rsidRPr="007636CE">
        <w:rPr>
          <w:rFonts w:ascii="Times New Roman" w:hAnsi="Times New Roman"/>
          <w:b/>
          <w:bCs/>
          <w:i/>
          <w:iCs/>
          <w:sz w:val="20"/>
          <w:szCs w:val="20"/>
          <w:lang w:val="ro-RO"/>
        </w:rPr>
        <w:t>Doborâturi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iii.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w:t>
      </w:r>
      <w:r w:rsidR="00500F2A" w:rsidRPr="00500F2A">
        <w:rPr>
          <w:rFonts w:ascii="Times New Roman" w:hAnsi="Times New Roman"/>
          <w:b/>
          <w:i/>
          <w:sz w:val="24"/>
          <w:szCs w:val="24"/>
          <w:lang w:val="ro-RO"/>
        </w:rPr>
        <w:t>U.P. II GRUPA A II-a SÂNTIMBRU</w:t>
      </w:r>
      <w:r w:rsidRPr="007636CE">
        <w:rPr>
          <w:rFonts w:ascii="Times New Roman" w:hAnsi="Times New Roman"/>
          <w:b/>
          <w:i/>
          <w:color w:val="000000"/>
          <w:lang w:val="ro-RO"/>
        </w:rPr>
        <w:t>”</w:t>
      </w:r>
      <w:r w:rsidRPr="007636CE">
        <w:rPr>
          <w:rFonts w:ascii="Times New Roman" w:hAnsi="Times New Roman"/>
          <w:sz w:val="24"/>
          <w:szCs w:val="24"/>
          <w:lang w:val="ro-RO"/>
        </w:rPr>
        <w:t xml:space="preserve"> pe raza administrativă a jud.Harghita</w:t>
      </w:r>
      <w:r w:rsidR="004B3BCF">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500F2A">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w:t>
      </w:r>
      <w:r w:rsidR="003C01D7">
        <w:rPr>
          <w:rFonts w:ascii="Times New Roman" w:hAnsi="Times New Roman"/>
          <w:b/>
          <w:i/>
          <w:color w:val="000000"/>
          <w:sz w:val="24"/>
          <w:szCs w:val="24"/>
          <w:lang w:val="ro-RO"/>
        </w:rPr>
        <w:t xml:space="preserve"> Forestier Proprietatea Privată</w:t>
      </w:r>
      <w:r w:rsidR="001421A1" w:rsidRPr="007636CE">
        <w:rPr>
          <w:rFonts w:ascii="Times New Roman" w:hAnsi="Times New Roman"/>
          <w:b/>
          <w:i/>
          <w:sz w:val="24"/>
          <w:szCs w:val="24"/>
          <w:lang w:val="ro-RO"/>
        </w:rPr>
        <w:t xml:space="preserve">, judeţul Harghita constituit în </w:t>
      </w:r>
      <w:r w:rsidR="00500F2A" w:rsidRPr="00500F2A">
        <w:rPr>
          <w:rFonts w:ascii="Times New Roman" w:hAnsi="Times New Roman"/>
          <w:b/>
          <w:i/>
          <w:sz w:val="24"/>
          <w:szCs w:val="24"/>
          <w:lang w:val="ro-RO"/>
        </w:rPr>
        <w:t>U.P. II GRUPA A II-a SÂNTIMBRU</w:t>
      </w:r>
      <w:r w:rsidR="001E1FA2" w:rsidRPr="007636CE">
        <w:rPr>
          <w:rFonts w:ascii="Times New Roman" w:hAnsi="Times New Roman"/>
          <w:b/>
          <w:i/>
          <w:color w:val="000000"/>
          <w:lang w:val="ro-RO"/>
        </w:rPr>
        <w:t>”</w:t>
      </w:r>
      <w:bookmarkStart w:id="5" w:name="bookmark13"/>
      <w:r w:rsidR="004B3BCF">
        <w:rPr>
          <w:rFonts w:ascii="Times New Roman" w:hAnsi="Times New Roman"/>
          <w:b/>
          <w:i/>
          <w:color w:val="000000"/>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5"/>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0"/>
          <w:szCs w:val="20"/>
          <w:lang w:val="ro-RO"/>
        </w:rPr>
      </w:pPr>
      <w:r w:rsidRPr="00AB4891">
        <w:rPr>
          <w:rFonts w:ascii="Times New Roman" w:hAnsi="Times New Roman"/>
          <w:sz w:val="20"/>
          <w:szCs w:val="20"/>
          <w:lang w:val="ro-RO"/>
        </w:rPr>
        <w:t>limitarea tăierilor de masă lemnoasă, astfel încât acestea să se încadreze strict în posibilitatea de creştere normală a pădurilor, stabilită prin amenajamentele silvic elaborat;</w:t>
      </w:r>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0"/>
          <w:szCs w:val="20"/>
          <w:lang w:val="ro-RO"/>
        </w:rPr>
      </w:pPr>
      <w:r w:rsidRPr="00AB4891">
        <w:rPr>
          <w:rFonts w:ascii="Times New Roman" w:hAnsi="Times New Roman"/>
          <w:sz w:val="20"/>
          <w:szCs w:val="20"/>
          <w:lang w:val="ro-RO"/>
        </w:rPr>
        <w:t>asigurarea permanenţei pădurilor şi a funcţiilor de protecţie şi producţie ale acestora;</w:t>
      </w:r>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0"/>
          <w:szCs w:val="20"/>
          <w:lang w:val="ro-RO"/>
        </w:rPr>
      </w:pPr>
      <w:r w:rsidRPr="00AB4891">
        <w:rPr>
          <w:rFonts w:ascii="Times New Roman" w:hAnsi="Times New Roman"/>
          <w:sz w:val="20"/>
          <w:szCs w:val="20"/>
          <w:lang w:val="ro-RO"/>
        </w:rPr>
        <w:lastRenderedPageBreak/>
        <w:t>aplicarea de tehnologii de recoltare şi colectare a lemnului, care să nu afecteze echilibrul ecologic;</w:t>
      </w:r>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0"/>
          <w:szCs w:val="20"/>
          <w:lang w:val="ro-RO"/>
        </w:rPr>
      </w:pPr>
      <w:r w:rsidRPr="00AB4891">
        <w:rPr>
          <w:rFonts w:ascii="Times New Roman" w:hAnsi="Times New Roman"/>
          <w:sz w:val="20"/>
          <w:szCs w:val="20"/>
          <w:lang w:val="ro-RO"/>
        </w:rPr>
        <w:t xml:space="preserve">prevenirea proceselor de degradare a pădurilor şi solurilor forestiere, care pot conduce la uscarea prematură a arborilor pe picior; </w:t>
      </w:r>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0"/>
          <w:szCs w:val="20"/>
          <w:lang w:val="ro-RO"/>
        </w:rPr>
      </w:pPr>
      <w:r w:rsidRPr="00AB4891">
        <w:rPr>
          <w:rFonts w:ascii="Times New Roman" w:hAnsi="Times New Roman"/>
          <w:sz w:val="20"/>
          <w:szCs w:val="20"/>
          <w:lang w:val="ro-RO"/>
        </w:rPr>
        <w:t xml:space="preserve">promovarea în cultură a speciilor autohtone valoroase, precum şi împădurirea tuturor suprafeţelor neregenerate din fondul forestier; </w:t>
      </w:r>
    </w:p>
    <w:p w:rsidR="001E1FA2" w:rsidRPr="00AB4891"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0"/>
          <w:szCs w:val="20"/>
          <w:lang w:val="ro-RO"/>
        </w:rPr>
      </w:pPr>
      <w:r w:rsidRPr="00AB4891">
        <w:rPr>
          <w:rFonts w:ascii="Times New Roman" w:hAnsi="Times New Roman"/>
          <w:sz w:val="20"/>
          <w:szCs w:val="20"/>
          <w:lang w:val="ro-RO"/>
        </w:rPr>
        <w:t xml:space="preserve">asigurarea protecţiei şi pazei pădurilor în vederea prevenirii şi combaterii bolilor şi </w:t>
      </w:r>
      <w:r w:rsidR="001421A1" w:rsidRPr="00AB4891">
        <w:rPr>
          <w:rFonts w:ascii="Times New Roman" w:hAnsi="Times New Roman"/>
          <w:sz w:val="20"/>
          <w:szCs w:val="20"/>
          <w:lang w:val="ro-RO"/>
        </w:rPr>
        <w:t>dăunătorilor</w:t>
      </w:r>
      <w:r w:rsidRPr="00AB4891">
        <w:rPr>
          <w:rFonts w:ascii="Times New Roman" w:hAnsi="Times New Roman"/>
          <w:sz w:val="20"/>
          <w:szCs w:val="20"/>
          <w:lang w:val="ro-RO"/>
        </w:rPr>
        <w:t xml:space="preserve">, incendiilor, distrugerilor şi </w:t>
      </w:r>
      <w:r w:rsidR="001421A1" w:rsidRPr="00AB4891">
        <w:rPr>
          <w:rFonts w:ascii="Times New Roman" w:hAnsi="Times New Roman"/>
          <w:sz w:val="20"/>
          <w:szCs w:val="20"/>
          <w:lang w:val="ro-RO"/>
        </w:rPr>
        <w:t>degradărilor</w:t>
      </w:r>
      <w:r w:rsidRPr="00AB4891">
        <w:rPr>
          <w:rFonts w:ascii="Times New Roman" w:hAnsi="Times New Roman"/>
          <w:sz w:val="20"/>
          <w:szCs w:val="20"/>
          <w:lang w:val="ro-RO"/>
        </w:rPr>
        <w:t>;</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realizarea unor lucrări de îngrijire şi conducere prin care să se menţină şi să se îmbunătăţească starea de sănătate, stabilitatea şi biodiversitatea naturală;</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 xml:space="preserve">un procent de min.20% din resturile de exploatare este necesar să rămână pe suprafaţa parchetului de exploatare; </w:t>
      </w:r>
    </w:p>
    <w:p w:rsidR="001E1FA2" w:rsidRPr="00AB4891" w:rsidRDefault="001E1FA2" w:rsidP="001E1FA2">
      <w:pPr>
        <w:pStyle w:val="Default"/>
        <w:numPr>
          <w:ilvl w:val="0"/>
          <w:numId w:val="7"/>
        </w:numPr>
        <w:spacing w:after="14"/>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 xml:space="preserve">planificarea tăierilor de regenerare în scopul realizării unui mozaic de habitate naturale aflate în diverse stadii de dezvoltare, urmărindu-se îndeosebi regenerarea lor naturală din sămânţă; </w:t>
      </w:r>
    </w:p>
    <w:p w:rsidR="001E1FA2" w:rsidRPr="00AB4891" w:rsidRDefault="001E1FA2" w:rsidP="001E1FA2">
      <w:pPr>
        <w:pStyle w:val="Default"/>
        <w:numPr>
          <w:ilvl w:val="0"/>
          <w:numId w:val="6"/>
        </w:numPr>
        <w:tabs>
          <w:tab w:val="clear" w:pos="720"/>
        </w:tabs>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 xml:space="preserve">menţinerea arborilor de pe marginea cursurilor de apă, care asigură umbră şi hrană, pentru speciile şi habitatele ocrotite legate de ecosistemele acvatice; </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AB4891" w:rsidRDefault="001E1FA2" w:rsidP="001E1FA2">
      <w:pPr>
        <w:pStyle w:val="Default"/>
        <w:numPr>
          <w:ilvl w:val="0"/>
          <w:numId w:val="6"/>
        </w:numPr>
        <w:tabs>
          <w:tab w:val="clear" w:pos="720"/>
        </w:tabs>
        <w:ind w:left="0" w:firstLine="0"/>
        <w:jc w:val="both"/>
        <w:rPr>
          <w:rFonts w:ascii="Times New Roman" w:hAnsi="Times New Roman" w:cs="Times New Roman"/>
          <w:color w:val="auto"/>
          <w:sz w:val="20"/>
          <w:szCs w:val="20"/>
          <w:lang w:val="ro-RO"/>
        </w:rPr>
      </w:pPr>
      <w:r w:rsidRPr="00AB4891">
        <w:rPr>
          <w:rFonts w:ascii="Times New Roman" w:hAnsi="Times New Roman" w:cs="Times New Roman"/>
          <w:color w:val="auto"/>
          <w:sz w:val="20"/>
          <w:szCs w:val="20"/>
          <w:lang w:val="ro-RO"/>
        </w:rPr>
        <w:t>Exploatările forestiere trebuie să se desfăşoare folosind tehnologii care au impact minim asupra habitatelor forestiere şi în special asupra celor de interes comunitar.</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0"/>
          <w:szCs w:val="20"/>
          <w:lang w:val="ro-RO"/>
        </w:rPr>
      </w:pPr>
      <w:r w:rsidRPr="00AB4891">
        <w:rPr>
          <w:rFonts w:ascii="Times New Roman" w:hAnsi="Times New Roman" w:cs="Times New Roman"/>
          <w:color w:val="0070C0"/>
          <w:sz w:val="20"/>
          <w:szCs w:val="20"/>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0"/>
          <w:szCs w:val="20"/>
          <w:lang w:val="ro-RO"/>
        </w:rPr>
      </w:pPr>
      <w:r w:rsidRPr="00AB4891">
        <w:rPr>
          <w:rFonts w:ascii="Times New Roman" w:hAnsi="Times New Roman" w:cs="Times New Roman"/>
          <w:color w:val="0070C0"/>
          <w:sz w:val="20"/>
          <w:szCs w:val="20"/>
          <w:lang w:val="ro-RO"/>
        </w:rPr>
        <w:t>se va evita efectuarea simultană a lucrărilor de exploatare forestieră pe suprafeţe învecinate, pentru a da posibilitatea existenţei unor zone de linişte pentru speciile protejate;</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0"/>
          <w:szCs w:val="20"/>
          <w:lang w:val="ro-RO"/>
        </w:rPr>
      </w:pPr>
      <w:r w:rsidRPr="00AB4891">
        <w:rPr>
          <w:rFonts w:ascii="Times New Roman" w:hAnsi="Times New Roman" w:cs="Times New Roman"/>
          <w:color w:val="0070C0"/>
          <w:sz w:val="20"/>
          <w:szCs w:val="20"/>
          <w:lang w:val="ro-RO"/>
        </w:rPr>
        <w:t>recoltarea masei lemnoase se va realiza evitându-se degradarea solului, precum şi rănirea arborilor rămaşi în suprafaţa exploatată, mai ales a celor limitrofi drumurilor de exploatare;</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0"/>
          <w:szCs w:val="20"/>
          <w:lang w:val="ro-RO"/>
        </w:rPr>
      </w:pPr>
      <w:r w:rsidRPr="00AB4891">
        <w:rPr>
          <w:rFonts w:ascii="Times New Roman" w:hAnsi="Times New Roman" w:cs="Times New Roman"/>
          <w:color w:val="0070C0"/>
          <w:sz w:val="20"/>
          <w:szCs w:val="20"/>
          <w:lang w:val="ro-RO"/>
        </w:rPr>
        <w:t>lucrările silvice se vor executa în perioade de timp cât mai scurte şi printr-o rotaţie ciclică în timp şi spaţiu, a zonelor cu grade diferite de intervenţie;</w:t>
      </w:r>
    </w:p>
    <w:p w:rsidR="001E1FA2" w:rsidRPr="00AB4891"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0"/>
          <w:szCs w:val="20"/>
          <w:lang w:val="ro-RO"/>
        </w:rPr>
      </w:pPr>
      <w:r w:rsidRPr="00AB4891">
        <w:rPr>
          <w:rFonts w:ascii="Times New Roman" w:hAnsi="Times New Roman" w:cs="Times New Roman"/>
          <w:color w:val="0070C0"/>
          <w:sz w:val="20"/>
          <w:szCs w:val="20"/>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Pr="00622762" w:rsidRDefault="006850DA" w:rsidP="00D00D05">
      <w:pPr>
        <w:pStyle w:val="BodyText2"/>
        <w:shd w:val="clear" w:color="auto" w:fill="auto"/>
        <w:spacing w:before="0" w:line="240" w:lineRule="auto"/>
        <w:ind w:left="40" w:firstLine="0"/>
        <w:rPr>
          <w:b/>
          <w:i/>
          <w:sz w:val="16"/>
          <w:szCs w:val="16"/>
          <w:lang w:val="ro-RO"/>
        </w:rPr>
      </w:pPr>
    </w:p>
    <w:p w:rsidR="00830843" w:rsidRPr="003C01D7" w:rsidRDefault="00830843" w:rsidP="00830843">
      <w:pPr>
        <w:pStyle w:val="BodyText2"/>
        <w:shd w:val="clear" w:color="auto" w:fill="auto"/>
        <w:spacing w:before="0" w:after="245" w:line="210" w:lineRule="exact"/>
        <w:ind w:left="40" w:firstLine="0"/>
        <w:rPr>
          <w:b/>
          <w:i/>
          <w:sz w:val="22"/>
          <w:szCs w:val="22"/>
          <w:lang w:val="ro-RO"/>
        </w:rPr>
      </w:pPr>
      <w:r w:rsidRPr="003C01D7">
        <w:rPr>
          <w:b/>
          <w:i/>
          <w:sz w:val="22"/>
          <w:szCs w:val="22"/>
          <w:lang w:val="ro-RO"/>
        </w:rPr>
        <w:t>Monitorizarea efectelor asupra mediului, în conformitate cu art. 27, din HG 1076/2004 :</w:t>
      </w:r>
    </w:p>
    <w:p w:rsidR="006850DA" w:rsidRPr="003C01D7" w:rsidRDefault="006850DA" w:rsidP="006850DA">
      <w:pPr>
        <w:pStyle w:val="BodyText2"/>
        <w:numPr>
          <w:ilvl w:val="1"/>
          <w:numId w:val="14"/>
        </w:numPr>
        <w:shd w:val="clear" w:color="auto" w:fill="auto"/>
        <w:tabs>
          <w:tab w:val="left" w:pos="786"/>
        </w:tabs>
        <w:spacing w:before="0" w:line="240" w:lineRule="auto"/>
        <w:ind w:left="792" w:right="58" w:hanging="346"/>
        <w:jc w:val="both"/>
        <w:rPr>
          <w:i/>
          <w:sz w:val="22"/>
          <w:szCs w:val="22"/>
        </w:rPr>
      </w:pPr>
      <w:r w:rsidRPr="003C01D7">
        <w:rPr>
          <w:i/>
          <w:sz w:val="22"/>
          <w:szCs w:val="22"/>
        </w:rPr>
        <w:t>Monitorizarea</w:t>
      </w:r>
      <w:r w:rsidR="004B3BCF">
        <w:rPr>
          <w:i/>
          <w:sz w:val="22"/>
          <w:szCs w:val="22"/>
        </w:rPr>
        <w:t xml:space="preserve"> </w:t>
      </w:r>
      <w:r w:rsidRPr="003C01D7">
        <w:rPr>
          <w:i/>
          <w:sz w:val="22"/>
          <w:szCs w:val="22"/>
        </w:rPr>
        <w:t>asigurării</w:t>
      </w:r>
      <w:r w:rsidR="004B3BCF">
        <w:rPr>
          <w:i/>
          <w:sz w:val="22"/>
          <w:szCs w:val="22"/>
        </w:rPr>
        <w:t xml:space="preserve"> </w:t>
      </w:r>
      <w:r w:rsidRPr="003C01D7">
        <w:rPr>
          <w:i/>
          <w:sz w:val="22"/>
          <w:szCs w:val="22"/>
        </w:rPr>
        <w:t>structurilo</w:t>
      </w:r>
      <w:r w:rsidR="004B3BCF">
        <w:rPr>
          <w:i/>
          <w:sz w:val="22"/>
          <w:szCs w:val="22"/>
        </w:rPr>
        <w:t xml:space="preserve"> </w:t>
      </w:r>
      <w:r w:rsidRPr="003C01D7">
        <w:rPr>
          <w:i/>
          <w:sz w:val="22"/>
          <w:szCs w:val="22"/>
        </w:rPr>
        <w:t>rechilibrate</w:t>
      </w:r>
      <w:r w:rsidR="004B3BCF">
        <w:rPr>
          <w:i/>
          <w:sz w:val="22"/>
          <w:szCs w:val="22"/>
        </w:rPr>
        <w:t xml:space="preserve"> </w:t>
      </w:r>
      <w:r w:rsidRPr="003C01D7">
        <w:rPr>
          <w:i/>
          <w:sz w:val="22"/>
          <w:szCs w:val="22"/>
        </w:rPr>
        <w:t>pe</w:t>
      </w:r>
      <w:r w:rsidR="004B3BCF">
        <w:rPr>
          <w:i/>
          <w:sz w:val="22"/>
          <w:szCs w:val="22"/>
        </w:rPr>
        <w:t xml:space="preserve"> </w:t>
      </w:r>
      <w:r w:rsidRPr="003C01D7">
        <w:rPr>
          <w:i/>
          <w:sz w:val="22"/>
          <w:szCs w:val="22"/>
        </w:rPr>
        <w:t>clase de vârstă</w:t>
      </w:r>
      <w:r w:rsidR="004B3BCF">
        <w:rPr>
          <w:i/>
          <w:sz w:val="22"/>
          <w:szCs w:val="22"/>
        </w:rPr>
        <w:t xml:space="preserve"> </w:t>
      </w:r>
      <w:r w:rsidRPr="003C01D7">
        <w:rPr>
          <w:i/>
          <w:sz w:val="22"/>
          <w:szCs w:val="22"/>
        </w:rPr>
        <w:t>aarboretelor</w:t>
      </w:r>
      <w:r w:rsidR="004B3BCF">
        <w:rPr>
          <w:i/>
          <w:sz w:val="22"/>
          <w:szCs w:val="22"/>
        </w:rPr>
        <w:t xml:space="preserve"> </w:t>
      </w:r>
      <w:r w:rsidRPr="003C01D7">
        <w:rPr>
          <w:i/>
          <w:sz w:val="22"/>
          <w:szCs w:val="22"/>
        </w:rPr>
        <w:t>pe</w:t>
      </w:r>
      <w:r w:rsidR="004B3BCF">
        <w:rPr>
          <w:i/>
          <w:sz w:val="22"/>
          <w:szCs w:val="22"/>
        </w:rPr>
        <w:t xml:space="preserve"> </w:t>
      </w:r>
      <w:r w:rsidRPr="003C01D7">
        <w:rPr>
          <w:i/>
          <w:sz w:val="22"/>
          <w:szCs w:val="22"/>
        </w:rPr>
        <w:t>fiecare</w:t>
      </w:r>
      <w:r w:rsidR="004B3BCF">
        <w:rPr>
          <w:i/>
          <w:sz w:val="22"/>
          <w:szCs w:val="22"/>
        </w:rPr>
        <w:t xml:space="preserve"> </w:t>
      </w:r>
      <w:r w:rsidRPr="003C01D7">
        <w:rPr>
          <w:i/>
          <w:sz w:val="22"/>
          <w:szCs w:val="22"/>
        </w:rPr>
        <w:t>unitate de producţie, cu evidenţierea</w:t>
      </w:r>
      <w:r w:rsidR="004B3BCF">
        <w:rPr>
          <w:i/>
          <w:sz w:val="22"/>
          <w:szCs w:val="22"/>
        </w:rPr>
        <w:t xml:space="preserve"> </w:t>
      </w:r>
      <w:r w:rsidRPr="003C01D7">
        <w:rPr>
          <w:i/>
          <w:sz w:val="22"/>
          <w:szCs w:val="22"/>
        </w:rPr>
        <w:t>şi a ponderii</w:t>
      </w:r>
      <w:r w:rsidR="004B3BCF">
        <w:rPr>
          <w:i/>
          <w:sz w:val="22"/>
          <w:szCs w:val="22"/>
        </w:rPr>
        <w:t xml:space="preserve"> </w:t>
      </w:r>
      <w:r w:rsidRPr="003C01D7">
        <w:rPr>
          <w:i/>
          <w:sz w:val="22"/>
          <w:szCs w:val="22"/>
        </w:rPr>
        <w:t>arboretelor din ultimele</w:t>
      </w:r>
      <w:r w:rsidR="004B3BCF">
        <w:rPr>
          <w:i/>
          <w:sz w:val="22"/>
          <w:szCs w:val="22"/>
        </w:rPr>
        <w:t xml:space="preserve"> </w:t>
      </w:r>
      <w:r w:rsidRPr="003C01D7">
        <w:rPr>
          <w:i/>
          <w:sz w:val="22"/>
          <w:szCs w:val="22"/>
        </w:rPr>
        <w:t>clase de vârstă, cu nivel</w:t>
      </w:r>
      <w:r w:rsidR="004B3BCF">
        <w:rPr>
          <w:i/>
          <w:sz w:val="22"/>
          <w:szCs w:val="22"/>
        </w:rPr>
        <w:t xml:space="preserve"> </w:t>
      </w:r>
      <w:r w:rsidRPr="003C01D7">
        <w:rPr>
          <w:i/>
          <w:sz w:val="22"/>
          <w:szCs w:val="22"/>
        </w:rPr>
        <w:t>ridicat al biodiversităţii. Termen :anual, trim. I</w:t>
      </w:r>
    </w:p>
    <w:p w:rsidR="006850DA" w:rsidRPr="003C01D7" w:rsidRDefault="006850DA" w:rsidP="006850DA">
      <w:pPr>
        <w:pStyle w:val="BodyText2"/>
        <w:numPr>
          <w:ilvl w:val="1"/>
          <w:numId w:val="14"/>
        </w:numPr>
        <w:shd w:val="clear" w:color="auto" w:fill="auto"/>
        <w:tabs>
          <w:tab w:val="left" w:pos="793"/>
        </w:tabs>
        <w:spacing w:before="0" w:line="240" w:lineRule="auto"/>
        <w:ind w:left="792" w:right="58" w:hanging="346"/>
        <w:jc w:val="both"/>
        <w:rPr>
          <w:i/>
          <w:sz w:val="22"/>
          <w:szCs w:val="22"/>
        </w:rPr>
      </w:pPr>
      <w:r w:rsidRPr="003C01D7">
        <w:rPr>
          <w:i/>
          <w:sz w:val="22"/>
          <w:szCs w:val="22"/>
        </w:rPr>
        <w:t>Monitorizarea</w:t>
      </w:r>
      <w:r w:rsidR="004B3BCF">
        <w:rPr>
          <w:i/>
          <w:sz w:val="22"/>
          <w:szCs w:val="22"/>
        </w:rPr>
        <w:t xml:space="preserve"> </w:t>
      </w:r>
      <w:r w:rsidRPr="003C01D7">
        <w:rPr>
          <w:i/>
          <w:sz w:val="22"/>
          <w:szCs w:val="22"/>
        </w:rPr>
        <w:t>respectării</w:t>
      </w:r>
      <w:r w:rsidR="004B3BCF">
        <w:rPr>
          <w:i/>
          <w:sz w:val="22"/>
          <w:szCs w:val="22"/>
        </w:rPr>
        <w:t xml:space="preserve"> </w:t>
      </w:r>
      <w:r w:rsidRPr="003C01D7">
        <w:rPr>
          <w:i/>
          <w:sz w:val="22"/>
          <w:szCs w:val="22"/>
        </w:rPr>
        <w:t>posibilităţii de recoltare</w:t>
      </w:r>
      <w:r w:rsidR="004B3BCF">
        <w:rPr>
          <w:i/>
          <w:sz w:val="22"/>
          <w:szCs w:val="22"/>
        </w:rPr>
        <w:t xml:space="preserve"> </w:t>
      </w:r>
      <w:r w:rsidRPr="003C01D7">
        <w:rPr>
          <w:i/>
          <w:sz w:val="22"/>
          <w:szCs w:val="22"/>
        </w:rPr>
        <w:t>masă</w:t>
      </w:r>
      <w:r w:rsidR="004B3BCF">
        <w:rPr>
          <w:i/>
          <w:sz w:val="22"/>
          <w:szCs w:val="22"/>
        </w:rPr>
        <w:t xml:space="preserve"> </w:t>
      </w:r>
      <w:r w:rsidRPr="003C01D7">
        <w:rPr>
          <w:i/>
          <w:sz w:val="22"/>
          <w:szCs w:val="22"/>
        </w:rPr>
        <w:t>lemnoasă, calculată</w:t>
      </w:r>
      <w:r w:rsidR="004B3BCF">
        <w:rPr>
          <w:i/>
          <w:sz w:val="22"/>
          <w:szCs w:val="22"/>
        </w:rPr>
        <w:t xml:space="preserve"> </w:t>
      </w:r>
      <w:r w:rsidRPr="003C01D7">
        <w:rPr>
          <w:i/>
          <w:sz w:val="22"/>
          <w:szCs w:val="22"/>
        </w:rPr>
        <w:t>în</w:t>
      </w:r>
      <w:r w:rsidR="004B3BCF">
        <w:rPr>
          <w:i/>
          <w:sz w:val="22"/>
          <w:szCs w:val="22"/>
        </w:rPr>
        <w:t xml:space="preserve"> </w:t>
      </w:r>
      <w:r w:rsidRPr="003C01D7">
        <w:rPr>
          <w:i/>
          <w:sz w:val="22"/>
          <w:szCs w:val="22"/>
        </w:rPr>
        <w:t>amenajament</w:t>
      </w:r>
      <w:r w:rsidR="004B3BCF">
        <w:rPr>
          <w:i/>
          <w:sz w:val="22"/>
          <w:szCs w:val="22"/>
        </w:rPr>
        <w:t xml:space="preserve"> </w:t>
      </w:r>
      <w:r w:rsidRPr="003C01D7">
        <w:rPr>
          <w:i/>
          <w:sz w:val="22"/>
          <w:szCs w:val="22"/>
        </w:rPr>
        <w:t>pe</w:t>
      </w:r>
      <w:r w:rsidR="004B3BCF">
        <w:rPr>
          <w:i/>
          <w:sz w:val="22"/>
          <w:szCs w:val="22"/>
        </w:rPr>
        <w:t xml:space="preserve"> </w:t>
      </w:r>
      <w:r w:rsidRPr="003C01D7">
        <w:rPr>
          <w:i/>
          <w:sz w:val="22"/>
          <w:szCs w:val="22"/>
        </w:rPr>
        <w:t>unitate de producţie. Evidenţierea</w:t>
      </w:r>
      <w:r w:rsidR="004B3BCF">
        <w:rPr>
          <w:i/>
          <w:sz w:val="22"/>
          <w:szCs w:val="22"/>
        </w:rPr>
        <w:t xml:space="preserve"> </w:t>
      </w:r>
      <w:r w:rsidRPr="003C01D7">
        <w:rPr>
          <w:i/>
          <w:sz w:val="22"/>
          <w:szCs w:val="22"/>
        </w:rPr>
        <w:t>volumelo</w:t>
      </w:r>
      <w:r w:rsidR="004B3BCF">
        <w:rPr>
          <w:i/>
          <w:sz w:val="22"/>
          <w:szCs w:val="22"/>
        </w:rPr>
        <w:t xml:space="preserve"> referent</w:t>
      </w:r>
      <w:r w:rsidRPr="003C01D7">
        <w:rPr>
          <w:i/>
          <w:sz w:val="22"/>
          <w:szCs w:val="22"/>
        </w:rPr>
        <w:t>e</w:t>
      </w:r>
      <w:r w:rsidR="004B3BCF">
        <w:rPr>
          <w:i/>
          <w:sz w:val="22"/>
          <w:szCs w:val="22"/>
        </w:rPr>
        <w:t xml:space="preserve"> </w:t>
      </w:r>
      <w:r w:rsidRPr="003C01D7">
        <w:rPr>
          <w:i/>
          <w:sz w:val="22"/>
          <w:szCs w:val="22"/>
        </w:rPr>
        <w:t>produselor</w:t>
      </w:r>
      <w:r w:rsidR="004B3BCF">
        <w:rPr>
          <w:i/>
          <w:sz w:val="22"/>
          <w:szCs w:val="22"/>
        </w:rPr>
        <w:t xml:space="preserve"> </w:t>
      </w:r>
      <w:r w:rsidRPr="003C01D7">
        <w:rPr>
          <w:i/>
          <w:sz w:val="22"/>
          <w:szCs w:val="22"/>
        </w:rPr>
        <w:t>accidentale</w:t>
      </w:r>
      <w:r w:rsidR="004B3BCF">
        <w:rPr>
          <w:i/>
          <w:sz w:val="22"/>
          <w:szCs w:val="22"/>
        </w:rPr>
        <w:t xml:space="preserve"> </w:t>
      </w:r>
      <w:r w:rsidRPr="003C01D7">
        <w:rPr>
          <w:i/>
          <w:sz w:val="22"/>
          <w:szCs w:val="22"/>
        </w:rPr>
        <w:t>precomptate (se înlocuiesc</w:t>
      </w:r>
      <w:r w:rsidR="004B3BCF">
        <w:rPr>
          <w:i/>
          <w:sz w:val="22"/>
          <w:szCs w:val="22"/>
        </w:rPr>
        <w:t xml:space="preserve"> </w:t>
      </w:r>
      <w:r w:rsidRPr="003C01D7">
        <w:rPr>
          <w:i/>
          <w:sz w:val="22"/>
          <w:szCs w:val="22"/>
        </w:rPr>
        <w:t>volumele cu volume echivalente de lemn</w:t>
      </w:r>
      <w:r w:rsidR="004B3BCF">
        <w:rPr>
          <w:i/>
          <w:sz w:val="22"/>
          <w:szCs w:val="22"/>
        </w:rPr>
        <w:t xml:space="preserve"> </w:t>
      </w:r>
      <w:r w:rsidRPr="003C01D7">
        <w:rPr>
          <w:i/>
          <w:sz w:val="22"/>
          <w:szCs w:val="22"/>
        </w:rPr>
        <w:t>prevăzute a fi recoltate din arboretele</w:t>
      </w:r>
      <w:r w:rsidR="004B3BCF">
        <w:rPr>
          <w:i/>
          <w:sz w:val="22"/>
          <w:szCs w:val="22"/>
        </w:rPr>
        <w:t xml:space="preserve"> </w:t>
      </w:r>
      <w:r w:rsidRPr="003C01D7">
        <w:rPr>
          <w:i/>
          <w:sz w:val="22"/>
          <w:szCs w:val="22"/>
        </w:rPr>
        <w:t>incluse</w:t>
      </w:r>
      <w:r w:rsidR="004B3BCF">
        <w:rPr>
          <w:i/>
          <w:sz w:val="22"/>
          <w:szCs w:val="22"/>
        </w:rPr>
        <w:t xml:space="preserve"> </w:t>
      </w:r>
      <w:r w:rsidRPr="003C01D7">
        <w:rPr>
          <w:i/>
          <w:sz w:val="22"/>
          <w:szCs w:val="22"/>
        </w:rPr>
        <w:t>în</w:t>
      </w:r>
      <w:r w:rsidR="004B3BCF">
        <w:rPr>
          <w:i/>
          <w:sz w:val="22"/>
          <w:szCs w:val="22"/>
        </w:rPr>
        <w:t xml:space="preserve"> </w:t>
      </w:r>
      <w:r w:rsidRPr="003C01D7">
        <w:rPr>
          <w:i/>
          <w:sz w:val="22"/>
          <w:szCs w:val="22"/>
        </w:rPr>
        <w:t>planurile</w:t>
      </w:r>
      <w:r w:rsidR="004B3BCF">
        <w:rPr>
          <w:i/>
          <w:sz w:val="22"/>
          <w:szCs w:val="22"/>
        </w:rPr>
        <w:t xml:space="preserve"> </w:t>
      </w:r>
      <w:r w:rsidRPr="003C01D7">
        <w:rPr>
          <w:i/>
          <w:sz w:val="22"/>
          <w:szCs w:val="22"/>
        </w:rPr>
        <w:t>decenale de recoltare a produselor</w:t>
      </w:r>
      <w:r w:rsidR="004B3BCF">
        <w:rPr>
          <w:i/>
          <w:sz w:val="22"/>
          <w:szCs w:val="22"/>
        </w:rPr>
        <w:t xml:space="preserve"> </w:t>
      </w:r>
      <w:r w:rsidRPr="003C01D7">
        <w:rPr>
          <w:i/>
          <w:sz w:val="22"/>
          <w:szCs w:val="22"/>
        </w:rPr>
        <w:t>principale)</w:t>
      </w:r>
    </w:p>
    <w:p w:rsidR="00500F2A" w:rsidRPr="00622762" w:rsidRDefault="00500F2A" w:rsidP="003C4C5A">
      <w:pPr>
        <w:autoSpaceDE w:val="0"/>
        <w:autoSpaceDN w:val="0"/>
        <w:adjustRightInd w:val="0"/>
        <w:spacing w:after="0" w:line="240" w:lineRule="auto"/>
        <w:ind w:left="357" w:firstLine="357"/>
        <w:jc w:val="both"/>
        <w:rPr>
          <w:rFonts w:ascii="Times New Roman" w:hAnsi="Times New Roman"/>
          <w:b/>
          <w:sz w:val="16"/>
          <w:szCs w:val="16"/>
          <w:lang w:val="ro-RO"/>
        </w:rPr>
      </w:pPr>
    </w:p>
    <w:p w:rsidR="00500F2A" w:rsidRPr="00500F2A" w:rsidRDefault="00500F2A" w:rsidP="00500F2A">
      <w:pPr>
        <w:numPr>
          <w:ilvl w:val="0"/>
          <w:numId w:val="10"/>
        </w:numPr>
        <w:spacing w:after="0" w:line="240" w:lineRule="auto"/>
        <w:ind w:right="312"/>
        <w:jc w:val="both"/>
        <w:rPr>
          <w:rFonts w:ascii="Garamond" w:eastAsia="Times New Roman" w:hAnsi="Garamond"/>
          <w:b/>
          <w:i/>
          <w:sz w:val="24"/>
          <w:szCs w:val="24"/>
        </w:rPr>
      </w:pPr>
      <w:r w:rsidRPr="00500F2A">
        <w:rPr>
          <w:rFonts w:ascii="Garamond" w:eastAsia="Times New Roman" w:hAnsi="Garamond"/>
          <w:b/>
          <w:i/>
          <w:sz w:val="24"/>
          <w:szCs w:val="24"/>
        </w:rPr>
        <w:t>Lucrările de exploatare din u.a.-urile 48</w:t>
      </w:r>
      <w:r w:rsidR="00FB6B02">
        <w:rPr>
          <w:rFonts w:ascii="Garamond" w:eastAsia="Times New Roman" w:hAnsi="Garamond"/>
          <w:b/>
          <w:i/>
          <w:sz w:val="24"/>
          <w:szCs w:val="24"/>
        </w:rPr>
        <w:t>, 41, 50</w:t>
      </w:r>
      <w:r w:rsidRPr="00500F2A">
        <w:rPr>
          <w:rFonts w:ascii="Garamond" w:eastAsia="Times New Roman" w:hAnsi="Garamond"/>
          <w:b/>
          <w:i/>
          <w:sz w:val="24"/>
          <w:szCs w:val="24"/>
        </w:rPr>
        <w:t xml:space="preserve"> se vor realiza exclusiv în afara ariilor natural protejate de interes naţional. Activităţile aferente lucrărilor de exploatare( amenajare platforma primară, traseele de scos-apropiat-adunat, amenajare loc de odihnă a angajaţilor, transport masă lemnoasă etc.) se vor realiza exclusiv în afara suprafeţelor ariilor natural protejate de interes naţional: </w:t>
      </w:r>
    </w:p>
    <w:p w:rsidR="00500F2A" w:rsidRPr="00500F2A" w:rsidRDefault="00FB6B02" w:rsidP="00500F2A">
      <w:pPr>
        <w:numPr>
          <w:ilvl w:val="1"/>
          <w:numId w:val="21"/>
        </w:numPr>
        <w:spacing w:after="0" w:line="240" w:lineRule="auto"/>
        <w:ind w:left="993" w:right="312"/>
        <w:jc w:val="both"/>
        <w:rPr>
          <w:rFonts w:ascii="Garamond" w:eastAsia="Times New Roman" w:hAnsi="Garamond"/>
          <w:b/>
          <w:i/>
          <w:sz w:val="24"/>
          <w:szCs w:val="24"/>
        </w:rPr>
      </w:pPr>
      <w:r w:rsidRPr="00500F2A">
        <w:rPr>
          <w:rFonts w:ascii="Garamond" w:eastAsia="Times New Roman" w:hAnsi="Garamond"/>
          <w:b/>
          <w:i/>
          <w:sz w:val="24"/>
          <w:szCs w:val="24"/>
        </w:rPr>
        <w:t xml:space="preserve"> </w:t>
      </w:r>
      <w:r w:rsidR="00500F2A" w:rsidRPr="00500F2A">
        <w:rPr>
          <w:rFonts w:ascii="Garamond" w:eastAsia="Times New Roman" w:hAnsi="Garamond"/>
          <w:b/>
          <w:i/>
          <w:sz w:val="24"/>
          <w:szCs w:val="24"/>
        </w:rPr>
        <w:t>“Rezervaţia geologică de la Sâncrăieni”– cu nr. crt.2459 din Anexa nr.1 din Legea nr.5/2</w:t>
      </w:r>
      <w:r>
        <w:rPr>
          <w:rFonts w:ascii="Garamond" w:eastAsia="Times New Roman" w:hAnsi="Garamond"/>
          <w:b/>
          <w:i/>
          <w:sz w:val="24"/>
          <w:szCs w:val="24"/>
        </w:rPr>
        <w:t>000, cu o suprafaţă de 10,00 ha</w:t>
      </w:r>
      <w:r w:rsidR="00500F2A" w:rsidRPr="00500F2A">
        <w:rPr>
          <w:rFonts w:ascii="Garamond" w:eastAsia="Times New Roman" w:hAnsi="Garamond"/>
          <w:b/>
          <w:i/>
          <w:sz w:val="24"/>
          <w:szCs w:val="24"/>
        </w:rPr>
        <w:t>.</w:t>
      </w:r>
    </w:p>
    <w:p w:rsidR="00500F2A" w:rsidRPr="00500F2A" w:rsidRDefault="00FB6B02" w:rsidP="00500F2A">
      <w:pPr>
        <w:spacing w:after="0" w:line="240" w:lineRule="auto"/>
        <w:ind w:left="284" w:right="312"/>
        <w:jc w:val="both"/>
        <w:rPr>
          <w:rFonts w:ascii="Times New Roman" w:eastAsia="Times New Roman" w:hAnsi="Times New Roman"/>
          <w:b/>
          <w:i/>
          <w:sz w:val="24"/>
          <w:szCs w:val="24"/>
        </w:rPr>
      </w:pPr>
      <w:r w:rsidRPr="00FB6B02">
        <w:rPr>
          <w:rFonts w:ascii="Times New Roman" w:eastAsia="Times New Roman" w:hAnsi="Times New Roman"/>
          <w:b/>
          <w:i/>
          <w:sz w:val="24"/>
          <w:szCs w:val="24"/>
        </w:rPr>
        <w:lastRenderedPageBreak/>
        <w:t>Amenajamentul nu are suprafețe în această arie protejată, dar se află în imediata vecinătate a acesteia</w:t>
      </w:r>
      <w:r w:rsidR="00500F2A" w:rsidRPr="00500F2A">
        <w:rPr>
          <w:rFonts w:ascii="Times New Roman" w:eastAsia="Times New Roman" w:hAnsi="Times New Roman"/>
          <w:b/>
          <w:i/>
          <w:sz w:val="24"/>
          <w:szCs w:val="24"/>
        </w:rPr>
        <w:t>,</w:t>
      </w:r>
      <w:r w:rsidRPr="00FB6B02">
        <w:rPr>
          <w:rFonts w:ascii="Times New Roman" w:eastAsia="Times New Roman" w:hAnsi="Times New Roman"/>
          <w:b/>
          <w:i/>
          <w:sz w:val="24"/>
          <w:szCs w:val="24"/>
        </w:rPr>
        <w:t xml:space="preserve"> </w:t>
      </w:r>
      <w:r w:rsidRPr="00500F2A">
        <w:rPr>
          <w:rFonts w:ascii="Times New Roman" w:eastAsia="Times New Roman" w:hAnsi="Times New Roman"/>
          <w:b/>
          <w:i/>
          <w:sz w:val="24"/>
          <w:szCs w:val="24"/>
        </w:rPr>
        <w:t>este interzisă orice formă de exploatare</w:t>
      </w:r>
      <w:r w:rsidRPr="00FB6B02">
        <w:rPr>
          <w:rFonts w:ascii="Times New Roman" w:eastAsia="Times New Roman" w:hAnsi="Times New Roman"/>
          <w:b/>
          <w:i/>
          <w:sz w:val="24"/>
          <w:szCs w:val="24"/>
        </w:rPr>
        <w:t xml:space="preserve">, sau activitate </w:t>
      </w:r>
      <w:r w:rsidR="00500F2A" w:rsidRPr="00500F2A">
        <w:rPr>
          <w:rFonts w:ascii="Times New Roman" w:eastAsia="Times New Roman" w:hAnsi="Times New Roman"/>
          <w:b/>
          <w:i/>
          <w:sz w:val="24"/>
          <w:szCs w:val="24"/>
        </w:rPr>
        <w:t xml:space="preserve">care </w:t>
      </w:r>
      <w:r w:rsidRPr="00FB6B02">
        <w:rPr>
          <w:rFonts w:ascii="Times New Roman" w:eastAsia="Times New Roman" w:hAnsi="Times New Roman"/>
          <w:b/>
          <w:i/>
          <w:sz w:val="24"/>
          <w:szCs w:val="24"/>
        </w:rPr>
        <w:t>poate avea efecte asupra</w:t>
      </w:r>
      <w:r w:rsidR="00500F2A" w:rsidRPr="00500F2A">
        <w:rPr>
          <w:rFonts w:ascii="Times New Roman" w:eastAsia="Times New Roman" w:hAnsi="Times New Roman"/>
          <w:b/>
          <w:i/>
          <w:sz w:val="24"/>
          <w:szCs w:val="24"/>
        </w:rPr>
        <w:t xml:space="preserve"> “Rezervaţi</w:t>
      </w:r>
      <w:r w:rsidRPr="00FB6B02">
        <w:rPr>
          <w:rFonts w:ascii="Times New Roman" w:eastAsia="Times New Roman" w:hAnsi="Times New Roman"/>
          <w:b/>
          <w:i/>
          <w:sz w:val="24"/>
          <w:szCs w:val="24"/>
        </w:rPr>
        <w:t>ei</w:t>
      </w:r>
      <w:r w:rsidR="00500F2A" w:rsidRPr="00500F2A">
        <w:rPr>
          <w:rFonts w:ascii="Times New Roman" w:eastAsia="Times New Roman" w:hAnsi="Times New Roman"/>
          <w:b/>
          <w:i/>
          <w:sz w:val="24"/>
          <w:szCs w:val="24"/>
        </w:rPr>
        <w:t xml:space="preserve"> geologic</w:t>
      </w:r>
      <w:r w:rsidR="00AB4891">
        <w:rPr>
          <w:rFonts w:ascii="Times New Roman" w:eastAsia="Times New Roman" w:hAnsi="Times New Roman"/>
          <w:b/>
          <w:i/>
          <w:sz w:val="24"/>
          <w:szCs w:val="24"/>
        </w:rPr>
        <w:t>e</w:t>
      </w:r>
      <w:r w:rsidR="00500F2A" w:rsidRPr="00500F2A">
        <w:rPr>
          <w:rFonts w:ascii="Times New Roman" w:eastAsia="Times New Roman" w:hAnsi="Times New Roman"/>
          <w:b/>
          <w:i/>
          <w:sz w:val="24"/>
          <w:szCs w:val="24"/>
        </w:rPr>
        <w:t xml:space="preserve"> de la Sâncrăieni”.</w:t>
      </w:r>
    </w:p>
    <w:p w:rsidR="00500F2A" w:rsidRPr="00622762" w:rsidRDefault="00500F2A" w:rsidP="003C4C5A">
      <w:pPr>
        <w:autoSpaceDE w:val="0"/>
        <w:autoSpaceDN w:val="0"/>
        <w:adjustRightInd w:val="0"/>
        <w:spacing w:after="0" w:line="240" w:lineRule="auto"/>
        <w:ind w:left="357" w:firstLine="357"/>
        <w:jc w:val="both"/>
        <w:rPr>
          <w:rFonts w:ascii="Times New Roman" w:hAnsi="Times New Roman"/>
          <w:b/>
          <w:sz w:val="16"/>
          <w:szCs w:val="16"/>
          <w:lang w:val="ro-RO"/>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622762" w:rsidRDefault="001E1FA2" w:rsidP="001E1FA2">
      <w:pPr>
        <w:autoSpaceDE w:val="0"/>
        <w:autoSpaceDN w:val="0"/>
        <w:adjustRightInd w:val="0"/>
        <w:spacing w:after="0" w:line="240" w:lineRule="auto"/>
        <w:jc w:val="both"/>
        <w:rPr>
          <w:rFonts w:ascii="Times New Roman" w:hAnsi="Times New Roman"/>
          <w:lang w:val="ro-RO"/>
        </w:rPr>
      </w:pPr>
      <w:r w:rsidRPr="00622762">
        <w:rPr>
          <w:rFonts w:ascii="Times New Roman" w:hAnsi="Times New Roman"/>
          <w:b/>
          <w:lang w:val="ro-RO"/>
        </w:rPr>
        <w:t>4.În urma apariţiei anunţului public privind depunerea primei versiuni a Amenajamentului Silvic</w:t>
      </w:r>
      <w:r w:rsidRPr="00622762">
        <w:rPr>
          <w:rFonts w:ascii="Times New Roman" w:hAnsi="Times New Roman"/>
          <w:lang w:val="ro-RO"/>
        </w:rPr>
        <w:t xml:space="preserve"> solicitând parcurgerea etapei de încadrare în vederea obţinerii avizului de mediu (apărut în ziarele Informaţia Harghitei în data de </w:t>
      </w:r>
      <w:r w:rsidR="00E36C1A" w:rsidRPr="00622762">
        <w:rPr>
          <w:rFonts w:ascii="Times New Roman" w:hAnsi="Times New Roman"/>
          <w:lang w:val="ro-RO"/>
        </w:rPr>
        <w:t>2</w:t>
      </w:r>
      <w:r w:rsidR="00AB4891" w:rsidRPr="00622762">
        <w:rPr>
          <w:rFonts w:ascii="Times New Roman" w:hAnsi="Times New Roman"/>
          <w:lang w:val="ro-RO"/>
        </w:rPr>
        <w:t>6</w:t>
      </w:r>
      <w:r w:rsidR="00E36C1A" w:rsidRPr="00622762">
        <w:rPr>
          <w:rFonts w:ascii="Times New Roman" w:hAnsi="Times New Roman"/>
          <w:lang w:val="ro-RO"/>
        </w:rPr>
        <w:t xml:space="preserve"> și </w:t>
      </w:r>
      <w:r w:rsidR="00AB4891" w:rsidRPr="00622762">
        <w:rPr>
          <w:rFonts w:ascii="Times New Roman" w:hAnsi="Times New Roman"/>
          <w:lang w:val="ro-RO"/>
        </w:rPr>
        <w:t>30 ianuarie</w:t>
      </w:r>
      <w:r w:rsidR="00E36C1A" w:rsidRPr="00622762">
        <w:rPr>
          <w:rFonts w:ascii="Times New Roman" w:hAnsi="Times New Roman"/>
          <w:lang w:val="ro-RO"/>
        </w:rPr>
        <w:t xml:space="preserve"> 2018 </w:t>
      </w:r>
      <w:r w:rsidR="00F8759C" w:rsidRPr="00622762">
        <w:rPr>
          <w:rFonts w:ascii="Times New Roman" w:hAnsi="Times New Roman"/>
          <w:lang w:val="ro-RO"/>
        </w:rPr>
        <w:t xml:space="preserve">, </w:t>
      </w:r>
      <w:r w:rsidR="00E36C1A" w:rsidRPr="00622762">
        <w:rPr>
          <w:rFonts w:ascii="Times New Roman" w:hAnsi="Times New Roman"/>
          <w:lang w:val="ro-RO"/>
        </w:rPr>
        <w:t>HargitaNepe</w:t>
      </w:r>
      <w:r w:rsidR="003C01D7" w:rsidRPr="00622762">
        <w:rPr>
          <w:rFonts w:ascii="Times New Roman" w:hAnsi="Times New Roman"/>
          <w:lang w:val="ro-RO"/>
        </w:rPr>
        <w:t>2</w:t>
      </w:r>
      <w:r w:rsidR="00AB4891" w:rsidRPr="00622762">
        <w:rPr>
          <w:rFonts w:ascii="Times New Roman" w:hAnsi="Times New Roman"/>
          <w:lang w:val="ro-RO"/>
        </w:rPr>
        <w:t>6</w:t>
      </w:r>
      <w:r w:rsidR="00F8759C" w:rsidRPr="00622762">
        <w:rPr>
          <w:rFonts w:ascii="Times New Roman" w:hAnsi="Times New Roman"/>
          <w:lang w:val="ro-RO"/>
        </w:rPr>
        <w:t>,</w:t>
      </w:r>
      <w:r w:rsidR="00AB4891" w:rsidRPr="00622762">
        <w:rPr>
          <w:rFonts w:ascii="Times New Roman" w:hAnsi="Times New Roman"/>
          <w:lang w:val="ro-RO"/>
        </w:rPr>
        <w:t xml:space="preserve"> 30 </w:t>
      </w:r>
      <w:r w:rsidR="003C01D7" w:rsidRPr="00622762">
        <w:rPr>
          <w:rFonts w:ascii="Times New Roman" w:hAnsi="Times New Roman"/>
          <w:lang w:val="ro-RO"/>
        </w:rPr>
        <w:t>februarie</w:t>
      </w:r>
      <w:r w:rsidR="003825B6" w:rsidRPr="00622762">
        <w:rPr>
          <w:rFonts w:ascii="Times New Roman" w:hAnsi="Times New Roman"/>
          <w:lang w:val="ro-RO"/>
        </w:rPr>
        <w:t xml:space="preserve"> 201</w:t>
      </w:r>
      <w:r w:rsidR="00E36C1A" w:rsidRPr="00622762">
        <w:rPr>
          <w:rFonts w:ascii="Times New Roman" w:hAnsi="Times New Roman"/>
          <w:lang w:val="ro-RO"/>
        </w:rPr>
        <w:t>8;</w:t>
      </w:r>
      <w:r w:rsidR="00AB4891" w:rsidRPr="00622762">
        <w:rPr>
          <w:rFonts w:ascii="Times New Roman" w:hAnsi="Times New Roman"/>
          <w:lang w:val="ro-RO"/>
        </w:rPr>
        <w:t xml:space="preserve"> </w:t>
      </w:r>
      <w:r w:rsidRPr="00622762">
        <w:rPr>
          <w:rFonts w:ascii="Times New Roman" w:hAnsi="Times New Roman"/>
          <w:lang w:val="ro-RO"/>
        </w:rPr>
        <w:t>respectiv pe pagina de web a APM Harghita), nu s-au înregistrat la A.P.M. Harghita comentarii şi propuneri din partea publicului.</w:t>
      </w:r>
    </w:p>
    <w:p w:rsidR="001E1FA2" w:rsidRPr="00622762" w:rsidRDefault="001E1FA2" w:rsidP="00E36C1A">
      <w:pPr>
        <w:spacing w:after="0"/>
        <w:jc w:val="both"/>
        <w:rPr>
          <w:rFonts w:ascii="Times New Roman" w:hAnsi="Times New Roman"/>
          <w:lang w:val="ro-RO"/>
        </w:rPr>
      </w:pPr>
      <w:r w:rsidRPr="00622762">
        <w:rPr>
          <w:rFonts w:ascii="Times New Roman" w:hAnsi="Times New Roman"/>
          <w:b/>
          <w:lang w:val="ro-RO"/>
        </w:rPr>
        <w:t>5</w:t>
      </w:r>
      <w:r w:rsidRPr="00622762">
        <w:rPr>
          <w:rFonts w:ascii="Times New Roman" w:hAnsi="Times New Roman"/>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622762" w:rsidRDefault="001E1FA2" w:rsidP="00E36C1A">
      <w:pPr>
        <w:autoSpaceDE w:val="0"/>
        <w:autoSpaceDN w:val="0"/>
        <w:adjustRightInd w:val="0"/>
        <w:spacing w:after="0" w:line="240" w:lineRule="auto"/>
        <w:jc w:val="both"/>
        <w:rPr>
          <w:rFonts w:ascii="Times New Roman" w:hAnsi="Times New Roman"/>
          <w:lang w:val="ro-RO"/>
        </w:rPr>
      </w:pPr>
      <w:r w:rsidRPr="00622762">
        <w:rPr>
          <w:rFonts w:ascii="Times New Roman" w:hAnsi="Times New Roman"/>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622762" w:rsidRDefault="001E1FA2" w:rsidP="001E1FA2">
      <w:pPr>
        <w:autoSpaceDE w:val="0"/>
        <w:autoSpaceDN w:val="0"/>
        <w:adjustRightInd w:val="0"/>
        <w:spacing w:after="0" w:line="240" w:lineRule="auto"/>
        <w:jc w:val="both"/>
        <w:rPr>
          <w:rFonts w:ascii="Times New Roman" w:hAnsi="Times New Roman"/>
          <w:sz w:val="16"/>
          <w:szCs w:val="16"/>
          <w:lang w:val="ro-RO"/>
        </w:rPr>
      </w:pPr>
    </w:p>
    <w:p w:rsidR="001E1FA2" w:rsidRPr="003C01D7" w:rsidRDefault="001E1FA2" w:rsidP="001E1FA2">
      <w:pPr>
        <w:autoSpaceDE w:val="0"/>
        <w:autoSpaceDN w:val="0"/>
        <w:adjustRightInd w:val="0"/>
        <w:spacing w:after="0" w:line="240" w:lineRule="auto"/>
        <w:jc w:val="both"/>
        <w:rPr>
          <w:rFonts w:ascii="Times New Roman" w:eastAsia="Times New Roman" w:hAnsi="Times New Roman"/>
          <w:b/>
          <w:color w:val="000000"/>
          <w:sz w:val="20"/>
          <w:szCs w:val="20"/>
          <w:lang w:val="ro-RO"/>
        </w:rPr>
      </w:pPr>
      <w:r w:rsidRPr="003C01D7">
        <w:rPr>
          <w:rFonts w:ascii="Times New Roman" w:eastAsia="Times New Roman" w:hAnsi="Times New Roman"/>
          <w:b/>
          <w:color w:val="000000"/>
          <w:sz w:val="20"/>
          <w:szCs w:val="20"/>
          <w:lang w:val="ro-RO"/>
        </w:rPr>
        <w:t>Obligaţiile titularului:</w:t>
      </w:r>
    </w:p>
    <w:p w:rsidR="00094487" w:rsidRPr="003C01D7" w:rsidRDefault="00094487" w:rsidP="00094487">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0"/>
          <w:szCs w:val="20"/>
          <w:lang w:val="ro-RO" w:eastAsia="ar-SA"/>
        </w:rPr>
      </w:pPr>
      <w:r w:rsidRPr="003C01D7">
        <w:rPr>
          <w:rFonts w:ascii="Times New Roman" w:eastAsia="SimSun" w:hAnsi="Times New Roman"/>
          <w:color w:val="000000"/>
          <w:kern w:val="24"/>
          <w:sz w:val="20"/>
          <w:szCs w:val="20"/>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3C01D7" w:rsidRDefault="00094487" w:rsidP="00094487">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0"/>
          <w:szCs w:val="20"/>
          <w:lang w:val="ro-RO" w:eastAsia="ar-SA"/>
        </w:rPr>
      </w:pPr>
      <w:r w:rsidRPr="003C01D7">
        <w:rPr>
          <w:rFonts w:ascii="Times New Roman" w:eastAsia="SimSun" w:hAnsi="Times New Roman"/>
          <w:color w:val="000000"/>
          <w:kern w:val="24"/>
          <w:sz w:val="20"/>
          <w:szCs w:val="20"/>
          <w:lang w:val="ro-RO" w:eastAsia="ar-SA"/>
        </w:rPr>
        <w:t>Respectarea prevederilor din avizele custozilor.</w:t>
      </w:r>
    </w:p>
    <w:p w:rsidR="00094487" w:rsidRPr="003C01D7" w:rsidRDefault="00094487" w:rsidP="00094487">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0"/>
          <w:szCs w:val="20"/>
          <w:lang w:val="ro-RO" w:eastAsia="ar-SA"/>
        </w:rPr>
      </w:pPr>
      <w:r w:rsidRPr="003C01D7">
        <w:rPr>
          <w:rFonts w:ascii="Times New Roman" w:eastAsia="SimSun" w:hAnsi="Times New Roman"/>
          <w:color w:val="000000"/>
          <w:kern w:val="24"/>
          <w:sz w:val="20"/>
          <w:szCs w:val="20"/>
          <w:lang w:val="ro-RO" w:eastAsia="ar-SA"/>
        </w:rPr>
        <w:t>Respectarea legislației de mediu în vigoare.</w:t>
      </w:r>
    </w:p>
    <w:p w:rsidR="001E1FA2" w:rsidRPr="003C01D7" w:rsidRDefault="00094487" w:rsidP="00E36C1A">
      <w:pPr>
        <w:autoSpaceDE w:val="0"/>
        <w:autoSpaceDN w:val="0"/>
        <w:adjustRightInd w:val="0"/>
        <w:spacing w:after="0" w:line="240" w:lineRule="auto"/>
        <w:jc w:val="both"/>
        <w:rPr>
          <w:rFonts w:ascii="Times New Roman" w:hAnsi="Times New Roman"/>
          <w:color w:val="000000"/>
          <w:sz w:val="20"/>
          <w:szCs w:val="20"/>
          <w:lang w:val="ro-RO"/>
        </w:rPr>
      </w:pPr>
      <w:r w:rsidRPr="003C01D7">
        <w:rPr>
          <w:rFonts w:ascii="Times New Roman" w:hAnsi="Times New Roman"/>
          <w:color w:val="000000"/>
          <w:sz w:val="20"/>
          <w:szCs w:val="20"/>
          <w:lang w:val="ro-RO"/>
        </w:rPr>
        <w:t>Prezenta Decizie de încadrare este anexă la Planul amenajistic aprobat, măsurile prezentate și condițiile enumerate fiind aplicate de către administratorul și titularul fondului forestier.</w:t>
      </w:r>
    </w:p>
    <w:p w:rsidR="001E1FA2" w:rsidRPr="003C01D7" w:rsidRDefault="001E1FA2" w:rsidP="00E36C1A">
      <w:pPr>
        <w:autoSpaceDE w:val="0"/>
        <w:autoSpaceDN w:val="0"/>
        <w:adjustRightInd w:val="0"/>
        <w:spacing w:after="0" w:line="240" w:lineRule="auto"/>
        <w:jc w:val="both"/>
        <w:rPr>
          <w:rFonts w:ascii="Times New Roman" w:hAnsi="Times New Roman"/>
          <w:color w:val="000000"/>
          <w:sz w:val="20"/>
          <w:szCs w:val="20"/>
          <w:lang w:val="ro-RO"/>
        </w:rPr>
      </w:pPr>
      <w:r w:rsidRPr="003C01D7">
        <w:rPr>
          <w:rFonts w:ascii="Times New Roman" w:hAnsi="Times New Roman"/>
          <w:color w:val="000000"/>
          <w:sz w:val="20"/>
          <w:szCs w:val="20"/>
          <w:lang w:val="ro-RO"/>
        </w:rPr>
        <w:t xml:space="preserve">Prezenta decizie poate fi contestată în conformitate cu prevederile </w:t>
      </w:r>
      <w:r w:rsidRPr="003C01D7">
        <w:rPr>
          <w:rFonts w:ascii="Times New Roman" w:hAnsi="Times New Roman"/>
          <w:b/>
          <w:color w:val="000000"/>
          <w:sz w:val="20"/>
          <w:szCs w:val="20"/>
          <w:lang w:val="ro-RO"/>
        </w:rPr>
        <w:t>Legii contenciosului administrativ nr. 554/2004</w:t>
      </w:r>
      <w:r w:rsidRPr="003C01D7">
        <w:rPr>
          <w:rFonts w:ascii="Times New Roman" w:hAnsi="Times New Roman"/>
          <w:color w:val="000000"/>
          <w:sz w:val="20"/>
          <w:szCs w:val="20"/>
          <w:lang w:val="ro-RO"/>
        </w:rPr>
        <w:t xml:space="preserve"> cu modificările şi completările ulterioare.  </w:t>
      </w:r>
    </w:p>
    <w:p w:rsidR="001E1FA2" w:rsidRPr="00622762" w:rsidRDefault="001E1FA2" w:rsidP="00E36C1A">
      <w:pPr>
        <w:autoSpaceDE w:val="0"/>
        <w:autoSpaceDN w:val="0"/>
        <w:adjustRightInd w:val="0"/>
        <w:spacing w:after="0" w:line="240" w:lineRule="auto"/>
        <w:jc w:val="both"/>
        <w:rPr>
          <w:rFonts w:ascii="Times New Roman" w:hAnsi="Times New Roman"/>
          <w:sz w:val="16"/>
          <w:szCs w:val="16"/>
          <w:lang w:val="ro-RO"/>
        </w:rPr>
      </w:pPr>
    </w:p>
    <w:p w:rsidR="001E1FA2" w:rsidRPr="003C01D7" w:rsidRDefault="001E1FA2" w:rsidP="00622762">
      <w:pPr>
        <w:spacing w:after="0" w:line="240" w:lineRule="auto"/>
        <w:jc w:val="both"/>
        <w:rPr>
          <w:rFonts w:ascii="Times New Roman" w:hAnsi="Times New Roman"/>
          <w:sz w:val="20"/>
          <w:szCs w:val="20"/>
          <w:lang w:val="ro-RO"/>
        </w:rPr>
      </w:pPr>
      <w:r w:rsidRPr="003C01D7">
        <w:rPr>
          <w:rFonts w:ascii="Times New Roman" w:hAnsi="Times New Roman"/>
          <w:sz w:val="20"/>
          <w:szCs w:val="20"/>
          <w:lang w:val="ro-RO"/>
        </w:rPr>
        <w:t>Procedura administrativă prealabilă:</w:t>
      </w:r>
    </w:p>
    <w:p w:rsidR="001E1FA2" w:rsidRPr="003C01D7" w:rsidRDefault="001E1FA2" w:rsidP="00622762">
      <w:pPr>
        <w:autoSpaceDE w:val="0"/>
        <w:autoSpaceDN w:val="0"/>
        <w:adjustRightInd w:val="0"/>
        <w:spacing w:after="0" w:line="240" w:lineRule="auto"/>
        <w:jc w:val="both"/>
        <w:rPr>
          <w:rFonts w:ascii="Times New Roman" w:eastAsia="Times New Roman" w:hAnsi="Times New Roman"/>
          <w:sz w:val="20"/>
          <w:szCs w:val="20"/>
          <w:lang w:val="ro-RO"/>
        </w:rPr>
      </w:pPr>
      <w:r w:rsidRPr="003C01D7">
        <w:rPr>
          <w:rFonts w:ascii="Times New Roman" w:eastAsia="Times New Roman" w:hAnsi="Times New Roman"/>
          <w:sz w:val="20"/>
          <w:szCs w:val="20"/>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3C01D7" w:rsidRDefault="001E1FA2" w:rsidP="00622762">
      <w:pPr>
        <w:spacing w:after="0" w:line="240" w:lineRule="auto"/>
        <w:jc w:val="both"/>
        <w:rPr>
          <w:rFonts w:ascii="Times New Roman" w:hAnsi="Times New Roman"/>
          <w:sz w:val="20"/>
          <w:szCs w:val="20"/>
          <w:lang w:val="ro-RO"/>
        </w:rPr>
      </w:pPr>
      <w:r w:rsidRPr="003C01D7">
        <w:rPr>
          <w:rFonts w:ascii="Times New Roman" w:hAnsi="Times New Roman"/>
          <w:sz w:val="20"/>
          <w:szCs w:val="20"/>
          <w:lang w:val="ro-RO"/>
        </w:rPr>
        <w:t xml:space="preserve">         Plângerea se poate adresa în egală măsură şi organului ierarhic superior.</w:t>
      </w:r>
    </w:p>
    <w:p w:rsidR="001E1FA2" w:rsidRPr="003C01D7" w:rsidRDefault="001E1FA2" w:rsidP="00622762">
      <w:pPr>
        <w:spacing w:after="0" w:line="240" w:lineRule="auto"/>
        <w:jc w:val="both"/>
        <w:rPr>
          <w:rFonts w:ascii="Times New Roman" w:hAnsi="Times New Roman"/>
          <w:sz w:val="20"/>
          <w:szCs w:val="20"/>
          <w:lang w:val="ro-RO"/>
        </w:rPr>
      </w:pPr>
      <w:r w:rsidRPr="003C01D7">
        <w:rPr>
          <w:rFonts w:ascii="Times New Roman" w:hAnsi="Times New Roman"/>
          <w:sz w:val="20"/>
          <w:szCs w:val="20"/>
          <w:lang w:val="ro-RO"/>
        </w:rPr>
        <w:t>Soluţionarea litigiilor:</w:t>
      </w:r>
    </w:p>
    <w:p w:rsidR="001E1FA2" w:rsidRPr="003C01D7" w:rsidRDefault="001E1FA2" w:rsidP="00622762">
      <w:pPr>
        <w:spacing w:after="0" w:line="240" w:lineRule="auto"/>
        <w:ind w:left="142" w:firstLine="567"/>
        <w:jc w:val="both"/>
        <w:rPr>
          <w:rFonts w:ascii="Times New Roman" w:hAnsi="Times New Roman"/>
          <w:sz w:val="20"/>
          <w:szCs w:val="20"/>
          <w:lang w:val="ro-RO"/>
        </w:rPr>
      </w:pPr>
      <w:r w:rsidRPr="003C01D7">
        <w:rPr>
          <w:rFonts w:ascii="Times New Roman" w:hAnsi="Times New Roman"/>
          <w:sz w:val="20"/>
          <w:szCs w:val="20"/>
          <w:lang w:val="ro-RO"/>
        </w:rPr>
        <w:t>Conform prevederilor art. 18 din O.U.G. nr. 195/2005 aprobată de Legea nr.265/2006, litigiile generate de emiterea prezentei decizii se soluţionează deinstanţa de contencios administrativ competentă a Tribunalului Harghita. Cererea în acest sens se poate depune în termen de 6 luni de la data primirii răspunsului în urma parcurgerii procedurii prealabile</w:t>
      </w:r>
    </w:p>
    <w:p w:rsidR="004515D3" w:rsidRPr="003C01D7" w:rsidRDefault="004515D3" w:rsidP="006E7C74">
      <w:pPr>
        <w:spacing w:after="0" w:line="240" w:lineRule="auto"/>
        <w:ind w:left="142" w:firstLine="567"/>
        <w:rPr>
          <w:rFonts w:ascii="Times New Roman" w:hAnsi="Times New Roman"/>
          <w:sz w:val="16"/>
          <w:szCs w:val="16"/>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DIRECTOR EXECUTIV                                                     ŞEF SERVICIU A.A.A.</w:t>
      </w: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 xml:space="preserve">ing.DOMOKOS László József                                                ing. LÁSZLÓ Anna  </w:t>
      </w:r>
    </w:p>
    <w:p w:rsidR="006E7C74" w:rsidRDefault="006E7C74" w:rsidP="006E7C74">
      <w:pPr>
        <w:spacing w:after="0" w:line="240" w:lineRule="auto"/>
        <w:rPr>
          <w:rFonts w:ascii="Times New Roman" w:hAnsi="Times New Roman"/>
          <w:sz w:val="16"/>
          <w:szCs w:val="16"/>
          <w:lang w:val="ro-RO"/>
        </w:rPr>
      </w:pPr>
    </w:p>
    <w:p w:rsidR="0044036B" w:rsidRDefault="0044036B" w:rsidP="006E7C74">
      <w:pPr>
        <w:spacing w:after="0" w:line="240" w:lineRule="auto"/>
        <w:rPr>
          <w:rFonts w:ascii="Times New Roman" w:hAnsi="Times New Roman"/>
          <w:sz w:val="16"/>
          <w:szCs w:val="16"/>
          <w:lang w:val="ro-RO"/>
        </w:rPr>
      </w:pPr>
    </w:p>
    <w:p w:rsidR="0044036B" w:rsidRDefault="0044036B" w:rsidP="006E7C74">
      <w:pPr>
        <w:spacing w:after="0" w:line="240" w:lineRule="auto"/>
        <w:rPr>
          <w:rFonts w:ascii="Times New Roman" w:hAnsi="Times New Roman"/>
          <w:sz w:val="16"/>
          <w:szCs w:val="16"/>
          <w:lang w:val="ro-RO"/>
        </w:rPr>
      </w:pPr>
    </w:p>
    <w:p w:rsidR="0044036B" w:rsidRDefault="0044036B" w:rsidP="006E7C74">
      <w:pPr>
        <w:spacing w:after="0" w:line="240" w:lineRule="auto"/>
        <w:rPr>
          <w:rFonts w:ascii="Times New Roman" w:hAnsi="Times New Roman"/>
          <w:sz w:val="16"/>
          <w:szCs w:val="16"/>
          <w:lang w:val="ro-RO"/>
        </w:rPr>
      </w:pPr>
    </w:p>
    <w:p w:rsidR="0044036B" w:rsidRDefault="0044036B" w:rsidP="006E7C74">
      <w:pPr>
        <w:spacing w:after="0" w:line="240" w:lineRule="auto"/>
        <w:rPr>
          <w:rFonts w:ascii="Times New Roman" w:hAnsi="Times New Roman"/>
          <w:sz w:val="16"/>
          <w:szCs w:val="16"/>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ÎNTOCMIT</w:t>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p>
    <w:p w:rsidR="0004217D" w:rsidRDefault="003C01D7" w:rsidP="006E7C74">
      <w:pPr>
        <w:spacing w:after="0" w:line="240" w:lineRule="auto"/>
        <w:rPr>
          <w:rFonts w:ascii="Times New Roman" w:hAnsi="Times New Roman"/>
          <w:sz w:val="24"/>
          <w:szCs w:val="24"/>
        </w:rPr>
      </w:pPr>
      <w:r>
        <w:rPr>
          <w:rFonts w:ascii="Times New Roman" w:hAnsi="Times New Roman"/>
          <w:sz w:val="24"/>
          <w:szCs w:val="24"/>
          <w:lang w:val="ro-RO"/>
        </w:rPr>
        <w:t>MIH</w:t>
      </w:r>
      <w:r>
        <w:rPr>
          <w:rFonts w:ascii="Times New Roman" w:hAnsi="Times New Roman"/>
          <w:sz w:val="24"/>
          <w:szCs w:val="24"/>
          <w:lang w:val="hu-HU"/>
        </w:rPr>
        <w:t>ÁLY</w:t>
      </w:r>
      <w:r w:rsidR="006E7C74" w:rsidRPr="0004217D">
        <w:rPr>
          <w:rFonts w:ascii="Times New Roman" w:hAnsi="Times New Roman"/>
          <w:sz w:val="24"/>
          <w:szCs w:val="24"/>
          <w:lang w:val="ro-RO"/>
        </w:rPr>
        <w:t xml:space="preserve"> István</w:t>
      </w:r>
      <w:r w:rsidR="006E7C74" w:rsidRPr="0004217D">
        <w:rPr>
          <w:rFonts w:ascii="Times New Roman" w:hAnsi="Times New Roman"/>
          <w:sz w:val="24"/>
          <w:szCs w:val="24"/>
        </w:rPr>
        <w:tab/>
      </w:r>
    </w:p>
    <w:p w:rsidR="001E1FA2" w:rsidRPr="0004217D" w:rsidRDefault="0004217D" w:rsidP="00AB4891">
      <w:pPr>
        <w:spacing w:after="0" w:line="240" w:lineRule="auto"/>
        <w:ind w:left="2880"/>
        <w:rPr>
          <w:rFonts w:ascii="Times New Roman" w:hAnsi="Times New Roman"/>
          <w:sz w:val="20"/>
          <w:szCs w:val="20"/>
          <w:lang w:val="ro-RO"/>
        </w:rPr>
      </w:pPr>
      <w:r>
        <w:rPr>
          <w:rFonts w:ascii="Times New Roman" w:hAnsi="Times New Roman"/>
          <w:sz w:val="20"/>
          <w:szCs w:val="20"/>
          <w:lang w:val="ro-RO"/>
        </w:rPr>
        <w:tab/>
      </w:r>
      <w:r w:rsidR="001E1FA2" w:rsidRPr="0004217D">
        <w:rPr>
          <w:rFonts w:ascii="Times New Roman" w:hAnsi="Times New Roman"/>
          <w:sz w:val="20"/>
          <w:szCs w:val="20"/>
          <w:lang w:val="ro-RO"/>
        </w:rPr>
        <w:t xml:space="preserve"> </w:t>
      </w:r>
      <w:r w:rsidR="000622D5">
        <w:rPr>
          <w:rFonts w:ascii="Times New Roman" w:hAnsi="Times New Roman"/>
          <w:sz w:val="20"/>
          <w:szCs w:val="20"/>
          <w:lang w:val="ro-RO"/>
        </w:rPr>
        <w:tab/>
      </w:r>
      <w:r w:rsidR="000622D5">
        <w:rPr>
          <w:rFonts w:ascii="Times New Roman" w:hAnsi="Times New Roman"/>
          <w:sz w:val="20"/>
          <w:szCs w:val="20"/>
          <w:lang w:val="ro-RO"/>
        </w:rPr>
        <w:tab/>
      </w:r>
      <w:r w:rsidR="001E1FA2" w:rsidRPr="0004217D">
        <w:rPr>
          <w:rFonts w:ascii="Times New Roman" w:hAnsi="Times New Roman"/>
          <w:sz w:val="20"/>
          <w:szCs w:val="20"/>
          <w:lang w:val="ro-RO"/>
        </w:rPr>
        <w:t>Decizia de încadrare s-a emis în 2 exemplare</w:t>
      </w:r>
    </w:p>
    <w:p w:rsidR="001E1FA2" w:rsidRPr="0004217D" w:rsidRDefault="0004217D" w:rsidP="00AB4891">
      <w:pPr>
        <w:spacing w:after="0" w:line="240" w:lineRule="auto"/>
        <w:ind w:left="2880"/>
        <w:rPr>
          <w:rFonts w:ascii="Times New Roman" w:hAnsi="Times New Roman"/>
          <w:sz w:val="20"/>
          <w:szCs w:val="20"/>
          <w:lang w:val="ro-RO"/>
        </w:rPr>
      </w:pPr>
      <w:r>
        <w:rPr>
          <w:rFonts w:ascii="Times New Roman" w:hAnsi="Times New Roman"/>
          <w:sz w:val="20"/>
          <w:szCs w:val="20"/>
          <w:lang w:val="ro-RO"/>
        </w:rPr>
        <w:tab/>
      </w:r>
      <w:r w:rsidR="000622D5">
        <w:rPr>
          <w:rFonts w:ascii="Times New Roman" w:hAnsi="Times New Roman"/>
          <w:sz w:val="20"/>
          <w:szCs w:val="20"/>
          <w:lang w:val="ro-RO"/>
        </w:rPr>
        <w:tab/>
      </w:r>
      <w:r w:rsidR="000622D5">
        <w:rPr>
          <w:rFonts w:ascii="Times New Roman" w:hAnsi="Times New Roman"/>
          <w:sz w:val="20"/>
          <w:szCs w:val="20"/>
          <w:lang w:val="ro-RO"/>
        </w:rPr>
        <w:tab/>
      </w:r>
      <w:r w:rsidR="001E1FA2" w:rsidRPr="0004217D">
        <w:rPr>
          <w:rFonts w:ascii="Times New Roman" w:hAnsi="Times New Roman"/>
          <w:sz w:val="20"/>
          <w:szCs w:val="20"/>
          <w:lang w:val="ro-RO"/>
        </w:rPr>
        <w:t>Ex. Nr. 1 - originalul s-a predat titularului planului</w:t>
      </w:r>
    </w:p>
    <w:p w:rsidR="00493824" w:rsidRPr="0004217D" w:rsidRDefault="001E1FA2" w:rsidP="000622D5">
      <w:pPr>
        <w:spacing w:after="0" w:line="360" w:lineRule="auto"/>
        <w:ind w:left="4320" w:firstLine="720"/>
        <w:rPr>
          <w:rFonts w:ascii="Times New Roman" w:hAnsi="Times New Roman"/>
          <w:sz w:val="20"/>
          <w:szCs w:val="20"/>
          <w:lang w:val="ro-RO"/>
        </w:rPr>
      </w:pPr>
      <w:r w:rsidRPr="0004217D">
        <w:rPr>
          <w:rFonts w:ascii="Times New Roman" w:hAnsi="Times New Roman"/>
          <w:sz w:val="20"/>
          <w:szCs w:val="20"/>
          <w:lang w:val="ro-RO"/>
        </w:rPr>
        <w:t>Ex. Nr. 2 – copia s-a îndos</w:t>
      </w:r>
      <w:bookmarkStart w:id="6" w:name="_GoBack"/>
      <w:bookmarkEnd w:id="6"/>
      <w:r w:rsidRPr="0004217D">
        <w:rPr>
          <w:rFonts w:ascii="Times New Roman" w:hAnsi="Times New Roman"/>
          <w:sz w:val="20"/>
          <w:szCs w:val="20"/>
          <w:lang w:val="ro-RO"/>
        </w:rPr>
        <w:t>ariat în dosarul de obiectiv</w:t>
      </w:r>
    </w:p>
    <w:sectPr w:rsidR="00493824" w:rsidRPr="0004217D" w:rsidSect="00F46542">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F9" w:rsidRDefault="006E06F9">
      <w:pPr>
        <w:spacing w:after="0" w:line="240" w:lineRule="auto"/>
      </w:pPr>
      <w:r>
        <w:separator/>
      </w:r>
    </w:p>
  </w:endnote>
  <w:endnote w:type="continuationSeparator" w:id="0">
    <w:p w:rsidR="006E06F9" w:rsidRDefault="006E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9B6096" w:rsidRPr="00727B64" w:rsidRDefault="009B609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004D27D0"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004D27D0" w:rsidRPr="00BF06FD">
              <w:rPr>
                <w:rFonts w:ascii="Arial" w:hAnsi="Arial" w:cs="Arial"/>
                <w:b/>
                <w:sz w:val="20"/>
                <w:szCs w:val="20"/>
              </w:rPr>
              <w:fldChar w:fldCharType="separate"/>
            </w:r>
            <w:r w:rsidR="000622D5">
              <w:rPr>
                <w:rFonts w:ascii="Arial" w:hAnsi="Arial" w:cs="Arial"/>
                <w:b/>
                <w:noProof/>
                <w:sz w:val="20"/>
                <w:szCs w:val="20"/>
              </w:rPr>
              <w:t>8</w:t>
            </w:r>
            <w:r w:rsidR="004D27D0" w:rsidRPr="00BF06FD">
              <w:rPr>
                <w:rFonts w:ascii="Arial" w:hAnsi="Arial" w:cs="Arial"/>
                <w:b/>
                <w:noProof/>
                <w:sz w:val="20"/>
                <w:szCs w:val="20"/>
              </w:rPr>
              <w:fldChar w:fldCharType="end"/>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F9" w:rsidRDefault="006E06F9">
      <w:pPr>
        <w:spacing w:after="0" w:line="240" w:lineRule="auto"/>
      </w:pPr>
      <w:r>
        <w:separator/>
      </w:r>
    </w:p>
  </w:footnote>
  <w:footnote w:type="continuationSeparator" w:id="0">
    <w:p w:rsidR="006E06F9" w:rsidRDefault="006E0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0DE4335"/>
    <w:multiLevelType w:val="hybridMultilevel"/>
    <w:tmpl w:val="0E4CEF34"/>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4225E3E"/>
    <w:multiLevelType w:val="hybridMultilevel"/>
    <w:tmpl w:val="5AAE25E2"/>
    <w:lvl w:ilvl="0" w:tplc="0409000D">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9"/>
  </w:num>
  <w:num w:numId="4">
    <w:abstractNumId w:val="8"/>
  </w:num>
  <w:num w:numId="5">
    <w:abstractNumId w:val="16"/>
  </w:num>
  <w:num w:numId="6">
    <w:abstractNumId w:val="9"/>
  </w:num>
  <w:num w:numId="7">
    <w:abstractNumId w:val="17"/>
  </w:num>
  <w:num w:numId="8">
    <w:abstractNumId w:val="15"/>
  </w:num>
  <w:num w:numId="9">
    <w:abstractNumId w:val="18"/>
  </w:num>
  <w:num w:numId="10">
    <w:abstractNumId w:val="7"/>
  </w:num>
  <w:num w:numId="11">
    <w:abstractNumId w:val="4"/>
  </w:num>
  <w:num w:numId="12">
    <w:abstractNumId w:val="2"/>
  </w:num>
  <w:num w:numId="13">
    <w:abstractNumId w:val="11"/>
  </w:num>
  <w:num w:numId="14">
    <w:abstractNumId w:val="20"/>
  </w:num>
  <w:num w:numId="15">
    <w:abstractNumId w:val="3"/>
  </w:num>
  <w:num w:numId="16">
    <w:abstractNumId w:val="0"/>
  </w:num>
  <w:num w:numId="17">
    <w:abstractNumId w:val="13"/>
  </w:num>
  <w:num w:numId="18">
    <w:abstractNumId w:val="1"/>
  </w:num>
  <w:num w:numId="19">
    <w:abstractNumId w:val="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22D5"/>
    <w:rsid w:val="00064172"/>
    <w:rsid w:val="0006536C"/>
    <w:rsid w:val="000730CD"/>
    <w:rsid w:val="000739EF"/>
    <w:rsid w:val="00074379"/>
    <w:rsid w:val="00085133"/>
    <w:rsid w:val="0008513A"/>
    <w:rsid w:val="00090D31"/>
    <w:rsid w:val="00094487"/>
    <w:rsid w:val="000A170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53CA"/>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1F0BD1"/>
    <w:rsid w:val="002023E8"/>
    <w:rsid w:val="00203BAB"/>
    <w:rsid w:val="00206A44"/>
    <w:rsid w:val="00207D25"/>
    <w:rsid w:val="00217DEE"/>
    <w:rsid w:val="00221739"/>
    <w:rsid w:val="002271D4"/>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41C7"/>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01D7"/>
    <w:rsid w:val="003C4C5A"/>
    <w:rsid w:val="003D2E16"/>
    <w:rsid w:val="003D575A"/>
    <w:rsid w:val="003D57C3"/>
    <w:rsid w:val="003E6B4B"/>
    <w:rsid w:val="003E7FA1"/>
    <w:rsid w:val="003F46C2"/>
    <w:rsid w:val="004057F9"/>
    <w:rsid w:val="004122A9"/>
    <w:rsid w:val="0041319F"/>
    <w:rsid w:val="00414181"/>
    <w:rsid w:val="004265A4"/>
    <w:rsid w:val="00431C79"/>
    <w:rsid w:val="0043647B"/>
    <w:rsid w:val="00440150"/>
    <w:rsid w:val="0044036B"/>
    <w:rsid w:val="00443275"/>
    <w:rsid w:val="00446230"/>
    <w:rsid w:val="004515D3"/>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B3BCF"/>
    <w:rsid w:val="004C2C25"/>
    <w:rsid w:val="004C4624"/>
    <w:rsid w:val="004C6BAD"/>
    <w:rsid w:val="004C7BFE"/>
    <w:rsid w:val="004D27D0"/>
    <w:rsid w:val="004D32CD"/>
    <w:rsid w:val="004D462B"/>
    <w:rsid w:val="004F1469"/>
    <w:rsid w:val="004F526C"/>
    <w:rsid w:val="004F7F31"/>
    <w:rsid w:val="00500F2A"/>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0C27"/>
    <w:rsid w:val="005B5A71"/>
    <w:rsid w:val="005C12ED"/>
    <w:rsid w:val="005C7177"/>
    <w:rsid w:val="005D2142"/>
    <w:rsid w:val="005D4C8D"/>
    <w:rsid w:val="005D534E"/>
    <w:rsid w:val="00603F3F"/>
    <w:rsid w:val="0061020F"/>
    <w:rsid w:val="00622762"/>
    <w:rsid w:val="0062319F"/>
    <w:rsid w:val="00623A27"/>
    <w:rsid w:val="0063013C"/>
    <w:rsid w:val="006304FF"/>
    <w:rsid w:val="006329A7"/>
    <w:rsid w:val="00633106"/>
    <w:rsid w:val="006454C0"/>
    <w:rsid w:val="00645BA3"/>
    <w:rsid w:val="00646026"/>
    <w:rsid w:val="00652B7F"/>
    <w:rsid w:val="006554FD"/>
    <w:rsid w:val="00656C12"/>
    <w:rsid w:val="00660B9C"/>
    <w:rsid w:val="00672629"/>
    <w:rsid w:val="006850DA"/>
    <w:rsid w:val="00690D4A"/>
    <w:rsid w:val="0069305A"/>
    <w:rsid w:val="00696ABF"/>
    <w:rsid w:val="006A03E5"/>
    <w:rsid w:val="006A0490"/>
    <w:rsid w:val="006A71DB"/>
    <w:rsid w:val="006B0888"/>
    <w:rsid w:val="006B3C95"/>
    <w:rsid w:val="006C78C0"/>
    <w:rsid w:val="006C79A0"/>
    <w:rsid w:val="006D085D"/>
    <w:rsid w:val="006D4693"/>
    <w:rsid w:val="006D79A6"/>
    <w:rsid w:val="006E06F9"/>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07278"/>
    <w:rsid w:val="009204E3"/>
    <w:rsid w:val="0092384F"/>
    <w:rsid w:val="00925B09"/>
    <w:rsid w:val="00936EBD"/>
    <w:rsid w:val="00940AD4"/>
    <w:rsid w:val="00967CAA"/>
    <w:rsid w:val="009701E3"/>
    <w:rsid w:val="00980A00"/>
    <w:rsid w:val="00985F97"/>
    <w:rsid w:val="0098745E"/>
    <w:rsid w:val="009B5443"/>
    <w:rsid w:val="009B6096"/>
    <w:rsid w:val="009C19AB"/>
    <w:rsid w:val="009C3649"/>
    <w:rsid w:val="009D073A"/>
    <w:rsid w:val="009E39CC"/>
    <w:rsid w:val="009E426D"/>
    <w:rsid w:val="009E5C2D"/>
    <w:rsid w:val="009F21BD"/>
    <w:rsid w:val="009F4F8F"/>
    <w:rsid w:val="00A04776"/>
    <w:rsid w:val="00A218B1"/>
    <w:rsid w:val="00A22A68"/>
    <w:rsid w:val="00A242F6"/>
    <w:rsid w:val="00A41E9B"/>
    <w:rsid w:val="00A42E6E"/>
    <w:rsid w:val="00A50D46"/>
    <w:rsid w:val="00A51CFB"/>
    <w:rsid w:val="00A61195"/>
    <w:rsid w:val="00A627AE"/>
    <w:rsid w:val="00A62FCD"/>
    <w:rsid w:val="00A73CC5"/>
    <w:rsid w:val="00A91470"/>
    <w:rsid w:val="00A93DA5"/>
    <w:rsid w:val="00AA0D99"/>
    <w:rsid w:val="00AA2F60"/>
    <w:rsid w:val="00AA3A85"/>
    <w:rsid w:val="00AA790D"/>
    <w:rsid w:val="00AB10EB"/>
    <w:rsid w:val="00AB14B7"/>
    <w:rsid w:val="00AB4891"/>
    <w:rsid w:val="00AB4F23"/>
    <w:rsid w:val="00AB6BD0"/>
    <w:rsid w:val="00AB7234"/>
    <w:rsid w:val="00AC626C"/>
    <w:rsid w:val="00AC7A16"/>
    <w:rsid w:val="00AD2F8E"/>
    <w:rsid w:val="00AE18B9"/>
    <w:rsid w:val="00AF11F2"/>
    <w:rsid w:val="00AF444F"/>
    <w:rsid w:val="00AF4882"/>
    <w:rsid w:val="00B057A0"/>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D1FFA"/>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772B7"/>
    <w:rsid w:val="00C81C47"/>
    <w:rsid w:val="00C863DD"/>
    <w:rsid w:val="00CA6AA2"/>
    <w:rsid w:val="00CB7247"/>
    <w:rsid w:val="00CB75F1"/>
    <w:rsid w:val="00CC0884"/>
    <w:rsid w:val="00CC3287"/>
    <w:rsid w:val="00CC71B9"/>
    <w:rsid w:val="00CD454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8477B"/>
    <w:rsid w:val="00D91AE8"/>
    <w:rsid w:val="00D949F4"/>
    <w:rsid w:val="00DA21F6"/>
    <w:rsid w:val="00DA2CDB"/>
    <w:rsid w:val="00DA2D0B"/>
    <w:rsid w:val="00DB5B0E"/>
    <w:rsid w:val="00DB6AE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04A3"/>
    <w:rsid w:val="00F46542"/>
    <w:rsid w:val="00F479BF"/>
    <w:rsid w:val="00F50B47"/>
    <w:rsid w:val="00F724B7"/>
    <w:rsid w:val="00F72D8A"/>
    <w:rsid w:val="00F74F5A"/>
    <w:rsid w:val="00F77053"/>
    <w:rsid w:val="00F8759C"/>
    <w:rsid w:val="00F9133C"/>
    <w:rsid w:val="00F92805"/>
    <w:rsid w:val="00F96E21"/>
    <w:rsid w:val="00FA160B"/>
    <w:rsid w:val="00FB135B"/>
    <w:rsid w:val="00FB1646"/>
    <w:rsid w:val="00FB29D8"/>
    <w:rsid w:val="00FB4704"/>
    <w:rsid w:val="00FB4F33"/>
    <w:rsid w:val="00FB51C6"/>
    <w:rsid w:val="00FB6B02"/>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BodyTextIndentChar"/>
    <w:unhideWhenUsed/>
    <w:rsid w:val="001E1FA2"/>
    <w:pPr>
      <w:spacing w:after="120"/>
      <w:ind w:left="360"/>
    </w:pPr>
  </w:style>
  <w:style w:type="character" w:customStyle="1" w:styleId="BodyTextIndentChar">
    <w:name w:val="Body Text Indent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1"/>
    <w:qFormat/>
    <w:rsid w:val="001E1FA2"/>
    <w:pPr>
      <w:ind w:left="720"/>
    </w:pPr>
  </w:style>
  <w:style w:type="paragraph" w:styleId="llb">
    <w:name w:val="footer"/>
    <w:basedOn w:val="Norm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BodyText2Char"/>
    <w:uiPriority w:val="99"/>
    <w:unhideWhenUsed/>
    <w:rsid w:val="001E1FA2"/>
    <w:pPr>
      <w:spacing w:after="120" w:line="480" w:lineRule="auto"/>
    </w:pPr>
  </w:style>
  <w:style w:type="character" w:customStyle="1" w:styleId="BodyText2Char">
    <w:name w:val="Body Text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BodyTextChar"/>
    <w:uiPriority w:val="99"/>
    <w:unhideWhenUsed/>
    <w:rsid w:val="00007D93"/>
    <w:pPr>
      <w:spacing w:after="120"/>
    </w:pPr>
  </w:style>
  <w:style w:type="character" w:customStyle="1" w:styleId="BodyTextChar">
    <w:name w:val="Body Text Char"/>
    <w:basedOn w:val="Bekezdsalapbettpusa"/>
    <w:link w:val="Szvegtrzs"/>
    <w:uiPriority w:val="99"/>
    <w:rsid w:val="00007D93"/>
    <w:rPr>
      <w:rFonts w:ascii="Calibri" w:eastAsia="Calibri" w:hAnsi="Calibri" w:cs="Times New Roman"/>
    </w:rPr>
  </w:style>
  <w:style w:type="character" w:customStyle="1" w:styleId="Heading1Char">
    <w:name w:val="Heading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paragraph" w:customStyle="1" w:styleId="textproiect">
    <w:name w:val="text_proiect"/>
    <w:basedOn w:val="Norml"/>
    <w:link w:val="textproiectChar"/>
    <w:qFormat/>
    <w:rsid w:val="002271D4"/>
    <w:pPr>
      <w:overflowPunct w:val="0"/>
      <w:autoSpaceDE w:val="0"/>
      <w:autoSpaceDN w:val="0"/>
      <w:adjustRightInd w:val="0"/>
      <w:spacing w:after="0" w:line="240" w:lineRule="auto"/>
      <w:ind w:firstLine="840"/>
      <w:jc w:val="both"/>
      <w:textAlignment w:val="baseline"/>
    </w:pPr>
    <w:rPr>
      <w:rFonts w:ascii="Times New Roman" w:eastAsia="Times New Roman" w:hAnsi="Times New Roman"/>
      <w:sz w:val="24"/>
      <w:szCs w:val="20"/>
      <w:lang w:val="ro-RO"/>
    </w:rPr>
  </w:style>
  <w:style w:type="character" w:customStyle="1" w:styleId="textproiectChar">
    <w:name w:val="text_proiect Char"/>
    <w:link w:val="textproiect"/>
    <w:rsid w:val="002271D4"/>
    <w:rPr>
      <w:rFonts w:ascii="Times New Roman" w:eastAsia="Times New Roman" w:hAnsi="Times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BodyTextIndentChar"/>
    <w:unhideWhenUsed/>
    <w:rsid w:val="001E1FA2"/>
    <w:pPr>
      <w:spacing w:after="120"/>
      <w:ind w:left="360"/>
    </w:pPr>
  </w:style>
  <w:style w:type="character" w:customStyle="1" w:styleId="BodyTextIndentChar">
    <w:name w:val="Body Text Indent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1"/>
    <w:qFormat/>
    <w:rsid w:val="001E1FA2"/>
    <w:pPr>
      <w:ind w:left="720"/>
    </w:pPr>
  </w:style>
  <w:style w:type="paragraph" w:styleId="llb">
    <w:name w:val="footer"/>
    <w:basedOn w:val="Norm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BodyText2Char"/>
    <w:uiPriority w:val="99"/>
    <w:unhideWhenUsed/>
    <w:rsid w:val="001E1FA2"/>
    <w:pPr>
      <w:spacing w:after="120" w:line="480" w:lineRule="auto"/>
    </w:pPr>
  </w:style>
  <w:style w:type="character" w:customStyle="1" w:styleId="BodyText2Char">
    <w:name w:val="Body Text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BodyTextChar"/>
    <w:uiPriority w:val="99"/>
    <w:unhideWhenUsed/>
    <w:rsid w:val="00007D93"/>
    <w:pPr>
      <w:spacing w:after="120"/>
    </w:pPr>
  </w:style>
  <w:style w:type="character" w:customStyle="1" w:styleId="BodyTextChar">
    <w:name w:val="Body Text Char"/>
    <w:basedOn w:val="Bekezdsalapbettpusa"/>
    <w:link w:val="Szvegtrzs"/>
    <w:uiPriority w:val="99"/>
    <w:rsid w:val="00007D93"/>
    <w:rPr>
      <w:rFonts w:ascii="Calibri" w:eastAsia="Calibri" w:hAnsi="Calibri" w:cs="Times New Roman"/>
    </w:rPr>
  </w:style>
  <w:style w:type="character" w:customStyle="1" w:styleId="Heading1Char">
    <w:name w:val="Heading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paragraph" w:customStyle="1" w:styleId="textproiect">
    <w:name w:val="text_proiect"/>
    <w:basedOn w:val="Norml"/>
    <w:link w:val="textproiectChar"/>
    <w:qFormat/>
    <w:rsid w:val="002271D4"/>
    <w:pPr>
      <w:overflowPunct w:val="0"/>
      <w:autoSpaceDE w:val="0"/>
      <w:autoSpaceDN w:val="0"/>
      <w:adjustRightInd w:val="0"/>
      <w:spacing w:after="0" w:line="240" w:lineRule="auto"/>
      <w:ind w:firstLine="840"/>
      <w:jc w:val="both"/>
      <w:textAlignment w:val="baseline"/>
    </w:pPr>
    <w:rPr>
      <w:rFonts w:ascii="Times New Roman" w:eastAsia="Times New Roman" w:hAnsi="Times New Roman"/>
      <w:sz w:val="24"/>
      <w:szCs w:val="20"/>
      <w:lang w:val="ro-RO"/>
    </w:rPr>
  </w:style>
  <w:style w:type="character" w:customStyle="1" w:styleId="textproiectChar">
    <w:name w:val="text_proiect Char"/>
    <w:link w:val="textproiect"/>
    <w:rsid w:val="002271D4"/>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9C09-D2B1-4AF4-9EA8-9D81473C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3130</Words>
  <Characters>21602</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2</cp:revision>
  <cp:lastPrinted>2018-04-12T12:39:00Z</cp:lastPrinted>
  <dcterms:created xsi:type="dcterms:W3CDTF">2018-05-29T08:07:00Z</dcterms:created>
  <dcterms:modified xsi:type="dcterms:W3CDTF">2018-05-29T08:07:00Z</dcterms:modified>
</cp:coreProperties>
</file>