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962C6">
        <w:t>4</w:t>
      </w:r>
      <w:r w:rsidR="002B7BCB">
        <w:t>953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B7BCB">
        <w:t>21</w:t>
      </w:r>
      <w:r w:rsidR="00980CCF">
        <w:t xml:space="preserve"> mai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B7BCB">
        <w:rPr>
          <w:b/>
          <w:sz w:val="32"/>
        </w:rPr>
        <w:t xml:space="preserve">21 </w:t>
      </w:r>
      <w:r w:rsidR="00980CCF">
        <w:rPr>
          <w:b/>
          <w:sz w:val="32"/>
        </w:rPr>
        <w:t>mai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TIMHA WOOD CONSTRUCT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Ciumani, nr. 932</w:t>
            </w:r>
          </w:p>
        </w:tc>
        <w:tc>
          <w:tcPr>
            <w:tcW w:w="2273" w:type="dxa"/>
          </w:tcPr>
          <w:p w:rsidR="002B7BCB" w:rsidRDefault="002B7BCB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BENKORBAN TOP S.R.L. 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Ciumani, nr. 1349</w:t>
            </w:r>
          </w:p>
        </w:tc>
        <w:tc>
          <w:tcPr>
            <w:tcW w:w="2273" w:type="dxa"/>
          </w:tcPr>
          <w:p w:rsidR="002B7BCB" w:rsidRDefault="002B7BCB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BNSZ SPALATORIE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Frăţiei,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PANKO PROD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Brutărie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Gabor Aron, nr. 6/A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SERVICIUL PUBLIC DE APĂ ŞI CANALIZARE 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Captarea, tratarea, distribuţia apei potabile, sistem de canalizare menajeră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Ciumani, Piaţa </w:t>
            </w:r>
            <w:proofErr w:type="spellStart"/>
            <w:r>
              <w:rPr>
                <w:sz w:val="24"/>
                <w:szCs w:val="24"/>
              </w:rPr>
              <w:t>Borsos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Miklos</w:t>
            </w:r>
            <w:proofErr w:type="spellEnd"/>
            <w:r>
              <w:rPr>
                <w:sz w:val="24"/>
                <w:szCs w:val="24"/>
              </w:rPr>
              <w:t>, nr. 208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HEVEDER GREEN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Voşlăbeni, str. </w:t>
            </w:r>
            <w:proofErr w:type="spellStart"/>
            <w:r>
              <w:rPr>
                <w:sz w:val="24"/>
                <w:szCs w:val="24"/>
              </w:rPr>
              <w:t>Heveder</w:t>
            </w:r>
            <w:proofErr w:type="spellEnd"/>
            <w:r>
              <w:rPr>
                <w:sz w:val="24"/>
                <w:szCs w:val="24"/>
              </w:rPr>
              <w:t>, nr. 243/A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AGORA GROUP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nr. 478/c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TALEROS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ridicata produse chimice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nr. 721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SIMULTAN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prelucrare a laptelui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Sânpaul, nr. 28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DUNA TRADE S.R.L.</w:t>
            </w:r>
          </w:p>
        </w:tc>
        <w:tc>
          <w:tcPr>
            <w:tcW w:w="2263" w:type="dxa"/>
          </w:tcPr>
          <w:p w:rsidR="002B7BCB" w:rsidRPr="00A0798E" w:rsidRDefault="002B7BCB" w:rsidP="002C22DE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i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Băile Tuşnad, str. Brazilor, nr. 6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FENYO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N. Bălcescu, nr. 11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B7BCB" w:rsidTr="00356E90">
        <w:tc>
          <w:tcPr>
            <w:tcW w:w="2430" w:type="dxa"/>
          </w:tcPr>
          <w:p w:rsidR="002B7BCB" w:rsidRDefault="002B7BCB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ZONE COMPANY S.R.L.</w:t>
            </w:r>
          </w:p>
        </w:tc>
        <w:tc>
          <w:tcPr>
            <w:tcW w:w="2263" w:type="dxa"/>
          </w:tcPr>
          <w:p w:rsidR="002B7BCB" w:rsidRDefault="002B7BCB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periculoase şi nepericuloase</w:t>
            </w:r>
          </w:p>
        </w:tc>
        <w:tc>
          <w:tcPr>
            <w:tcW w:w="2395" w:type="dxa"/>
          </w:tcPr>
          <w:p w:rsidR="002B7BCB" w:rsidRDefault="002B7BCB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Mugeni, nr. 308/A</w:t>
            </w:r>
          </w:p>
        </w:tc>
        <w:tc>
          <w:tcPr>
            <w:tcW w:w="2273" w:type="dxa"/>
          </w:tcPr>
          <w:p w:rsidR="002B7BCB" w:rsidRDefault="002B7BCB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B7BCB" w:rsidRDefault="002B7BC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bookmarkStart w:id="0" w:name="_GoBack"/>
      <w:bookmarkEnd w:id="0"/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F21C-5BE1-4AF0-9BDC-E2227D4A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101</cp:revision>
  <cp:lastPrinted>2019-05-23T08:03:00Z</cp:lastPrinted>
  <dcterms:created xsi:type="dcterms:W3CDTF">2014-07-29T07:06:00Z</dcterms:created>
  <dcterms:modified xsi:type="dcterms:W3CDTF">2019-05-23T08:10:00Z</dcterms:modified>
</cp:coreProperties>
</file>