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AF7168"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2236177"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2E6EFE">
        <w:rPr>
          <w:rFonts w:ascii="Times New Roman" w:hAnsi="Times New Roman"/>
          <w:bCs/>
          <w:sz w:val="24"/>
          <w:szCs w:val="24"/>
          <w:lang w:val="ro-RO"/>
        </w:rPr>
        <w:t>743</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212A94">
        <w:rPr>
          <w:rFonts w:ascii="Times New Roman" w:hAnsi="Times New Roman"/>
          <w:bCs/>
          <w:sz w:val="24"/>
          <w:szCs w:val="24"/>
          <w:lang w:val="ro-RO"/>
        </w:rPr>
        <w:t>14.11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212A94">
        <w:rPr>
          <w:rFonts w:ascii="Times New Roman" w:hAnsi="Times New Roman"/>
          <w:b/>
          <w:bCs/>
          <w:sz w:val="26"/>
          <w:szCs w:val="26"/>
          <w:lang w:val="ro-RO" w:eastAsia="ro-RO"/>
        </w:rPr>
        <w:t>14.11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F11CFC">
        <w:rPr>
          <w:rFonts w:ascii="Times New Roman" w:hAnsi="Times New Roman"/>
          <w:b/>
          <w:sz w:val="26"/>
          <w:szCs w:val="26"/>
          <w:lang w:val="ro-RO"/>
        </w:rPr>
        <w:t>III Secu</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2E6EFE">
        <w:rPr>
          <w:rFonts w:ascii="Times New Roman" w:hAnsi="Times New Roman"/>
          <w:sz w:val="26"/>
          <w:szCs w:val="26"/>
          <w:lang w:val="ro-RO"/>
        </w:rPr>
        <w:t>T</w:t>
      </w:r>
      <w:r w:rsidR="004862DB">
        <w:rPr>
          <w:rFonts w:ascii="Times New Roman" w:hAnsi="Times New Roman"/>
          <w:sz w:val="26"/>
          <w:szCs w:val="26"/>
          <w:lang w:val="ro-RO"/>
        </w:rPr>
        <w:t>oplița</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2E6EFE">
        <w:rPr>
          <w:rFonts w:ascii="Times New Roman" w:hAnsi="Times New Roman"/>
          <w:sz w:val="26"/>
          <w:szCs w:val="26"/>
          <w:lang w:val="ro-RO"/>
        </w:rPr>
        <w:t>743</w:t>
      </w:r>
      <w:r w:rsidRPr="00A20B14">
        <w:rPr>
          <w:rFonts w:ascii="Times New Roman" w:hAnsi="Times New Roman"/>
          <w:sz w:val="26"/>
          <w:szCs w:val="26"/>
          <w:lang w:val="ro-RO"/>
        </w:rPr>
        <w:t>/</w:t>
      </w:r>
      <w:r w:rsidR="00832280">
        <w:rPr>
          <w:rFonts w:ascii="Times New Roman" w:hAnsi="Times New Roman"/>
          <w:sz w:val="26"/>
          <w:szCs w:val="26"/>
          <w:lang w:val="ro-RO"/>
        </w:rPr>
        <w:t>1</w:t>
      </w:r>
      <w:r w:rsidR="002E6EFE">
        <w:rPr>
          <w:rFonts w:ascii="Times New Roman" w:hAnsi="Times New Roman"/>
          <w:sz w:val="26"/>
          <w:szCs w:val="26"/>
          <w:lang w:val="ro-RO"/>
        </w:rPr>
        <w:t>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 xml:space="preserve">nr. 10508/14.11.2023,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w:t>
      </w:r>
      <w:r w:rsidRPr="00497B59">
        <w:rPr>
          <w:rFonts w:ascii="Times New Roman" w:hAnsi="Times New Roman"/>
          <w:i/>
          <w:color w:val="000000"/>
          <w:sz w:val="26"/>
          <w:szCs w:val="26"/>
          <w:lang w:val="ro-RO"/>
        </w:rPr>
        <w:t>nr. 2</w:t>
      </w:r>
      <w:r>
        <w:rPr>
          <w:rFonts w:ascii="Times New Roman" w:hAnsi="Times New Roman"/>
          <w:i/>
          <w:color w:val="000000"/>
          <w:sz w:val="26"/>
          <w:szCs w:val="26"/>
          <w:lang w:val="ro-RO"/>
        </w:rPr>
        <w:t>387/2011 pentru modificarea Ordinului</w:t>
      </w:r>
      <w:r w:rsidRPr="00497B59">
        <w:rPr>
          <w:rFonts w:ascii="Times New Roman" w:hAnsi="Times New Roman"/>
          <w:i/>
          <w:color w:val="000000"/>
          <w:sz w:val="26"/>
          <w:szCs w:val="26"/>
          <w:lang w:val="ro-RO"/>
        </w:rPr>
        <w:t xml:space="preserve"> nr. 1964/2007 privind instituirea regimului de arie naturală protejată a siturilor de </w:t>
      </w:r>
      <w:proofErr w:type="spellStart"/>
      <w:r w:rsidRPr="00497B59">
        <w:rPr>
          <w:rFonts w:ascii="Times New Roman" w:hAnsi="Times New Roman"/>
          <w:i/>
          <w:color w:val="000000"/>
          <w:sz w:val="26"/>
          <w:szCs w:val="26"/>
          <w:lang w:val="ro-RO"/>
        </w:rPr>
        <w:t>importanţă</w:t>
      </w:r>
      <w:proofErr w:type="spellEnd"/>
      <w:r w:rsidRPr="00497B59">
        <w:rPr>
          <w:rFonts w:ascii="Times New Roman" w:hAnsi="Times New Roman"/>
          <w:i/>
          <w:color w:val="000000"/>
          <w:sz w:val="26"/>
          <w:szCs w:val="26"/>
          <w:lang w:val="ro-RO"/>
        </w:rPr>
        <w:t xml:space="preserve"> comunitară, ca parte integrantă a </w:t>
      </w:r>
      <w:proofErr w:type="spellStart"/>
      <w:r w:rsidRPr="00497B59">
        <w:rPr>
          <w:rFonts w:ascii="Times New Roman" w:hAnsi="Times New Roman"/>
          <w:i/>
          <w:color w:val="000000"/>
          <w:sz w:val="26"/>
          <w:szCs w:val="26"/>
          <w:lang w:val="ro-RO"/>
        </w:rPr>
        <w:t>reţelei</w:t>
      </w:r>
      <w:proofErr w:type="spellEnd"/>
      <w:r w:rsidRPr="00497B59">
        <w:rPr>
          <w:rFonts w:ascii="Times New Roman" w:hAnsi="Times New Roman"/>
          <w:i/>
          <w:color w:val="000000"/>
          <w:sz w:val="26"/>
          <w:szCs w:val="26"/>
          <w:lang w:val="ro-RO"/>
        </w:rPr>
        <w:t xml:space="preserve"> ecologice </w:t>
      </w:r>
      <w:r>
        <w:rPr>
          <w:rFonts w:ascii="Times New Roman" w:hAnsi="Times New Roman"/>
          <w:i/>
          <w:color w:val="000000"/>
          <w:sz w:val="26"/>
          <w:szCs w:val="26"/>
          <w:lang w:val="ro-RO"/>
        </w:rPr>
        <w:t>europene Natura 2000 în România</w:t>
      </w:r>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212A94" w:rsidRPr="00B93166"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 xml:space="preserve">Ordinul M.M.A.P. nr. 1556/2016 privind aprobarea Planului de management al Parcului Natural Defileul </w:t>
      </w:r>
      <w:proofErr w:type="spellStart"/>
      <w:r w:rsidRPr="00B27DB5">
        <w:rPr>
          <w:rFonts w:ascii="Times New Roman" w:hAnsi="Times New Roman"/>
          <w:i/>
          <w:color w:val="000000"/>
          <w:sz w:val="26"/>
          <w:szCs w:val="26"/>
          <w:lang w:val="ro-RO"/>
        </w:rPr>
        <w:t>Mureşului</w:t>
      </w:r>
      <w:proofErr w:type="spellEnd"/>
      <w:r w:rsidRPr="00B27DB5">
        <w:rPr>
          <w:rFonts w:ascii="Times New Roman" w:hAnsi="Times New Roman"/>
          <w:i/>
          <w:color w:val="000000"/>
          <w:sz w:val="26"/>
          <w:szCs w:val="26"/>
          <w:lang w:val="ro-RO"/>
        </w:rPr>
        <w:t xml:space="preserve"> Superior </w:t>
      </w:r>
      <w:proofErr w:type="spellStart"/>
      <w:r w:rsidRPr="00B27DB5">
        <w:rPr>
          <w:rFonts w:ascii="Times New Roman" w:hAnsi="Times New Roman"/>
          <w:i/>
          <w:color w:val="000000"/>
          <w:sz w:val="26"/>
          <w:szCs w:val="26"/>
          <w:lang w:val="ro-RO"/>
        </w:rPr>
        <w:t>şi</w:t>
      </w:r>
      <w:proofErr w:type="spellEnd"/>
      <w:r w:rsidRPr="00B27DB5">
        <w:rPr>
          <w:rFonts w:ascii="Times New Roman" w:hAnsi="Times New Roman"/>
          <w:i/>
          <w:color w:val="000000"/>
          <w:sz w:val="26"/>
          <w:szCs w:val="26"/>
          <w:lang w:val="ro-RO"/>
        </w:rPr>
        <w:t xml:space="preserve"> al ariilor naturale protejate anexe</w:t>
      </w:r>
    </w:p>
    <w:p w:rsidR="00212A94" w:rsidRP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M.M.A.P. </w:t>
      </w:r>
      <w:r w:rsidRPr="00581CD9">
        <w:rPr>
          <w:rFonts w:asciiTheme="majorHAnsi" w:hAnsiTheme="majorHAnsi" w:cstheme="majorHAnsi"/>
          <w:i/>
          <w:color w:val="000000"/>
          <w:sz w:val="26"/>
          <w:szCs w:val="26"/>
          <w:lang w:val="ro-RO"/>
        </w:rPr>
        <w:t xml:space="preserve">nr. 753 din 2016 privind aprobarea Planului de management </w:t>
      </w:r>
      <w:proofErr w:type="spellStart"/>
      <w:r w:rsidRPr="00581CD9">
        <w:rPr>
          <w:rFonts w:asciiTheme="majorHAnsi" w:hAnsiTheme="majorHAnsi" w:cstheme="majorHAnsi"/>
          <w:i/>
          <w:sz w:val="26"/>
          <w:szCs w:val="26"/>
          <w:lang w:val="ro-RO"/>
        </w:rPr>
        <w:t>şi</w:t>
      </w:r>
      <w:proofErr w:type="spellEnd"/>
      <w:r w:rsidRPr="00581CD9">
        <w:rPr>
          <w:rFonts w:asciiTheme="majorHAnsi" w:hAnsiTheme="majorHAnsi" w:cstheme="majorHAnsi"/>
          <w:i/>
          <w:sz w:val="26"/>
          <w:szCs w:val="26"/>
          <w:lang w:val="ro-RO"/>
        </w:rPr>
        <w:t xml:space="preserve"> a Regulamentului sitului Natura 2000 ROSCI0252 </w:t>
      </w:r>
      <w:proofErr w:type="spellStart"/>
      <w:r w:rsidRPr="00581CD9">
        <w:rPr>
          <w:rFonts w:asciiTheme="majorHAnsi" w:hAnsiTheme="majorHAnsi" w:cstheme="majorHAnsi"/>
          <w:i/>
          <w:sz w:val="26"/>
          <w:szCs w:val="26"/>
          <w:lang w:val="ro-RO"/>
        </w:rPr>
        <w:t>Topliţa</w:t>
      </w:r>
      <w:proofErr w:type="spellEnd"/>
      <w:r w:rsidRPr="00581CD9">
        <w:rPr>
          <w:rFonts w:asciiTheme="majorHAnsi" w:hAnsiTheme="majorHAnsi" w:cstheme="majorHAnsi"/>
          <w:i/>
          <w:sz w:val="26"/>
          <w:szCs w:val="26"/>
          <w:lang w:val="ro-RO"/>
        </w:rPr>
        <w:t xml:space="preserve"> - Scaunul Rotund Borsec</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212A94">
        <w:rPr>
          <w:rFonts w:ascii="Times New Roman" w:hAnsi="Times New Roman"/>
          <w:color w:val="000000"/>
          <w:sz w:val="26"/>
          <w:szCs w:val="26"/>
          <w:lang w:val="ro-RO"/>
        </w:rPr>
        <w:t>14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lastRenderedPageBreak/>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4862DB">
        <w:rPr>
          <w:rFonts w:ascii="Times New Roman" w:hAnsi="Times New Roman"/>
          <w:b/>
          <w:i/>
          <w:color w:val="000000"/>
          <w:sz w:val="26"/>
          <w:szCs w:val="26"/>
          <w:lang w:val="ro-RO"/>
        </w:rPr>
        <w:t>Toplița</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F11CFC">
        <w:rPr>
          <w:rFonts w:ascii="Times New Roman" w:hAnsi="Times New Roman"/>
          <w:b/>
          <w:i/>
          <w:sz w:val="26"/>
          <w:szCs w:val="26"/>
          <w:lang w:val="ro-RO"/>
        </w:rPr>
        <w:t>III Secu</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F11CFC">
        <w:rPr>
          <w:rFonts w:ascii="Times New Roman" w:hAnsi="Times New Roman"/>
          <w:sz w:val="26"/>
          <w:szCs w:val="26"/>
          <w:lang w:val="ro-RO"/>
        </w:rPr>
        <w:t>III Secu</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862DB">
        <w:rPr>
          <w:rFonts w:ascii="Times New Roman" w:hAnsi="Times New Roman"/>
          <w:sz w:val="26"/>
          <w:szCs w:val="26"/>
          <w:lang w:val="ro-RO"/>
        </w:rPr>
        <w:t xml:space="preserve">municipiului Toplița, </w:t>
      </w:r>
      <w:r w:rsidR="007131C6">
        <w:rPr>
          <w:rFonts w:ascii="Times New Roman" w:hAnsi="Times New Roman"/>
          <w:sz w:val="26"/>
          <w:szCs w:val="26"/>
          <w:lang w:val="ro-RO"/>
        </w:rPr>
        <w:t xml:space="preserve">orașului Borsec, </w:t>
      </w:r>
      <w:r w:rsidR="008A4AF9">
        <w:rPr>
          <w:rFonts w:ascii="Times New Roman" w:hAnsi="Times New Roman"/>
          <w:sz w:val="26"/>
          <w:szCs w:val="26"/>
          <w:lang w:val="ro-RO"/>
        </w:rPr>
        <w:t xml:space="preserve">comunei </w:t>
      </w:r>
      <w:r w:rsidR="007131C6">
        <w:rPr>
          <w:rFonts w:ascii="Times New Roman" w:hAnsi="Times New Roman"/>
          <w:sz w:val="26"/>
          <w:szCs w:val="26"/>
          <w:lang w:val="ro-RO"/>
        </w:rPr>
        <w:t>Bilbor</w:t>
      </w:r>
      <w:r w:rsidR="004862DB">
        <w:rPr>
          <w:rFonts w:ascii="Times New Roman" w:hAnsi="Times New Roman"/>
          <w:sz w:val="26"/>
          <w:szCs w:val="26"/>
          <w:lang w:val="ro-RO"/>
        </w:rPr>
        <w:t xml:space="preserve">, Gălăuțaș </w:t>
      </w:r>
      <w:r w:rsidR="00CA72E7">
        <w:rPr>
          <w:rFonts w:ascii="Times New Roman" w:hAnsi="Times New Roman"/>
          <w:sz w:val="26"/>
          <w:szCs w:val="26"/>
          <w:lang w:val="ro-RO"/>
        </w:rPr>
        <w:t xml:space="preserve">și </w:t>
      </w:r>
      <w:r w:rsidR="007131C6">
        <w:rPr>
          <w:rFonts w:ascii="Times New Roman" w:hAnsi="Times New Roman"/>
          <w:sz w:val="26"/>
          <w:szCs w:val="26"/>
          <w:lang w:val="ro-RO"/>
        </w:rPr>
        <w:t xml:space="preserve">comunei </w:t>
      </w:r>
      <w:r w:rsidR="004862DB">
        <w:rPr>
          <w:rFonts w:ascii="Times New Roman" w:hAnsi="Times New Roman"/>
          <w:sz w:val="26"/>
          <w:szCs w:val="26"/>
          <w:lang w:val="ro-RO"/>
        </w:rPr>
        <w:t>Sărmaș</w:t>
      </w:r>
      <w:r w:rsidR="004F18A1">
        <w:rPr>
          <w:rFonts w:ascii="Times New Roman" w:hAnsi="Times New Roman"/>
          <w:sz w:val="26"/>
          <w:szCs w:val="26"/>
          <w:lang w:val="ro-RO"/>
        </w:rPr>
        <w:t>.</w:t>
      </w:r>
    </w:p>
    <w:p w:rsidR="004862DB" w:rsidRDefault="004862DB"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5388AFE9" wp14:editId="5363FE5E">
            <wp:extent cx="5943600" cy="22085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08530"/>
                    </a:xfrm>
                    <a:prstGeom prst="rect">
                      <a:avLst/>
                    </a:prstGeom>
                  </pic:spPr>
                </pic:pic>
              </a:graphicData>
            </a:graphic>
          </wp:inline>
        </w:drawing>
      </w:r>
    </w:p>
    <w:p w:rsidR="009D60C4" w:rsidRDefault="00970113" w:rsidP="003009AC">
      <w:pPr>
        <w:spacing w:after="0" w:line="240" w:lineRule="auto"/>
        <w:ind w:firstLine="702"/>
        <w:jc w:val="both"/>
        <w:rPr>
          <w:rFonts w:ascii="Times New Roman" w:hAnsi="Times New Roman"/>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F11CFC">
        <w:rPr>
          <w:rFonts w:asciiTheme="majorHAnsi" w:hAnsiTheme="majorHAnsi" w:cstheme="majorHAnsi"/>
          <w:b/>
          <w:i/>
          <w:sz w:val="26"/>
          <w:szCs w:val="26"/>
          <w:lang w:val="ro-RO"/>
        </w:rPr>
        <w:t>III Secu</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4862DB">
        <w:rPr>
          <w:rFonts w:asciiTheme="majorHAnsi" w:hAnsiTheme="majorHAnsi" w:cstheme="majorHAnsi"/>
          <w:sz w:val="26"/>
          <w:szCs w:val="26"/>
          <w:lang w:val="ro-RO"/>
        </w:rPr>
        <w:t>Toplița</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F11CFC">
        <w:rPr>
          <w:rFonts w:asciiTheme="majorHAnsi" w:hAnsiTheme="majorHAnsi" w:cstheme="majorHAnsi"/>
          <w:sz w:val="26"/>
          <w:szCs w:val="26"/>
          <w:lang w:val="ro-RO"/>
        </w:rPr>
        <w:t>III Secu</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4862DB">
        <w:rPr>
          <w:rFonts w:asciiTheme="majorHAnsi" w:hAnsiTheme="majorHAnsi" w:cstheme="majorHAnsi"/>
          <w:b/>
          <w:sz w:val="26"/>
          <w:szCs w:val="26"/>
          <w:lang w:val="ro-RO"/>
        </w:rPr>
        <w:t>924,16</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9D60C4" w:rsidRPr="000D113D" w:rsidRDefault="009D60C4" w:rsidP="003009AC">
      <w:pPr>
        <w:spacing w:after="0" w:line="240" w:lineRule="auto"/>
        <w:ind w:firstLine="702"/>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Pr="003009AC">
        <w:rPr>
          <w:rFonts w:asciiTheme="majorHAnsi" w:hAnsiTheme="majorHAnsi" w:cstheme="majorHAnsi"/>
          <w:sz w:val="26"/>
          <w:szCs w:val="26"/>
          <w:lang w:val="ro-RO"/>
        </w:rPr>
        <w:t xml:space="preserve">cu </w:t>
      </w:r>
      <w:r w:rsidR="004862DB" w:rsidRPr="003009AC">
        <w:rPr>
          <w:rFonts w:asciiTheme="majorHAnsi" w:hAnsiTheme="majorHAnsi" w:cstheme="majorHAnsi"/>
          <w:sz w:val="26"/>
          <w:szCs w:val="26"/>
          <w:lang w:val="ro-RO"/>
        </w:rPr>
        <w:t>situl de importanță comunitară ROSCI0252 Toplița-Scaunul Rotund Borsec (</w:t>
      </w:r>
      <w:r w:rsidR="003009AC" w:rsidRPr="003009AC">
        <w:rPr>
          <w:rFonts w:asciiTheme="majorHAnsi" w:hAnsiTheme="majorHAnsi" w:cstheme="majorHAnsi"/>
          <w:sz w:val="26"/>
          <w:szCs w:val="26"/>
          <w:lang w:val="ro-RO"/>
        </w:rPr>
        <w:t xml:space="preserve">485 ha) și cu aria de protecție </w:t>
      </w:r>
      <w:proofErr w:type="spellStart"/>
      <w:r w:rsidR="003009AC" w:rsidRPr="003009AC">
        <w:rPr>
          <w:rFonts w:asciiTheme="majorHAnsi" w:hAnsiTheme="majorHAnsi" w:cstheme="majorHAnsi"/>
          <w:sz w:val="26"/>
          <w:szCs w:val="26"/>
          <w:lang w:val="ro-RO"/>
        </w:rPr>
        <w:t>avifaunistică</w:t>
      </w:r>
      <w:proofErr w:type="spellEnd"/>
      <w:r w:rsidR="003009AC" w:rsidRPr="003009AC">
        <w:rPr>
          <w:rFonts w:asciiTheme="majorHAnsi" w:hAnsiTheme="majorHAnsi" w:cstheme="majorHAnsi"/>
          <w:sz w:val="26"/>
          <w:szCs w:val="26"/>
          <w:lang w:val="ro-RO"/>
        </w:rPr>
        <w:t xml:space="preserve"> ROSPA0033 Depresiunea și Munții Giurgeului (9,82 ha).</w:t>
      </w:r>
      <w:r w:rsidR="003009AC">
        <w:rPr>
          <w:rFonts w:asciiTheme="majorHAnsi" w:hAnsiTheme="majorHAnsi" w:cstheme="majorHAnsi"/>
          <w:b/>
          <w:i/>
          <w:sz w:val="26"/>
          <w:szCs w:val="26"/>
          <w:lang w:val="ro-RO"/>
        </w:rPr>
        <w:t xml:space="preserve"> </w:t>
      </w:r>
    </w:p>
    <w:p w:rsidR="003009AC" w:rsidRDefault="003009AC"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3009AC">
        <w:rPr>
          <w:rFonts w:asciiTheme="majorHAnsi" w:hAnsiTheme="majorHAnsi" w:cstheme="majorHAnsi"/>
          <w:sz w:val="26"/>
          <w:szCs w:val="26"/>
          <w:lang w:val="ro-RO"/>
        </w:rPr>
        <w:t>trei</w:t>
      </w:r>
      <w:r w:rsidRPr="004862DB">
        <w:rPr>
          <w:rFonts w:asciiTheme="majorHAnsi" w:hAnsiTheme="majorHAnsi" w:cstheme="majorHAnsi"/>
          <w:sz w:val="26"/>
          <w:szCs w:val="26"/>
          <w:lang w:val="ro-RO"/>
        </w:rPr>
        <w:t xml:space="preserve">  </w:t>
      </w:r>
      <w:proofErr w:type="spellStart"/>
      <w:r w:rsidRPr="004862DB">
        <w:rPr>
          <w:rFonts w:asciiTheme="majorHAnsi" w:hAnsiTheme="majorHAnsi" w:cstheme="majorHAnsi"/>
          <w:sz w:val="26"/>
          <w:szCs w:val="26"/>
          <w:lang w:val="ro-RO"/>
        </w:rPr>
        <w:t>subunităţi</w:t>
      </w:r>
      <w:proofErr w:type="spellEnd"/>
      <w:r w:rsidRPr="004862DB">
        <w:rPr>
          <w:rFonts w:asciiTheme="majorHAnsi" w:hAnsiTheme="majorHAnsi" w:cstheme="majorHAnsi"/>
          <w:sz w:val="26"/>
          <w:szCs w:val="26"/>
          <w:lang w:val="ro-RO"/>
        </w:rPr>
        <w:t xml:space="preserve">  de  gospodărire :</w:t>
      </w:r>
    </w:p>
    <w:p w:rsidR="004862DB" w:rsidRPr="004862DB" w:rsidRDefault="004862DB" w:rsidP="004862DB">
      <w:pPr>
        <w:pStyle w:val="BodyText22"/>
        <w:numPr>
          <w:ilvl w:val="0"/>
          <w:numId w:val="37"/>
        </w:numPr>
        <w:tabs>
          <w:tab w:val="num" w:pos="1560"/>
        </w:tabs>
        <w:spacing w:after="0" w:line="240" w:lineRule="auto"/>
        <w:jc w:val="both"/>
        <w:rPr>
          <w:rFonts w:asciiTheme="majorHAnsi" w:hAnsiTheme="majorHAnsi" w:cstheme="majorHAnsi"/>
          <w:sz w:val="26"/>
          <w:szCs w:val="26"/>
        </w:rPr>
      </w:pPr>
      <w:r w:rsidRPr="004862DB">
        <w:rPr>
          <w:rFonts w:asciiTheme="majorHAnsi" w:hAnsiTheme="majorHAnsi" w:cstheme="majorHAnsi"/>
          <w:b/>
          <w:i/>
          <w:sz w:val="26"/>
          <w:szCs w:val="26"/>
        </w:rPr>
        <w:t>S.U.P.  „A“</w:t>
      </w:r>
      <w:r w:rsidRPr="004862DB">
        <w:rPr>
          <w:rFonts w:asciiTheme="majorHAnsi" w:hAnsiTheme="majorHAnsi" w:cstheme="majorHAnsi"/>
          <w:sz w:val="26"/>
          <w:szCs w:val="26"/>
        </w:rPr>
        <w:t xml:space="preserve"> </w:t>
      </w:r>
      <w:r w:rsidRPr="009832B1">
        <w:rPr>
          <w:rFonts w:asciiTheme="majorHAnsi" w:hAnsiTheme="majorHAnsi" w:cstheme="majorHAnsi"/>
          <w:sz w:val="26"/>
          <w:szCs w:val="26"/>
        </w:rPr>
        <w:t xml:space="preserve">-  </w:t>
      </w:r>
      <w:proofErr w:type="spellStart"/>
      <w:r w:rsidRPr="009832B1">
        <w:rPr>
          <w:rFonts w:asciiTheme="majorHAnsi" w:hAnsiTheme="majorHAnsi" w:cstheme="majorHAnsi"/>
          <w:sz w:val="26"/>
          <w:szCs w:val="26"/>
        </w:rPr>
        <w:t>codru</w:t>
      </w:r>
      <w:proofErr w:type="spellEnd"/>
      <w:r w:rsidRPr="009832B1">
        <w:rPr>
          <w:rFonts w:asciiTheme="majorHAnsi" w:hAnsiTheme="majorHAnsi" w:cstheme="majorHAnsi"/>
          <w:sz w:val="26"/>
          <w:szCs w:val="26"/>
        </w:rPr>
        <w:t xml:space="preserve">  </w:t>
      </w:r>
      <w:proofErr w:type="spellStart"/>
      <w:r w:rsidRPr="009832B1">
        <w:rPr>
          <w:rFonts w:asciiTheme="majorHAnsi" w:hAnsiTheme="majorHAnsi" w:cstheme="majorHAnsi"/>
          <w:sz w:val="26"/>
          <w:szCs w:val="26"/>
        </w:rPr>
        <w:t>regulat</w:t>
      </w:r>
      <w:proofErr w:type="spellEnd"/>
      <w:r w:rsidRPr="009832B1">
        <w:rPr>
          <w:rFonts w:asciiTheme="majorHAnsi" w:hAnsiTheme="majorHAnsi" w:cstheme="majorHAnsi"/>
          <w:sz w:val="26"/>
          <w:szCs w:val="26"/>
        </w:rPr>
        <w:t xml:space="preserve"> - </w:t>
      </w:r>
      <w:proofErr w:type="spellStart"/>
      <w:r w:rsidRPr="009832B1">
        <w:rPr>
          <w:rFonts w:asciiTheme="majorHAnsi" w:hAnsiTheme="majorHAnsi" w:cstheme="majorHAnsi"/>
          <w:sz w:val="26"/>
          <w:szCs w:val="26"/>
        </w:rPr>
        <w:t>sortimente</w:t>
      </w:r>
      <w:proofErr w:type="spellEnd"/>
      <w:r w:rsidRPr="009832B1">
        <w:rPr>
          <w:rFonts w:asciiTheme="majorHAnsi" w:hAnsiTheme="majorHAnsi" w:cstheme="majorHAnsi"/>
          <w:sz w:val="26"/>
          <w:szCs w:val="26"/>
        </w:rPr>
        <w:t xml:space="preserve">  </w:t>
      </w:r>
      <w:proofErr w:type="spellStart"/>
      <w:r w:rsidRPr="009832B1">
        <w:rPr>
          <w:rFonts w:asciiTheme="majorHAnsi" w:hAnsiTheme="majorHAnsi" w:cstheme="majorHAnsi"/>
          <w:sz w:val="26"/>
          <w:szCs w:val="26"/>
        </w:rPr>
        <w:t>obişnuite</w:t>
      </w:r>
      <w:proofErr w:type="spellEnd"/>
      <w:r w:rsidRPr="004862DB">
        <w:rPr>
          <w:rFonts w:asciiTheme="majorHAnsi" w:hAnsiTheme="majorHAnsi" w:cstheme="majorHAnsi"/>
          <w:sz w:val="26"/>
          <w:szCs w:val="26"/>
        </w:rPr>
        <w:t xml:space="preserve"> </w:t>
      </w:r>
      <w:proofErr w:type="spellStart"/>
      <w:r w:rsidRPr="004862DB">
        <w:rPr>
          <w:rFonts w:asciiTheme="majorHAnsi" w:hAnsiTheme="majorHAnsi" w:cstheme="majorHAnsi"/>
          <w:sz w:val="26"/>
          <w:szCs w:val="26"/>
        </w:rPr>
        <w:t>pe</w:t>
      </w:r>
      <w:proofErr w:type="spellEnd"/>
      <w:r w:rsidRPr="004862DB">
        <w:rPr>
          <w:rFonts w:asciiTheme="majorHAnsi" w:hAnsiTheme="majorHAnsi" w:cstheme="majorHAnsi"/>
          <w:sz w:val="26"/>
          <w:szCs w:val="26"/>
        </w:rPr>
        <w:t xml:space="preserve"> </w:t>
      </w:r>
      <w:smartTag w:uri="urn:schemas-microsoft-com:office:smarttags" w:element="metricconverter">
        <w:smartTagPr>
          <w:attr w:name="ProductID" w:val="773,99 ha"/>
        </w:smartTagPr>
        <w:r w:rsidRPr="004862DB">
          <w:rPr>
            <w:rFonts w:asciiTheme="majorHAnsi" w:hAnsiTheme="majorHAnsi" w:cstheme="majorHAnsi"/>
            <w:sz w:val="26"/>
            <w:szCs w:val="26"/>
          </w:rPr>
          <w:t>773,99 ha</w:t>
        </w:r>
      </w:smartTag>
      <w:r w:rsidRPr="004862DB">
        <w:rPr>
          <w:rFonts w:asciiTheme="majorHAnsi" w:hAnsiTheme="majorHAnsi" w:cstheme="majorHAnsi"/>
          <w:sz w:val="26"/>
          <w:szCs w:val="26"/>
        </w:rPr>
        <w:t>;</w:t>
      </w:r>
    </w:p>
    <w:p w:rsidR="004862DB" w:rsidRPr="004862DB" w:rsidRDefault="004862DB" w:rsidP="004862DB">
      <w:pPr>
        <w:pStyle w:val="BodyText22"/>
        <w:numPr>
          <w:ilvl w:val="0"/>
          <w:numId w:val="37"/>
        </w:numPr>
        <w:spacing w:after="0" w:line="240" w:lineRule="auto"/>
        <w:jc w:val="both"/>
        <w:rPr>
          <w:rFonts w:asciiTheme="majorHAnsi" w:hAnsiTheme="majorHAnsi" w:cstheme="majorHAnsi"/>
          <w:sz w:val="26"/>
          <w:szCs w:val="26"/>
        </w:rPr>
      </w:pPr>
      <w:r w:rsidRPr="004862DB">
        <w:rPr>
          <w:rFonts w:asciiTheme="majorHAnsi" w:hAnsiTheme="majorHAnsi" w:cstheme="majorHAnsi"/>
          <w:b/>
          <w:i/>
          <w:sz w:val="26"/>
          <w:szCs w:val="26"/>
          <w:lang w:val="fr-FR"/>
        </w:rPr>
        <w:lastRenderedPageBreak/>
        <w:t>SU.P.  „K“</w:t>
      </w:r>
      <w:r w:rsidRPr="004862DB">
        <w:rPr>
          <w:rFonts w:asciiTheme="majorHAnsi" w:hAnsiTheme="majorHAnsi" w:cstheme="majorHAnsi"/>
          <w:i/>
          <w:sz w:val="26"/>
          <w:szCs w:val="26"/>
          <w:lang w:val="fr-FR"/>
        </w:rPr>
        <w:t xml:space="preserve"> </w:t>
      </w:r>
      <w:r w:rsidRPr="009832B1">
        <w:rPr>
          <w:rFonts w:asciiTheme="majorHAnsi" w:hAnsiTheme="majorHAnsi" w:cstheme="majorHAnsi"/>
          <w:sz w:val="26"/>
          <w:szCs w:val="26"/>
          <w:lang w:val="fr-FR"/>
        </w:rPr>
        <w:t xml:space="preserve">- </w:t>
      </w:r>
      <w:proofErr w:type="spellStart"/>
      <w:r w:rsidRPr="009832B1">
        <w:rPr>
          <w:rFonts w:asciiTheme="majorHAnsi" w:hAnsiTheme="majorHAnsi" w:cstheme="majorHAnsi"/>
          <w:sz w:val="26"/>
          <w:szCs w:val="26"/>
          <w:lang w:val="fr-FR"/>
        </w:rPr>
        <w:t>rezervații</w:t>
      </w:r>
      <w:proofErr w:type="spellEnd"/>
      <w:r w:rsidRPr="009832B1">
        <w:rPr>
          <w:rFonts w:asciiTheme="majorHAnsi" w:hAnsiTheme="majorHAnsi" w:cstheme="majorHAnsi"/>
          <w:sz w:val="26"/>
          <w:szCs w:val="26"/>
          <w:lang w:val="fr-FR"/>
        </w:rPr>
        <w:t xml:space="preserve"> de </w:t>
      </w:r>
      <w:proofErr w:type="spellStart"/>
      <w:r w:rsidRPr="009832B1">
        <w:rPr>
          <w:rFonts w:asciiTheme="majorHAnsi" w:hAnsiTheme="majorHAnsi" w:cstheme="majorHAnsi"/>
          <w:sz w:val="26"/>
          <w:szCs w:val="26"/>
          <w:lang w:val="fr-FR"/>
        </w:rPr>
        <w:t>semințe</w:t>
      </w:r>
      <w:proofErr w:type="spellEnd"/>
      <w:r w:rsidRPr="004862DB">
        <w:rPr>
          <w:rFonts w:asciiTheme="majorHAnsi" w:hAnsiTheme="majorHAnsi" w:cstheme="majorHAnsi"/>
          <w:sz w:val="26"/>
          <w:szCs w:val="26"/>
          <w:lang w:val="fr-FR"/>
        </w:rPr>
        <w:t xml:space="preserve"> </w:t>
      </w:r>
      <w:proofErr w:type="spellStart"/>
      <w:r w:rsidRPr="004862DB">
        <w:rPr>
          <w:rFonts w:asciiTheme="majorHAnsi" w:hAnsiTheme="majorHAnsi" w:cstheme="majorHAnsi"/>
          <w:sz w:val="26"/>
          <w:szCs w:val="26"/>
          <w:lang w:val="fr-FR"/>
        </w:rPr>
        <w:t>pe</w:t>
      </w:r>
      <w:proofErr w:type="spellEnd"/>
      <w:r w:rsidRPr="004862DB">
        <w:rPr>
          <w:rFonts w:asciiTheme="majorHAnsi" w:hAnsiTheme="majorHAnsi" w:cstheme="majorHAnsi"/>
          <w:sz w:val="26"/>
          <w:szCs w:val="26"/>
          <w:lang w:val="fr-FR"/>
        </w:rPr>
        <w:t xml:space="preserve"> </w:t>
      </w:r>
      <w:smartTag w:uri="urn:schemas-microsoft-com:office:smarttags" w:element="metricconverter">
        <w:smartTagPr>
          <w:attr w:name="ProductID" w:val="28,25 ha"/>
        </w:smartTagPr>
        <w:r w:rsidRPr="004862DB">
          <w:rPr>
            <w:rFonts w:asciiTheme="majorHAnsi" w:hAnsiTheme="majorHAnsi" w:cstheme="majorHAnsi"/>
            <w:sz w:val="26"/>
            <w:szCs w:val="26"/>
            <w:lang w:val="fr-FR"/>
          </w:rPr>
          <w:t>28,25 ha</w:t>
        </w:r>
      </w:smartTag>
      <w:r w:rsidRPr="004862DB">
        <w:rPr>
          <w:rFonts w:asciiTheme="majorHAnsi" w:hAnsiTheme="majorHAnsi" w:cstheme="majorHAnsi"/>
          <w:sz w:val="26"/>
          <w:szCs w:val="26"/>
          <w:lang w:val="fr-FR"/>
        </w:rPr>
        <w:t>;</w:t>
      </w:r>
    </w:p>
    <w:p w:rsidR="004862DB" w:rsidRDefault="004862DB" w:rsidP="004862DB">
      <w:pPr>
        <w:pStyle w:val="BodyText22"/>
        <w:numPr>
          <w:ilvl w:val="0"/>
          <w:numId w:val="37"/>
        </w:numPr>
        <w:tabs>
          <w:tab w:val="num" w:pos="936"/>
          <w:tab w:val="num" w:pos="1560"/>
        </w:tabs>
        <w:spacing w:after="0" w:line="240" w:lineRule="auto"/>
        <w:jc w:val="both"/>
        <w:rPr>
          <w:rFonts w:asciiTheme="majorHAnsi" w:hAnsiTheme="majorHAnsi" w:cstheme="majorHAnsi"/>
          <w:color w:val="000000"/>
          <w:sz w:val="26"/>
          <w:szCs w:val="26"/>
        </w:rPr>
      </w:pPr>
      <w:r w:rsidRPr="004862DB">
        <w:rPr>
          <w:rFonts w:asciiTheme="majorHAnsi" w:hAnsiTheme="majorHAnsi" w:cstheme="majorHAnsi"/>
          <w:b/>
          <w:i/>
          <w:color w:val="000000"/>
          <w:sz w:val="26"/>
          <w:szCs w:val="26"/>
        </w:rPr>
        <w:t>S.U.P.  „M“</w:t>
      </w:r>
      <w:r w:rsidRPr="004862DB">
        <w:rPr>
          <w:rFonts w:asciiTheme="majorHAnsi" w:hAnsiTheme="majorHAnsi" w:cstheme="majorHAnsi"/>
          <w:b/>
          <w:color w:val="000000"/>
          <w:sz w:val="26"/>
          <w:szCs w:val="26"/>
        </w:rPr>
        <w:t xml:space="preserve"> </w:t>
      </w:r>
      <w:r w:rsidRPr="009832B1">
        <w:rPr>
          <w:rFonts w:asciiTheme="majorHAnsi" w:hAnsiTheme="majorHAnsi" w:cstheme="majorHAnsi"/>
          <w:b/>
          <w:color w:val="000000"/>
          <w:sz w:val="26"/>
          <w:szCs w:val="26"/>
        </w:rPr>
        <w:t>-</w:t>
      </w:r>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păduri</w:t>
      </w:r>
      <w:proofErr w:type="spellEnd"/>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supuse</w:t>
      </w:r>
      <w:proofErr w:type="spellEnd"/>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regimului</w:t>
      </w:r>
      <w:proofErr w:type="spellEnd"/>
      <w:r w:rsidRPr="009832B1">
        <w:rPr>
          <w:rFonts w:asciiTheme="majorHAnsi" w:hAnsiTheme="majorHAnsi" w:cstheme="majorHAnsi"/>
          <w:color w:val="000000"/>
          <w:sz w:val="26"/>
          <w:szCs w:val="26"/>
        </w:rPr>
        <w:t xml:space="preserve"> de </w:t>
      </w:r>
      <w:proofErr w:type="spellStart"/>
      <w:r w:rsidRPr="009832B1">
        <w:rPr>
          <w:rFonts w:asciiTheme="majorHAnsi" w:hAnsiTheme="majorHAnsi" w:cstheme="majorHAnsi"/>
          <w:color w:val="000000"/>
          <w:sz w:val="26"/>
          <w:szCs w:val="26"/>
        </w:rPr>
        <w:t>conservare</w:t>
      </w:r>
      <w:proofErr w:type="spellEnd"/>
      <w:r w:rsidRPr="009832B1">
        <w:rPr>
          <w:rFonts w:asciiTheme="majorHAnsi" w:hAnsiTheme="majorHAnsi" w:cstheme="majorHAnsi"/>
          <w:color w:val="000000"/>
          <w:sz w:val="26"/>
          <w:szCs w:val="26"/>
        </w:rPr>
        <w:t xml:space="preserve"> </w:t>
      </w:r>
      <w:proofErr w:type="spellStart"/>
      <w:r w:rsidRPr="009832B1">
        <w:rPr>
          <w:rFonts w:asciiTheme="majorHAnsi" w:hAnsiTheme="majorHAnsi" w:cstheme="majorHAnsi"/>
          <w:color w:val="000000"/>
          <w:sz w:val="26"/>
          <w:szCs w:val="26"/>
        </w:rPr>
        <w:t>deosebită</w:t>
      </w:r>
      <w:proofErr w:type="spellEnd"/>
      <w:r w:rsidRPr="004862DB">
        <w:rPr>
          <w:rFonts w:asciiTheme="majorHAnsi" w:hAnsiTheme="majorHAnsi" w:cstheme="majorHAnsi"/>
          <w:color w:val="000000"/>
          <w:sz w:val="26"/>
          <w:szCs w:val="26"/>
        </w:rPr>
        <w:t xml:space="preserve"> </w:t>
      </w:r>
      <w:proofErr w:type="spellStart"/>
      <w:r w:rsidRPr="004862DB">
        <w:rPr>
          <w:rFonts w:asciiTheme="majorHAnsi" w:hAnsiTheme="majorHAnsi" w:cstheme="majorHAnsi"/>
          <w:color w:val="000000"/>
          <w:sz w:val="26"/>
          <w:szCs w:val="26"/>
        </w:rPr>
        <w:t>pe</w:t>
      </w:r>
      <w:proofErr w:type="spellEnd"/>
      <w:r w:rsidRPr="004862DB">
        <w:rPr>
          <w:rFonts w:asciiTheme="majorHAnsi" w:hAnsiTheme="majorHAnsi" w:cstheme="majorHAnsi"/>
          <w:color w:val="000000"/>
          <w:sz w:val="26"/>
          <w:szCs w:val="26"/>
        </w:rPr>
        <w:t xml:space="preserve"> </w:t>
      </w:r>
      <w:smartTag w:uri="urn:schemas-microsoft-com:office:smarttags" w:element="metricconverter">
        <w:smartTagPr>
          <w:attr w:name="ProductID" w:val="89,73 ha"/>
        </w:smartTagPr>
        <w:r w:rsidRPr="004862DB">
          <w:rPr>
            <w:rFonts w:asciiTheme="majorHAnsi" w:hAnsiTheme="majorHAnsi" w:cstheme="majorHAnsi"/>
            <w:color w:val="000000"/>
            <w:sz w:val="26"/>
            <w:szCs w:val="26"/>
          </w:rPr>
          <w:t>89,73 ha</w:t>
        </w:r>
      </w:smartTag>
      <w:r w:rsidRPr="004862DB">
        <w:rPr>
          <w:rFonts w:asciiTheme="majorHAnsi" w:hAnsiTheme="majorHAnsi" w:cstheme="majorHAnsi"/>
          <w:color w:val="000000"/>
          <w:sz w:val="26"/>
          <w:szCs w:val="26"/>
        </w:rPr>
        <w:t>;</w:t>
      </w:r>
    </w:p>
    <w:p w:rsidR="003009AC" w:rsidRDefault="003009AC" w:rsidP="003009AC">
      <w:pPr>
        <w:pStyle w:val="BodyTextIndent3"/>
        <w:spacing w:after="0" w:line="240" w:lineRule="auto"/>
        <w:ind w:left="0"/>
        <w:jc w:val="both"/>
        <w:rPr>
          <w:rFonts w:ascii="Times New Roman" w:hAnsi="Times New Roman"/>
          <w:sz w:val="26"/>
          <w:szCs w:val="26"/>
          <w:lang w:val="ro-RO"/>
        </w:rPr>
      </w:pPr>
    </w:p>
    <w:p w:rsidR="003009AC"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4862DB"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419E307C" wp14:editId="13D7DC3B">
            <wp:extent cx="5463540" cy="488041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6299" cy="4882876"/>
                    </a:xfrm>
                    <a:prstGeom prst="rect">
                      <a:avLst/>
                    </a:prstGeom>
                  </pic:spPr>
                </pic:pic>
              </a:graphicData>
            </a:graphic>
          </wp:inline>
        </w:drawing>
      </w:r>
    </w:p>
    <w:p w:rsidR="003009AC" w:rsidRDefault="003009AC" w:rsidP="003009AC">
      <w:pPr>
        <w:spacing w:after="0" w:line="240" w:lineRule="auto"/>
        <w:rPr>
          <w:rFonts w:asciiTheme="majorHAnsi" w:hAnsiTheme="majorHAnsi" w:cstheme="majorHAnsi"/>
          <w:sz w:val="26"/>
          <w:szCs w:val="26"/>
          <w:lang w:val="ro-RO"/>
        </w:rPr>
      </w:pPr>
      <w:r>
        <w:rPr>
          <w:rFonts w:ascii="Times New Roman" w:hAnsi="Times New Roman"/>
          <w:sz w:val="26"/>
          <w:szCs w:val="26"/>
          <w:lang w:val="ro-RO"/>
        </w:rPr>
        <w:t>Bazele de amenajare adoptate:</w:t>
      </w:r>
      <w:r w:rsidRPr="003009AC">
        <w:rPr>
          <w:rFonts w:ascii="Times New Roman" w:hAnsi="Times New Roman"/>
          <w:sz w:val="26"/>
          <w:szCs w:val="26"/>
          <w:lang w:val="ro-RO"/>
        </w:rPr>
        <w:t xml:space="preserve"> </w:t>
      </w:r>
      <w:r>
        <w:rPr>
          <w:rFonts w:ascii="Times New Roman" w:hAnsi="Times New Roman"/>
          <w:sz w:val="26"/>
          <w:szCs w:val="26"/>
          <w:lang w:val="ro-RO"/>
        </w:rPr>
        <w:t>regim codru</w:t>
      </w:r>
      <w:r w:rsidRPr="003D6E9B">
        <w:rPr>
          <w:rFonts w:ascii="Times New Roman" w:hAnsi="Times New Roman"/>
          <w:sz w:val="26"/>
          <w:szCs w:val="26"/>
          <w:lang w:val="ro-RO"/>
        </w:rPr>
        <w:t>, tratamente: tăieri progresive</w:t>
      </w:r>
      <w:r>
        <w:rPr>
          <w:rFonts w:ascii="Times New Roman" w:hAnsi="Times New Roman"/>
          <w:sz w:val="26"/>
          <w:szCs w:val="26"/>
          <w:lang w:val="ro-RO"/>
        </w:rPr>
        <w:t xml:space="preserve">, succesive și </w:t>
      </w:r>
      <w:r w:rsidRPr="003D6E9B">
        <w:rPr>
          <w:rFonts w:ascii="Times New Roman" w:hAnsi="Times New Roman"/>
          <w:sz w:val="26"/>
          <w:szCs w:val="26"/>
          <w:lang w:val="ro-RO"/>
        </w:rPr>
        <w:t>rase.</w:t>
      </w:r>
    </w:p>
    <w:p w:rsidR="003009AC" w:rsidRDefault="003009AC" w:rsidP="003009AC">
      <w:pPr>
        <w:spacing w:after="0" w:line="240" w:lineRule="auto"/>
        <w:jc w:val="center"/>
        <w:rPr>
          <w:rFonts w:asciiTheme="majorHAnsi" w:hAnsiTheme="majorHAnsi" w:cstheme="majorHAnsi"/>
          <w:sz w:val="26"/>
          <w:szCs w:val="26"/>
          <w:lang w:val="ro-RO"/>
        </w:rPr>
      </w:pPr>
      <w:r>
        <w:rPr>
          <w:noProof/>
        </w:rPr>
        <w:drawing>
          <wp:inline distT="0" distB="0" distL="0" distR="0" wp14:anchorId="04048479" wp14:editId="3C5AB8B9">
            <wp:extent cx="5707380" cy="261527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6453" cy="2619431"/>
                    </a:xfrm>
                    <a:prstGeom prst="rect">
                      <a:avLst/>
                    </a:prstGeom>
                  </pic:spPr>
                </pic:pic>
              </a:graphicData>
            </a:graphic>
          </wp:inline>
        </w:drawing>
      </w: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Suprafața</w:t>
      </w:r>
      <w:r w:rsidR="00654BAD" w:rsidRPr="00B432FD">
        <w:rPr>
          <w:rFonts w:asciiTheme="majorHAnsi" w:hAnsiTheme="majorHAnsi" w:cstheme="majorHAnsi"/>
          <w:sz w:val="26"/>
          <w:szCs w:val="26"/>
          <w:lang w:val="ro-RO"/>
        </w:rPr>
        <w:t xml:space="preserve"> U.P. </w:t>
      </w:r>
      <w:r w:rsidR="00F11CFC">
        <w:rPr>
          <w:rFonts w:asciiTheme="majorHAnsi" w:hAnsiTheme="majorHAnsi" w:cstheme="majorHAnsi"/>
          <w:sz w:val="26"/>
          <w:szCs w:val="26"/>
          <w:lang w:val="ro-RO"/>
        </w:rPr>
        <w:t>III Secu</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1</w:t>
      </w:r>
      <w:r w:rsidR="004862DB">
        <w:rPr>
          <w:rFonts w:asciiTheme="majorHAnsi" w:hAnsiTheme="majorHAnsi" w:cstheme="majorHAnsi"/>
          <w:sz w:val="26"/>
          <w:szCs w:val="26"/>
          <w:lang w:val="ro-RO"/>
        </w:rPr>
        <w:t>0</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E72B41" w:rsidRPr="006B54C7" w:rsidRDefault="004862DB" w:rsidP="003009AC">
      <w:pPr>
        <w:pStyle w:val="ListParagraph"/>
        <w:ind w:left="0"/>
        <w:jc w:val="center"/>
        <w:rPr>
          <w:rFonts w:ascii="Times New Roman" w:hAnsi="Times New Roman"/>
          <w:sz w:val="26"/>
          <w:szCs w:val="26"/>
          <w:lang w:val="ro-RO"/>
        </w:rPr>
      </w:pPr>
      <w:r>
        <w:rPr>
          <w:noProof/>
        </w:rPr>
        <w:drawing>
          <wp:inline distT="0" distB="0" distL="0" distR="0" wp14:anchorId="0681CBA6" wp14:editId="5D08855F">
            <wp:extent cx="5448300" cy="7077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8300" cy="7077075"/>
                    </a:xfrm>
                    <a:prstGeom prst="rect">
                      <a:avLst/>
                    </a:prstGeom>
                  </pic:spPr>
                </pic:pic>
              </a:graphicData>
            </a:graphic>
          </wp:inline>
        </w:drawing>
      </w:r>
    </w:p>
    <w:p w:rsidR="00F570D3" w:rsidRPr="00F570D3" w:rsidRDefault="00F570D3" w:rsidP="00F570D3">
      <w:pPr>
        <w:spacing w:after="0" w:line="240" w:lineRule="auto"/>
        <w:jc w:val="both"/>
        <w:rPr>
          <w:rFonts w:asciiTheme="majorHAnsi" w:hAnsiTheme="majorHAnsi" w:cstheme="majorHAnsi"/>
          <w:sz w:val="26"/>
          <w:szCs w:val="26"/>
        </w:rPr>
      </w:pPr>
      <w:r w:rsidRPr="00F570D3">
        <w:rPr>
          <w:rFonts w:asciiTheme="majorHAnsi" w:hAnsiTheme="majorHAnsi" w:cstheme="majorHAnsi"/>
          <w:sz w:val="26"/>
          <w:szCs w:val="26"/>
          <w:lang w:val="fr-FR"/>
        </w:rPr>
        <w:t xml:space="preserve">Structura </w:t>
      </w:r>
      <w:proofErr w:type="spellStart"/>
      <w:r w:rsidRPr="00F570D3">
        <w:rPr>
          <w:rFonts w:asciiTheme="majorHAnsi" w:hAnsiTheme="majorHAnsi" w:cstheme="majorHAnsi"/>
          <w:sz w:val="26"/>
          <w:szCs w:val="26"/>
          <w:lang w:val="fr-FR"/>
        </w:rPr>
        <w:t>fondului</w:t>
      </w:r>
      <w:proofErr w:type="spellEnd"/>
      <w:r w:rsidRPr="00F570D3">
        <w:rPr>
          <w:rFonts w:asciiTheme="majorHAnsi" w:hAnsiTheme="majorHAnsi" w:cstheme="majorHAnsi"/>
          <w:sz w:val="26"/>
          <w:szCs w:val="26"/>
          <w:lang w:val="fr-FR"/>
        </w:rPr>
        <w:t xml:space="preserve"> de </w:t>
      </w:r>
      <w:proofErr w:type="spellStart"/>
      <w:r w:rsidRPr="00F570D3">
        <w:rPr>
          <w:rFonts w:asciiTheme="majorHAnsi" w:hAnsiTheme="majorHAnsi" w:cstheme="majorHAnsi"/>
          <w:sz w:val="26"/>
          <w:szCs w:val="26"/>
          <w:lang w:val="fr-FR"/>
        </w:rPr>
        <w:t>producţie</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pe</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specii</w:t>
      </w:r>
      <w:proofErr w:type="spellEnd"/>
      <w:r w:rsidRPr="00F570D3">
        <w:rPr>
          <w:rFonts w:asciiTheme="majorHAnsi" w:hAnsiTheme="majorHAnsi" w:cstheme="majorHAnsi"/>
          <w:sz w:val="26"/>
          <w:szCs w:val="26"/>
          <w:lang w:val="fr-FR"/>
        </w:rPr>
        <w:t xml:space="preserve">, la data </w:t>
      </w:r>
      <w:proofErr w:type="spellStart"/>
      <w:r w:rsidRPr="00F570D3">
        <w:rPr>
          <w:rFonts w:asciiTheme="majorHAnsi" w:hAnsiTheme="majorHAnsi" w:cstheme="majorHAnsi"/>
          <w:sz w:val="26"/>
          <w:szCs w:val="26"/>
          <w:lang w:val="fr-FR"/>
        </w:rPr>
        <w:t>întocmirii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amenajamentului</w:t>
      </w:r>
      <w:proofErr w:type="spellEnd"/>
      <w:r w:rsidRPr="00F570D3">
        <w:rPr>
          <w:rFonts w:asciiTheme="majorHAnsi" w:hAnsiTheme="majorHAnsi" w:cstheme="majorHAnsi"/>
          <w:sz w:val="26"/>
          <w:szCs w:val="26"/>
          <w:lang w:val="fr-FR"/>
        </w:rPr>
        <w:t xml:space="preserve">, este </w:t>
      </w:r>
      <w:proofErr w:type="spellStart"/>
      <w:r w:rsidRPr="00F570D3">
        <w:rPr>
          <w:rFonts w:asciiTheme="majorHAnsi" w:hAnsiTheme="majorHAnsi" w:cstheme="majorHAnsi"/>
          <w:sz w:val="26"/>
          <w:szCs w:val="26"/>
          <w:lang w:val="fr-FR"/>
        </w:rPr>
        <w:t>următoarea</w:t>
      </w:r>
      <w:proofErr w:type="spellEnd"/>
      <w:r w:rsidRPr="00F570D3">
        <w:rPr>
          <w:rFonts w:asciiTheme="majorHAnsi" w:hAnsiTheme="majorHAnsi" w:cstheme="majorHAnsi"/>
          <w:sz w:val="26"/>
          <w:szCs w:val="26"/>
          <w:lang w:val="fr-FR"/>
        </w:rPr>
        <w:t xml:space="preserve"> : 61MO17BR13FA2PA1PAM1AN3</w:t>
      </w:r>
      <w:proofErr w:type="gramStart"/>
      <w:r w:rsidRPr="00F570D3">
        <w:rPr>
          <w:rFonts w:asciiTheme="majorHAnsi" w:hAnsiTheme="majorHAnsi" w:cstheme="majorHAnsi"/>
          <w:sz w:val="26"/>
          <w:szCs w:val="26"/>
          <w:lang w:val="fr-FR"/>
        </w:rPr>
        <w:t>DM .</w:t>
      </w:r>
      <w:proofErr w:type="gram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Prin</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aplicarea</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tratamentelor</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și</w:t>
      </w:r>
      <w:proofErr w:type="spellEnd"/>
      <w:r w:rsidRPr="00F570D3">
        <w:rPr>
          <w:rFonts w:asciiTheme="majorHAnsi" w:hAnsiTheme="majorHAnsi" w:cstheme="majorHAnsi"/>
          <w:sz w:val="26"/>
          <w:szCs w:val="26"/>
          <w:lang w:val="fr-FR"/>
        </w:rPr>
        <w:t xml:space="preserve"> a </w:t>
      </w:r>
      <w:proofErr w:type="spellStart"/>
      <w:r w:rsidRPr="00F570D3">
        <w:rPr>
          <w:rFonts w:asciiTheme="majorHAnsi" w:hAnsiTheme="majorHAnsi" w:cstheme="majorHAnsi"/>
          <w:sz w:val="26"/>
          <w:szCs w:val="26"/>
          <w:lang w:val="fr-FR"/>
        </w:rPr>
        <w:t>lucrărilor</w:t>
      </w:r>
      <w:proofErr w:type="spellEnd"/>
      <w:r w:rsidRPr="00F570D3">
        <w:rPr>
          <w:rFonts w:asciiTheme="majorHAnsi" w:hAnsiTheme="majorHAnsi" w:cstheme="majorHAnsi"/>
          <w:sz w:val="26"/>
          <w:szCs w:val="26"/>
          <w:lang w:val="fr-FR"/>
        </w:rPr>
        <w:t xml:space="preserve"> de </w:t>
      </w:r>
      <w:proofErr w:type="spellStart"/>
      <w:r w:rsidRPr="00F570D3">
        <w:rPr>
          <w:rFonts w:asciiTheme="majorHAnsi" w:hAnsiTheme="majorHAnsi" w:cstheme="majorHAnsi"/>
          <w:sz w:val="26"/>
          <w:szCs w:val="26"/>
          <w:lang w:val="fr-FR"/>
        </w:rPr>
        <w:t>îngrijire</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și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conducere</w:t>
      </w:r>
      <w:proofErr w:type="spellEnd"/>
      <w:r w:rsidRPr="00F570D3">
        <w:rPr>
          <w:rFonts w:asciiTheme="majorHAnsi" w:hAnsiTheme="majorHAnsi" w:cstheme="majorHAnsi"/>
          <w:sz w:val="26"/>
          <w:szCs w:val="26"/>
          <w:lang w:val="fr-FR"/>
        </w:rPr>
        <w:t xml:space="preserve"> se va </w:t>
      </w:r>
      <w:proofErr w:type="spellStart"/>
      <w:r w:rsidRPr="00F570D3">
        <w:rPr>
          <w:rFonts w:asciiTheme="majorHAnsi" w:hAnsiTheme="majorHAnsi" w:cstheme="majorHAnsi"/>
          <w:sz w:val="26"/>
          <w:szCs w:val="26"/>
          <w:lang w:val="fr-FR"/>
        </w:rPr>
        <w:t>urmari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promovarea</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bradului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molidului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şi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fagului</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astfel</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încât</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în</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perspectivă</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compoziţia</w:t>
      </w:r>
      <w:proofErr w:type="spellEnd"/>
      <w:r w:rsidRPr="00F570D3">
        <w:rPr>
          <w:rFonts w:asciiTheme="majorHAnsi" w:hAnsiTheme="majorHAnsi" w:cstheme="majorHAnsi"/>
          <w:sz w:val="26"/>
          <w:szCs w:val="26"/>
          <w:lang w:val="fr-FR"/>
        </w:rPr>
        <w:t xml:space="preserve"> </w:t>
      </w:r>
      <w:proofErr w:type="spellStart"/>
      <w:r w:rsidRPr="00F570D3">
        <w:rPr>
          <w:rFonts w:asciiTheme="majorHAnsi" w:hAnsiTheme="majorHAnsi" w:cstheme="majorHAnsi"/>
          <w:sz w:val="26"/>
          <w:szCs w:val="26"/>
          <w:lang w:val="fr-FR"/>
        </w:rPr>
        <w:t>fondului</w:t>
      </w:r>
      <w:proofErr w:type="spellEnd"/>
      <w:r w:rsidRPr="00F570D3">
        <w:rPr>
          <w:rFonts w:asciiTheme="majorHAnsi" w:hAnsiTheme="majorHAnsi" w:cstheme="majorHAnsi"/>
          <w:sz w:val="26"/>
          <w:szCs w:val="26"/>
          <w:lang w:val="fr-FR"/>
        </w:rPr>
        <w:t xml:space="preserve"> de </w:t>
      </w:r>
      <w:proofErr w:type="spellStart"/>
      <w:r w:rsidRPr="00F570D3">
        <w:rPr>
          <w:rFonts w:asciiTheme="majorHAnsi" w:hAnsiTheme="majorHAnsi" w:cstheme="majorHAnsi"/>
          <w:sz w:val="26"/>
          <w:szCs w:val="26"/>
          <w:lang w:val="fr-FR"/>
        </w:rPr>
        <w:t>producție</w:t>
      </w:r>
      <w:proofErr w:type="spellEnd"/>
      <w:r w:rsidRPr="00F570D3">
        <w:rPr>
          <w:rFonts w:asciiTheme="majorHAnsi" w:hAnsiTheme="majorHAnsi" w:cstheme="majorHAnsi"/>
          <w:sz w:val="26"/>
          <w:szCs w:val="26"/>
          <w:lang w:val="fr-FR"/>
        </w:rPr>
        <w:t xml:space="preserve"> va fi: 52MO23BR5LA15FA5PAM.</w:t>
      </w:r>
    </w:p>
    <w:p w:rsidR="00CF3941" w:rsidRDefault="00CF3941" w:rsidP="00CF3941">
      <w:pPr>
        <w:spacing w:after="0" w:line="240" w:lineRule="auto"/>
        <w:jc w:val="both"/>
        <w:rPr>
          <w:rFonts w:asciiTheme="majorHAnsi" w:hAnsiTheme="majorHAnsi" w:cstheme="majorHAnsi"/>
          <w:sz w:val="26"/>
          <w:szCs w:val="26"/>
          <w:lang w:val="ro-RO"/>
        </w:rPr>
      </w:pPr>
    </w:p>
    <w:p w:rsidR="00F570D3" w:rsidRDefault="00F570D3" w:rsidP="00CF3941">
      <w:pPr>
        <w:spacing w:after="0" w:line="240" w:lineRule="auto"/>
        <w:jc w:val="both"/>
        <w:rPr>
          <w:rFonts w:ascii="Times New Roman" w:hAnsi="Times New Roman"/>
          <w:sz w:val="26"/>
          <w:szCs w:val="26"/>
          <w:lang w:val="ro-RO"/>
        </w:rPr>
      </w:pP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lastRenderedPageBreak/>
        <w:t>Planul decenal al produselor principale:</w:t>
      </w:r>
    </w:p>
    <w:p w:rsidR="003009AC" w:rsidRPr="00F570D3" w:rsidRDefault="000F3504" w:rsidP="00F570D3">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29769C93" wp14:editId="5ACBBD43">
            <wp:extent cx="4715257" cy="2720340"/>
            <wp:effectExtent l="0" t="0" r="952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4146" cy="2725468"/>
                    </a:xfrm>
                    <a:prstGeom prst="rect">
                      <a:avLst/>
                    </a:prstGeom>
                  </pic:spPr>
                </pic:pic>
              </a:graphicData>
            </a:graphic>
          </wp:inline>
        </w:drawing>
      </w:r>
    </w:p>
    <w:p w:rsidR="00CF3941" w:rsidRPr="00F570D3" w:rsidRDefault="003009AC" w:rsidP="00F570D3">
      <w:pPr>
        <w:ind w:firstLine="720"/>
        <w:jc w:val="both"/>
        <w:rPr>
          <w:rFonts w:asciiTheme="majorHAnsi" w:hAnsiTheme="majorHAnsi" w:cstheme="majorHAnsi"/>
          <w:sz w:val="26"/>
          <w:szCs w:val="26"/>
        </w:rPr>
      </w:pPr>
      <w:proofErr w:type="spellStart"/>
      <w:r w:rsidRPr="003009AC">
        <w:rPr>
          <w:rFonts w:asciiTheme="majorHAnsi" w:hAnsiTheme="majorHAnsi" w:cstheme="majorHAnsi"/>
          <w:sz w:val="26"/>
          <w:szCs w:val="26"/>
        </w:rPr>
        <w:t>Densitatea</w:t>
      </w:r>
      <w:proofErr w:type="spellEnd"/>
      <w:r w:rsidRPr="003009AC">
        <w:rPr>
          <w:rFonts w:asciiTheme="majorHAnsi" w:hAnsiTheme="majorHAnsi" w:cstheme="majorHAnsi"/>
          <w:sz w:val="26"/>
          <w:szCs w:val="26"/>
        </w:rPr>
        <w:t xml:space="preserve"> </w:t>
      </w:r>
      <w:proofErr w:type="spellStart"/>
      <w:r w:rsidRPr="003009AC">
        <w:rPr>
          <w:rFonts w:asciiTheme="majorHAnsi" w:hAnsiTheme="majorHAnsi" w:cstheme="majorHAnsi"/>
          <w:sz w:val="26"/>
          <w:szCs w:val="26"/>
        </w:rPr>
        <w:t>actuală</w:t>
      </w:r>
      <w:proofErr w:type="spellEnd"/>
      <w:r w:rsidRPr="003009AC">
        <w:rPr>
          <w:rFonts w:asciiTheme="majorHAnsi" w:hAnsiTheme="majorHAnsi" w:cstheme="majorHAnsi"/>
          <w:sz w:val="26"/>
          <w:szCs w:val="26"/>
        </w:rPr>
        <w:t xml:space="preserve"> a </w:t>
      </w:r>
      <w:proofErr w:type="spellStart"/>
      <w:r w:rsidRPr="003009AC">
        <w:rPr>
          <w:rFonts w:asciiTheme="majorHAnsi" w:hAnsiTheme="majorHAnsi" w:cstheme="majorHAnsi"/>
          <w:sz w:val="26"/>
          <w:szCs w:val="26"/>
        </w:rPr>
        <w:t>rețelei</w:t>
      </w:r>
      <w:proofErr w:type="spellEnd"/>
      <w:r w:rsidRPr="003009AC">
        <w:rPr>
          <w:rFonts w:asciiTheme="majorHAnsi" w:hAnsiTheme="majorHAnsi" w:cstheme="majorHAnsi"/>
          <w:sz w:val="26"/>
          <w:szCs w:val="26"/>
        </w:rPr>
        <w:t xml:space="preserve"> de transport </w:t>
      </w:r>
      <w:proofErr w:type="spellStart"/>
      <w:r w:rsidRPr="003009AC">
        <w:rPr>
          <w:rFonts w:asciiTheme="majorHAnsi" w:hAnsiTheme="majorHAnsi" w:cstheme="majorHAnsi"/>
          <w:sz w:val="26"/>
          <w:szCs w:val="26"/>
        </w:rPr>
        <w:t>este</w:t>
      </w:r>
      <w:proofErr w:type="spellEnd"/>
      <w:r w:rsidRPr="003009AC">
        <w:rPr>
          <w:rFonts w:asciiTheme="majorHAnsi" w:hAnsiTheme="majorHAnsi" w:cstheme="majorHAnsi"/>
          <w:sz w:val="26"/>
          <w:szCs w:val="26"/>
        </w:rPr>
        <w:t xml:space="preserve"> de 21</w:t>
      </w:r>
      <w:proofErr w:type="gramStart"/>
      <w:r w:rsidRPr="003009AC">
        <w:rPr>
          <w:rFonts w:asciiTheme="majorHAnsi" w:hAnsiTheme="majorHAnsi" w:cstheme="majorHAnsi"/>
          <w:sz w:val="26"/>
          <w:szCs w:val="26"/>
        </w:rPr>
        <w:t>,73</w:t>
      </w:r>
      <w:proofErr w:type="gramEnd"/>
      <w:r w:rsidRPr="003009AC">
        <w:rPr>
          <w:rFonts w:asciiTheme="majorHAnsi" w:hAnsiTheme="majorHAnsi" w:cstheme="majorHAnsi"/>
          <w:sz w:val="26"/>
          <w:szCs w:val="26"/>
        </w:rPr>
        <w:t xml:space="preserve"> m/ha, </w:t>
      </w:r>
      <w:proofErr w:type="spellStart"/>
      <w:r w:rsidRPr="003009AC">
        <w:rPr>
          <w:rFonts w:asciiTheme="majorHAnsi" w:hAnsiTheme="majorHAnsi" w:cstheme="majorHAnsi"/>
          <w:sz w:val="26"/>
          <w:szCs w:val="26"/>
        </w:rPr>
        <w:t>asigurând</w:t>
      </w:r>
      <w:proofErr w:type="spellEnd"/>
      <w:r w:rsidRPr="003009AC">
        <w:rPr>
          <w:rFonts w:asciiTheme="majorHAnsi" w:hAnsiTheme="majorHAnsi" w:cstheme="majorHAnsi"/>
          <w:sz w:val="26"/>
          <w:szCs w:val="26"/>
        </w:rPr>
        <w:t xml:space="preserve"> o </w:t>
      </w:r>
      <w:proofErr w:type="spellStart"/>
      <w:r w:rsidRPr="003009AC">
        <w:rPr>
          <w:rFonts w:asciiTheme="majorHAnsi" w:hAnsiTheme="majorHAnsi" w:cstheme="majorHAnsi"/>
          <w:sz w:val="26"/>
          <w:szCs w:val="26"/>
        </w:rPr>
        <w:t>accesibilitate</w:t>
      </w:r>
      <w:proofErr w:type="spellEnd"/>
      <w:r w:rsidRPr="003009AC">
        <w:rPr>
          <w:rFonts w:asciiTheme="majorHAnsi" w:hAnsiTheme="majorHAnsi" w:cstheme="majorHAnsi"/>
          <w:sz w:val="26"/>
          <w:szCs w:val="26"/>
        </w:rPr>
        <w:t xml:space="preserve"> a </w:t>
      </w:r>
      <w:proofErr w:type="spellStart"/>
      <w:r w:rsidRPr="003009AC">
        <w:rPr>
          <w:rFonts w:asciiTheme="majorHAnsi" w:hAnsiTheme="majorHAnsi" w:cstheme="majorHAnsi"/>
          <w:sz w:val="26"/>
          <w:szCs w:val="26"/>
        </w:rPr>
        <w:t>fondului</w:t>
      </w:r>
      <w:proofErr w:type="spellEnd"/>
      <w:r w:rsidRPr="003009AC">
        <w:rPr>
          <w:rFonts w:asciiTheme="majorHAnsi" w:hAnsiTheme="majorHAnsi" w:cstheme="majorHAnsi"/>
          <w:sz w:val="26"/>
          <w:szCs w:val="26"/>
        </w:rPr>
        <w:t xml:space="preserve"> de 81 % a </w:t>
      </w:r>
      <w:proofErr w:type="spellStart"/>
      <w:r w:rsidRPr="003009AC">
        <w:rPr>
          <w:rFonts w:asciiTheme="majorHAnsi" w:hAnsiTheme="majorHAnsi" w:cstheme="majorHAnsi"/>
          <w:sz w:val="26"/>
          <w:szCs w:val="26"/>
        </w:rPr>
        <w:t>fondului</w:t>
      </w:r>
      <w:proofErr w:type="spellEnd"/>
      <w:r w:rsidRPr="003009AC">
        <w:rPr>
          <w:rFonts w:asciiTheme="majorHAnsi" w:hAnsiTheme="majorHAnsi" w:cstheme="majorHAnsi"/>
          <w:sz w:val="26"/>
          <w:szCs w:val="26"/>
        </w:rPr>
        <w:t xml:space="preserve"> </w:t>
      </w:r>
      <w:proofErr w:type="spellStart"/>
      <w:r w:rsidRPr="003009AC">
        <w:rPr>
          <w:rFonts w:asciiTheme="majorHAnsi" w:hAnsiTheme="majorHAnsi" w:cstheme="majorHAnsi"/>
          <w:sz w:val="26"/>
          <w:szCs w:val="26"/>
        </w:rPr>
        <w:t>forestier</w:t>
      </w:r>
      <w:proofErr w:type="spellEnd"/>
      <w:r w:rsidRPr="003009AC">
        <w:rPr>
          <w:rFonts w:asciiTheme="majorHAnsi" w:hAnsiTheme="majorHAnsi" w:cstheme="majorHAnsi"/>
          <w:sz w:val="26"/>
          <w:szCs w:val="26"/>
        </w:rPr>
        <w:t>.</w:t>
      </w:r>
      <w:r>
        <w:rPr>
          <w:rFonts w:asciiTheme="majorHAnsi" w:hAnsiTheme="majorHAnsi" w:cstheme="majorHAnsi"/>
          <w:sz w:val="26"/>
          <w:szCs w:val="26"/>
        </w:rPr>
        <w:t xml:space="preserve"> </w:t>
      </w:r>
      <w:r w:rsidR="00CF3941">
        <w:rPr>
          <w:rFonts w:asciiTheme="majorHAnsi" w:hAnsiTheme="majorHAnsi" w:cstheme="majorHAnsi"/>
          <w:sz w:val="26"/>
          <w:szCs w:val="26"/>
        </w:rPr>
        <w:t xml:space="preserve">Nu </w:t>
      </w:r>
      <w:proofErr w:type="spellStart"/>
      <w:r w:rsidR="00CF3941">
        <w:rPr>
          <w:rFonts w:asciiTheme="majorHAnsi" w:hAnsiTheme="majorHAnsi" w:cstheme="majorHAnsi"/>
          <w:sz w:val="26"/>
          <w:szCs w:val="26"/>
        </w:rPr>
        <w:t>sunt</w:t>
      </w:r>
      <w:proofErr w:type="spellEnd"/>
      <w:r w:rsidR="00CF3941">
        <w:rPr>
          <w:rFonts w:asciiTheme="majorHAnsi" w:hAnsiTheme="majorHAnsi" w:cstheme="majorHAnsi"/>
          <w:sz w:val="26"/>
          <w:szCs w:val="26"/>
        </w:rPr>
        <w:t xml:space="preserve"> </w:t>
      </w:r>
      <w:proofErr w:type="spellStart"/>
      <w:r w:rsidR="00CF3941">
        <w:rPr>
          <w:rFonts w:asciiTheme="majorHAnsi" w:hAnsiTheme="majorHAnsi" w:cstheme="majorHAnsi"/>
          <w:sz w:val="26"/>
          <w:szCs w:val="26"/>
        </w:rPr>
        <w:t>necesare</w:t>
      </w:r>
      <w:proofErr w:type="spellEnd"/>
      <w:r w:rsidR="00CF3941">
        <w:rPr>
          <w:rFonts w:asciiTheme="majorHAnsi" w:hAnsiTheme="majorHAnsi" w:cstheme="majorHAnsi"/>
          <w:sz w:val="26"/>
          <w:szCs w:val="26"/>
        </w:rPr>
        <w:t xml:space="preserve"> </w:t>
      </w:r>
      <w:proofErr w:type="spellStart"/>
      <w:r w:rsidR="00CF3941">
        <w:rPr>
          <w:rFonts w:asciiTheme="majorHAnsi" w:hAnsiTheme="majorHAnsi" w:cstheme="majorHAnsi"/>
          <w:sz w:val="26"/>
          <w:szCs w:val="26"/>
        </w:rPr>
        <w:t>noi</w:t>
      </w:r>
      <w:proofErr w:type="spellEnd"/>
      <w:r w:rsidR="00CF3941">
        <w:rPr>
          <w:rFonts w:asciiTheme="majorHAnsi" w:hAnsiTheme="majorHAnsi" w:cstheme="majorHAnsi"/>
          <w:sz w:val="26"/>
          <w:szCs w:val="26"/>
        </w:rPr>
        <w:t xml:space="preserve"> </w:t>
      </w:r>
      <w:proofErr w:type="spellStart"/>
      <w:r w:rsidR="00CF3941">
        <w:rPr>
          <w:rFonts w:asciiTheme="majorHAnsi" w:hAnsiTheme="majorHAnsi" w:cstheme="majorHAnsi"/>
          <w:sz w:val="26"/>
          <w:szCs w:val="26"/>
        </w:rPr>
        <w:t>drumuri</w:t>
      </w:r>
      <w:proofErr w:type="spellEnd"/>
      <w:r w:rsidR="00CF3941">
        <w:rPr>
          <w:rFonts w:asciiTheme="majorHAnsi" w:hAnsiTheme="majorHAnsi" w:cstheme="majorHAnsi"/>
          <w:sz w:val="26"/>
          <w:szCs w:val="26"/>
        </w:rPr>
        <w:t>.</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7"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F11CFC">
        <w:rPr>
          <w:rFonts w:ascii="Times New Roman" w:hAnsi="Times New Roman"/>
          <w:b/>
          <w:i/>
          <w:sz w:val="26"/>
          <w:szCs w:val="26"/>
          <w:lang w:val="ro-RO"/>
        </w:rPr>
        <w:t>III Secu</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0F3504">
        <w:rPr>
          <w:rStyle w:val="tpa1"/>
          <w:rFonts w:ascii="Times New Roman" w:hAnsi="Times New Roman"/>
          <w:sz w:val="26"/>
          <w:szCs w:val="26"/>
          <w:lang w:val="ro-RO"/>
        </w:rPr>
        <w:t xml:space="preserve">sitului de importanță comunitară ROSPA0033 </w:t>
      </w:r>
      <w:proofErr w:type="spellStart"/>
      <w:r w:rsidR="000F3504">
        <w:rPr>
          <w:rStyle w:val="tpa1"/>
          <w:rFonts w:ascii="Times New Roman" w:hAnsi="Times New Roman"/>
          <w:sz w:val="26"/>
          <w:szCs w:val="26"/>
          <w:lang w:val="hu-HU"/>
        </w:rPr>
        <w:t>Depresiunea</w:t>
      </w:r>
      <w:proofErr w:type="spellEnd"/>
      <w:r w:rsidR="000F3504">
        <w:rPr>
          <w:rStyle w:val="tpa1"/>
          <w:rFonts w:ascii="Times New Roman" w:hAnsi="Times New Roman"/>
          <w:sz w:val="26"/>
          <w:szCs w:val="26"/>
          <w:lang w:val="hu-HU"/>
        </w:rPr>
        <w:t xml:space="preserve"> </w:t>
      </w:r>
      <w:r w:rsidR="000F3504">
        <w:rPr>
          <w:rStyle w:val="tpa1"/>
          <w:rFonts w:ascii="Times New Roman" w:hAnsi="Times New Roman"/>
          <w:sz w:val="26"/>
          <w:szCs w:val="26"/>
          <w:lang w:val="ro-RO"/>
        </w:rPr>
        <w:t>și Munții Giurgeului și cu planul de management al sitului ROSCI0252 Toplița-Scaunul Rotund Borsec, precum și cu obiectivele de conservare stabilite de către ANANP – Serviciul Teritorial Harghita. Amenajamentul include subcapitole (capitolul 9) care conțin măsuri și condiții cu privire la protecția speciilor și habitatelor ocrotite, precum și la protecția ecosistemelor terestre și acvatice.</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reducerea efectelor protectoare ale acesteia, prin </w:t>
      </w:r>
      <w:proofErr w:type="spellStart"/>
      <w:r w:rsidRPr="007E7B29">
        <w:rPr>
          <w:rFonts w:ascii="Times New Roman" w:hAnsi="Times New Roman"/>
          <w:sz w:val="26"/>
          <w:szCs w:val="26"/>
          <w:lang w:val="ro-RO"/>
        </w:rPr>
        <w:t>apariţia</w:t>
      </w:r>
      <w:proofErr w:type="spellEnd"/>
      <w:r w:rsidRPr="007E7B29">
        <w:rPr>
          <w:rFonts w:ascii="Times New Roman" w:hAnsi="Times New Roman"/>
          <w:sz w:val="26"/>
          <w:szCs w:val="26"/>
          <w:lang w:val="ro-RO"/>
        </w:rPr>
        <w:t xml:space="preserve"> și extinderea unor factori destabilizatori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limitativi (uscarea, </w:t>
      </w:r>
      <w:proofErr w:type="spellStart"/>
      <w:r w:rsidRPr="007E7B29">
        <w:rPr>
          <w:rFonts w:ascii="Times New Roman" w:hAnsi="Times New Roman"/>
          <w:sz w:val="26"/>
          <w:szCs w:val="26"/>
          <w:lang w:val="ro-RO"/>
        </w:rPr>
        <w:t>doborâturile</w:t>
      </w:r>
      <w:proofErr w:type="spellEnd"/>
      <w:r w:rsidRPr="007E7B29">
        <w:rPr>
          <w:rFonts w:ascii="Times New Roman" w:hAnsi="Times New Roman"/>
          <w:sz w:val="26"/>
          <w:szCs w:val="26"/>
          <w:lang w:val="ro-RO"/>
        </w:rPr>
        <w:t xml:space="preserve"> produse de vânt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7043E6" w:rsidRPr="007043E6" w:rsidRDefault="00970113" w:rsidP="007043E6">
      <w:pPr>
        <w:spacing w:after="0" w:line="240" w:lineRule="auto"/>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7131C6" w:rsidRPr="007131C6">
        <w:rPr>
          <w:rFonts w:ascii="Times New Roman" w:hAnsi="Times New Roman"/>
          <w:sz w:val="26"/>
          <w:szCs w:val="26"/>
          <w:lang w:val="ro-RO"/>
        </w:rPr>
        <w:t xml:space="preserve">În această unitate de producție </w:t>
      </w:r>
      <w:proofErr w:type="spellStart"/>
      <w:r w:rsidR="007131C6" w:rsidRPr="007131C6">
        <w:rPr>
          <w:rFonts w:ascii="Times New Roman" w:hAnsi="Times New Roman"/>
          <w:sz w:val="26"/>
          <w:szCs w:val="26"/>
          <w:lang w:val="ro-RO"/>
        </w:rPr>
        <w:t>doborâturile</w:t>
      </w:r>
      <w:proofErr w:type="spellEnd"/>
      <w:r w:rsidR="007131C6" w:rsidRPr="007131C6">
        <w:rPr>
          <w:rFonts w:ascii="Times New Roman" w:hAnsi="Times New Roman"/>
          <w:sz w:val="26"/>
          <w:szCs w:val="26"/>
          <w:lang w:val="ro-RO"/>
        </w:rPr>
        <w:t xml:space="preserve"> de vânt reprezintă un factor destabilizator important, dată fiind ponderea mare a molidișurilor pure.</w:t>
      </w:r>
      <w:r w:rsidR="007131C6">
        <w:rPr>
          <w:rFonts w:ascii="Times New Roman" w:hAnsi="Times New Roman"/>
          <w:sz w:val="26"/>
          <w:szCs w:val="26"/>
          <w:lang w:val="ro-RO"/>
        </w:rPr>
        <w:t xml:space="preserve"> </w:t>
      </w:r>
      <w:r w:rsidR="007043E6" w:rsidRPr="007043E6">
        <w:rPr>
          <w:rFonts w:ascii="Times New Roman" w:hAnsi="Times New Roman"/>
          <w:sz w:val="26"/>
          <w:szCs w:val="26"/>
          <w:lang w:val="ro-RO"/>
        </w:rPr>
        <w:t xml:space="preserve">În cuprinsul U.P. III - Secu  au fost identificate </w:t>
      </w:r>
      <w:smartTag w:uri="urn:schemas-microsoft-com:office:smarttags" w:element="metricconverter">
        <w:smartTagPr>
          <w:attr w:name="ProductID" w:val="156,47 ha"/>
        </w:smartTagPr>
        <w:r w:rsidR="007043E6" w:rsidRPr="007043E6">
          <w:rPr>
            <w:rFonts w:ascii="Times New Roman" w:hAnsi="Times New Roman"/>
            <w:sz w:val="26"/>
            <w:szCs w:val="26"/>
            <w:lang w:val="ro-RO"/>
          </w:rPr>
          <w:t>156,47 ha</w:t>
        </w:r>
      </w:smartTag>
      <w:r w:rsidR="007043E6" w:rsidRPr="007043E6">
        <w:rPr>
          <w:rFonts w:ascii="Times New Roman" w:hAnsi="Times New Roman"/>
          <w:sz w:val="26"/>
          <w:szCs w:val="26"/>
          <w:lang w:val="ro-RO"/>
        </w:rPr>
        <w:t xml:space="preserve"> de </w:t>
      </w:r>
      <w:proofErr w:type="spellStart"/>
      <w:r w:rsidR="007043E6" w:rsidRPr="007043E6">
        <w:rPr>
          <w:rFonts w:ascii="Times New Roman" w:hAnsi="Times New Roman"/>
          <w:sz w:val="26"/>
          <w:szCs w:val="26"/>
          <w:lang w:val="ro-RO"/>
        </w:rPr>
        <w:t>arborete</w:t>
      </w:r>
      <w:proofErr w:type="spellEnd"/>
      <w:r w:rsidR="007043E6" w:rsidRPr="007043E6">
        <w:rPr>
          <w:rFonts w:ascii="Times New Roman" w:hAnsi="Times New Roman"/>
          <w:sz w:val="26"/>
          <w:szCs w:val="26"/>
          <w:lang w:val="ro-RO"/>
        </w:rPr>
        <w:t xml:space="preserve"> afectate de </w:t>
      </w:r>
      <w:proofErr w:type="spellStart"/>
      <w:r w:rsidR="007043E6" w:rsidRPr="007043E6">
        <w:rPr>
          <w:rFonts w:ascii="Times New Roman" w:hAnsi="Times New Roman"/>
          <w:sz w:val="26"/>
          <w:szCs w:val="26"/>
          <w:lang w:val="ro-RO"/>
        </w:rPr>
        <w:t>doborâturi</w:t>
      </w:r>
      <w:proofErr w:type="spellEnd"/>
      <w:r w:rsidR="007043E6" w:rsidRPr="007043E6">
        <w:rPr>
          <w:rFonts w:ascii="Times New Roman" w:hAnsi="Times New Roman"/>
          <w:sz w:val="26"/>
          <w:szCs w:val="26"/>
          <w:lang w:val="ro-RO"/>
        </w:rPr>
        <w:t>,  intensitatea acestora fiind întâlnită sub două forme, izolate</w:t>
      </w:r>
      <w:r w:rsidR="007043E6">
        <w:rPr>
          <w:rFonts w:ascii="Times New Roman" w:hAnsi="Times New Roman"/>
          <w:sz w:val="26"/>
          <w:szCs w:val="26"/>
          <w:lang w:val="ro-RO"/>
        </w:rPr>
        <w:t xml:space="preserve"> </w:t>
      </w:r>
      <w:r w:rsidR="007043E6" w:rsidRPr="007043E6">
        <w:rPr>
          <w:rFonts w:ascii="Times New Roman" w:hAnsi="Times New Roman"/>
          <w:sz w:val="26"/>
          <w:szCs w:val="26"/>
          <w:lang w:val="ro-RO"/>
        </w:rPr>
        <w:t>(</w:t>
      </w:r>
      <w:smartTag w:uri="urn:schemas-microsoft-com:office:smarttags" w:element="metricconverter">
        <w:smartTagPr>
          <w:attr w:name="ProductID" w:val="144,99 ha"/>
        </w:smartTagPr>
        <w:r w:rsidR="007043E6" w:rsidRPr="007043E6">
          <w:rPr>
            <w:rFonts w:ascii="Times New Roman" w:hAnsi="Times New Roman"/>
            <w:sz w:val="26"/>
            <w:szCs w:val="26"/>
            <w:lang w:val="ro-RO"/>
          </w:rPr>
          <w:t>144,99 ha</w:t>
        </w:r>
      </w:smartTag>
      <w:r w:rsidR="007043E6" w:rsidRPr="007043E6">
        <w:rPr>
          <w:rFonts w:ascii="Times New Roman" w:hAnsi="Times New Roman"/>
          <w:sz w:val="26"/>
          <w:szCs w:val="26"/>
          <w:lang w:val="ro-RO"/>
        </w:rPr>
        <w:t>) și destul de frecvente</w:t>
      </w:r>
      <w:r w:rsidR="007043E6">
        <w:rPr>
          <w:rFonts w:ascii="Times New Roman" w:hAnsi="Times New Roman"/>
          <w:sz w:val="26"/>
          <w:szCs w:val="26"/>
          <w:lang w:val="ro-RO"/>
        </w:rPr>
        <w:t xml:space="preserve"> </w:t>
      </w:r>
      <w:r w:rsidR="007043E6" w:rsidRPr="007043E6">
        <w:rPr>
          <w:rFonts w:ascii="Times New Roman" w:hAnsi="Times New Roman"/>
          <w:sz w:val="26"/>
          <w:szCs w:val="26"/>
          <w:lang w:val="ro-RO"/>
        </w:rPr>
        <w:t>(</w:t>
      </w:r>
      <w:smartTag w:uri="urn:schemas-microsoft-com:office:smarttags" w:element="metricconverter">
        <w:smartTagPr>
          <w:attr w:name="ProductID" w:val="11,48 ha"/>
        </w:smartTagPr>
        <w:r w:rsidR="007043E6" w:rsidRPr="007043E6">
          <w:rPr>
            <w:rFonts w:ascii="Times New Roman" w:hAnsi="Times New Roman"/>
            <w:sz w:val="26"/>
            <w:szCs w:val="26"/>
            <w:lang w:val="ro-RO"/>
          </w:rPr>
          <w:t>11,48 ha</w:t>
        </w:r>
      </w:smartTag>
      <w:r w:rsidR="007043E6" w:rsidRPr="007043E6">
        <w:rPr>
          <w:rFonts w:ascii="Times New Roman" w:hAnsi="Times New Roman"/>
          <w:sz w:val="26"/>
          <w:szCs w:val="26"/>
          <w:lang w:val="ro-RO"/>
        </w:rPr>
        <w:t xml:space="preserve">). Rupturi produse de căderile abundente de zăpadă, se produc izolat în special în molidișurile pure. </w:t>
      </w:r>
      <w:proofErr w:type="spellStart"/>
      <w:r w:rsidR="007043E6" w:rsidRPr="007043E6">
        <w:rPr>
          <w:rFonts w:ascii="Times New Roman" w:hAnsi="Times New Roman"/>
          <w:sz w:val="26"/>
          <w:szCs w:val="26"/>
          <w:lang w:val="ro-RO"/>
        </w:rPr>
        <w:t>Doborâturile</w:t>
      </w:r>
      <w:proofErr w:type="spellEnd"/>
      <w:r w:rsidR="007043E6" w:rsidRPr="007043E6">
        <w:rPr>
          <w:rFonts w:ascii="Times New Roman" w:hAnsi="Times New Roman"/>
          <w:sz w:val="26"/>
          <w:szCs w:val="26"/>
          <w:lang w:val="ro-RO"/>
        </w:rPr>
        <w:t xml:space="preserve"> de vânt s-au manifestat </w:t>
      </w:r>
      <w:proofErr w:type="spellStart"/>
      <w:r w:rsidR="007043E6" w:rsidRPr="007043E6">
        <w:rPr>
          <w:rFonts w:ascii="Times New Roman" w:hAnsi="Times New Roman"/>
          <w:sz w:val="26"/>
          <w:szCs w:val="26"/>
          <w:lang w:val="ro-RO"/>
        </w:rPr>
        <w:t>şi</w:t>
      </w:r>
      <w:proofErr w:type="spellEnd"/>
      <w:r w:rsidR="007043E6" w:rsidRPr="007043E6">
        <w:rPr>
          <w:rFonts w:ascii="Times New Roman" w:hAnsi="Times New Roman"/>
          <w:sz w:val="26"/>
          <w:szCs w:val="26"/>
          <w:lang w:val="ro-RO"/>
        </w:rPr>
        <w:t xml:space="preserve"> se manifestă oarecum ciclic, majoritar, pe </w:t>
      </w:r>
      <w:proofErr w:type="spellStart"/>
      <w:r w:rsidR="007043E6" w:rsidRPr="007043E6">
        <w:rPr>
          <w:rFonts w:ascii="Times New Roman" w:hAnsi="Times New Roman"/>
          <w:sz w:val="26"/>
          <w:szCs w:val="26"/>
          <w:lang w:val="ro-RO"/>
        </w:rPr>
        <w:t>suprafeţele</w:t>
      </w:r>
      <w:proofErr w:type="spellEnd"/>
      <w:r w:rsidR="007043E6" w:rsidRPr="007043E6">
        <w:rPr>
          <w:rFonts w:ascii="Times New Roman" w:hAnsi="Times New Roman"/>
          <w:sz w:val="26"/>
          <w:szCs w:val="26"/>
          <w:lang w:val="ro-RO"/>
        </w:rPr>
        <w:t xml:space="preserve"> în care au existat sau există factori </w:t>
      </w:r>
      <w:proofErr w:type="spellStart"/>
      <w:r w:rsidR="007043E6" w:rsidRPr="007043E6">
        <w:rPr>
          <w:rFonts w:ascii="Times New Roman" w:hAnsi="Times New Roman"/>
          <w:sz w:val="26"/>
          <w:szCs w:val="26"/>
          <w:lang w:val="ro-RO"/>
        </w:rPr>
        <w:t>staţionali</w:t>
      </w:r>
      <w:proofErr w:type="spellEnd"/>
      <w:r w:rsidR="007043E6" w:rsidRPr="007043E6">
        <w:rPr>
          <w:rFonts w:ascii="Times New Roman" w:hAnsi="Times New Roman"/>
          <w:sz w:val="26"/>
          <w:szCs w:val="26"/>
          <w:lang w:val="ro-RO"/>
        </w:rPr>
        <w:t xml:space="preserve"> limitativi (soluri superficiale, </w:t>
      </w:r>
      <w:proofErr w:type="spellStart"/>
      <w:r w:rsidR="007043E6" w:rsidRPr="007043E6">
        <w:rPr>
          <w:rFonts w:ascii="Times New Roman" w:hAnsi="Times New Roman"/>
          <w:sz w:val="26"/>
          <w:szCs w:val="26"/>
          <w:lang w:val="ro-RO"/>
        </w:rPr>
        <w:t>litice</w:t>
      </w:r>
      <w:proofErr w:type="spellEnd"/>
      <w:r w:rsidR="007043E6" w:rsidRPr="007043E6">
        <w:rPr>
          <w:rFonts w:ascii="Times New Roman" w:hAnsi="Times New Roman"/>
          <w:sz w:val="26"/>
          <w:szCs w:val="26"/>
          <w:lang w:val="ro-RO"/>
        </w:rPr>
        <w:t xml:space="preserve"> sau </w:t>
      </w:r>
      <w:proofErr w:type="spellStart"/>
      <w:r w:rsidR="007043E6" w:rsidRPr="007043E6">
        <w:rPr>
          <w:rFonts w:ascii="Times New Roman" w:hAnsi="Times New Roman"/>
          <w:sz w:val="26"/>
          <w:szCs w:val="26"/>
          <w:lang w:val="ro-RO"/>
        </w:rPr>
        <w:t>hidromorfe</w:t>
      </w:r>
      <w:proofErr w:type="spellEnd"/>
      <w:r w:rsidR="007043E6" w:rsidRPr="007043E6">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0F3504" w:rsidRPr="00CB261F" w:rsidRDefault="000F3504" w:rsidP="000F3504">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1556/2016 privind aprobarea Planului de management al Parcului Natural Defileul </w:t>
      </w:r>
      <w:proofErr w:type="spellStart"/>
      <w:r w:rsidRPr="00CB261F">
        <w:rPr>
          <w:rFonts w:ascii="Times New Roman" w:hAnsi="Times New Roman"/>
          <w:sz w:val="26"/>
          <w:szCs w:val="26"/>
          <w:lang w:val="ro-RO"/>
        </w:rPr>
        <w:t>Mureşului</w:t>
      </w:r>
      <w:proofErr w:type="spellEnd"/>
      <w:r w:rsidRPr="00CB261F">
        <w:rPr>
          <w:rFonts w:ascii="Times New Roman" w:hAnsi="Times New Roman"/>
          <w:sz w:val="26"/>
          <w:szCs w:val="26"/>
          <w:lang w:val="ro-RO"/>
        </w:rPr>
        <w:t xml:space="preserve"> Superior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al ariilor naturale protejate anexe</w:t>
      </w:r>
    </w:p>
    <w:p w:rsidR="000F3504" w:rsidRPr="000F3504" w:rsidRDefault="000F3504" w:rsidP="000F3504">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lastRenderedPageBreak/>
        <w:t xml:space="preserve">Ordinul M.M.A.P. nr. 753 din 2016 privind aprobarea Planului de management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 Regulamentului sitului Natura 2000 ROSCI0252 </w:t>
      </w:r>
      <w:proofErr w:type="spellStart"/>
      <w:r w:rsidRPr="00CB261F">
        <w:rPr>
          <w:rFonts w:ascii="Times New Roman" w:hAnsi="Times New Roman"/>
          <w:sz w:val="26"/>
          <w:szCs w:val="26"/>
          <w:lang w:val="ro-RO"/>
        </w:rPr>
        <w:t>Topliţa</w:t>
      </w:r>
      <w:proofErr w:type="spellEnd"/>
      <w:r w:rsidRPr="00CB261F">
        <w:rPr>
          <w:rFonts w:ascii="Times New Roman" w:hAnsi="Times New Roman"/>
          <w:sz w:val="26"/>
          <w:szCs w:val="26"/>
          <w:lang w:val="ro-RO"/>
        </w:rPr>
        <w:t xml:space="preserve"> - Scaunul Rotund Borsec</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F11CFC">
        <w:rPr>
          <w:rFonts w:ascii="Times New Roman" w:hAnsi="Times New Roman"/>
          <w:i/>
          <w:color w:val="000000"/>
          <w:sz w:val="26"/>
          <w:szCs w:val="26"/>
          <w:lang w:val="ro-RO"/>
        </w:rPr>
        <w:t>III Secu</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lastRenderedPageBreak/>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ROSCI0252 Toplița – Scaunul Rotund Borsec</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 xml:space="preserve">Efectele vor fi reduse asupra zonelor sau peisajelor care au un statut de protejare recunoscute pe plan </w:t>
      </w:r>
      <w:proofErr w:type="spellStart"/>
      <w:r w:rsidRPr="007043E6">
        <w:rPr>
          <w:rFonts w:ascii="Times New Roman" w:hAnsi="Times New Roman"/>
          <w:i/>
          <w:sz w:val="26"/>
          <w:szCs w:val="26"/>
          <w:lang w:val="ro-RO"/>
        </w:rPr>
        <w:t>naţional</w:t>
      </w:r>
      <w:proofErr w:type="spellEnd"/>
      <w:r w:rsidRPr="007043E6">
        <w:rPr>
          <w:rFonts w:ascii="Times New Roman" w:hAnsi="Times New Roman"/>
          <w:i/>
          <w:sz w:val="26"/>
          <w:szCs w:val="26"/>
          <w:lang w:val="ro-RO"/>
        </w:rPr>
        <w:t xml:space="preserve">, comunitar sau </w:t>
      </w:r>
      <w:proofErr w:type="spellStart"/>
      <w:r w:rsidRPr="007043E6">
        <w:rPr>
          <w:rFonts w:ascii="Times New Roman" w:hAnsi="Times New Roman"/>
          <w:i/>
          <w:sz w:val="26"/>
          <w:szCs w:val="26"/>
          <w:lang w:val="ro-RO"/>
        </w:rPr>
        <w:t>internaţional</w:t>
      </w:r>
      <w:proofErr w:type="spellEnd"/>
      <w:r w:rsidRPr="007043E6">
        <w:rPr>
          <w:rFonts w:ascii="Times New Roman" w:hAnsi="Times New Roman"/>
          <w:i/>
          <w:sz w:val="26"/>
          <w:szCs w:val="26"/>
          <w:lang w:val="ro-RO"/>
        </w:rPr>
        <w:t xml:space="preserve"> în cazul respectării </w:t>
      </w:r>
      <w:proofErr w:type="spellStart"/>
      <w:r w:rsidRPr="007043E6">
        <w:rPr>
          <w:rFonts w:ascii="Times New Roman" w:hAnsi="Times New Roman"/>
          <w:i/>
          <w:sz w:val="26"/>
          <w:szCs w:val="26"/>
          <w:lang w:val="ro-RO"/>
        </w:rPr>
        <w:t>condiţiilor</w:t>
      </w:r>
      <w:proofErr w:type="spellEnd"/>
      <w:r w:rsidRPr="007043E6">
        <w:rPr>
          <w:rFonts w:ascii="Times New Roman" w:hAnsi="Times New Roman"/>
          <w:i/>
          <w:sz w:val="26"/>
          <w:szCs w:val="26"/>
          <w:lang w:val="ro-RO"/>
        </w:rPr>
        <w:t xml:space="preserve">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0F3504" w:rsidRPr="00102A51" w:rsidRDefault="000F3504" w:rsidP="000F350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eastAsiaTheme="minorHAnsi" w:hAnsi="Times New Roman"/>
          <w:sz w:val="26"/>
          <w:szCs w:val="26"/>
          <w:lang w:val="ro-RO"/>
        </w:rPr>
        <w:t xml:space="preserve">amenajamentul parțial se suprapune </w:t>
      </w:r>
      <w:r w:rsidRPr="001A6D3F">
        <w:rPr>
          <w:rFonts w:ascii="Times New Roman" w:hAnsi="Times New Roman"/>
          <w:sz w:val="26"/>
          <w:szCs w:val="26"/>
          <w:lang w:val="ro-RO"/>
        </w:rPr>
        <w:t xml:space="preserve">cu </w:t>
      </w:r>
      <w:r>
        <w:rPr>
          <w:rFonts w:ascii="Times New Roman" w:hAnsi="Times New Roman"/>
          <w:sz w:val="26"/>
          <w:szCs w:val="26"/>
          <w:lang w:val="ro-RO"/>
        </w:rPr>
        <w:t xml:space="preserve">aria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ROSPA0033 Depresiunea și Munții Giurgeului (9,82 ha) și asupra </w:t>
      </w:r>
      <w:r w:rsidRPr="001A6D3F">
        <w:rPr>
          <w:rFonts w:ascii="Times New Roman" w:hAnsi="Times New Roman"/>
          <w:sz w:val="26"/>
          <w:szCs w:val="26"/>
          <w:lang w:val="ro-RO"/>
        </w:rPr>
        <w:t>situl</w:t>
      </w:r>
      <w:r>
        <w:rPr>
          <w:rFonts w:ascii="Times New Roman" w:hAnsi="Times New Roman"/>
          <w:sz w:val="26"/>
          <w:szCs w:val="26"/>
          <w:lang w:val="ro-RO"/>
        </w:rPr>
        <w:t>ui</w:t>
      </w:r>
      <w:r w:rsidRPr="001A6D3F">
        <w:rPr>
          <w:rFonts w:ascii="Times New Roman" w:hAnsi="Times New Roman"/>
          <w:sz w:val="26"/>
          <w:szCs w:val="26"/>
          <w:lang w:val="ro-RO"/>
        </w:rPr>
        <w:t xml:space="preserve"> de importanță comunitară </w:t>
      </w:r>
      <w:r>
        <w:rPr>
          <w:rFonts w:ascii="Times New Roman" w:hAnsi="Times New Roman"/>
          <w:sz w:val="26"/>
          <w:szCs w:val="26"/>
          <w:lang w:val="ro-RO"/>
        </w:rPr>
        <w:t>ROSCI0252 Toplița – Scaunul Rotund Borsec (485 ha)</w:t>
      </w:r>
    </w:p>
    <w:p w:rsidR="000F3504" w:rsidRPr="009832B1" w:rsidRDefault="000F3504" w:rsidP="000F350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hAnsi="Times New Roman"/>
          <w:sz w:val="26"/>
          <w:szCs w:val="26"/>
          <w:lang w:val="ro-RO"/>
        </w:rPr>
        <w:t xml:space="preserve">Parcelele forestiere analizate creează cadru pentru speciile ocrotite de interes comunitar (habitate forestiere și speciile ocrotite dependente de păduri) </w:t>
      </w:r>
      <w:proofErr w:type="spellStart"/>
      <w:r w:rsidRPr="001A6D3F">
        <w:rPr>
          <w:rFonts w:ascii="Times New Roman" w:hAnsi="Times New Roman"/>
          <w:sz w:val="26"/>
          <w:szCs w:val="26"/>
          <w:lang w:val="ro-RO"/>
        </w:rPr>
        <w:t>menţionate</w:t>
      </w:r>
      <w:proofErr w:type="spellEnd"/>
      <w:r w:rsidRPr="001A6D3F">
        <w:rPr>
          <w:rFonts w:ascii="Times New Roman" w:hAnsi="Times New Roman"/>
          <w:sz w:val="26"/>
          <w:szCs w:val="26"/>
          <w:lang w:val="ro-RO"/>
        </w:rPr>
        <w:t xml:space="preserve"> în Planul de management al sitului </w:t>
      </w:r>
      <w:r>
        <w:rPr>
          <w:rFonts w:ascii="Times New Roman" w:hAnsi="Times New Roman"/>
          <w:sz w:val="26"/>
          <w:szCs w:val="26"/>
          <w:lang w:val="ro-RO"/>
        </w:rPr>
        <w:t>ROSCI0252 Toplița – Scaunul Rotund Borsec și în Planul de management al sitului ROSPA0033 Depresiunea și Munții Giurgeului (specii de păsări dependente de păduri)</w:t>
      </w:r>
    </w:p>
    <w:p w:rsidR="009832B1" w:rsidRPr="009832B1" w:rsidRDefault="009832B1" w:rsidP="000F350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Pr>
          <w:rFonts w:ascii="Times New Roman" w:hAnsi="Times New Roman"/>
          <w:sz w:val="26"/>
          <w:szCs w:val="26"/>
          <w:lang w:val="ro-RO"/>
        </w:rPr>
        <w:t xml:space="preserve">Parcelele silvice din ROSCI0252 Toplița – Scaunul Rotund Borsec sunt următoarele: </w:t>
      </w:r>
      <w:proofErr w:type="spellStart"/>
      <w:r>
        <w:rPr>
          <w:rFonts w:ascii="Times New Roman" w:hAnsi="Times New Roman"/>
          <w:sz w:val="26"/>
          <w:szCs w:val="26"/>
          <w:lang w:val="ro-RO"/>
        </w:rPr>
        <w:t>u.a</w:t>
      </w:r>
      <w:proofErr w:type="spellEnd"/>
      <w:r>
        <w:rPr>
          <w:rFonts w:ascii="Times New Roman" w:hAnsi="Times New Roman"/>
          <w:sz w:val="26"/>
          <w:szCs w:val="26"/>
          <w:lang w:val="ro-RO"/>
        </w:rPr>
        <w:t xml:space="preserve">. </w:t>
      </w:r>
      <w:r w:rsidRPr="009832B1">
        <w:rPr>
          <w:rFonts w:ascii="Times New Roman" w:hAnsi="Times New Roman"/>
          <w:sz w:val="26"/>
          <w:szCs w:val="26"/>
          <w:lang w:val="ro-RO"/>
        </w:rPr>
        <w:t xml:space="preserve">9A, 9B, </w:t>
      </w:r>
      <w:smartTag w:uri="urn:schemas-microsoft-com:office:smarttags" w:element="metricconverter">
        <w:smartTagPr>
          <w:attr w:name="ProductID" w:val="9C"/>
        </w:smartTagPr>
        <w:r w:rsidRPr="009832B1">
          <w:rPr>
            <w:rFonts w:ascii="Times New Roman" w:hAnsi="Times New Roman"/>
            <w:sz w:val="26"/>
            <w:szCs w:val="26"/>
            <w:lang w:val="ro-RO"/>
          </w:rPr>
          <w:t>9C</w:t>
        </w:r>
      </w:smartTag>
      <w:r w:rsidRPr="009832B1">
        <w:rPr>
          <w:rFonts w:ascii="Times New Roman" w:hAnsi="Times New Roman"/>
          <w:sz w:val="26"/>
          <w:szCs w:val="26"/>
          <w:lang w:val="ro-RO"/>
        </w:rPr>
        <w:t xml:space="preserve">, 9D, 9E, 10A, 10B, </w:t>
      </w:r>
      <w:smartTag w:uri="urn:schemas-microsoft-com:office:smarttags" w:element="metricconverter">
        <w:smartTagPr>
          <w:attr w:name="ProductID" w:val="10C"/>
        </w:smartTagPr>
        <w:r w:rsidRPr="009832B1">
          <w:rPr>
            <w:rFonts w:ascii="Times New Roman" w:hAnsi="Times New Roman"/>
            <w:sz w:val="26"/>
            <w:szCs w:val="26"/>
            <w:lang w:val="ro-RO"/>
          </w:rPr>
          <w:t>10C</w:t>
        </w:r>
      </w:smartTag>
      <w:r w:rsidRPr="009832B1">
        <w:rPr>
          <w:rFonts w:ascii="Times New Roman" w:hAnsi="Times New Roman"/>
          <w:sz w:val="26"/>
          <w:szCs w:val="26"/>
          <w:lang w:val="ro-RO"/>
        </w:rPr>
        <w:t xml:space="preserve">, 11A, 11B, </w:t>
      </w:r>
      <w:smartTag w:uri="urn:schemas-microsoft-com:office:smarttags" w:element="metricconverter">
        <w:smartTagPr>
          <w:attr w:name="ProductID" w:val="11C"/>
        </w:smartTagPr>
        <w:r w:rsidRPr="009832B1">
          <w:rPr>
            <w:rFonts w:ascii="Times New Roman" w:hAnsi="Times New Roman"/>
            <w:sz w:val="26"/>
            <w:szCs w:val="26"/>
            <w:lang w:val="ro-RO"/>
          </w:rPr>
          <w:t>11C</w:t>
        </w:r>
      </w:smartTag>
      <w:r w:rsidRPr="009832B1">
        <w:rPr>
          <w:rFonts w:ascii="Times New Roman" w:hAnsi="Times New Roman"/>
          <w:sz w:val="26"/>
          <w:szCs w:val="26"/>
          <w:lang w:val="ro-RO"/>
        </w:rPr>
        <w:t xml:space="preserve">, 11D, 11E, 12, 13A, 13B, 14A, 14B, </w:t>
      </w:r>
      <w:smartTag w:uri="urn:schemas-microsoft-com:office:smarttags" w:element="metricconverter">
        <w:smartTagPr>
          <w:attr w:name="ProductID" w:val="14C"/>
        </w:smartTagPr>
        <w:r w:rsidRPr="009832B1">
          <w:rPr>
            <w:rFonts w:ascii="Times New Roman" w:hAnsi="Times New Roman"/>
            <w:sz w:val="26"/>
            <w:szCs w:val="26"/>
            <w:lang w:val="ro-RO"/>
          </w:rPr>
          <w:t>14C</w:t>
        </w:r>
      </w:smartTag>
      <w:r w:rsidRPr="009832B1">
        <w:rPr>
          <w:rFonts w:ascii="Times New Roman" w:hAnsi="Times New Roman"/>
          <w:sz w:val="26"/>
          <w:szCs w:val="26"/>
          <w:lang w:val="ro-RO"/>
        </w:rPr>
        <w:t xml:space="preserve">, 15A, 15B, </w:t>
      </w:r>
      <w:smartTag w:uri="urn:schemas-microsoft-com:office:smarttags" w:element="metricconverter">
        <w:smartTagPr>
          <w:attr w:name="ProductID" w:val="15C"/>
        </w:smartTagPr>
        <w:r w:rsidRPr="009832B1">
          <w:rPr>
            <w:rFonts w:ascii="Times New Roman" w:hAnsi="Times New Roman"/>
            <w:sz w:val="26"/>
            <w:szCs w:val="26"/>
            <w:lang w:val="ro-RO"/>
          </w:rPr>
          <w:t>15C</w:t>
        </w:r>
      </w:smartTag>
      <w:r w:rsidRPr="009832B1">
        <w:rPr>
          <w:rFonts w:ascii="Times New Roman" w:hAnsi="Times New Roman"/>
          <w:sz w:val="26"/>
          <w:szCs w:val="26"/>
          <w:lang w:val="ro-RO"/>
        </w:rPr>
        <w:t xml:space="preserve">, 15D, 15E, </w:t>
      </w:r>
      <w:smartTag w:uri="urn:schemas-microsoft-com:office:smarttags" w:element="metricconverter">
        <w:smartTagPr>
          <w:attr w:name="ProductID" w:val="15F"/>
        </w:smartTagPr>
        <w:r w:rsidRPr="009832B1">
          <w:rPr>
            <w:rFonts w:ascii="Times New Roman" w:hAnsi="Times New Roman"/>
            <w:sz w:val="26"/>
            <w:szCs w:val="26"/>
            <w:lang w:val="ro-RO"/>
          </w:rPr>
          <w:t>15F</w:t>
        </w:r>
      </w:smartTag>
      <w:r w:rsidRPr="009832B1">
        <w:rPr>
          <w:rFonts w:ascii="Times New Roman" w:hAnsi="Times New Roman"/>
          <w:sz w:val="26"/>
          <w:szCs w:val="26"/>
          <w:lang w:val="ro-RO"/>
        </w:rPr>
        <w:t xml:space="preserve">, 15G, 15H, 15I, 93A, 93B, </w:t>
      </w:r>
      <w:smartTag w:uri="urn:schemas-microsoft-com:office:smarttags" w:element="metricconverter">
        <w:smartTagPr>
          <w:attr w:name="ProductID" w:val="93C"/>
        </w:smartTagPr>
        <w:r w:rsidRPr="009832B1">
          <w:rPr>
            <w:rFonts w:ascii="Times New Roman" w:hAnsi="Times New Roman"/>
            <w:sz w:val="26"/>
            <w:szCs w:val="26"/>
            <w:lang w:val="ro-RO"/>
          </w:rPr>
          <w:t>93C</w:t>
        </w:r>
      </w:smartTag>
      <w:r w:rsidRPr="009832B1">
        <w:rPr>
          <w:rFonts w:ascii="Times New Roman" w:hAnsi="Times New Roman"/>
          <w:sz w:val="26"/>
          <w:szCs w:val="26"/>
          <w:lang w:val="ro-RO"/>
        </w:rPr>
        <w:t xml:space="preserve">, 93D, 93E, </w:t>
      </w:r>
      <w:smartTag w:uri="urn:schemas-microsoft-com:office:smarttags" w:element="metricconverter">
        <w:smartTagPr>
          <w:attr w:name="ProductID" w:val="93F"/>
        </w:smartTagPr>
        <w:r w:rsidRPr="009832B1">
          <w:rPr>
            <w:rFonts w:ascii="Times New Roman" w:hAnsi="Times New Roman"/>
            <w:sz w:val="26"/>
            <w:szCs w:val="26"/>
            <w:lang w:val="ro-RO"/>
          </w:rPr>
          <w:t>93F</w:t>
        </w:r>
      </w:smartTag>
      <w:r w:rsidRPr="009832B1">
        <w:rPr>
          <w:rFonts w:ascii="Times New Roman" w:hAnsi="Times New Roman"/>
          <w:sz w:val="26"/>
          <w:szCs w:val="26"/>
          <w:lang w:val="ro-RO"/>
        </w:rPr>
        <w:t xml:space="preserve">, 93G, 93H, 93I, 94A, 94B, </w:t>
      </w:r>
      <w:smartTag w:uri="urn:schemas-microsoft-com:office:smarttags" w:element="metricconverter">
        <w:smartTagPr>
          <w:attr w:name="ProductID" w:val="94C"/>
        </w:smartTagPr>
        <w:r w:rsidRPr="009832B1">
          <w:rPr>
            <w:rFonts w:ascii="Times New Roman" w:hAnsi="Times New Roman"/>
            <w:sz w:val="26"/>
            <w:szCs w:val="26"/>
            <w:lang w:val="ro-RO"/>
          </w:rPr>
          <w:t>94C</w:t>
        </w:r>
      </w:smartTag>
      <w:r w:rsidRPr="009832B1">
        <w:rPr>
          <w:rFonts w:ascii="Times New Roman" w:hAnsi="Times New Roman"/>
          <w:sz w:val="26"/>
          <w:szCs w:val="26"/>
          <w:lang w:val="ro-RO"/>
        </w:rPr>
        <w:t xml:space="preserve">, 94D, 95A, 95B, </w:t>
      </w:r>
      <w:smartTag w:uri="urn:schemas-microsoft-com:office:smarttags" w:element="metricconverter">
        <w:smartTagPr>
          <w:attr w:name="ProductID" w:val="95C"/>
        </w:smartTagPr>
        <w:r w:rsidRPr="009832B1">
          <w:rPr>
            <w:rFonts w:ascii="Times New Roman" w:hAnsi="Times New Roman"/>
            <w:sz w:val="26"/>
            <w:szCs w:val="26"/>
            <w:lang w:val="ro-RO"/>
          </w:rPr>
          <w:t>95C</w:t>
        </w:r>
      </w:smartTag>
      <w:r w:rsidRPr="009832B1">
        <w:rPr>
          <w:rFonts w:ascii="Times New Roman" w:hAnsi="Times New Roman"/>
          <w:sz w:val="26"/>
          <w:szCs w:val="26"/>
          <w:lang w:val="ro-RO"/>
        </w:rPr>
        <w:t xml:space="preserve">, 95D, 96A, 96B, </w:t>
      </w:r>
      <w:smartTag w:uri="urn:schemas-microsoft-com:office:smarttags" w:element="metricconverter">
        <w:smartTagPr>
          <w:attr w:name="ProductID" w:val="96C"/>
        </w:smartTagPr>
        <w:r w:rsidRPr="009832B1">
          <w:rPr>
            <w:rFonts w:ascii="Times New Roman" w:hAnsi="Times New Roman"/>
            <w:sz w:val="26"/>
            <w:szCs w:val="26"/>
            <w:lang w:val="ro-RO"/>
          </w:rPr>
          <w:t>96C</w:t>
        </w:r>
      </w:smartTag>
      <w:r w:rsidRPr="009832B1">
        <w:rPr>
          <w:rFonts w:ascii="Times New Roman" w:hAnsi="Times New Roman"/>
          <w:sz w:val="26"/>
          <w:szCs w:val="26"/>
          <w:lang w:val="ro-RO"/>
        </w:rPr>
        <w:t xml:space="preserve">, 96D, 96E, </w:t>
      </w:r>
      <w:smartTag w:uri="urn:schemas-microsoft-com:office:smarttags" w:element="metricconverter">
        <w:smartTagPr>
          <w:attr w:name="ProductID" w:val="96F"/>
        </w:smartTagPr>
        <w:r w:rsidRPr="009832B1">
          <w:rPr>
            <w:rFonts w:ascii="Times New Roman" w:hAnsi="Times New Roman"/>
            <w:sz w:val="26"/>
            <w:szCs w:val="26"/>
            <w:lang w:val="ro-RO"/>
          </w:rPr>
          <w:t>96F</w:t>
        </w:r>
      </w:smartTag>
      <w:r w:rsidRPr="009832B1">
        <w:rPr>
          <w:rFonts w:ascii="Times New Roman" w:hAnsi="Times New Roman"/>
          <w:sz w:val="26"/>
          <w:szCs w:val="26"/>
          <w:lang w:val="ro-RO"/>
        </w:rPr>
        <w:t xml:space="preserve">, 97A, 97B, </w:t>
      </w:r>
      <w:smartTag w:uri="urn:schemas-microsoft-com:office:smarttags" w:element="metricconverter">
        <w:smartTagPr>
          <w:attr w:name="ProductID" w:val="97C"/>
        </w:smartTagPr>
        <w:r w:rsidRPr="009832B1">
          <w:rPr>
            <w:rFonts w:ascii="Times New Roman" w:hAnsi="Times New Roman"/>
            <w:sz w:val="26"/>
            <w:szCs w:val="26"/>
            <w:lang w:val="ro-RO"/>
          </w:rPr>
          <w:t>97C</w:t>
        </w:r>
      </w:smartTag>
      <w:r w:rsidRPr="009832B1">
        <w:rPr>
          <w:rFonts w:ascii="Times New Roman" w:hAnsi="Times New Roman"/>
          <w:sz w:val="26"/>
          <w:szCs w:val="26"/>
          <w:lang w:val="ro-RO"/>
        </w:rPr>
        <w:t xml:space="preserve">, 99A, 99B, </w:t>
      </w:r>
      <w:smartTag w:uri="urn:schemas-microsoft-com:office:smarttags" w:element="metricconverter">
        <w:smartTagPr>
          <w:attr w:name="ProductID" w:val="99C"/>
        </w:smartTagPr>
        <w:r w:rsidRPr="009832B1">
          <w:rPr>
            <w:rFonts w:ascii="Times New Roman" w:hAnsi="Times New Roman"/>
            <w:sz w:val="26"/>
            <w:szCs w:val="26"/>
            <w:lang w:val="ro-RO"/>
          </w:rPr>
          <w:t>99C</w:t>
        </w:r>
      </w:smartTag>
      <w:r w:rsidRPr="009832B1">
        <w:rPr>
          <w:rFonts w:ascii="Times New Roman" w:hAnsi="Times New Roman"/>
          <w:sz w:val="26"/>
          <w:szCs w:val="26"/>
          <w:lang w:val="ro-RO"/>
        </w:rPr>
        <w:t xml:space="preserve">, 99D, 99E, 100, 101A, 101B, </w:t>
      </w:r>
      <w:smartTag w:uri="urn:schemas-microsoft-com:office:smarttags" w:element="metricconverter">
        <w:smartTagPr>
          <w:attr w:name="ProductID" w:val="101C"/>
        </w:smartTagPr>
        <w:r w:rsidRPr="009832B1">
          <w:rPr>
            <w:rFonts w:ascii="Times New Roman" w:hAnsi="Times New Roman"/>
            <w:sz w:val="26"/>
            <w:szCs w:val="26"/>
            <w:lang w:val="ro-RO"/>
          </w:rPr>
          <w:t>101C</w:t>
        </w:r>
      </w:smartTag>
      <w:r w:rsidRPr="009832B1">
        <w:rPr>
          <w:rFonts w:ascii="Times New Roman" w:hAnsi="Times New Roman"/>
          <w:sz w:val="26"/>
          <w:szCs w:val="26"/>
          <w:lang w:val="ro-RO"/>
        </w:rPr>
        <w:t xml:space="preserve">, 101D, 101E, 102A, 102B, 103A, 103B, </w:t>
      </w:r>
      <w:smartTag w:uri="urn:schemas-microsoft-com:office:smarttags" w:element="metricconverter">
        <w:smartTagPr>
          <w:attr w:name="ProductID" w:val="103C"/>
        </w:smartTagPr>
        <w:r w:rsidRPr="009832B1">
          <w:rPr>
            <w:rFonts w:ascii="Times New Roman" w:hAnsi="Times New Roman"/>
            <w:sz w:val="26"/>
            <w:szCs w:val="26"/>
            <w:lang w:val="ro-RO"/>
          </w:rPr>
          <w:t>103C</w:t>
        </w:r>
      </w:smartTag>
      <w:r w:rsidRPr="009832B1">
        <w:rPr>
          <w:rFonts w:ascii="Times New Roman" w:hAnsi="Times New Roman"/>
          <w:sz w:val="26"/>
          <w:szCs w:val="26"/>
          <w:lang w:val="ro-RO"/>
        </w:rPr>
        <w:t xml:space="preserve">, 103D, 103E, </w:t>
      </w:r>
      <w:smartTag w:uri="urn:schemas-microsoft-com:office:smarttags" w:element="metricconverter">
        <w:smartTagPr>
          <w:attr w:name="ProductID" w:val="103F"/>
        </w:smartTagPr>
        <w:r w:rsidRPr="009832B1">
          <w:rPr>
            <w:rFonts w:ascii="Times New Roman" w:hAnsi="Times New Roman"/>
            <w:sz w:val="26"/>
            <w:szCs w:val="26"/>
            <w:lang w:val="ro-RO"/>
          </w:rPr>
          <w:t>103F</w:t>
        </w:r>
      </w:smartTag>
      <w:r w:rsidRPr="009832B1">
        <w:rPr>
          <w:rFonts w:ascii="Times New Roman" w:hAnsi="Times New Roman"/>
          <w:sz w:val="26"/>
          <w:szCs w:val="26"/>
          <w:lang w:val="ro-RO"/>
        </w:rPr>
        <w:t xml:space="preserve">, 104A, 104B, </w:t>
      </w:r>
      <w:smartTag w:uri="urn:schemas-microsoft-com:office:smarttags" w:element="metricconverter">
        <w:smartTagPr>
          <w:attr w:name="ProductID" w:val="104C"/>
        </w:smartTagPr>
        <w:r w:rsidRPr="009832B1">
          <w:rPr>
            <w:rFonts w:ascii="Times New Roman" w:hAnsi="Times New Roman"/>
            <w:sz w:val="26"/>
            <w:szCs w:val="26"/>
            <w:lang w:val="ro-RO"/>
          </w:rPr>
          <w:t>104C</w:t>
        </w:r>
      </w:smartTag>
      <w:r w:rsidRPr="009832B1">
        <w:rPr>
          <w:rFonts w:ascii="Times New Roman" w:hAnsi="Times New Roman"/>
          <w:sz w:val="26"/>
          <w:szCs w:val="26"/>
          <w:lang w:val="ro-RO"/>
        </w:rPr>
        <w:t xml:space="preserve">, 104D, 111, 112, 113A, 113B, 118, 119, 120, 123, 131, 132A, 132B, </w:t>
      </w:r>
      <w:smartTag w:uri="urn:schemas-microsoft-com:office:smarttags" w:element="metricconverter">
        <w:smartTagPr>
          <w:attr w:name="ProductID" w:val="132C"/>
        </w:smartTagPr>
        <w:r w:rsidRPr="009832B1">
          <w:rPr>
            <w:rFonts w:ascii="Times New Roman" w:hAnsi="Times New Roman"/>
            <w:sz w:val="26"/>
            <w:szCs w:val="26"/>
            <w:lang w:val="ro-RO"/>
          </w:rPr>
          <w:t>132C</w:t>
        </w:r>
      </w:smartTag>
      <w:r w:rsidRPr="009832B1">
        <w:rPr>
          <w:rFonts w:ascii="Times New Roman" w:hAnsi="Times New Roman"/>
          <w:sz w:val="26"/>
          <w:szCs w:val="26"/>
          <w:lang w:val="ro-RO"/>
        </w:rPr>
        <w:t xml:space="preserve">, 134, 136A, 136B, </w:t>
      </w:r>
      <w:smartTag w:uri="urn:schemas-microsoft-com:office:smarttags" w:element="metricconverter">
        <w:smartTagPr>
          <w:attr w:name="ProductID" w:val="136C"/>
        </w:smartTagPr>
        <w:r w:rsidRPr="009832B1">
          <w:rPr>
            <w:rFonts w:ascii="Times New Roman" w:hAnsi="Times New Roman"/>
            <w:sz w:val="26"/>
            <w:szCs w:val="26"/>
            <w:lang w:val="ro-RO"/>
          </w:rPr>
          <w:t>136C</w:t>
        </w:r>
      </w:smartTag>
    </w:p>
    <w:p w:rsidR="009832B1" w:rsidRPr="001A6D3F" w:rsidRDefault="009832B1" w:rsidP="000F350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Pr>
          <w:rFonts w:ascii="Times New Roman" w:hAnsi="Times New Roman"/>
          <w:sz w:val="26"/>
          <w:szCs w:val="26"/>
          <w:lang w:val="ro-RO"/>
        </w:rPr>
        <w:t xml:space="preserve">Parcelele silvice din ROSPA0033 </w:t>
      </w:r>
      <w:r>
        <w:rPr>
          <w:rFonts w:ascii="Times New Roman" w:hAnsi="Times New Roman"/>
          <w:sz w:val="26"/>
          <w:szCs w:val="26"/>
          <w:lang w:val="ro-RO"/>
        </w:rPr>
        <w:t>Depresiunea și Munții Giurgeului</w:t>
      </w:r>
      <w:r>
        <w:rPr>
          <w:rFonts w:ascii="Times New Roman" w:hAnsi="Times New Roman"/>
          <w:sz w:val="26"/>
          <w:szCs w:val="26"/>
          <w:lang w:val="ro-RO"/>
        </w:rPr>
        <w:t xml:space="preserve"> sunt următoarele: </w:t>
      </w:r>
      <w:proofErr w:type="spellStart"/>
      <w:r>
        <w:rPr>
          <w:rFonts w:ascii="Times New Roman" w:hAnsi="Times New Roman"/>
          <w:sz w:val="26"/>
          <w:szCs w:val="26"/>
          <w:lang w:val="ro-RO"/>
        </w:rPr>
        <w:t>u.a</w:t>
      </w:r>
      <w:proofErr w:type="spellEnd"/>
      <w:r>
        <w:rPr>
          <w:rFonts w:ascii="Times New Roman" w:hAnsi="Times New Roman"/>
          <w:sz w:val="26"/>
          <w:szCs w:val="26"/>
          <w:lang w:val="ro-RO"/>
        </w:rPr>
        <w:t>. 150 M</w:t>
      </w:r>
    </w:p>
    <w:p w:rsidR="000F3504" w:rsidRPr="005B034E" w:rsidRDefault="000F3504" w:rsidP="000F350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și habitatelor ocrotite</w:t>
      </w:r>
      <w:r>
        <w:rPr>
          <w:rStyle w:val="tpa1"/>
          <w:rFonts w:ascii="Times New Roman" w:hAnsi="Times New Roman"/>
          <w:sz w:val="26"/>
          <w:szCs w:val="26"/>
          <w:lang w:val="ro-RO"/>
        </w:rPr>
        <w:t xml:space="preserve"> în cadrul ROSCI0252 și ROSPA0033</w:t>
      </w:r>
      <w:r w:rsidRPr="005B034E">
        <w:rPr>
          <w:rStyle w:val="tpa1"/>
          <w:rFonts w:ascii="Times New Roman" w:hAnsi="Times New Roman"/>
          <w:sz w:val="26"/>
          <w:szCs w:val="26"/>
          <w:lang w:val="ro-RO"/>
        </w:rPr>
        <w:t xml:space="preserve">, precum și măsuri </w:t>
      </w:r>
      <w:r w:rsidRPr="005B034E">
        <w:rPr>
          <w:rStyle w:val="tpa1"/>
          <w:rFonts w:ascii="Times New Roman" w:hAnsi="Times New Roman"/>
          <w:sz w:val="26"/>
          <w:szCs w:val="26"/>
          <w:lang w:val="ro-RO"/>
        </w:rPr>
        <w:lastRenderedPageBreak/>
        <w:t>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7043E6">
        <w:rPr>
          <w:rFonts w:ascii="Times New Roman" w:hAnsi="Times New Roman"/>
          <w:sz w:val="26"/>
          <w:szCs w:val="26"/>
          <w:lang w:val="ro-RO"/>
        </w:rPr>
        <w:t>924</w:t>
      </w:r>
      <w:r w:rsidRPr="007E7B29">
        <w:rPr>
          <w:rFonts w:ascii="Times New Roman" w:hAnsi="Times New Roman"/>
          <w:sz w:val="26"/>
          <w:szCs w:val="26"/>
          <w:lang w:val="ro-RO"/>
        </w:rPr>
        <w:t>/ST.HR./</w:t>
      </w:r>
      <w:r w:rsidR="007043E6">
        <w:rPr>
          <w:rFonts w:ascii="Times New Roman" w:hAnsi="Times New Roman"/>
          <w:sz w:val="26"/>
          <w:szCs w:val="26"/>
          <w:lang w:val="ro-RO"/>
        </w:rPr>
        <w:t>13.11</w:t>
      </w:r>
      <w:r w:rsidRPr="007E7B29">
        <w:rPr>
          <w:rFonts w:ascii="Times New Roman" w:hAnsi="Times New Roman"/>
          <w:sz w:val="26"/>
          <w:szCs w:val="26"/>
          <w:lang w:val="ro-RO"/>
        </w:rPr>
        <w:t>.202</w:t>
      </w:r>
      <w:r>
        <w:rPr>
          <w:rFonts w:ascii="Times New Roman" w:hAnsi="Times New Roman"/>
          <w:sz w:val="26"/>
          <w:szCs w:val="26"/>
          <w:lang w:val="ro-RO"/>
        </w:rPr>
        <w:t>3</w:t>
      </w:r>
      <w:r w:rsidRPr="007E7B29">
        <w:rPr>
          <w:rFonts w:ascii="Times New Roman" w:hAnsi="Times New Roman"/>
          <w:sz w:val="26"/>
          <w:szCs w:val="26"/>
          <w:lang w:val="ro-RO"/>
        </w:rPr>
        <w:t xml:space="preserve"> și avizul nr. /ST.HR/.</w:t>
      </w:r>
      <w:r w:rsidR="007043E6">
        <w:rPr>
          <w:rFonts w:ascii="Times New Roman" w:hAnsi="Times New Roman"/>
          <w:sz w:val="26"/>
          <w:szCs w:val="26"/>
          <w:lang w:val="ro-RO"/>
        </w:rPr>
        <w:t>11</w:t>
      </w:r>
      <w:r>
        <w:rPr>
          <w:rFonts w:ascii="Times New Roman" w:hAnsi="Times New Roman"/>
          <w:sz w:val="26"/>
          <w:szCs w:val="26"/>
          <w:lang w:val="ro-RO"/>
        </w:rPr>
        <w:t>.2023</w:t>
      </w:r>
      <w:r w:rsidRPr="007E7B29">
        <w:rPr>
          <w:rFonts w:ascii="Times New Roman" w:hAnsi="Times New Roman"/>
          <w:sz w:val="26"/>
          <w:szCs w:val="26"/>
          <w:lang w:val="ro-RO"/>
        </w:rPr>
        <w:t xml:space="preserve"> emisă de Agenția Națională pentru Arii Naturale Protejate – Serviciul Teritorial Harghita</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Pr>
          <w:rFonts w:ascii="Times New Roman" w:hAnsi="Times New Roman"/>
          <w:sz w:val="26"/>
          <w:szCs w:val="26"/>
          <w:lang w:val="ro-RO"/>
        </w:rPr>
        <w:t>ile</w:t>
      </w:r>
      <w:r w:rsidRPr="007E7B29">
        <w:rPr>
          <w:rFonts w:ascii="Times New Roman" w:hAnsi="Times New Roman"/>
          <w:sz w:val="26"/>
          <w:szCs w:val="26"/>
          <w:lang w:val="ro-RO"/>
        </w:rPr>
        <w:t xml:space="preserve"> natural</w:t>
      </w:r>
      <w:r>
        <w:rPr>
          <w:rFonts w:ascii="Times New Roman" w:hAnsi="Times New Roman"/>
          <w:sz w:val="26"/>
          <w:szCs w:val="26"/>
          <w:lang w:val="ro-RO"/>
        </w:rPr>
        <w:t>e protejate</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ocrotite și </w:t>
      </w:r>
      <w:r w:rsidRPr="007E7B29">
        <w:rPr>
          <w:rFonts w:ascii="Times New Roman" w:hAnsi="Times New Roman"/>
          <w:sz w:val="26"/>
          <w:szCs w:val="26"/>
          <w:lang w:val="ro-RO"/>
        </w:rPr>
        <w:t xml:space="preserve">numărul speciilor </w:t>
      </w:r>
      <w:r>
        <w:rPr>
          <w:rFonts w:ascii="Times New Roman" w:hAnsi="Times New Roman"/>
          <w:sz w:val="26"/>
          <w:szCs w:val="26"/>
          <w:lang w:val="ro-RO"/>
        </w:rPr>
        <w:t xml:space="preserve">de </w:t>
      </w:r>
      <w:r w:rsidRPr="007E7B29">
        <w:rPr>
          <w:rFonts w:ascii="Times New Roman" w:hAnsi="Times New Roman"/>
          <w:sz w:val="26"/>
          <w:szCs w:val="26"/>
          <w:lang w:val="ro-RO"/>
        </w:rPr>
        <w:t xml:space="preserve">interes comunitar, perturbări semnificative ale speciilor, nu va fragmenta habitatele speciilor ocrotite,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w:t>
      </w:r>
      <w:r>
        <w:rPr>
          <w:rFonts w:ascii="Times New Roman" w:hAnsi="Times New Roman"/>
          <w:sz w:val="26"/>
          <w:szCs w:val="26"/>
          <w:lang w:val="ro-RO"/>
        </w:rPr>
        <w:t xml:space="preserve">habitatelor și </w:t>
      </w:r>
      <w:r w:rsidRPr="007E7B29">
        <w:rPr>
          <w:rFonts w:ascii="Times New Roman" w:hAnsi="Times New Roman"/>
          <w:sz w:val="26"/>
          <w:szCs w:val="26"/>
          <w:lang w:val="ro-RO"/>
        </w:rPr>
        <w:t xml:space="preserve">speciilor ocrotite în cadrul </w:t>
      </w:r>
      <w:r>
        <w:rPr>
          <w:rFonts w:ascii="Times New Roman" w:hAnsi="Times New Roman"/>
          <w:sz w:val="26"/>
          <w:szCs w:val="26"/>
          <w:lang w:val="ro-RO"/>
        </w:rPr>
        <w:t xml:space="preserve">ariei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ROSPA0033 Depresiunea și Munții Giurgeului și în cadrul sitului de importanță comunitară ROSCI0252 Toplița – Scaunul Rotund Borsec</w:t>
      </w:r>
      <w:r w:rsidRPr="007E7B29">
        <w:rPr>
          <w:rFonts w:ascii="Times New Roman" w:hAnsi="Times New Roman"/>
          <w:sz w:val="26"/>
          <w:szCs w:val="26"/>
          <w:lang w:val="ro-RO"/>
        </w:rPr>
        <w:t xml:space="preserve"> 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w:t>
      </w:r>
      <w:proofErr w:type="spellStart"/>
      <w:r w:rsidRPr="00EA5D16">
        <w:rPr>
          <w:rFonts w:ascii="Times New Roman" w:hAnsi="Times New Roman"/>
          <w:b/>
          <w:sz w:val="26"/>
          <w:szCs w:val="26"/>
          <w:lang w:val="ro-RO"/>
        </w:rPr>
        <w:t>condiţii</w:t>
      </w:r>
      <w:proofErr w:type="spellEnd"/>
      <w:r w:rsidRPr="00EA5D16">
        <w:rPr>
          <w:rFonts w:ascii="Times New Roman" w:hAnsi="Times New Roman"/>
          <w:b/>
          <w:sz w:val="26"/>
          <w:szCs w:val="26"/>
          <w:lang w:val="ro-RO"/>
        </w:rPr>
        <w:t xml:space="preserve">: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/ST.HR/.0</w:t>
      </w:r>
      <w:r>
        <w:rPr>
          <w:rFonts w:ascii="Times New Roman" w:hAnsi="Times New Roman"/>
          <w:sz w:val="26"/>
          <w:szCs w:val="26"/>
          <w:lang w:val="ro-RO"/>
        </w:rPr>
        <w:t>8</w:t>
      </w:r>
      <w:r w:rsidRPr="00527341">
        <w:rPr>
          <w:rFonts w:ascii="Times New Roman" w:hAnsi="Times New Roman"/>
          <w:sz w:val="26"/>
          <w:szCs w:val="26"/>
          <w:lang w:val="ro-RO"/>
        </w:rPr>
        <w:t xml:space="preserve">.2023 și aplicarea măsurilor enumerate în punctul de vedere </w:t>
      </w:r>
      <w:r w:rsidR="00B52A9A">
        <w:rPr>
          <w:rFonts w:ascii="Times New Roman" w:hAnsi="Times New Roman"/>
          <w:sz w:val="26"/>
          <w:szCs w:val="26"/>
          <w:lang w:val="ro-RO"/>
        </w:rPr>
        <w:t>924</w:t>
      </w:r>
      <w:r w:rsidRPr="007E7B29">
        <w:rPr>
          <w:rFonts w:ascii="Times New Roman" w:hAnsi="Times New Roman"/>
          <w:sz w:val="26"/>
          <w:szCs w:val="26"/>
          <w:lang w:val="ro-RO"/>
        </w:rPr>
        <w:t>/ST.HR./</w:t>
      </w:r>
      <w:r w:rsidR="00B52A9A">
        <w:rPr>
          <w:rFonts w:ascii="Times New Roman" w:hAnsi="Times New Roman"/>
          <w:sz w:val="26"/>
          <w:szCs w:val="26"/>
          <w:lang w:val="ro-RO"/>
        </w:rPr>
        <w:t>13.11</w:t>
      </w:r>
      <w:r w:rsidRPr="007E7B29">
        <w:rPr>
          <w:rFonts w:ascii="Times New Roman" w:hAnsi="Times New Roman"/>
          <w:sz w:val="26"/>
          <w:szCs w:val="26"/>
          <w:lang w:val="ro-RO"/>
        </w:rPr>
        <w:t>.202</w:t>
      </w:r>
      <w:r>
        <w:rPr>
          <w:rFonts w:ascii="Times New Roman" w:hAnsi="Times New Roman"/>
          <w:sz w:val="26"/>
          <w:szCs w:val="26"/>
          <w:lang w:val="ro-RO"/>
        </w:rPr>
        <w:t>3</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22 din Ordinul M.M.A.P. nr. 1822/2020: înainte de etapa de marcare a arborilor ce urmează să fie </w:t>
      </w:r>
      <w:proofErr w:type="spellStart"/>
      <w:r w:rsidRPr="00527341">
        <w:rPr>
          <w:rFonts w:ascii="Times New Roman" w:hAnsi="Times New Roman"/>
          <w:sz w:val="26"/>
          <w:szCs w:val="26"/>
          <w:lang w:val="ro-RO"/>
        </w:rPr>
        <w:t>puşi</w:t>
      </w:r>
      <w:proofErr w:type="spellEnd"/>
      <w:r w:rsidRPr="00527341">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527341">
        <w:rPr>
          <w:rFonts w:ascii="Times New Roman" w:hAnsi="Times New Roman"/>
          <w:sz w:val="26"/>
          <w:szCs w:val="26"/>
          <w:lang w:val="ro-RO"/>
        </w:rPr>
        <w:t>menţinerii</w:t>
      </w:r>
      <w:proofErr w:type="spellEnd"/>
      <w:r w:rsidRPr="00527341">
        <w:rPr>
          <w:rFonts w:ascii="Times New Roman" w:hAnsi="Times New Roman"/>
          <w:sz w:val="26"/>
          <w:szCs w:val="26"/>
          <w:lang w:val="ro-RO"/>
        </w:rPr>
        <w:t>/</w:t>
      </w:r>
      <w:proofErr w:type="spellStart"/>
      <w:r w:rsidRPr="00527341">
        <w:rPr>
          <w:rFonts w:ascii="Times New Roman" w:hAnsi="Times New Roman"/>
          <w:sz w:val="26"/>
          <w:szCs w:val="26"/>
          <w:lang w:val="ro-RO"/>
        </w:rPr>
        <w:t>îmbunătăţirii</w:t>
      </w:r>
      <w:proofErr w:type="spellEnd"/>
      <w:r w:rsidRPr="00527341">
        <w:rPr>
          <w:rFonts w:ascii="Times New Roman" w:hAnsi="Times New Roman"/>
          <w:sz w:val="26"/>
          <w:szCs w:val="26"/>
          <w:lang w:val="ro-RO"/>
        </w:rPr>
        <w:t xml:space="preserve"> stării de conservare a speciilor/habitatelor, a elementelor naturale/patrimoniului natural prezente în </w:t>
      </w:r>
      <w:proofErr w:type="spellStart"/>
      <w:r w:rsidRPr="00527341">
        <w:rPr>
          <w:rFonts w:ascii="Times New Roman" w:hAnsi="Times New Roman"/>
          <w:sz w:val="26"/>
          <w:szCs w:val="26"/>
          <w:lang w:val="ro-RO"/>
        </w:rPr>
        <w:t>arboretele</w:t>
      </w:r>
      <w:proofErr w:type="spellEnd"/>
      <w:r w:rsidRPr="00527341">
        <w:rPr>
          <w:rFonts w:ascii="Times New Roman" w:hAnsi="Times New Roman"/>
          <w:sz w:val="26"/>
          <w:szCs w:val="26"/>
          <w:lang w:val="ro-RO"/>
        </w:rPr>
        <w:t xml:space="preserve"> pentru care a fost desemnată aria naturală protejată, care vor fi introduse în autorizația de exploatare.</w:t>
      </w:r>
    </w:p>
    <w:p w:rsidR="00EA5D16" w:rsidRPr="00527341" w:rsidRDefault="00EA5D16" w:rsidP="00EA5D16">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ROSPA0033 Depresiunea și Munții Giurgeului în perioada de cuibărire ale păsărilor ocrotite</w:t>
      </w:r>
    </w:p>
    <w:p w:rsidR="00EA5D16" w:rsidRPr="007E7B29"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identificarea zonelor de refugiu, zonelor cu bârloguri, împerechere, cuibărit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creştere</w:t>
      </w:r>
      <w:proofErr w:type="spellEnd"/>
      <w:r w:rsidRPr="002051FE">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 în perioada 31 decembrie – 1 mai (mai ales pentru specia urs)</w:t>
      </w:r>
      <w:r>
        <w:rPr>
          <w:rFonts w:ascii="Times New Roman" w:hAnsi="Times New Roman"/>
          <w:sz w:val="26"/>
          <w:szCs w:val="26"/>
          <w:lang w:val="ro-RO"/>
        </w:rPr>
        <w:t xml:space="preserve"> în ROSCI0252 Toplița-Scaunul Rotund Borsec</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se interzice amplasarea de rampe de încărcare în zone în care a fost raportată </w:t>
      </w:r>
      <w:proofErr w:type="spellStart"/>
      <w:r w:rsidRPr="002051FE">
        <w:rPr>
          <w:rFonts w:ascii="Times New Roman" w:hAnsi="Times New Roman"/>
          <w:sz w:val="26"/>
          <w:szCs w:val="26"/>
          <w:lang w:val="ro-RO"/>
        </w:rPr>
        <w:t>prezenţa</w:t>
      </w:r>
      <w:proofErr w:type="spellEnd"/>
      <w:r w:rsidRPr="002051FE">
        <w:rPr>
          <w:rFonts w:ascii="Times New Roman" w:hAnsi="Times New Roman"/>
          <w:sz w:val="26"/>
          <w:szCs w:val="26"/>
          <w:lang w:val="ro-RO"/>
        </w:rPr>
        <w:t xml:space="preserve">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lastRenderedPageBreak/>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lastRenderedPageBreak/>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F11CFC">
        <w:rPr>
          <w:sz w:val="26"/>
          <w:szCs w:val="26"/>
          <w:lang w:val="ro-RO" w:eastAsia="ro-RO"/>
        </w:rPr>
        <w:t>III Secu</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043E6">
        <w:rPr>
          <w:rFonts w:ascii="Times New Roman" w:hAnsi="Times New Roman"/>
          <w:sz w:val="26"/>
          <w:szCs w:val="26"/>
          <w:lang w:val="ro-RO"/>
        </w:rPr>
        <w:t>11</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22.05.2023, .</w:t>
      </w:r>
      <w:r w:rsidR="007043E6">
        <w:rPr>
          <w:rFonts w:ascii="Times New Roman" w:hAnsi="Times New Roman"/>
          <w:sz w:val="26"/>
          <w:szCs w:val="26"/>
          <w:lang w:val="ro-RO"/>
        </w:rPr>
        <w:t>11</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8111F5" w:rsidRDefault="008111F5" w:rsidP="00602739">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lastRenderedPageBreak/>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bookmarkStart w:id="0" w:name="_GoBack"/>
      <w:bookmarkEnd w:id="0"/>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68" w:rsidRDefault="00AF7168" w:rsidP="0010560A">
      <w:pPr>
        <w:spacing w:after="0" w:line="240" w:lineRule="auto"/>
      </w:pPr>
      <w:r>
        <w:separator/>
      </w:r>
    </w:p>
  </w:endnote>
  <w:endnote w:type="continuationSeparator" w:id="0">
    <w:p w:rsidR="00AF7168" w:rsidRDefault="00AF716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9832B1" w:rsidRPr="009832B1">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9832B1" w:rsidRPr="009832B1">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AF716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2236178"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68" w:rsidRDefault="00AF7168" w:rsidP="0010560A">
      <w:pPr>
        <w:spacing w:after="0" w:line="240" w:lineRule="auto"/>
      </w:pPr>
      <w:r>
        <w:separator/>
      </w:r>
    </w:p>
  </w:footnote>
  <w:footnote w:type="continuationSeparator" w:id="0">
    <w:p w:rsidR="00AF7168" w:rsidRDefault="00AF716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168"/>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26CFD411"/>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185D-CCF4-4548-A911-B6A212FB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11</cp:revision>
  <cp:lastPrinted>2023-06-21T07:01:00Z</cp:lastPrinted>
  <dcterms:created xsi:type="dcterms:W3CDTF">2023-11-22T12:27:00Z</dcterms:created>
  <dcterms:modified xsi:type="dcterms:W3CDTF">2023-11-23T07:17:00Z</dcterms:modified>
</cp:coreProperties>
</file>