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AD20C5"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3378918"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D039AD">
        <w:rPr>
          <w:rFonts w:ascii="Times New Roman" w:hAnsi="Times New Roman"/>
          <w:bCs/>
          <w:sz w:val="24"/>
          <w:szCs w:val="24"/>
          <w:lang w:val="ro-RO"/>
        </w:rPr>
        <w:t>670</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B1641E">
        <w:rPr>
          <w:rFonts w:ascii="Times New Roman" w:hAnsi="Times New Roman"/>
          <w:bCs/>
          <w:sz w:val="24"/>
          <w:szCs w:val="24"/>
          <w:lang w:val="ro-RO"/>
        </w:rPr>
        <w:t>29</w:t>
      </w:r>
      <w:r w:rsidR="00212A94">
        <w:rPr>
          <w:rFonts w:ascii="Times New Roman" w:hAnsi="Times New Roman"/>
          <w:bCs/>
          <w:sz w:val="24"/>
          <w:szCs w:val="24"/>
          <w:lang w:val="ro-RO"/>
        </w:rPr>
        <w:t>.11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B1641E">
        <w:rPr>
          <w:rFonts w:ascii="Times New Roman" w:hAnsi="Times New Roman"/>
          <w:b/>
          <w:bCs/>
          <w:sz w:val="26"/>
          <w:szCs w:val="26"/>
          <w:lang w:val="ro-RO" w:eastAsia="ro-RO"/>
        </w:rPr>
        <w:t>29</w:t>
      </w:r>
      <w:r w:rsidR="00212A94">
        <w:rPr>
          <w:rFonts w:ascii="Times New Roman" w:hAnsi="Times New Roman"/>
          <w:b/>
          <w:bCs/>
          <w:sz w:val="26"/>
          <w:szCs w:val="26"/>
          <w:lang w:val="ro-RO" w:eastAsia="ro-RO"/>
        </w:rPr>
        <w:t>.11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D039AD">
        <w:rPr>
          <w:rFonts w:ascii="Times New Roman" w:hAnsi="Times New Roman"/>
          <w:b/>
          <w:sz w:val="26"/>
          <w:szCs w:val="26"/>
          <w:lang w:val="ro-RO"/>
        </w:rPr>
        <w:t>I Tulgheș</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422CB9">
        <w:rPr>
          <w:rFonts w:ascii="Times New Roman" w:hAnsi="Times New Roman"/>
          <w:sz w:val="26"/>
          <w:szCs w:val="26"/>
          <w:lang w:val="ro-RO"/>
        </w:rPr>
        <w:t>Tulgheș</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D039AD">
        <w:rPr>
          <w:rFonts w:ascii="Times New Roman" w:hAnsi="Times New Roman"/>
          <w:sz w:val="26"/>
          <w:szCs w:val="26"/>
          <w:lang w:val="ro-RO"/>
        </w:rPr>
        <w:t>670</w:t>
      </w:r>
      <w:r w:rsidRPr="00A20B14">
        <w:rPr>
          <w:rFonts w:ascii="Times New Roman" w:hAnsi="Times New Roman"/>
          <w:sz w:val="26"/>
          <w:szCs w:val="26"/>
          <w:lang w:val="ro-RO"/>
        </w:rPr>
        <w:t>/</w:t>
      </w:r>
      <w:r w:rsidR="00832280">
        <w:rPr>
          <w:rFonts w:ascii="Times New Roman" w:hAnsi="Times New Roman"/>
          <w:sz w:val="26"/>
          <w:szCs w:val="26"/>
          <w:lang w:val="ro-RO"/>
        </w:rPr>
        <w:t>1</w:t>
      </w:r>
      <w:r w:rsidR="00D039AD">
        <w:rPr>
          <w:rFonts w:ascii="Times New Roman" w:hAnsi="Times New Roman"/>
          <w:sz w:val="26"/>
          <w:szCs w:val="26"/>
          <w:lang w:val="ro-RO"/>
        </w:rPr>
        <w:t>6</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Wetransfer</w:t>
      </w:r>
      <w:r w:rsidR="003A67A8" w:rsidRPr="00A20B14">
        <w:rPr>
          <w:rFonts w:ascii="Times New Roman" w:hAnsi="Times New Roman"/>
          <w:sz w:val="26"/>
          <w:szCs w:val="26"/>
          <w:lang w:val="ro-RO"/>
        </w:rPr>
        <w:t xml:space="preserve">, </w:t>
      </w:r>
      <w:r w:rsidR="00D039AD">
        <w:rPr>
          <w:rFonts w:ascii="Times New Roman" w:hAnsi="Times New Roman"/>
          <w:sz w:val="26"/>
          <w:szCs w:val="26"/>
          <w:lang w:val="ro-RO"/>
        </w:rPr>
        <w:t>nr. 7323/04.08</w:t>
      </w:r>
      <w:r w:rsidR="00751CDC">
        <w:rPr>
          <w:rFonts w:ascii="Times New Roman" w:hAnsi="Times New Roman"/>
          <w:sz w:val="26"/>
          <w:szCs w:val="26"/>
          <w:lang w:val="ro-RO"/>
        </w:rPr>
        <w:t>.2023</w:t>
      </w:r>
      <w:r w:rsidR="00D039AD">
        <w:rPr>
          <w:rFonts w:ascii="Times New Roman" w:hAnsi="Times New Roman"/>
          <w:sz w:val="26"/>
          <w:szCs w:val="26"/>
          <w:lang w:val="ro-RO"/>
        </w:rPr>
        <w:t xml:space="preserve">, nr. 7340/07.08.2023, nr. 10357/08.11.2023, </w:t>
      </w:r>
      <w:r w:rsidR="00751CDC">
        <w:rPr>
          <w:rFonts w:ascii="Times New Roman" w:hAnsi="Times New Roman"/>
          <w:sz w:val="26"/>
          <w:szCs w:val="26"/>
          <w:lang w:val="ro-RO"/>
        </w:rPr>
        <w:t xml:space="preserve"> </w:t>
      </w:r>
      <w:r w:rsidR="00751CDC" w:rsidRPr="003A5188">
        <w:rPr>
          <w:rFonts w:ascii="Times New Roman" w:hAnsi="Times New Roman"/>
          <w:color w:val="000000"/>
          <w:sz w:val="26"/>
          <w:szCs w:val="26"/>
          <w:lang w:val="ro-RO"/>
        </w:rPr>
        <w:t>și adresei Ministerului Mediului nr. D</w:t>
      </w:r>
      <w:r w:rsidR="00751CDC">
        <w:rPr>
          <w:rFonts w:ascii="Times New Roman" w:hAnsi="Times New Roman"/>
          <w:color w:val="000000"/>
          <w:sz w:val="26"/>
          <w:szCs w:val="26"/>
          <w:lang w:val="ro-RO"/>
        </w:rPr>
        <w:t>G</w:t>
      </w:r>
      <w:r w:rsidR="00751CDC" w:rsidRPr="003A5188">
        <w:rPr>
          <w:rFonts w:ascii="Times New Roman" w:hAnsi="Times New Roman"/>
          <w:color w:val="000000"/>
          <w:sz w:val="26"/>
          <w:szCs w:val="26"/>
          <w:lang w:val="ro-RO"/>
        </w:rPr>
        <w:t>EICP</w:t>
      </w:r>
      <w:r w:rsidR="00751CDC">
        <w:rPr>
          <w:rFonts w:ascii="Times New Roman" w:hAnsi="Times New Roman"/>
          <w:color w:val="000000"/>
          <w:sz w:val="26"/>
          <w:szCs w:val="26"/>
          <w:lang w:val="ro-RO"/>
        </w:rPr>
        <w:t>SC</w:t>
      </w:r>
      <w:r w:rsidR="00751CDC" w:rsidRPr="003A5188">
        <w:rPr>
          <w:rFonts w:ascii="Times New Roman" w:hAnsi="Times New Roman"/>
          <w:color w:val="000000"/>
          <w:sz w:val="26"/>
          <w:szCs w:val="26"/>
          <w:lang w:val="ro-RO"/>
        </w:rPr>
        <w:t>/</w:t>
      </w:r>
      <w:r w:rsidR="00751CDC">
        <w:rPr>
          <w:rFonts w:ascii="Times New Roman" w:hAnsi="Times New Roman"/>
          <w:color w:val="000000"/>
          <w:sz w:val="26"/>
          <w:szCs w:val="26"/>
          <w:lang w:val="ro-RO"/>
        </w:rPr>
        <w:t>R/1451</w:t>
      </w:r>
      <w:r w:rsidR="00D039AD">
        <w:rPr>
          <w:rFonts w:ascii="Times New Roman" w:hAnsi="Times New Roman"/>
          <w:color w:val="000000"/>
          <w:sz w:val="26"/>
          <w:szCs w:val="26"/>
          <w:lang w:val="ro-RO"/>
        </w:rPr>
        <w:t>7</w:t>
      </w:r>
      <w:r w:rsidR="00751CDC" w:rsidRPr="003A5188">
        <w:rPr>
          <w:rFonts w:ascii="Times New Roman" w:hAnsi="Times New Roman"/>
          <w:color w:val="000000"/>
          <w:sz w:val="26"/>
          <w:szCs w:val="26"/>
          <w:lang w:val="ro-RO"/>
        </w:rPr>
        <w:t>/</w:t>
      </w:r>
      <w:r w:rsidR="00751CDC">
        <w:rPr>
          <w:rFonts w:ascii="Times New Roman" w:hAnsi="Times New Roman"/>
          <w:color w:val="000000"/>
          <w:sz w:val="26"/>
          <w:szCs w:val="26"/>
          <w:lang w:val="ro-RO"/>
        </w:rPr>
        <w:t>30.05.2023</w:t>
      </w:r>
      <w:r w:rsidR="00751CDC" w:rsidRPr="003A5188">
        <w:rPr>
          <w:rFonts w:ascii="Times New Roman" w:hAnsi="Times New Roman"/>
          <w:color w:val="000000"/>
          <w:sz w:val="26"/>
          <w:szCs w:val="26"/>
          <w:lang w:val="ro-RO"/>
        </w:rPr>
        <w:t>, prin care se deleagă competenţa la APM Harghita pentru derularea procedurii de realizare a evaluării de mediu pentru planuri şi programe,</w:t>
      </w:r>
      <w:r w:rsidR="00751CDC" w:rsidRPr="003A5188">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D82079" w:rsidRDefault="00212A94" w:rsidP="00D82079">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D82079" w:rsidRDefault="00D82079" w:rsidP="00D82079">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D82079">
        <w:rPr>
          <w:rFonts w:ascii="Times New Roman" w:hAnsi="Times New Roman"/>
          <w:i/>
          <w:color w:val="000000"/>
          <w:sz w:val="26"/>
          <w:szCs w:val="26"/>
          <w:lang w:val="ro-RO"/>
        </w:rPr>
        <w:t xml:space="preserve">Ordinul nr. 1934/2015 privind aprobarea </w:t>
      </w:r>
      <w:r w:rsidRPr="00D82079">
        <w:rPr>
          <w:rFonts w:ascii="Times New Roman" w:hAnsi="Times New Roman"/>
          <w:i/>
          <w:iCs/>
          <w:color w:val="000000"/>
          <w:sz w:val="26"/>
          <w:szCs w:val="26"/>
          <w:lang w:val="ro-RO"/>
        </w:rPr>
        <w:t>Planului</w:t>
      </w:r>
      <w:r w:rsidRPr="00D82079">
        <w:rPr>
          <w:rFonts w:ascii="Times New Roman" w:hAnsi="Times New Roman"/>
          <w:i/>
          <w:color w:val="000000"/>
          <w:sz w:val="26"/>
          <w:szCs w:val="26"/>
          <w:lang w:val="ro-RO"/>
        </w:rPr>
        <w:t xml:space="preserve"> de </w:t>
      </w:r>
      <w:r w:rsidRPr="00D82079">
        <w:rPr>
          <w:rFonts w:ascii="Times New Roman" w:hAnsi="Times New Roman"/>
          <w:i/>
          <w:iCs/>
          <w:color w:val="000000"/>
          <w:sz w:val="26"/>
          <w:szCs w:val="26"/>
          <w:lang w:val="ro-RO"/>
        </w:rPr>
        <w:t>management</w:t>
      </w:r>
      <w:r w:rsidRPr="00D82079">
        <w:rPr>
          <w:rFonts w:ascii="Times New Roman" w:hAnsi="Times New Roman"/>
          <w:i/>
          <w:color w:val="000000"/>
          <w:sz w:val="26"/>
          <w:szCs w:val="26"/>
          <w:lang w:val="ro-RO"/>
        </w:rPr>
        <w:t xml:space="preserve"> şi a Regulamentului </w:t>
      </w:r>
      <w:r w:rsidRPr="00D82079">
        <w:rPr>
          <w:rFonts w:ascii="Times New Roman" w:hAnsi="Times New Roman"/>
          <w:i/>
          <w:iCs/>
          <w:color w:val="000000"/>
          <w:sz w:val="26"/>
          <w:szCs w:val="26"/>
          <w:lang w:val="ro-RO"/>
        </w:rPr>
        <w:t>Parcului Naţional Ceahlău</w:t>
      </w:r>
    </w:p>
    <w:p w:rsidR="00D82079" w:rsidRPr="00A20B14" w:rsidRDefault="00D82079"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61FEA">
        <w:rPr>
          <w:rFonts w:ascii="Times New Roman" w:hAnsi="Times New Roman"/>
          <w:color w:val="000000"/>
          <w:sz w:val="26"/>
          <w:szCs w:val="26"/>
          <w:lang w:val="ro-RO"/>
        </w:rPr>
        <w:t>28</w:t>
      </w:r>
      <w:r w:rsidR="00212A94">
        <w:rPr>
          <w:rFonts w:ascii="Times New Roman" w:hAnsi="Times New Roman"/>
          <w:color w:val="000000"/>
          <w:sz w:val="26"/>
          <w:szCs w:val="26"/>
          <w:lang w:val="ro-RO"/>
        </w:rPr>
        <w:t xml:space="preserve">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A20B14">
        <w:rPr>
          <w:rFonts w:ascii="Times New Roman" w:hAnsi="Times New Roman"/>
          <w:color w:val="000000"/>
          <w:sz w:val="26"/>
          <w:szCs w:val="26"/>
          <w:lang w:val="ro-RO"/>
        </w:rPr>
        <w:lastRenderedPageBreak/>
        <w:t>privind stabilirea procedurii de realizare a evaluării de mediu pentru planuri şi programe;</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751CDC" w:rsidRPr="003A5188" w:rsidRDefault="00751CDC" w:rsidP="00751CD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pe baza delegării de competență nr. D</w:t>
      </w:r>
      <w:r>
        <w:rPr>
          <w:rFonts w:ascii="Times New Roman" w:hAnsi="Times New Roman"/>
          <w:color w:val="000000"/>
          <w:sz w:val="26"/>
          <w:szCs w:val="26"/>
          <w:lang w:val="ro-RO"/>
        </w:rPr>
        <w:t>G</w:t>
      </w:r>
      <w:r w:rsidRPr="003A5188">
        <w:rPr>
          <w:rFonts w:ascii="Times New Roman" w:hAnsi="Times New Roman"/>
          <w:color w:val="000000"/>
          <w:sz w:val="26"/>
          <w:szCs w:val="26"/>
          <w:lang w:val="ro-RO"/>
        </w:rPr>
        <w:t>EICP</w:t>
      </w:r>
      <w:r>
        <w:rPr>
          <w:rFonts w:ascii="Times New Roman" w:hAnsi="Times New Roman"/>
          <w:color w:val="000000"/>
          <w:sz w:val="26"/>
          <w:szCs w:val="26"/>
          <w:lang w:val="ro-RO"/>
        </w:rPr>
        <w:t>SC</w:t>
      </w:r>
      <w:r w:rsidRPr="003A5188">
        <w:rPr>
          <w:rFonts w:ascii="Times New Roman" w:hAnsi="Times New Roman"/>
          <w:color w:val="000000"/>
          <w:sz w:val="26"/>
          <w:szCs w:val="26"/>
          <w:lang w:val="ro-RO"/>
        </w:rPr>
        <w:t>/</w:t>
      </w:r>
      <w:r>
        <w:rPr>
          <w:rFonts w:ascii="Times New Roman" w:hAnsi="Times New Roman"/>
          <w:color w:val="000000"/>
          <w:sz w:val="26"/>
          <w:szCs w:val="26"/>
          <w:lang w:val="ro-RO"/>
        </w:rPr>
        <w:t>R/1451</w:t>
      </w:r>
      <w:r w:rsidR="00D039AD">
        <w:rPr>
          <w:rFonts w:ascii="Times New Roman" w:hAnsi="Times New Roman"/>
          <w:color w:val="000000"/>
          <w:sz w:val="26"/>
          <w:szCs w:val="26"/>
          <w:lang w:val="ro-RO"/>
        </w:rPr>
        <w:t>7</w:t>
      </w:r>
      <w:r w:rsidRPr="003A5188">
        <w:rPr>
          <w:rFonts w:ascii="Times New Roman" w:hAnsi="Times New Roman"/>
          <w:color w:val="000000"/>
          <w:sz w:val="26"/>
          <w:szCs w:val="26"/>
          <w:lang w:val="ro-RO"/>
        </w:rPr>
        <w:t>/</w:t>
      </w:r>
      <w:r>
        <w:rPr>
          <w:rFonts w:ascii="Times New Roman" w:hAnsi="Times New Roman"/>
          <w:color w:val="000000"/>
          <w:sz w:val="26"/>
          <w:szCs w:val="26"/>
          <w:lang w:val="ro-RO"/>
        </w:rPr>
        <w:t xml:space="preserve">30.05.2023 </w:t>
      </w:r>
      <w:r w:rsidRPr="003A5188">
        <w:rPr>
          <w:rFonts w:ascii="Times New Roman" w:hAnsi="Times New Roman"/>
          <w:color w:val="000000"/>
          <w:sz w:val="26"/>
          <w:szCs w:val="26"/>
          <w:lang w:val="ro-RO"/>
        </w:rPr>
        <w:t>emisă de M.M.A.P. pentru APM Harghita;</w:t>
      </w:r>
    </w:p>
    <w:p w:rsidR="00751CDC" w:rsidRPr="003A5188" w:rsidRDefault="00751CDC" w:rsidP="00751CD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 xml:space="preserve">punctul de vedere nr. </w:t>
      </w:r>
      <w:r>
        <w:rPr>
          <w:rFonts w:ascii="Times New Roman" w:hAnsi="Times New Roman"/>
          <w:color w:val="000000"/>
          <w:sz w:val="26"/>
          <w:szCs w:val="26"/>
          <w:lang w:val="ro-RO"/>
        </w:rPr>
        <w:t>10459</w:t>
      </w:r>
      <w:r w:rsidRPr="003A5188">
        <w:rPr>
          <w:rFonts w:ascii="Times New Roman" w:hAnsi="Times New Roman"/>
          <w:color w:val="000000"/>
          <w:sz w:val="26"/>
          <w:szCs w:val="26"/>
          <w:lang w:val="ro-RO"/>
        </w:rPr>
        <w:t>/</w:t>
      </w:r>
      <w:r>
        <w:rPr>
          <w:rFonts w:ascii="Times New Roman" w:hAnsi="Times New Roman"/>
          <w:color w:val="000000"/>
          <w:sz w:val="26"/>
          <w:szCs w:val="26"/>
          <w:lang w:val="ro-RO"/>
        </w:rPr>
        <w:t>23.11</w:t>
      </w:r>
      <w:r w:rsidRPr="003A5188">
        <w:rPr>
          <w:rFonts w:ascii="Times New Roman" w:hAnsi="Times New Roman"/>
          <w:color w:val="000000"/>
          <w:sz w:val="26"/>
          <w:szCs w:val="26"/>
          <w:lang w:val="ro-RO"/>
        </w:rPr>
        <w:t>.202</w:t>
      </w:r>
      <w:r>
        <w:rPr>
          <w:rFonts w:ascii="Times New Roman" w:hAnsi="Times New Roman"/>
          <w:color w:val="000000"/>
          <w:sz w:val="26"/>
          <w:szCs w:val="26"/>
          <w:lang w:val="ro-RO"/>
        </w:rPr>
        <w:t>3</w:t>
      </w:r>
      <w:r w:rsidRPr="003A5188">
        <w:rPr>
          <w:rFonts w:ascii="Times New Roman" w:hAnsi="Times New Roman"/>
          <w:color w:val="000000"/>
          <w:sz w:val="26"/>
          <w:szCs w:val="26"/>
          <w:lang w:val="ro-RO"/>
        </w:rPr>
        <w:t xml:space="preserve"> emisă de APM </w:t>
      </w:r>
      <w:r>
        <w:rPr>
          <w:rFonts w:ascii="Times New Roman" w:hAnsi="Times New Roman"/>
          <w:color w:val="000000"/>
          <w:sz w:val="26"/>
          <w:szCs w:val="26"/>
          <w:lang w:val="ro-RO"/>
        </w:rPr>
        <w:t>Neamț</w:t>
      </w:r>
      <w:r w:rsidRPr="003A5188">
        <w:rPr>
          <w:rFonts w:ascii="Times New Roman" w:hAnsi="Times New Roman"/>
          <w:color w:val="000000"/>
          <w:sz w:val="26"/>
          <w:szCs w:val="26"/>
          <w:lang w:val="ro-RO"/>
        </w:rPr>
        <w:t>;</w:t>
      </w:r>
    </w:p>
    <w:p w:rsidR="00751CDC" w:rsidRPr="00751CDC" w:rsidRDefault="00751CDC" w:rsidP="00751CD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A5188">
        <w:rPr>
          <w:rFonts w:ascii="Times New Roman" w:hAnsi="Times New Roman"/>
          <w:color w:val="000000"/>
          <w:sz w:val="26"/>
          <w:szCs w:val="26"/>
          <w:lang w:val="ro-RO"/>
        </w:rPr>
        <w:t xml:space="preserve">avizul nr. </w:t>
      </w:r>
      <w:r w:rsidR="00D82079">
        <w:rPr>
          <w:rFonts w:ascii="Times New Roman" w:hAnsi="Times New Roman"/>
          <w:color w:val="000000"/>
          <w:sz w:val="26"/>
          <w:szCs w:val="26"/>
          <w:lang w:val="ro-RO"/>
        </w:rPr>
        <w:t xml:space="preserve">138 </w:t>
      </w:r>
      <w:r w:rsidRPr="003A5188">
        <w:rPr>
          <w:rFonts w:ascii="Times New Roman" w:hAnsi="Times New Roman"/>
          <w:color w:val="000000"/>
          <w:sz w:val="26"/>
          <w:szCs w:val="26"/>
          <w:lang w:val="ro-RO"/>
        </w:rPr>
        <w:t xml:space="preserve">din </w:t>
      </w:r>
      <w:r w:rsidR="00D82079">
        <w:rPr>
          <w:rFonts w:ascii="Times New Roman" w:hAnsi="Times New Roman"/>
          <w:color w:val="000000"/>
          <w:sz w:val="26"/>
          <w:szCs w:val="26"/>
          <w:lang w:val="ro-RO"/>
        </w:rPr>
        <w:t>17</w:t>
      </w:r>
      <w:r w:rsidRPr="003A5188">
        <w:rPr>
          <w:rFonts w:ascii="Times New Roman" w:hAnsi="Times New Roman"/>
          <w:color w:val="000000"/>
          <w:sz w:val="26"/>
          <w:szCs w:val="26"/>
          <w:lang w:val="ro-RO"/>
        </w:rPr>
        <w:t>.</w:t>
      </w:r>
      <w:r w:rsidR="00D82079">
        <w:rPr>
          <w:rFonts w:ascii="Times New Roman" w:hAnsi="Times New Roman"/>
          <w:color w:val="000000"/>
          <w:sz w:val="26"/>
          <w:szCs w:val="26"/>
          <w:lang w:val="ro-RO"/>
        </w:rPr>
        <w:t>10</w:t>
      </w:r>
      <w:r>
        <w:rPr>
          <w:rFonts w:ascii="Times New Roman" w:hAnsi="Times New Roman"/>
          <w:color w:val="000000"/>
          <w:sz w:val="26"/>
          <w:szCs w:val="26"/>
          <w:lang w:val="ro-RO"/>
        </w:rPr>
        <w:t>.2023</w:t>
      </w:r>
      <w:r w:rsidRPr="003A5188">
        <w:rPr>
          <w:rFonts w:ascii="Times New Roman" w:hAnsi="Times New Roman"/>
          <w:color w:val="000000"/>
          <w:sz w:val="26"/>
          <w:szCs w:val="26"/>
          <w:lang w:val="ro-RO"/>
        </w:rPr>
        <w:t xml:space="preserve"> emisă de </w:t>
      </w:r>
      <w:r w:rsidR="00D82079">
        <w:rPr>
          <w:rFonts w:ascii="Times New Roman" w:hAnsi="Times New Roman"/>
          <w:color w:val="000000"/>
          <w:sz w:val="26"/>
          <w:szCs w:val="26"/>
          <w:lang w:val="ro-RO"/>
        </w:rPr>
        <w:t>Direcția de Administrare a Parcului Național Ceahlău.</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Naţională a Pădurilor – Romsilva, prin Ocolul Silvic </w:t>
      </w:r>
      <w:r w:rsidR="005D5B63">
        <w:rPr>
          <w:rFonts w:ascii="Times New Roman" w:hAnsi="Times New Roman"/>
          <w:b/>
          <w:i/>
          <w:color w:val="000000"/>
          <w:sz w:val="26"/>
          <w:szCs w:val="26"/>
          <w:lang w:val="ro-RO"/>
        </w:rPr>
        <w:t>Tulgheș</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D039AD">
        <w:rPr>
          <w:rFonts w:ascii="Times New Roman" w:hAnsi="Times New Roman"/>
          <w:b/>
          <w:i/>
          <w:sz w:val="26"/>
          <w:szCs w:val="26"/>
          <w:lang w:val="ro-RO"/>
        </w:rPr>
        <w:t>I Tulgheș</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A40CEA" w:rsidRPr="00C41FDD" w:rsidRDefault="00970113" w:rsidP="00C41FDD">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D039AD">
        <w:rPr>
          <w:rFonts w:ascii="Times New Roman" w:hAnsi="Times New Roman"/>
          <w:sz w:val="26"/>
          <w:szCs w:val="26"/>
          <w:lang w:val="ro-RO"/>
        </w:rPr>
        <w:t>I Tulgheș</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61FEA">
        <w:rPr>
          <w:rFonts w:ascii="Times New Roman" w:hAnsi="Times New Roman"/>
          <w:sz w:val="26"/>
          <w:szCs w:val="26"/>
          <w:lang w:val="ro-RO"/>
        </w:rPr>
        <w:t>comunelor</w:t>
      </w:r>
      <w:r w:rsidR="000A5865">
        <w:rPr>
          <w:rFonts w:ascii="Times New Roman" w:hAnsi="Times New Roman"/>
          <w:sz w:val="26"/>
          <w:szCs w:val="26"/>
          <w:lang w:val="ro-RO"/>
        </w:rPr>
        <w:t xml:space="preserve"> </w:t>
      </w:r>
      <w:r w:rsidR="00751CDC">
        <w:rPr>
          <w:rFonts w:ascii="Times New Roman" w:hAnsi="Times New Roman"/>
          <w:sz w:val="26"/>
          <w:szCs w:val="26"/>
          <w:lang w:val="ro-RO"/>
        </w:rPr>
        <w:t xml:space="preserve">Tulgheș (județul Harghita) și comunei </w:t>
      </w:r>
      <w:r w:rsidR="00D039AD">
        <w:rPr>
          <w:rFonts w:ascii="Times New Roman" w:hAnsi="Times New Roman"/>
          <w:sz w:val="26"/>
          <w:szCs w:val="26"/>
          <w:lang w:val="ro-RO"/>
        </w:rPr>
        <w:t xml:space="preserve">Bicaz-Chei, Bicazul Ardelean și </w:t>
      </w:r>
      <w:r w:rsidR="00751CDC">
        <w:rPr>
          <w:rFonts w:ascii="Times New Roman" w:hAnsi="Times New Roman"/>
          <w:sz w:val="26"/>
          <w:szCs w:val="26"/>
          <w:lang w:val="ro-RO"/>
        </w:rPr>
        <w:t>Grințieș (județul Neamț).</w:t>
      </w:r>
    </w:p>
    <w:p w:rsidR="004862DB" w:rsidRDefault="00D039AD"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6A9BACB5" wp14:editId="2F405B8A">
            <wp:extent cx="5943600" cy="204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44065"/>
                    </a:xfrm>
                    <a:prstGeom prst="rect">
                      <a:avLst/>
                    </a:prstGeom>
                  </pic:spPr>
                </pic:pic>
              </a:graphicData>
            </a:graphic>
          </wp:inline>
        </w:drawing>
      </w:r>
    </w:p>
    <w:p w:rsidR="00D82079" w:rsidRDefault="00D82079" w:rsidP="003009AC">
      <w:pPr>
        <w:spacing w:after="0" w:line="240" w:lineRule="auto"/>
        <w:ind w:firstLine="702"/>
        <w:jc w:val="both"/>
        <w:rPr>
          <w:rFonts w:asciiTheme="majorHAnsi" w:hAnsiTheme="majorHAnsi" w:cstheme="majorHAnsi"/>
          <w:sz w:val="26"/>
          <w:szCs w:val="26"/>
          <w:lang w:val="ro-RO"/>
        </w:rPr>
      </w:pP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producţie </w:t>
      </w:r>
      <w:r w:rsidR="004C72B4" w:rsidRPr="005F7B3C">
        <w:rPr>
          <w:rFonts w:asciiTheme="majorHAnsi" w:hAnsiTheme="majorHAnsi" w:cstheme="majorHAnsi"/>
          <w:b/>
          <w:i/>
          <w:sz w:val="26"/>
          <w:szCs w:val="26"/>
          <w:lang w:val="ro-RO"/>
        </w:rPr>
        <w:t xml:space="preserve">U.P. </w:t>
      </w:r>
      <w:r w:rsidR="00D039AD">
        <w:rPr>
          <w:rFonts w:asciiTheme="majorHAnsi" w:hAnsiTheme="majorHAnsi" w:cstheme="majorHAnsi"/>
          <w:b/>
          <w:i/>
          <w:sz w:val="26"/>
          <w:szCs w:val="26"/>
          <w:lang w:val="ro-RO"/>
        </w:rPr>
        <w:t>I Tulgheș</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231E84">
        <w:rPr>
          <w:rFonts w:asciiTheme="majorHAnsi" w:hAnsiTheme="majorHAnsi" w:cstheme="majorHAnsi"/>
          <w:sz w:val="26"/>
          <w:szCs w:val="26"/>
          <w:lang w:val="ro-RO"/>
        </w:rPr>
        <w:t>Tulgheș</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D039AD">
        <w:rPr>
          <w:rFonts w:asciiTheme="majorHAnsi" w:hAnsiTheme="majorHAnsi" w:cstheme="majorHAnsi"/>
          <w:sz w:val="26"/>
          <w:szCs w:val="26"/>
          <w:lang w:val="ro-RO"/>
        </w:rPr>
        <w:t>I Tulgheș</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suprafaţă de </w:t>
      </w:r>
      <w:r w:rsidR="00D82079">
        <w:rPr>
          <w:rFonts w:asciiTheme="majorHAnsi" w:hAnsiTheme="majorHAnsi" w:cstheme="majorHAnsi"/>
          <w:b/>
          <w:sz w:val="26"/>
          <w:szCs w:val="26"/>
          <w:lang w:val="ro-RO"/>
        </w:rPr>
        <w:t>1178,06</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D82079" w:rsidRDefault="00D82079" w:rsidP="00D82079">
      <w:pPr>
        <w:spacing w:after="0" w:line="240" w:lineRule="auto"/>
        <w:ind w:firstLine="702"/>
        <w:jc w:val="both"/>
        <w:rPr>
          <w:rFonts w:asciiTheme="majorHAnsi" w:hAnsiTheme="majorHAnsi" w:cstheme="majorHAnsi"/>
          <w:sz w:val="26"/>
          <w:szCs w:val="26"/>
          <w:lang w:val="ro-RO"/>
        </w:rPr>
      </w:pPr>
      <w:r w:rsidRPr="00022EBA">
        <w:rPr>
          <w:rFonts w:asciiTheme="majorHAnsi" w:hAnsiTheme="majorHAnsi" w:cstheme="majorHAnsi"/>
          <w:sz w:val="26"/>
          <w:szCs w:val="26"/>
          <w:lang w:val="ro-RO"/>
        </w:rPr>
        <w:t>U.P.</w:t>
      </w:r>
      <w:r>
        <w:rPr>
          <w:rFonts w:asciiTheme="majorHAnsi" w:hAnsiTheme="majorHAnsi" w:cstheme="majorHAnsi"/>
          <w:sz w:val="26"/>
          <w:szCs w:val="26"/>
          <w:lang w:val="ro-RO"/>
        </w:rPr>
        <w:t>I Tulgheș</w:t>
      </w:r>
      <w:r w:rsidRPr="00022EBA">
        <w:rPr>
          <w:rFonts w:asciiTheme="majorHAnsi" w:hAnsiTheme="majorHAnsi" w:cstheme="majorHAnsi"/>
          <w:sz w:val="26"/>
          <w:szCs w:val="26"/>
          <w:lang w:val="ro-RO"/>
        </w:rPr>
        <w:t xml:space="preserve"> este situată în bazinul hidrografic al râului </w:t>
      </w:r>
      <w:r>
        <w:rPr>
          <w:rFonts w:asciiTheme="majorHAnsi" w:hAnsiTheme="majorHAnsi" w:cstheme="majorHAnsi"/>
          <w:sz w:val="26"/>
          <w:szCs w:val="26"/>
          <w:lang w:val="ro-RO"/>
        </w:rPr>
        <w:t>Bistrița prin afluentul său Bistricioara</w:t>
      </w:r>
      <w:r w:rsidRPr="00022EBA">
        <w:rPr>
          <w:rFonts w:asciiTheme="majorHAnsi" w:hAnsiTheme="majorHAnsi" w:cstheme="majorHAnsi"/>
          <w:sz w:val="26"/>
          <w:szCs w:val="26"/>
          <w:lang w:val="ro-RO"/>
        </w:rPr>
        <w:t xml:space="preserve">. </w:t>
      </w:r>
      <w:r w:rsidRPr="00D82079">
        <w:rPr>
          <w:rFonts w:asciiTheme="majorHAnsi" w:hAnsiTheme="majorHAnsi" w:cstheme="majorHAnsi"/>
          <w:sz w:val="26"/>
          <w:szCs w:val="26"/>
          <w:lang w:val="ro-RO"/>
        </w:rPr>
        <w:t>Reţeaua hidrografică a acestei unităţi este formată din râul Bistricioara cu afluienţi pâraiele: Putna, Balaju Mic, Balaju Mare, Bărăţel.</w:t>
      </w:r>
    </w:p>
    <w:p w:rsidR="00D82079" w:rsidRDefault="00D82079" w:rsidP="003009AC">
      <w:pPr>
        <w:spacing w:after="0" w:line="240" w:lineRule="auto"/>
        <w:ind w:firstLine="702"/>
        <w:jc w:val="both"/>
        <w:rPr>
          <w:rFonts w:asciiTheme="majorHAnsi" w:hAnsiTheme="majorHAnsi" w:cstheme="majorHAnsi"/>
          <w:sz w:val="26"/>
          <w:szCs w:val="26"/>
          <w:lang w:val="ro-RO"/>
        </w:rPr>
      </w:pPr>
    </w:p>
    <w:p w:rsidR="00022EBA" w:rsidRDefault="00022EBA" w:rsidP="00231E84">
      <w:pPr>
        <w:spacing w:after="0" w:line="240" w:lineRule="auto"/>
        <w:rPr>
          <w:rFonts w:ascii="Times New Roman" w:hAnsi="Times New Roman"/>
          <w:sz w:val="26"/>
          <w:szCs w:val="26"/>
          <w:lang w:val="ro-RO"/>
        </w:rPr>
      </w:pPr>
      <w:r>
        <w:rPr>
          <w:rFonts w:asciiTheme="majorHAnsi" w:hAnsiTheme="majorHAnsi" w:cstheme="majorHAnsi"/>
          <w:sz w:val="26"/>
          <w:szCs w:val="26"/>
          <w:lang w:val="ro-RO"/>
        </w:rPr>
        <w:lastRenderedPageBreak/>
        <w:t xml:space="preserve">Situația categoriilor de folosință a terenurilor: </w:t>
      </w:r>
      <w:r w:rsidR="002422BB">
        <w:rPr>
          <w:noProof/>
        </w:rPr>
        <w:drawing>
          <wp:inline distT="0" distB="0" distL="0" distR="0" wp14:anchorId="1A7C6B87" wp14:editId="14A07029">
            <wp:extent cx="5943600" cy="1631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31950"/>
                    </a:xfrm>
                    <a:prstGeom prst="rect">
                      <a:avLst/>
                    </a:prstGeom>
                  </pic:spPr>
                </pic:pic>
              </a:graphicData>
            </a:graphic>
          </wp:inline>
        </w:drawing>
      </w:r>
    </w:p>
    <w:p w:rsidR="00587163" w:rsidRDefault="00587163" w:rsidP="004862DB">
      <w:pPr>
        <w:widowControl w:val="0"/>
        <w:numPr>
          <w:ilvl w:val="12"/>
          <w:numId w:val="0"/>
        </w:num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Prezenta decizie nu se referă la suprafețele cu ocupații și litigii (</w:t>
      </w:r>
      <w:r>
        <w:rPr>
          <w:rFonts w:asciiTheme="majorHAnsi" w:hAnsiTheme="majorHAnsi" w:cstheme="majorHAnsi"/>
          <w:sz w:val="26"/>
          <w:szCs w:val="26"/>
          <w:lang w:val="ro-RO"/>
        </w:rPr>
        <w:t>0,59</w:t>
      </w:r>
      <w:r>
        <w:rPr>
          <w:rFonts w:asciiTheme="majorHAnsi" w:hAnsiTheme="majorHAnsi" w:cstheme="majorHAnsi"/>
          <w:sz w:val="26"/>
          <w:szCs w:val="26"/>
          <w:lang w:val="ro-RO"/>
        </w:rPr>
        <w:t xml:space="preserve"> ha) din U.P.</w:t>
      </w:r>
      <w:r>
        <w:rPr>
          <w:rFonts w:asciiTheme="majorHAnsi" w:hAnsiTheme="majorHAnsi" w:cstheme="majorHAnsi"/>
          <w:sz w:val="26"/>
          <w:szCs w:val="26"/>
          <w:lang w:val="ro-RO"/>
        </w:rPr>
        <w:t xml:space="preserve"> I Tulgheș.</w:t>
      </w:r>
    </w:p>
    <w:p w:rsidR="00587163" w:rsidRDefault="00587163"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D039AD">
        <w:rPr>
          <w:rFonts w:asciiTheme="majorHAnsi" w:hAnsiTheme="majorHAnsi" w:cstheme="majorHAnsi"/>
          <w:sz w:val="26"/>
          <w:szCs w:val="26"/>
          <w:lang w:val="ro-RO"/>
        </w:rPr>
        <w:t>trei</w:t>
      </w:r>
      <w:r w:rsidRPr="004862DB">
        <w:rPr>
          <w:rFonts w:asciiTheme="majorHAnsi" w:hAnsiTheme="majorHAnsi" w:cstheme="majorHAnsi"/>
          <w:sz w:val="26"/>
          <w:szCs w:val="26"/>
          <w:lang w:val="ro-RO"/>
        </w:rPr>
        <w:t xml:space="preserve">  subunităţi  de  gospodărire :</w:t>
      </w:r>
    </w:p>
    <w:p w:rsidR="00D039AD" w:rsidRPr="00D039AD" w:rsidRDefault="00D039AD" w:rsidP="00D039AD">
      <w:pPr>
        <w:tabs>
          <w:tab w:val="num" w:pos="1560"/>
          <w:tab w:val="num" w:pos="6930"/>
        </w:tabs>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 xml:space="preserve">- </w:t>
      </w:r>
      <w:r w:rsidRPr="00D039AD">
        <w:rPr>
          <w:rFonts w:asciiTheme="majorHAnsi" w:hAnsiTheme="majorHAnsi" w:cstheme="majorHAnsi"/>
          <w:sz w:val="26"/>
          <w:szCs w:val="26"/>
          <w:lang w:val="ro-RO"/>
        </w:rPr>
        <w:t xml:space="preserve">S.U.P.  „A“  -  codru  regulat - sortimente  obişnuite </w:t>
      </w:r>
      <w:r>
        <w:rPr>
          <w:rFonts w:asciiTheme="majorHAnsi" w:hAnsiTheme="majorHAnsi" w:cstheme="majorHAnsi"/>
          <w:sz w:val="26"/>
          <w:szCs w:val="26"/>
          <w:lang w:val="ro-RO"/>
        </w:rPr>
        <w:t xml:space="preserve">pe </w:t>
      </w:r>
      <w:r w:rsidRPr="00D039AD">
        <w:rPr>
          <w:rFonts w:asciiTheme="majorHAnsi" w:hAnsiTheme="majorHAnsi" w:cstheme="majorHAnsi"/>
          <w:sz w:val="26"/>
          <w:szCs w:val="26"/>
          <w:lang w:val="ro-RO"/>
        </w:rPr>
        <w:t>758,62 ha;</w:t>
      </w:r>
    </w:p>
    <w:p w:rsidR="00D039AD" w:rsidRDefault="00D039AD" w:rsidP="00D039AD">
      <w:pPr>
        <w:pStyle w:val="BodyTextIndent2"/>
        <w:spacing w:after="0" w:line="240" w:lineRule="auto"/>
        <w:ind w:left="0"/>
        <w:jc w:val="both"/>
        <w:rPr>
          <w:rFonts w:asciiTheme="majorHAnsi" w:hAnsiTheme="majorHAnsi" w:cstheme="majorHAnsi"/>
          <w:sz w:val="26"/>
          <w:szCs w:val="26"/>
          <w:lang w:val="ro-RO"/>
        </w:rPr>
      </w:pPr>
      <w:r>
        <w:rPr>
          <w:rFonts w:asciiTheme="majorHAnsi" w:hAnsiTheme="majorHAnsi" w:cstheme="majorHAnsi"/>
          <w:sz w:val="26"/>
          <w:szCs w:val="26"/>
          <w:lang w:val="ro-RO"/>
        </w:rPr>
        <w:t xml:space="preserve">- </w:t>
      </w:r>
      <w:r w:rsidRPr="00D039AD">
        <w:rPr>
          <w:rFonts w:asciiTheme="majorHAnsi" w:hAnsiTheme="majorHAnsi" w:cstheme="majorHAnsi"/>
          <w:sz w:val="26"/>
          <w:szCs w:val="26"/>
          <w:lang w:val="ro-RO"/>
        </w:rPr>
        <w:t>S.U.P. „K”</w:t>
      </w:r>
      <w:r>
        <w:rPr>
          <w:rFonts w:asciiTheme="majorHAnsi" w:hAnsiTheme="majorHAnsi" w:cstheme="majorHAnsi"/>
          <w:sz w:val="26"/>
          <w:szCs w:val="26"/>
          <w:lang w:val="ro-RO"/>
        </w:rPr>
        <w:t xml:space="preserve"> - </w:t>
      </w:r>
      <w:r w:rsidRPr="00D039AD">
        <w:rPr>
          <w:rFonts w:asciiTheme="majorHAnsi" w:hAnsiTheme="majorHAnsi" w:cstheme="majorHAnsi"/>
          <w:sz w:val="26"/>
          <w:szCs w:val="26"/>
          <w:lang w:val="ro-RO"/>
        </w:rPr>
        <w:t xml:space="preserve">rezervaţii de seminţe </w:t>
      </w:r>
      <w:r>
        <w:rPr>
          <w:rFonts w:asciiTheme="majorHAnsi" w:hAnsiTheme="majorHAnsi" w:cstheme="majorHAnsi"/>
          <w:sz w:val="26"/>
          <w:szCs w:val="26"/>
          <w:lang w:val="ro-RO"/>
        </w:rPr>
        <w:t>pe 6,42 ha;</w:t>
      </w:r>
    </w:p>
    <w:p w:rsidR="003009AC" w:rsidRPr="00231E84" w:rsidRDefault="00D039AD" w:rsidP="009E50EF">
      <w:pPr>
        <w:pStyle w:val="BodyTextIndent2"/>
        <w:spacing w:after="0" w:line="240" w:lineRule="auto"/>
        <w:ind w:left="0"/>
        <w:jc w:val="both"/>
        <w:rPr>
          <w:rFonts w:asciiTheme="majorHAnsi" w:hAnsiTheme="majorHAnsi" w:cstheme="majorHAnsi"/>
          <w:sz w:val="26"/>
          <w:szCs w:val="26"/>
          <w:lang w:val="ro-RO"/>
        </w:rPr>
      </w:pPr>
      <w:r>
        <w:rPr>
          <w:rFonts w:asciiTheme="majorHAnsi" w:hAnsiTheme="majorHAnsi" w:cstheme="majorHAnsi"/>
          <w:sz w:val="26"/>
          <w:szCs w:val="26"/>
          <w:lang w:val="ro-RO"/>
        </w:rPr>
        <w:t xml:space="preserve">- </w:t>
      </w:r>
      <w:r w:rsidRPr="00D039AD">
        <w:rPr>
          <w:rFonts w:asciiTheme="majorHAnsi" w:hAnsiTheme="majorHAnsi" w:cstheme="majorHAnsi"/>
          <w:sz w:val="26"/>
          <w:szCs w:val="26"/>
          <w:lang w:val="ro-RO"/>
        </w:rPr>
        <w:t xml:space="preserve">S.U.P.  „M“ -  păduri  supuse  regimului  de  conservare  deosebită </w:t>
      </w:r>
      <w:r>
        <w:rPr>
          <w:rFonts w:asciiTheme="majorHAnsi" w:hAnsiTheme="majorHAnsi" w:cstheme="majorHAnsi"/>
          <w:sz w:val="26"/>
          <w:szCs w:val="26"/>
          <w:lang w:val="ro-RO"/>
        </w:rPr>
        <w:t xml:space="preserve">pe </w:t>
      </w:r>
      <w:r w:rsidRPr="00D039AD">
        <w:rPr>
          <w:rFonts w:asciiTheme="majorHAnsi" w:hAnsiTheme="majorHAnsi" w:cstheme="majorHAnsi"/>
          <w:sz w:val="26"/>
          <w:szCs w:val="26"/>
          <w:lang w:val="ro-RO"/>
        </w:rPr>
        <w:t>397,77 ha.</w:t>
      </w: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D039AD"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42D7F967" wp14:editId="4A9F05E9">
            <wp:extent cx="5289602" cy="349758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2673" cy="3506223"/>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523B60" w:rsidRDefault="003009AC" w:rsidP="005877DD">
      <w:pPr>
        <w:spacing w:after="0" w:line="240" w:lineRule="auto"/>
        <w:jc w:val="both"/>
        <w:rPr>
          <w:rFonts w:asciiTheme="majorHAnsi" w:hAnsiTheme="majorHAnsi" w:cstheme="majorHAnsi"/>
          <w:sz w:val="26"/>
          <w:szCs w:val="26"/>
        </w:rPr>
      </w:pPr>
      <w:r w:rsidRPr="005877DD">
        <w:rPr>
          <w:rFonts w:asciiTheme="majorHAnsi" w:hAnsiTheme="majorHAnsi" w:cstheme="majorHAnsi"/>
          <w:sz w:val="26"/>
          <w:szCs w:val="26"/>
          <w:lang w:val="ro-RO"/>
        </w:rPr>
        <w:t xml:space="preserve">Bazele de amenajare adoptate: </w:t>
      </w:r>
      <w:r w:rsidR="00523B60">
        <w:rPr>
          <w:rFonts w:asciiTheme="majorHAnsi" w:hAnsiTheme="majorHAnsi" w:cstheme="majorHAnsi"/>
          <w:sz w:val="26"/>
          <w:szCs w:val="26"/>
        </w:rPr>
        <w:t>regimul codru</w:t>
      </w:r>
      <w:r w:rsidR="005877DD" w:rsidRPr="005877DD">
        <w:rPr>
          <w:rFonts w:asciiTheme="majorHAnsi" w:hAnsiTheme="majorHAnsi" w:cstheme="majorHAnsi"/>
          <w:iCs/>
          <w:sz w:val="26"/>
          <w:szCs w:val="26"/>
        </w:rPr>
        <w:t xml:space="preserve">, </w:t>
      </w:r>
      <w:r w:rsidR="00587163" w:rsidRPr="00587163">
        <w:rPr>
          <w:rFonts w:asciiTheme="majorHAnsi" w:hAnsiTheme="majorHAnsi" w:cstheme="majorHAnsi"/>
          <w:sz w:val="26"/>
          <w:szCs w:val="26"/>
        </w:rPr>
        <w:t>tăieri progresive, tăieri succesive, tăieri rase în molidișuri</w:t>
      </w:r>
      <w:r w:rsidR="005877DD" w:rsidRPr="005877DD">
        <w:rPr>
          <w:rFonts w:asciiTheme="majorHAnsi" w:hAnsiTheme="majorHAnsi" w:cstheme="majorHAnsi"/>
          <w:sz w:val="26"/>
          <w:szCs w:val="26"/>
        </w:rPr>
        <w:t>,  exploatabilitatea  tehnică  și ciclu de 1</w:t>
      </w:r>
      <w:r w:rsidR="00587163">
        <w:rPr>
          <w:rFonts w:asciiTheme="majorHAnsi" w:hAnsiTheme="majorHAnsi" w:cstheme="majorHAnsi"/>
          <w:sz w:val="26"/>
          <w:szCs w:val="26"/>
        </w:rPr>
        <w:t>10</w:t>
      </w:r>
      <w:r w:rsidR="005877DD" w:rsidRPr="005877DD">
        <w:rPr>
          <w:rFonts w:asciiTheme="majorHAnsi" w:hAnsiTheme="majorHAnsi" w:cstheme="majorHAnsi"/>
          <w:sz w:val="26"/>
          <w:szCs w:val="26"/>
        </w:rPr>
        <w:t xml:space="preserve"> ani.</w:t>
      </w:r>
      <w:r w:rsidR="007B4DCB">
        <w:rPr>
          <w:rFonts w:asciiTheme="majorHAnsi" w:hAnsiTheme="majorHAnsi" w:cstheme="majorHAnsi"/>
          <w:sz w:val="26"/>
          <w:szCs w:val="26"/>
        </w:rPr>
        <w:t xml:space="preserve"> </w:t>
      </w:r>
    </w:p>
    <w:p w:rsidR="00523B60" w:rsidRDefault="00D039AD" w:rsidP="00523B60">
      <w:pPr>
        <w:spacing w:after="0" w:line="240" w:lineRule="auto"/>
        <w:jc w:val="center"/>
        <w:rPr>
          <w:rFonts w:asciiTheme="majorHAnsi" w:hAnsiTheme="majorHAnsi" w:cstheme="majorHAnsi"/>
          <w:sz w:val="26"/>
          <w:szCs w:val="26"/>
        </w:rPr>
      </w:pPr>
      <w:r>
        <w:rPr>
          <w:noProof/>
        </w:rPr>
        <w:drawing>
          <wp:inline distT="0" distB="0" distL="0" distR="0" wp14:anchorId="20796757" wp14:editId="6970F192">
            <wp:extent cx="5212080" cy="1475642"/>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4537" cy="1484831"/>
                    </a:xfrm>
                    <a:prstGeom prst="rect">
                      <a:avLst/>
                    </a:prstGeom>
                  </pic:spPr>
                </pic:pic>
              </a:graphicData>
            </a:graphic>
          </wp:inline>
        </w:drawing>
      </w:r>
    </w:p>
    <w:p w:rsidR="003009AC" w:rsidRDefault="003009AC" w:rsidP="005877DD">
      <w:pPr>
        <w:spacing w:after="0" w:line="240" w:lineRule="auto"/>
        <w:rPr>
          <w:rFonts w:asciiTheme="majorHAnsi" w:hAnsiTheme="majorHAnsi" w:cstheme="majorHAnsi"/>
          <w:sz w:val="26"/>
          <w:szCs w:val="26"/>
          <w:lang w:val="ro-RO"/>
        </w:rPr>
      </w:pPr>
    </w:p>
    <w:p w:rsidR="00523B60"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00654BAD" w:rsidRPr="00B432FD">
        <w:rPr>
          <w:rFonts w:asciiTheme="majorHAnsi" w:hAnsiTheme="majorHAnsi" w:cstheme="majorHAnsi"/>
          <w:sz w:val="26"/>
          <w:szCs w:val="26"/>
          <w:lang w:val="ro-RO"/>
        </w:rPr>
        <w:t xml:space="preserve"> U.P. </w:t>
      </w:r>
      <w:r w:rsidR="00D039AD">
        <w:rPr>
          <w:rFonts w:asciiTheme="majorHAnsi" w:hAnsiTheme="majorHAnsi" w:cstheme="majorHAnsi"/>
          <w:sz w:val="26"/>
          <w:szCs w:val="26"/>
          <w:lang w:val="ro-RO"/>
        </w:rPr>
        <w:t>I Tulgheș</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231E84">
        <w:rPr>
          <w:rFonts w:asciiTheme="majorHAnsi" w:hAnsiTheme="majorHAnsi" w:cstheme="majorHAnsi"/>
          <w:sz w:val="26"/>
          <w:szCs w:val="26"/>
          <w:lang w:val="ro-RO"/>
        </w:rPr>
        <w:t xml:space="preserve"> </w:t>
      </w:r>
      <w:r w:rsidR="002422BB">
        <w:rPr>
          <w:rFonts w:asciiTheme="majorHAnsi" w:hAnsiTheme="majorHAnsi" w:cstheme="majorHAnsi"/>
          <w:sz w:val="26"/>
          <w:szCs w:val="26"/>
          <w:lang w:val="ro-RO"/>
        </w:rPr>
        <w:t>11</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523B60" w:rsidRDefault="002422BB" w:rsidP="00201A68">
      <w:pPr>
        <w:pStyle w:val="ListParagraph"/>
        <w:ind w:left="0"/>
        <w:jc w:val="center"/>
        <w:rPr>
          <w:rStyle w:val="TextbolditChar"/>
          <w:b w:val="0"/>
          <w:sz w:val="26"/>
          <w:szCs w:val="26"/>
          <w:lang w:eastAsia="en-US"/>
        </w:rPr>
      </w:pPr>
      <w:r>
        <w:rPr>
          <w:noProof/>
        </w:rPr>
        <w:drawing>
          <wp:inline distT="0" distB="0" distL="0" distR="0" wp14:anchorId="5EDB43CC" wp14:editId="42894941">
            <wp:extent cx="5369246" cy="31699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7124" cy="3174571"/>
                    </a:xfrm>
                    <a:prstGeom prst="rect">
                      <a:avLst/>
                    </a:prstGeom>
                  </pic:spPr>
                </pic:pic>
              </a:graphicData>
            </a:graphic>
          </wp:inline>
        </w:drawing>
      </w: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523B60" w:rsidRPr="00201A68" w:rsidRDefault="009E50EF" w:rsidP="00201A68">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294B2949" wp14:editId="2EE22131">
            <wp:extent cx="4983480" cy="1536573"/>
            <wp:effectExtent l="0" t="0" r="762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33949" cy="1552134"/>
                    </a:xfrm>
                    <a:prstGeom prst="rect">
                      <a:avLst/>
                    </a:prstGeom>
                  </pic:spPr>
                </pic:pic>
              </a:graphicData>
            </a:graphic>
          </wp:inline>
        </w:drawing>
      </w:r>
    </w:p>
    <w:p w:rsidR="00A63D60" w:rsidRPr="00201A68" w:rsidRDefault="009F007E" w:rsidP="00201A68">
      <w:pPr>
        <w:spacing w:after="0" w:line="240" w:lineRule="auto"/>
        <w:ind w:firstLine="720"/>
        <w:jc w:val="both"/>
        <w:rPr>
          <w:rFonts w:asciiTheme="majorHAnsi" w:hAnsiTheme="majorHAnsi" w:cstheme="majorHAnsi"/>
          <w:sz w:val="26"/>
          <w:szCs w:val="26"/>
          <w:lang w:val="it-IT"/>
        </w:rPr>
      </w:pPr>
      <w:r w:rsidRPr="009F007E">
        <w:rPr>
          <w:rFonts w:asciiTheme="majorHAnsi" w:hAnsiTheme="majorHAnsi" w:cstheme="majorHAnsi"/>
          <w:sz w:val="26"/>
          <w:szCs w:val="26"/>
          <w:lang w:val="it-IT"/>
        </w:rPr>
        <w:t xml:space="preserve">Instalaţiile de transport existente însumează </w:t>
      </w:r>
      <w:smartTag w:uri="urn:schemas-microsoft-com:office:smarttags" w:element="metricconverter">
        <w:smartTagPr>
          <w:attr w:name="ProductID" w:val="15,86 km"/>
        </w:smartTagPr>
        <w:r w:rsidRPr="009F007E">
          <w:rPr>
            <w:rFonts w:asciiTheme="majorHAnsi" w:hAnsiTheme="majorHAnsi" w:cstheme="majorHAnsi"/>
            <w:sz w:val="26"/>
            <w:szCs w:val="26"/>
            <w:lang w:val="it-IT"/>
          </w:rPr>
          <w:t>15,86 km</w:t>
        </w:r>
      </w:smartTag>
      <w:r w:rsidRPr="009F007E">
        <w:rPr>
          <w:rFonts w:asciiTheme="majorHAnsi" w:hAnsiTheme="majorHAnsi" w:cstheme="majorHAnsi"/>
          <w:sz w:val="26"/>
          <w:szCs w:val="26"/>
          <w:lang w:val="it-IT"/>
        </w:rPr>
        <w:t xml:space="preserve"> (</w:t>
      </w:r>
      <w:smartTag w:uri="urn:schemas-microsoft-com:office:smarttags" w:element="metricconverter">
        <w:smartTagPr>
          <w:attr w:name="ProductID" w:val="3,61 km"/>
        </w:smartTagPr>
        <w:r w:rsidRPr="009F007E">
          <w:rPr>
            <w:rFonts w:asciiTheme="majorHAnsi" w:hAnsiTheme="majorHAnsi" w:cstheme="majorHAnsi"/>
            <w:sz w:val="26"/>
            <w:szCs w:val="26"/>
            <w:lang w:val="it-IT"/>
          </w:rPr>
          <w:t>3,61 km</w:t>
        </w:r>
      </w:smartTag>
      <w:r w:rsidRPr="009F007E">
        <w:rPr>
          <w:rFonts w:asciiTheme="majorHAnsi" w:hAnsiTheme="majorHAnsi" w:cstheme="majorHAnsi"/>
          <w:sz w:val="26"/>
          <w:szCs w:val="26"/>
          <w:lang w:val="it-IT"/>
        </w:rPr>
        <w:t xml:space="preserve"> drumuri publice şi </w:t>
      </w:r>
      <w:smartTag w:uri="urn:schemas-microsoft-com:office:smarttags" w:element="metricconverter">
        <w:smartTagPr>
          <w:attr w:name="ProductID" w:val="12,25 km"/>
        </w:smartTagPr>
        <w:r w:rsidRPr="009F007E">
          <w:rPr>
            <w:rFonts w:asciiTheme="majorHAnsi" w:hAnsiTheme="majorHAnsi" w:cstheme="majorHAnsi"/>
            <w:sz w:val="26"/>
            <w:szCs w:val="26"/>
            <w:lang w:val="it-IT"/>
          </w:rPr>
          <w:t>12,25 km</w:t>
        </w:r>
      </w:smartTag>
      <w:r>
        <w:rPr>
          <w:rFonts w:asciiTheme="majorHAnsi" w:hAnsiTheme="majorHAnsi" w:cstheme="majorHAnsi"/>
          <w:sz w:val="26"/>
          <w:szCs w:val="26"/>
          <w:lang w:val="it-IT"/>
        </w:rPr>
        <w:t xml:space="preserve"> drumuri forestiere). </w:t>
      </w:r>
      <w:r w:rsidRPr="009F007E">
        <w:rPr>
          <w:rFonts w:asciiTheme="majorHAnsi" w:hAnsiTheme="majorHAnsi" w:cstheme="majorHAnsi"/>
          <w:sz w:val="26"/>
          <w:szCs w:val="26"/>
          <w:lang w:val="it-IT"/>
        </w:rPr>
        <w:t xml:space="preserve">Densitatea actuală a reţelei de transport este de 13,46 m/ha, asigurând o accesibilitate a fondului forestier de 85%. </w:t>
      </w:r>
      <w:r w:rsidR="00A63D60" w:rsidRPr="00E3141E">
        <w:rPr>
          <w:rFonts w:asciiTheme="majorHAnsi" w:hAnsiTheme="majorHAnsi" w:cstheme="majorHAnsi"/>
          <w:sz w:val="26"/>
          <w:szCs w:val="26"/>
          <w:lang w:val="it-IT"/>
        </w:rPr>
        <w:t>Nu au fost propuse drumuri necesare.</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Default="00970113" w:rsidP="004260FD">
      <w:pPr>
        <w:pStyle w:val="ListParagraph"/>
        <w:ind w:left="0" w:firstLine="720"/>
        <w:jc w:val="both"/>
        <w:rPr>
          <w:rFonts w:ascii="Times New Roman" w:hAnsi="Times New Roman"/>
          <w:b/>
          <w:i/>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9E50EF">
      <w:pPr>
        <w:spacing w:after="0" w:line="240" w:lineRule="auto"/>
        <w:jc w:val="both"/>
        <w:rPr>
          <w:rFonts w:ascii="Times New Roman" w:hAnsi="Times New Roman"/>
          <w:b/>
          <w:sz w:val="26"/>
          <w:szCs w:val="26"/>
          <w:lang w:val="ro-RO"/>
        </w:rPr>
      </w:pPr>
    </w:p>
    <w:p w:rsidR="00907186" w:rsidRPr="00201A68" w:rsidRDefault="00970113" w:rsidP="00907186">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9E50EF" w:rsidRPr="008C62DA">
        <w:rPr>
          <w:rFonts w:ascii="Times New Roman" w:hAnsi="Times New Roman"/>
          <w:sz w:val="26"/>
          <w:szCs w:val="26"/>
          <w:lang w:val="ro-RO"/>
        </w:rPr>
        <w:t xml:space="preserve">amplasamentul amenajamentului </w:t>
      </w:r>
      <w:r w:rsidR="009E50EF">
        <w:rPr>
          <w:rFonts w:ascii="Times New Roman" w:hAnsi="Times New Roman"/>
          <w:sz w:val="26"/>
          <w:szCs w:val="26"/>
          <w:lang w:val="ro-RO"/>
        </w:rPr>
        <w:t>nu</w:t>
      </w:r>
      <w:r w:rsidR="009E50EF" w:rsidRPr="008C62DA">
        <w:rPr>
          <w:rFonts w:ascii="Times New Roman" w:hAnsi="Times New Roman"/>
          <w:sz w:val="26"/>
          <w:szCs w:val="26"/>
          <w:lang w:val="ro-RO"/>
        </w:rPr>
        <w:t xml:space="preserve"> se suprapune cu </w:t>
      </w:r>
      <w:r w:rsidR="009E50EF">
        <w:rPr>
          <w:rFonts w:ascii="Times New Roman" w:hAnsi="Times New Roman"/>
          <w:sz w:val="26"/>
          <w:szCs w:val="26"/>
          <w:lang w:val="ro-RO"/>
        </w:rPr>
        <w:t>arii naturale protejate de interes național.</w:t>
      </w:r>
    </w:p>
    <w:p w:rsidR="00970113" w:rsidRPr="00A20B14" w:rsidRDefault="00970113" w:rsidP="00907186">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8"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D039AD">
        <w:rPr>
          <w:rFonts w:ascii="Times New Roman" w:hAnsi="Times New Roman"/>
          <w:b/>
          <w:i/>
          <w:sz w:val="26"/>
          <w:szCs w:val="26"/>
          <w:lang w:val="ro-RO"/>
        </w:rPr>
        <w:t>I Tulgheș</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9E50EF">
        <w:rPr>
          <w:rStyle w:val="tpa1"/>
          <w:rFonts w:ascii="Times New Roman" w:hAnsi="Times New Roman"/>
          <w:sz w:val="26"/>
          <w:szCs w:val="26"/>
          <w:lang w:val="ro-RO"/>
        </w:rPr>
        <w:t xml:space="preserve">ROSPA0129 Masivul </w:t>
      </w:r>
      <w:r w:rsidR="009E50EF">
        <w:rPr>
          <w:rStyle w:val="tpa1"/>
          <w:rFonts w:ascii="Times New Roman" w:hAnsi="Times New Roman"/>
          <w:sz w:val="26"/>
          <w:szCs w:val="26"/>
          <w:lang w:val="ro-RO"/>
        </w:rPr>
        <w:lastRenderedPageBreak/>
        <w:t>Ceahlău</w:t>
      </w:r>
      <w:r w:rsidR="000F3504">
        <w:rPr>
          <w:rStyle w:val="tpa1"/>
          <w:rFonts w:ascii="Times New Roman" w:hAnsi="Times New Roman"/>
          <w:sz w:val="26"/>
          <w:szCs w:val="26"/>
          <w:lang w:val="ro-RO"/>
        </w:rPr>
        <w:t xml:space="preserve">, precum și cu obiectivele de conservare stabilite de către </w:t>
      </w:r>
      <w:r w:rsidR="009E50EF">
        <w:rPr>
          <w:rStyle w:val="tpa1"/>
          <w:rFonts w:ascii="Times New Roman" w:hAnsi="Times New Roman"/>
          <w:sz w:val="26"/>
          <w:szCs w:val="26"/>
          <w:lang w:val="ro-RO"/>
        </w:rPr>
        <w:t>Administrația Parcului Național Ceahlău prin conferințele de amenajare</w:t>
      </w:r>
      <w:r w:rsidR="000F3504">
        <w:rPr>
          <w:rStyle w:val="tpa1"/>
          <w:rFonts w:ascii="Times New Roman" w:hAnsi="Times New Roman"/>
          <w:sz w:val="26"/>
          <w:szCs w:val="26"/>
          <w:lang w:val="ro-RO"/>
        </w:rPr>
        <w:t>. Amenajamentul include subcapitole (capitolul 9) care conțin măsuri și condiții cu privire la protecția speciilor și habitatelor ocrotite, precum și la protecția ecosistemelor terestre și acvatice.</w:t>
      </w:r>
    </w:p>
    <w:p w:rsidR="00F570D3" w:rsidRPr="007E7B29" w:rsidRDefault="000F3504" w:rsidP="008A4DA4">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D70E4F" w:rsidRPr="00D70E4F" w:rsidRDefault="00970113" w:rsidP="00D70E4F">
      <w:pPr>
        <w:pStyle w:val="BodyText"/>
        <w:spacing w:after="0" w:line="240" w:lineRule="auto"/>
        <w:ind w:firstLine="734"/>
        <w:jc w:val="both"/>
        <w:rPr>
          <w:rFonts w:asciiTheme="majorHAnsi" w:hAnsiTheme="majorHAnsi" w:cstheme="majorHAnsi"/>
          <w:sz w:val="26"/>
          <w:szCs w:val="26"/>
        </w:rPr>
      </w:pPr>
      <w:r w:rsidRPr="00A20B14">
        <w:rPr>
          <w:rFonts w:ascii="Times New Roman" w:hAnsi="Times New Roman"/>
          <w:sz w:val="26"/>
          <w:szCs w:val="26"/>
          <w:lang w:val="ro-RO"/>
        </w:rPr>
        <w:t xml:space="preserve">Menţinerea integrităţii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D70E4F" w:rsidRPr="00D70E4F">
        <w:rPr>
          <w:rFonts w:asciiTheme="majorHAnsi" w:hAnsiTheme="majorHAnsi" w:cstheme="majorHAnsi"/>
          <w:sz w:val="26"/>
          <w:szCs w:val="26"/>
        </w:rPr>
        <w:t xml:space="preserve">În cuprinsul U.P. </w:t>
      </w:r>
      <w:r w:rsidR="00D039AD">
        <w:rPr>
          <w:rFonts w:asciiTheme="majorHAnsi" w:hAnsiTheme="majorHAnsi" w:cstheme="majorHAnsi"/>
          <w:sz w:val="26"/>
          <w:szCs w:val="26"/>
        </w:rPr>
        <w:t>I Tulgheș</w:t>
      </w:r>
      <w:r w:rsidR="00D70E4F" w:rsidRPr="00D70E4F">
        <w:rPr>
          <w:rFonts w:asciiTheme="majorHAnsi" w:hAnsiTheme="majorHAnsi" w:cstheme="majorHAnsi"/>
          <w:sz w:val="26"/>
          <w:szCs w:val="26"/>
        </w:rPr>
        <w:t xml:space="preserve"> sunt arborete afectate de doborâturi sau rupturi produse de vânturi puternice sau</w:t>
      </w:r>
      <w:r w:rsidR="008A4DA4">
        <w:rPr>
          <w:rFonts w:asciiTheme="majorHAnsi" w:hAnsiTheme="majorHAnsi" w:cstheme="majorHAnsi"/>
          <w:sz w:val="26"/>
          <w:szCs w:val="26"/>
        </w:rPr>
        <w:t xml:space="preserve"> de căderi abundente de zăpadă.</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D82079" w:rsidRDefault="00D82079" w:rsidP="004260FD">
      <w:pPr>
        <w:numPr>
          <w:ilvl w:val="0"/>
          <w:numId w:val="5"/>
        </w:numPr>
        <w:spacing w:after="0" w:line="240" w:lineRule="auto"/>
        <w:ind w:left="360"/>
        <w:jc w:val="both"/>
        <w:rPr>
          <w:rFonts w:ascii="Times New Roman" w:hAnsi="Times New Roman"/>
          <w:sz w:val="26"/>
          <w:szCs w:val="26"/>
          <w:lang w:val="ro-RO"/>
        </w:rPr>
      </w:pPr>
      <w:r w:rsidRPr="00D82079">
        <w:rPr>
          <w:rFonts w:ascii="Times New Roman" w:hAnsi="Times New Roman"/>
          <w:sz w:val="26"/>
          <w:szCs w:val="26"/>
          <w:lang w:val="ro-RO"/>
        </w:rPr>
        <w:lastRenderedPageBreak/>
        <w:t>Ordinul nr. 1934/2015 privind aprobarea Planului de management şi a Regulamentului Parcului Naţional Ceahlău</w:t>
      </w:r>
      <w:r w:rsidRPr="00A20B14">
        <w:rPr>
          <w:rFonts w:ascii="Times New Roman" w:hAnsi="Times New Roman"/>
          <w:sz w:val="26"/>
          <w:szCs w:val="26"/>
          <w:lang w:val="ro-RO"/>
        </w:rPr>
        <w:t xml:space="preserv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Hotărârea Consiliului Judeţean Harghita nr.162/2005, privind protecţia valorilor naturale de pe teritoriul judeţului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D039AD">
        <w:rPr>
          <w:rFonts w:ascii="Times New Roman" w:hAnsi="Times New Roman"/>
          <w:i/>
          <w:color w:val="000000"/>
          <w:sz w:val="26"/>
          <w:szCs w:val="26"/>
          <w:lang w:val="ro-RO"/>
        </w:rPr>
        <w:t>I Tulgheș</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lastRenderedPageBreak/>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0F3504" w:rsidRDefault="009E50EF"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ROSPA0129 Masivul Ceahlău</w:t>
      </w:r>
    </w:p>
    <w:p w:rsidR="008A4DA4" w:rsidRDefault="000F3504" w:rsidP="007A4AB0">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w:t>
      </w:r>
      <w:r w:rsidR="007A4AB0">
        <w:rPr>
          <w:rFonts w:ascii="Times New Roman" w:hAnsi="Times New Roman"/>
          <w:i/>
          <w:sz w:val="26"/>
          <w:szCs w:val="26"/>
          <w:lang w:val="ro-RO"/>
        </w:rPr>
        <w:t>nta decizie de încadrare cap. I</w:t>
      </w:r>
      <w:r w:rsidRPr="007043E6">
        <w:rPr>
          <w:rFonts w:ascii="Times New Roman" w:hAnsi="Times New Roman"/>
          <w:i/>
          <w:sz w:val="26"/>
          <w:szCs w:val="26"/>
          <w:lang w:val="ro-RO"/>
        </w:rPr>
        <w:t>I</w:t>
      </w:r>
      <w:r w:rsidR="008A4DA4">
        <w:rPr>
          <w:rFonts w:ascii="Times New Roman" w:hAnsi="Times New Roman"/>
          <w:i/>
          <w:sz w:val="26"/>
          <w:szCs w:val="26"/>
          <w:lang w:val="ro-RO"/>
        </w:rPr>
        <w:t>I</w:t>
      </w:r>
      <w:r w:rsidRPr="007043E6">
        <w:rPr>
          <w:rFonts w:ascii="Times New Roman" w:hAnsi="Times New Roman"/>
          <w:i/>
          <w:sz w:val="26"/>
          <w:szCs w:val="26"/>
          <w:lang w:val="ro-RO"/>
        </w:rPr>
        <w:t>.</w:t>
      </w:r>
    </w:p>
    <w:p w:rsidR="008A4DA4" w:rsidRPr="007E7B29" w:rsidRDefault="008A4DA4" w:rsidP="008A4DA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A4DA4" w:rsidRPr="00D70E4F" w:rsidRDefault="008A4DA4" w:rsidP="008A4DA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se suprapune </w:t>
      </w:r>
      <w:r w:rsidRPr="00A63D60">
        <w:rPr>
          <w:rFonts w:ascii="Times New Roman" w:hAnsi="Times New Roman"/>
          <w:sz w:val="26"/>
          <w:szCs w:val="26"/>
          <w:lang w:val="ro-RO"/>
        </w:rPr>
        <w:t>cu aria de protecție specială avifaunistică ROSPA0</w:t>
      </w:r>
      <w:r>
        <w:rPr>
          <w:rFonts w:ascii="Times New Roman" w:hAnsi="Times New Roman"/>
          <w:sz w:val="26"/>
          <w:szCs w:val="26"/>
          <w:lang w:val="ro-RO"/>
        </w:rPr>
        <w:t>129</w:t>
      </w:r>
      <w:r w:rsidRPr="00A63D60">
        <w:rPr>
          <w:rFonts w:ascii="Times New Roman" w:hAnsi="Times New Roman"/>
          <w:sz w:val="26"/>
          <w:szCs w:val="26"/>
          <w:lang w:val="ro-RO"/>
        </w:rPr>
        <w:t xml:space="preserve"> </w:t>
      </w:r>
      <w:r>
        <w:rPr>
          <w:rFonts w:ascii="Times New Roman" w:hAnsi="Times New Roman"/>
          <w:sz w:val="26"/>
          <w:szCs w:val="26"/>
          <w:lang w:val="ro-RO"/>
        </w:rPr>
        <w:t>Masivul Ceahlău</w:t>
      </w:r>
      <w:r w:rsidRPr="00A63D60">
        <w:rPr>
          <w:rFonts w:ascii="Times New Roman" w:hAnsi="Times New Roman"/>
          <w:sz w:val="26"/>
          <w:szCs w:val="26"/>
          <w:lang w:val="ro-RO"/>
        </w:rPr>
        <w:t xml:space="preserve"> (</w:t>
      </w:r>
      <w:r w:rsidR="008C51B2">
        <w:rPr>
          <w:rFonts w:ascii="Times New Roman" w:hAnsi="Times New Roman"/>
          <w:sz w:val="26"/>
          <w:szCs w:val="26"/>
          <w:lang w:val="ro-RO"/>
        </w:rPr>
        <w:t>u.a. 358E - 2,3</w:t>
      </w:r>
      <w:r w:rsidRPr="00A63D60">
        <w:rPr>
          <w:rFonts w:ascii="Times New Roman" w:hAnsi="Times New Roman"/>
          <w:sz w:val="26"/>
          <w:szCs w:val="26"/>
          <w:lang w:val="ro-RO"/>
        </w:rPr>
        <w:t xml:space="preserve"> ha) </w:t>
      </w:r>
    </w:p>
    <w:p w:rsidR="008A4DA4" w:rsidRDefault="008A4DA4" w:rsidP="008A4DA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Pr>
          <w:rFonts w:ascii="Times New Roman" w:eastAsiaTheme="minorHAnsi" w:hAnsi="Times New Roman"/>
          <w:sz w:val="26"/>
          <w:szCs w:val="26"/>
          <w:lang w:val="ro-RO"/>
        </w:rPr>
        <w:t xml:space="preserve">Lucrările propuse în </w:t>
      </w:r>
      <w:r w:rsidR="008C51B2" w:rsidRPr="00A63D60">
        <w:rPr>
          <w:rFonts w:ascii="Times New Roman" w:hAnsi="Times New Roman"/>
          <w:sz w:val="26"/>
          <w:szCs w:val="26"/>
          <w:lang w:val="ro-RO"/>
        </w:rPr>
        <w:t>ROSPA0</w:t>
      </w:r>
      <w:r w:rsidR="008C51B2">
        <w:rPr>
          <w:rFonts w:ascii="Times New Roman" w:hAnsi="Times New Roman"/>
          <w:sz w:val="26"/>
          <w:szCs w:val="26"/>
          <w:lang w:val="ro-RO"/>
        </w:rPr>
        <w:t>129</w:t>
      </w:r>
      <w:r w:rsidR="008C51B2" w:rsidRPr="00A63D60">
        <w:rPr>
          <w:rFonts w:ascii="Times New Roman" w:hAnsi="Times New Roman"/>
          <w:sz w:val="26"/>
          <w:szCs w:val="26"/>
          <w:lang w:val="ro-RO"/>
        </w:rPr>
        <w:t xml:space="preserve"> </w:t>
      </w:r>
      <w:r w:rsidR="008C51B2">
        <w:rPr>
          <w:rFonts w:ascii="Times New Roman" w:hAnsi="Times New Roman"/>
          <w:sz w:val="26"/>
          <w:szCs w:val="26"/>
          <w:lang w:val="ro-RO"/>
        </w:rPr>
        <w:t>Masivul Ceahlău</w:t>
      </w:r>
      <w:r w:rsidR="008C51B2" w:rsidRPr="00A63D60">
        <w:rPr>
          <w:rFonts w:ascii="Times New Roman" w:hAnsi="Times New Roman"/>
          <w:sz w:val="26"/>
          <w:szCs w:val="26"/>
          <w:lang w:val="ro-RO"/>
        </w:rPr>
        <w:t xml:space="preserve"> </w:t>
      </w:r>
      <w:r>
        <w:rPr>
          <w:rFonts w:ascii="Times New Roman" w:eastAsiaTheme="minorHAnsi" w:hAnsi="Times New Roman"/>
          <w:sz w:val="26"/>
          <w:szCs w:val="26"/>
          <w:lang w:val="ro-RO"/>
        </w:rPr>
        <w:t>sunt următoarele:</w:t>
      </w:r>
    </w:p>
    <w:p w:rsidR="008A4DA4" w:rsidRPr="00A63D60" w:rsidRDefault="008C51B2" w:rsidP="008C51B2">
      <w:pPr>
        <w:pStyle w:val="BodyTextIndent3"/>
        <w:autoSpaceDE w:val="0"/>
        <w:autoSpaceDN w:val="0"/>
        <w:adjustRightInd w:val="0"/>
        <w:spacing w:after="0" w:line="240" w:lineRule="auto"/>
        <w:ind w:left="0"/>
        <w:jc w:val="both"/>
        <w:rPr>
          <w:rFonts w:ascii="Times New Roman" w:eastAsiaTheme="minorHAnsi" w:hAnsi="Times New Roman"/>
          <w:sz w:val="26"/>
          <w:szCs w:val="26"/>
          <w:lang w:val="ro-RO"/>
        </w:rPr>
      </w:pPr>
      <w:r>
        <w:rPr>
          <w:noProof/>
        </w:rPr>
        <w:drawing>
          <wp:inline distT="0" distB="0" distL="0" distR="0" wp14:anchorId="40F1419C" wp14:editId="5607FD37">
            <wp:extent cx="5943600" cy="76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64540"/>
                    </a:xfrm>
                    <a:prstGeom prst="rect">
                      <a:avLst/>
                    </a:prstGeom>
                  </pic:spPr>
                </pic:pic>
              </a:graphicData>
            </a:graphic>
          </wp:inline>
        </w:drawing>
      </w:r>
    </w:p>
    <w:p w:rsidR="008A4DA4" w:rsidRPr="00A63D60" w:rsidRDefault="008A4DA4" w:rsidP="008A4DA4">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 xml:space="preserve">Parcelele forestiere analizate creează cadru pentru speciile ocrotite de interes comunitar menţionate în Planul de management al sitului </w:t>
      </w:r>
      <w:r w:rsidR="008C51B2" w:rsidRPr="00A63D60">
        <w:rPr>
          <w:rFonts w:ascii="Times New Roman" w:hAnsi="Times New Roman"/>
          <w:sz w:val="26"/>
          <w:szCs w:val="26"/>
          <w:lang w:val="ro-RO"/>
        </w:rPr>
        <w:t>ROSPA0</w:t>
      </w:r>
      <w:r w:rsidR="008C51B2">
        <w:rPr>
          <w:rFonts w:ascii="Times New Roman" w:hAnsi="Times New Roman"/>
          <w:sz w:val="26"/>
          <w:szCs w:val="26"/>
          <w:lang w:val="ro-RO"/>
        </w:rPr>
        <w:t>129</w:t>
      </w:r>
      <w:r w:rsidR="008C51B2" w:rsidRPr="00A63D60">
        <w:rPr>
          <w:rFonts w:ascii="Times New Roman" w:hAnsi="Times New Roman"/>
          <w:sz w:val="26"/>
          <w:szCs w:val="26"/>
          <w:lang w:val="ro-RO"/>
        </w:rPr>
        <w:t xml:space="preserve"> </w:t>
      </w:r>
      <w:r w:rsidR="008C51B2">
        <w:rPr>
          <w:rFonts w:ascii="Times New Roman" w:hAnsi="Times New Roman"/>
          <w:sz w:val="26"/>
          <w:szCs w:val="26"/>
          <w:lang w:val="ro-RO"/>
        </w:rPr>
        <w:t>Masivul Ceahlău</w:t>
      </w:r>
      <w:r w:rsidR="008C51B2" w:rsidRPr="00A63D60">
        <w:rPr>
          <w:rFonts w:ascii="Times New Roman" w:hAnsi="Times New Roman"/>
          <w:sz w:val="26"/>
          <w:szCs w:val="26"/>
          <w:lang w:val="ro-RO"/>
        </w:rPr>
        <w:t xml:space="preserve"> </w:t>
      </w:r>
      <w:r w:rsidRPr="00A63D60">
        <w:rPr>
          <w:rFonts w:ascii="Times New Roman" w:hAnsi="Times New Roman"/>
          <w:sz w:val="26"/>
          <w:szCs w:val="26"/>
          <w:lang w:val="ro-RO"/>
        </w:rPr>
        <w:t>(specii de păsări dependente de păduri)</w:t>
      </w:r>
    </w:p>
    <w:p w:rsidR="008A4DA4" w:rsidRPr="005B034E" w:rsidRDefault="008A4DA4" w:rsidP="008A4DA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ocrotite</w:t>
      </w:r>
      <w:r>
        <w:rPr>
          <w:rStyle w:val="tpa1"/>
          <w:rFonts w:ascii="Times New Roman" w:hAnsi="Times New Roman"/>
          <w:sz w:val="26"/>
          <w:szCs w:val="26"/>
          <w:lang w:val="ro-RO"/>
        </w:rPr>
        <w:t xml:space="preserve"> în cadrul ROSPA0</w:t>
      </w:r>
      <w:r w:rsidR="008C51B2">
        <w:rPr>
          <w:rStyle w:val="tpa1"/>
          <w:rFonts w:ascii="Times New Roman" w:hAnsi="Times New Roman"/>
          <w:sz w:val="26"/>
          <w:szCs w:val="26"/>
          <w:lang w:val="ro-RO"/>
        </w:rPr>
        <w:t>129</w:t>
      </w:r>
      <w:r w:rsidRPr="005B034E">
        <w:rPr>
          <w:rStyle w:val="tpa1"/>
          <w:rFonts w:ascii="Times New Roman" w:hAnsi="Times New Roman"/>
          <w:sz w:val="26"/>
          <w:szCs w:val="26"/>
          <w:lang w:val="ro-RO"/>
        </w:rPr>
        <w:t>, precum și măsuri 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8C51B2" w:rsidRDefault="008C51B2" w:rsidP="00C8339D">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8C51B2">
        <w:rPr>
          <w:rFonts w:ascii="Times New Roman" w:hAnsi="Times New Roman"/>
          <w:color w:val="000000"/>
          <w:sz w:val="26"/>
          <w:szCs w:val="26"/>
          <w:lang w:val="ro-RO"/>
        </w:rPr>
        <w:t>avizul nr. 138 din 17.10.2023 emisă de Direcția de Administrare a Parcului Național Ceahlău</w:t>
      </w:r>
      <w:r w:rsidRPr="008C51B2">
        <w:rPr>
          <w:rFonts w:ascii="Times New Roman" w:hAnsi="Times New Roman"/>
          <w:sz w:val="26"/>
          <w:szCs w:val="26"/>
          <w:lang w:val="ro-RO"/>
        </w:rPr>
        <w:t xml:space="preserve"> </w:t>
      </w:r>
    </w:p>
    <w:p w:rsidR="008A4DA4" w:rsidRPr="008C51B2" w:rsidRDefault="008A4DA4" w:rsidP="00C8339D">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8C51B2">
        <w:rPr>
          <w:rFonts w:ascii="Times New Roman" w:hAnsi="Times New Roman"/>
          <w:sz w:val="26"/>
          <w:szCs w:val="26"/>
          <w:lang w:val="ro-RO"/>
        </w:rPr>
        <w:t>planul ar putea afecta în mod nesemnificativ, temporar, fără impact remanent aria naturală protejată, planul nu reduce suprafața habitatelor prilenice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rsidR="007A4AB0" w:rsidRPr="00201A68" w:rsidRDefault="008A4DA4" w:rsidP="007A4AB0">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planul propus nu va avea efecte negative semnificative asupra speciilor ocrotite în cadrul </w:t>
      </w:r>
      <w:r>
        <w:rPr>
          <w:rFonts w:ascii="Times New Roman" w:hAnsi="Times New Roman"/>
          <w:sz w:val="26"/>
          <w:szCs w:val="26"/>
          <w:lang w:val="ro-RO"/>
        </w:rPr>
        <w:t>ariei de p</w:t>
      </w:r>
      <w:r w:rsidR="008C51B2">
        <w:rPr>
          <w:rFonts w:ascii="Times New Roman" w:hAnsi="Times New Roman"/>
          <w:sz w:val="26"/>
          <w:szCs w:val="26"/>
          <w:lang w:val="ro-RO"/>
        </w:rPr>
        <w:t xml:space="preserve">rotecție specială avifaunistică </w:t>
      </w:r>
      <w:r w:rsidR="008C51B2" w:rsidRPr="00A63D60">
        <w:rPr>
          <w:rFonts w:ascii="Times New Roman" w:hAnsi="Times New Roman"/>
          <w:sz w:val="26"/>
          <w:szCs w:val="26"/>
          <w:lang w:val="ro-RO"/>
        </w:rPr>
        <w:t>ROSPA0</w:t>
      </w:r>
      <w:r w:rsidR="008C51B2">
        <w:rPr>
          <w:rFonts w:ascii="Times New Roman" w:hAnsi="Times New Roman"/>
          <w:sz w:val="26"/>
          <w:szCs w:val="26"/>
          <w:lang w:val="ro-RO"/>
        </w:rPr>
        <w:t>129</w:t>
      </w:r>
      <w:r w:rsidR="008C51B2" w:rsidRPr="00A63D60">
        <w:rPr>
          <w:rFonts w:ascii="Times New Roman" w:hAnsi="Times New Roman"/>
          <w:sz w:val="26"/>
          <w:szCs w:val="26"/>
          <w:lang w:val="ro-RO"/>
        </w:rPr>
        <w:t xml:space="preserve"> </w:t>
      </w:r>
      <w:r w:rsidR="008C51B2">
        <w:rPr>
          <w:rFonts w:ascii="Times New Roman" w:hAnsi="Times New Roman"/>
          <w:sz w:val="26"/>
          <w:szCs w:val="26"/>
          <w:lang w:val="ro-RO"/>
        </w:rPr>
        <w:t>Masivul Ceahlău</w:t>
      </w:r>
      <w:r>
        <w:rPr>
          <w:rFonts w:ascii="Times New Roman" w:hAnsi="Times New Roman"/>
          <w:sz w:val="26"/>
          <w:szCs w:val="26"/>
          <w:lang w:val="ro-RO"/>
        </w:rPr>
        <w:t xml:space="preserve"> </w:t>
      </w:r>
      <w:r w:rsidRPr="007E7B29">
        <w:rPr>
          <w:rFonts w:ascii="Times New Roman" w:hAnsi="Times New Roman"/>
          <w:sz w:val="26"/>
          <w:szCs w:val="26"/>
          <w:lang w:val="ro-RO"/>
        </w:rPr>
        <w:t>prin respectarea condiţiilor și măsurilor enumerate în amenajamentul silvic.</w:t>
      </w:r>
    </w:p>
    <w:p w:rsidR="00CB19A5" w:rsidRPr="00EA5D16" w:rsidRDefault="00970113" w:rsidP="008C51B2">
      <w:pPr>
        <w:pStyle w:val="ListParagraph"/>
        <w:numPr>
          <w:ilvl w:val="0"/>
          <w:numId w:val="40"/>
        </w:numPr>
        <w:ind w:left="540" w:hanging="45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condiţii: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 xml:space="preserve">aplicarea condițiilor impuse de </w:t>
      </w:r>
      <w:r w:rsidR="00D82079">
        <w:rPr>
          <w:rFonts w:ascii="Times New Roman" w:hAnsi="Times New Roman"/>
          <w:color w:val="000000"/>
          <w:sz w:val="26"/>
          <w:szCs w:val="26"/>
          <w:lang w:val="ro-RO"/>
        </w:rPr>
        <w:t>Direcția de Administrare a Parcului Național Ceahlău</w:t>
      </w:r>
      <w:r w:rsidR="00D82079" w:rsidRPr="00527341">
        <w:rPr>
          <w:rFonts w:ascii="Times New Roman" w:hAnsi="Times New Roman"/>
          <w:sz w:val="26"/>
          <w:szCs w:val="26"/>
          <w:lang w:val="ro-RO"/>
        </w:rPr>
        <w:t xml:space="preserve"> </w:t>
      </w:r>
      <w:r w:rsidRPr="00527341">
        <w:rPr>
          <w:rFonts w:ascii="Times New Roman" w:hAnsi="Times New Roman"/>
          <w:sz w:val="26"/>
          <w:szCs w:val="26"/>
          <w:lang w:val="ro-RO"/>
        </w:rPr>
        <w:t xml:space="preserve">prin avizul nr. </w:t>
      </w:r>
      <w:r w:rsidR="00D82079">
        <w:rPr>
          <w:rFonts w:ascii="Times New Roman" w:hAnsi="Times New Roman"/>
          <w:sz w:val="26"/>
          <w:szCs w:val="26"/>
          <w:lang w:val="ro-RO"/>
        </w:rPr>
        <w:t>138 din 17</w:t>
      </w:r>
      <w:r w:rsidRPr="00527341">
        <w:rPr>
          <w:rFonts w:ascii="Times New Roman" w:hAnsi="Times New Roman"/>
          <w:sz w:val="26"/>
          <w:szCs w:val="26"/>
          <w:lang w:val="ro-RO"/>
        </w:rPr>
        <w:t>.</w:t>
      </w:r>
      <w:r w:rsidR="00D82079">
        <w:rPr>
          <w:rFonts w:ascii="Times New Roman" w:hAnsi="Times New Roman"/>
          <w:sz w:val="26"/>
          <w:szCs w:val="26"/>
          <w:lang w:val="ro-RO"/>
        </w:rPr>
        <w:t>10.2023</w:t>
      </w:r>
    </w:p>
    <w:p w:rsid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este interzisă organizarea unor evenimente de concurs și recreere (ATV, Enduro, etc.) în afara drumurilor publice existente care utilizează combustibili fosili</w:t>
      </w:r>
    </w:p>
    <w:p w:rsidR="009F007E" w:rsidRPr="009F007E" w:rsidRDefault="009F007E" w:rsidP="009F007E">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w:t>
      </w:r>
      <w:r>
        <w:rPr>
          <w:rFonts w:ascii="Times New Roman" w:hAnsi="Times New Roman"/>
          <w:sz w:val="26"/>
          <w:szCs w:val="26"/>
          <w:lang w:val="ro-RO"/>
        </w:rPr>
        <w:t>129 Masivul Ceahlău</w:t>
      </w:r>
      <w:r>
        <w:rPr>
          <w:rFonts w:ascii="Times New Roman" w:hAnsi="Times New Roman"/>
          <w:sz w:val="26"/>
          <w:szCs w:val="26"/>
          <w:lang w:val="ro-RO"/>
        </w:rPr>
        <w:t xml:space="preserve"> în perioada de cuibărire ale păsărilor ocrotite</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se interzice amplasarea de rampe de încărcare în zone în care a fost raportată prezenţa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păstrarea unor distanţe adecvate pentru a nu perturba speciile rare sau periclitate a căror prezenţă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în arboretele tinere se va menţine şi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şi împădurirea tuturor suprafeţelor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protecţiei şi pazei pădurilor în vederea prevenirii şi combaterii bolilor şi dăunătorilor, incendiilor, distrugerilor şi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menţinerea arborilor de pe marginea cursurilor de apă, care asigură umbră şi hrană, pentru speciile şi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vor menţine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arborii de fag exploataţi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interzice organizarea unor parchete de exploatare în zonele favorabile existenţei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111F5" w:rsidRPr="00201A68" w:rsidRDefault="00EA5D16" w:rsidP="00201A68">
      <w:pPr>
        <w:pStyle w:val="Default"/>
        <w:numPr>
          <w:ilvl w:val="0"/>
          <w:numId w:val="39"/>
        </w:numPr>
        <w:ind w:left="360" w:hanging="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D039AD">
        <w:rPr>
          <w:sz w:val="26"/>
          <w:szCs w:val="26"/>
          <w:lang w:val="ro-RO" w:eastAsia="ro-RO"/>
        </w:rPr>
        <w:t>I Tulgheș</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201A68" w:rsidRDefault="00970113" w:rsidP="00094DB6">
      <w:pPr>
        <w:autoSpaceDE w:val="0"/>
        <w:autoSpaceDN w:val="0"/>
        <w:adjustRightInd w:val="0"/>
        <w:spacing w:after="0" w:line="240" w:lineRule="auto"/>
        <w:ind w:firstLine="284"/>
        <w:jc w:val="both"/>
        <w:rPr>
          <w:rFonts w:ascii="Times New Roman" w:hAnsi="Times New Roman"/>
          <w:b/>
          <w:sz w:val="25"/>
          <w:szCs w:val="25"/>
          <w:lang w:val="ro-RO"/>
        </w:rPr>
      </w:pPr>
      <w:r w:rsidRPr="00201A68">
        <w:rPr>
          <w:rFonts w:ascii="Times New Roman" w:hAnsi="Times New Roman"/>
          <w:b/>
          <w:sz w:val="25"/>
          <w:szCs w:val="25"/>
          <w:lang w:val="ro-RO"/>
        </w:rPr>
        <w:lastRenderedPageBreak/>
        <w:t xml:space="preserve">Planul propus nu necesită parcurgerea celorlalte etape ale </w:t>
      </w:r>
      <w:r w:rsidR="00BF2929" w:rsidRPr="00201A68">
        <w:rPr>
          <w:rFonts w:ascii="Times New Roman" w:hAnsi="Times New Roman"/>
          <w:b/>
          <w:sz w:val="25"/>
          <w:szCs w:val="25"/>
          <w:lang w:val="ro-RO"/>
        </w:rPr>
        <w:t>procedurii ș</w:t>
      </w:r>
      <w:r w:rsidR="002A2590" w:rsidRPr="00201A68">
        <w:rPr>
          <w:rFonts w:ascii="Times New Roman" w:hAnsi="Times New Roman"/>
          <w:b/>
          <w:sz w:val="25"/>
          <w:szCs w:val="25"/>
          <w:lang w:val="ro-RO"/>
        </w:rPr>
        <w:t>i n</w:t>
      </w:r>
      <w:r w:rsidR="00BF2929" w:rsidRPr="00201A68">
        <w:rPr>
          <w:rFonts w:ascii="Times New Roman" w:hAnsi="Times New Roman"/>
          <w:b/>
          <w:sz w:val="25"/>
          <w:szCs w:val="25"/>
          <w:lang w:val="ro-RO"/>
        </w:rPr>
        <w:t>u necesită evaluare de mediu.</w:t>
      </w:r>
    </w:p>
    <w:p w:rsidR="0046747F" w:rsidRPr="00201A68" w:rsidRDefault="0046747F" w:rsidP="00DE1333">
      <w:pPr>
        <w:autoSpaceDE w:val="0"/>
        <w:autoSpaceDN w:val="0"/>
        <w:adjustRightInd w:val="0"/>
        <w:spacing w:after="0" w:line="240" w:lineRule="auto"/>
        <w:jc w:val="both"/>
        <w:rPr>
          <w:rFonts w:ascii="Times New Roman" w:hAnsi="Times New Roman"/>
          <w:b/>
          <w:color w:val="000000"/>
          <w:sz w:val="25"/>
          <w:szCs w:val="25"/>
          <w:lang w:val="ro-RO"/>
        </w:rPr>
      </w:pPr>
    </w:p>
    <w:p w:rsidR="00513B26" w:rsidRPr="00201A68" w:rsidRDefault="00970113" w:rsidP="00DE1333">
      <w:pPr>
        <w:autoSpaceDE w:val="0"/>
        <w:autoSpaceDN w:val="0"/>
        <w:adjustRightInd w:val="0"/>
        <w:spacing w:after="0" w:line="240" w:lineRule="auto"/>
        <w:ind w:firstLine="284"/>
        <w:jc w:val="both"/>
        <w:rPr>
          <w:rFonts w:ascii="Times New Roman" w:hAnsi="Times New Roman"/>
          <w:b/>
          <w:color w:val="000000"/>
          <w:sz w:val="25"/>
          <w:szCs w:val="25"/>
          <w:lang w:val="ro-RO"/>
        </w:rPr>
      </w:pPr>
      <w:r w:rsidRPr="00201A68">
        <w:rPr>
          <w:rFonts w:ascii="Times New Roman" w:hAnsi="Times New Roman"/>
          <w:b/>
          <w:color w:val="000000"/>
          <w:sz w:val="25"/>
          <w:szCs w:val="25"/>
          <w:lang w:val="ro-RO"/>
        </w:rPr>
        <w:t>Informarea şi participarea publicului la procedura de evaluare de mediu/procedura de evaluare adecvată:</w:t>
      </w:r>
    </w:p>
    <w:p w:rsidR="0046747F" w:rsidRPr="00201A68" w:rsidRDefault="0046747F" w:rsidP="00DE1333">
      <w:pPr>
        <w:autoSpaceDE w:val="0"/>
        <w:autoSpaceDN w:val="0"/>
        <w:adjustRightInd w:val="0"/>
        <w:spacing w:after="0" w:line="240" w:lineRule="auto"/>
        <w:ind w:firstLine="284"/>
        <w:jc w:val="both"/>
        <w:rPr>
          <w:rFonts w:ascii="Times New Roman" w:hAnsi="Times New Roman"/>
          <w:b/>
          <w:sz w:val="25"/>
          <w:szCs w:val="25"/>
          <w:lang w:val="ro-RO"/>
        </w:rPr>
      </w:pPr>
    </w:p>
    <w:p w:rsidR="00BD0251" w:rsidRPr="00201A68" w:rsidRDefault="00970113" w:rsidP="004260FD">
      <w:pPr>
        <w:autoSpaceDE w:val="0"/>
        <w:autoSpaceDN w:val="0"/>
        <w:adjustRightInd w:val="0"/>
        <w:spacing w:after="0" w:line="240" w:lineRule="auto"/>
        <w:jc w:val="both"/>
        <w:rPr>
          <w:rFonts w:ascii="Times New Roman" w:hAnsi="Times New Roman"/>
          <w:sz w:val="25"/>
          <w:szCs w:val="25"/>
          <w:lang w:val="ro-RO"/>
        </w:rPr>
      </w:pPr>
      <w:r w:rsidRPr="00201A68">
        <w:rPr>
          <w:rFonts w:ascii="Times New Roman" w:hAnsi="Times New Roman"/>
          <w:b/>
          <w:sz w:val="25"/>
          <w:szCs w:val="25"/>
          <w:lang w:val="ro-RO"/>
        </w:rPr>
        <w:t>În urma apariţiei anunţului public privind depunerea primei versiuni a Amenajamentului Silvic</w:t>
      </w:r>
      <w:r w:rsidRPr="00201A68">
        <w:rPr>
          <w:rFonts w:ascii="Times New Roman" w:hAnsi="Times New Roman"/>
          <w:sz w:val="25"/>
          <w:szCs w:val="25"/>
          <w:lang w:val="ro-RO"/>
        </w:rPr>
        <w:t xml:space="preserve"> solicitând parcurgerea etapei de încadrare în vederea obţinerii avizului de mediu (apărut în ziarele Informaţia Harghitei în data de </w:t>
      </w:r>
      <w:r w:rsidR="00552323" w:rsidRPr="00201A68">
        <w:rPr>
          <w:rFonts w:ascii="Times New Roman" w:hAnsi="Times New Roman"/>
          <w:sz w:val="25"/>
          <w:szCs w:val="25"/>
          <w:lang w:val="ro-RO"/>
        </w:rPr>
        <w:t>17.05</w:t>
      </w:r>
      <w:r w:rsidR="00FC7527" w:rsidRPr="00201A68">
        <w:rPr>
          <w:rFonts w:ascii="Times New Roman" w:hAnsi="Times New Roman"/>
          <w:sz w:val="25"/>
          <w:szCs w:val="25"/>
          <w:lang w:val="ro-RO"/>
        </w:rPr>
        <w:t>.2023</w:t>
      </w:r>
      <w:r w:rsidRPr="00201A68">
        <w:rPr>
          <w:rFonts w:ascii="Times New Roman" w:hAnsi="Times New Roman"/>
          <w:sz w:val="25"/>
          <w:szCs w:val="25"/>
          <w:lang w:val="ro-RO"/>
        </w:rPr>
        <w:t xml:space="preserve">, </w:t>
      </w:r>
      <w:r w:rsidR="00552323" w:rsidRPr="00201A68">
        <w:rPr>
          <w:rFonts w:ascii="Times New Roman" w:hAnsi="Times New Roman"/>
          <w:sz w:val="25"/>
          <w:szCs w:val="25"/>
          <w:lang w:val="ro-RO"/>
        </w:rPr>
        <w:t>19.05</w:t>
      </w:r>
      <w:r w:rsidR="00FC7527" w:rsidRPr="00201A68">
        <w:rPr>
          <w:rFonts w:ascii="Times New Roman" w:hAnsi="Times New Roman"/>
          <w:sz w:val="25"/>
          <w:szCs w:val="25"/>
          <w:lang w:val="ro-RO"/>
        </w:rPr>
        <w:t>.2023</w:t>
      </w:r>
      <w:r w:rsidRPr="00201A68">
        <w:rPr>
          <w:rFonts w:ascii="Times New Roman" w:hAnsi="Times New Roman"/>
          <w:sz w:val="25"/>
          <w:szCs w:val="25"/>
          <w:lang w:val="ro-RO"/>
        </w:rPr>
        <w:t>,</w:t>
      </w:r>
      <w:r w:rsidR="007A020F" w:rsidRPr="00201A68">
        <w:rPr>
          <w:rFonts w:ascii="Times New Roman" w:hAnsi="Times New Roman"/>
          <w:sz w:val="25"/>
          <w:szCs w:val="25"/>
          <w:lang w:val="ro-RO"/>
        </w:rPr>
        <w:t xml:space="preserve"> </w:t>
      </w:r>
      <w:r w:rsidR="00D70E4F" w:rsidRPr="00201A68">
        <w:rPr>
          <w:rFonts w:ascii="Times New Roman" w:hAnsi="Times New Roman"/>
          <w:sz w:val="25"/>
          <w:szCs w:val="25"/>
          <w:lang w:val="ro-RO"/>
        </w:rPr>
        <w:t>05</w:t>
      </w:r>
      <w:r w:rsidR="00BE155C" w:rsidRPr="00201A68">
        <w:rPr>
          <w:rFonts w:ascii="Times New Roman" w:hAnsi="Times New Roman"/>
          <w:sz w:val="25"/>
          <w:szCs w:val="25"/>
          <w:lang w:val="ro-RO"/>
        </w:rPr>
        <w:t>.</w:t>
      </w:r>
      <w:r w:rsidR="00D70E4F" w:rsidRPr="00201A68">
        <w:rPr>
          <w:rFonts w:ascii="Times New Roman" w:hAnsi="Times New Roman"/>
          <w:sz w:val="25"/>
          <w:szCs w:val="25"/>
          <w:lang w:val="ro-RO"/>
        </w:rPr>
        <w:t>12</w:t>
      </w:r>
      <w:r w:rsidR="00FC7527" w:rsidRPr="00201A68">
        <w:rPr>
          <w:rFonts w:ascii="Times New Roman" w:hAnsi="Times New Roman"/>
          <w:sz w:val="25"/>
          <w:szCs w:val="25"/>
          <w:lang w:val="ro-RO"/>
        </w:rPr>
        <w:t>.2023</w:t>
      </w:r>
      <w:r w:rsidRPr="00201A68">
        <w:rPr>
          <w:rFonts w:ascii="Times New Roman" w:hAnsi="Times New Roman"/>
          <w:sz w:val="25"/>
          <w:szCs w:val="25"/>
          <w:lang w:val="ro-RO"/>
        </w:rPr>
        <w:t>,</w:t>
      </w:r>
      <w:r w:rsidR="00587691" w:rsidRPr="00201A68">
        <w:rPr>
          <w:rFonts w:ascii="Times New Roman" w:hAnsi="Times New Roman"/>
          <w:sz w:val="25"/>
          <w:szCs w:val="25"/>
          <w:lang w:val="ro-RO"/>
        </w:rPr>
        <w:t xml:space="preserve"> și în ziarul </w:t>
      </w:r>
      <w:r w:rsidR="005F7DC8" w:rsidRPr="00201A68">
        <w:rPr>
          <w:rFonts w:ascii="Times New Roman" w:hAnsi="Times New Roman"/>
          <w:sz w:val="25"/>
          <w:szCs w:val="25"/>
          <w:lang w:val="ro-RO"/>
        </w:rPr>
        <w:t>Hargita Népe</w:t>
      </w:r>
      <w:r w:rsidR="00587691" w:rsidRPr="00201A68">
        <w:rPr>
          <w:rFonts w:ascii="Times New Roman" w:hAnsi="Times New Roman"/>
          <w:sz w:val="25"/>
          <w:szCs w:val="25"/>
          <w:lang w:val="ro-RO"/>
        </w:rPr>
        <w:t xml:space="preserve"> din data de </w:t>
      </w:r>
      <w:r w:rsidR="00552323" w:rsidRPr="00201A68">
        <w:rPr>
          <w:rFonts w:ascii="Times New Roman" w:hAnsi="Times New Roman"/>
          <w:sz w:val="25"/>
          <w:szCs w:val="25"/>
          <w:lang w:val="ro-RO"/>
        </w:rPr>
        <w:t>17.05</w:t>
      </w:r>
      <w:r w:rsidR="00587691" w:rsidRPr="00201A68">
        <w:rPr>
          <w:rFonts w:ascii="Times New Roman" w:hAnsi="Times New Roman"/>
          <w:sz w:val="25"/>
          <w:szCs w:val="25"/>
          <w:lang w:val="ro-RO"/>
        </w:rPr>
        <w:t xml:space="preserve">.2023, </w:t>
      </w:r>
      <w:r w:rsidR="005F7DC8" w:rsidRPr="00201A68">
        <w:rPr>
          <w:rFonts w:ascii="Times New Roman" w:hAnsi="Times New Roman"/>
          <w:sz w:val="25"/>
          <w:szCs w:val="25"/>
          <w:lang w:val="ro-RO"/>
        </w:rPr>
        <w:t xml:space="preserve">22.05.2023, </w:t>
      </w:r>
      <w:r w:rsidR="00D70E4F" w:rsidRPr="00201A68">
        <w:rPr>
          <w:rFonts w:ascii="Times New Roman" w:hAnsi="Times New Roman"/>
          <w:sz w:val="25"/>
          <w:szCs w:val="25"/>
          <w:lang w:val="ro-RO"/>
        </w:rPr>
        <w:t>04</w:t>
      </w:r>
      <w:r w:rsidR="005F7DC8" w:rsidRPr="00201A68">
        <w:rPr>
          <w:rFonts w:ascii="Times New Roman" w:hAnsi="Times New Roman"/>
          <w:sz w:val="25"/>
          <w:szCs w:val="25"/>
          <w:lang w:val="ro-RO"/>
        </w:rPr>
        <w:t>.</w:t>
      </w:r>
      <w:r w:rsidR="00D70E4F" w:rsidRPr="00201A68">
        <w:rPr>
          <w:rFonts w:ascii="Times New Roman" w:hAnsi="Times New Roman"/>
          <w:sz w:val="25"/>
          <w:szCs w:val="25"/>
          <w:lang w:val="ro-RO"/>
        </w:rPr>
        <w:t>12</w:t>
      </w:r>
      <w:r w:rsidR="00587691" w:rsidRPr="00201A68">
        <w:rPr>
          <w:rFonts w:ascii="Times New Roman" w:hAnsi="Times New Roman"/>
          <w:sz w:val="25"/>
          <w:szCs w:val="25"/>
          <w:lang w:val="ro-RO"/>
        </w:rPr>
        <w:t>.2023</w:t>
      </w:r>
      <w:r w:rsidRPr="00201A68">
        <w:rPr>
          <w:rFonts w:ascii="Times New Roman" w:hAnsi="Times New Roman"/>
          <w:sz w:val="25"/>
          <w:szCs w:val="25"/>
          <w:lang w:val="ro-RO"/>
        </w:rPr>
        <w:t xml:space="preserve"> respectiv pe pagina de web a APM Harghita), nu s-au înregistrat la A.P.M. Harghita comentarii şi propuneri din partea publicului.</w:t>
      </w:r>
      <w:r w:rsidR="00CB19A5" w:rsidRPr="00201A68">
        <w:rPr>
          <w:rFonts w:ascii="Times New Roman" w:hAnsi="Times New Roman"/>
          <w:sz w:val="25"/>
          <w:szCs w:val="25"/>
          <w:lang w:val="ro-RO"/>
        </w:rPr>
        <w:t xml:space="preserve"> </w:t>
      </w:r>
    </w:p>
    <w:p w:rsidR="00970113" w:rsidRPr="00201A68" w:rsidRDefault="00970113" w:rsidP="00BD0251">
      <w:pPr>
        <w:autoSpaceDE w:val="0"/>
        <w:autoSpaceDN w:val="0"/>
        <w:adjustRightInd w:val="0"/>
        <w:spacing w:after="0" w:line="240" w:lineRule="auto"/>
        <w:ind w:firstLine="720"/>
        <w:jc w:val="both"/>
        <w:rPr>
          <w:rFonts w:ascii="Times New Roman" w:hAnsi="Times New Roman"/>
          <w:sz w:val="25"/>
          <w:szCs w:val="25"/>
          <w:lang w:val="ro-RO"/>
        </w:rPr>
      </w:pPr>
      <w:r w:rsidRPr="00201A68">
        <w:rPr>
          <w:rFonts w:ascii="Times New Roman" w:hAnsi="Times New Roman"/>
          <w:sz w:val="25"/>
          <w:szCs w:val="25"/>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201A68">
        <w:rPr>
          <w:rFonts w:ascii="Times New Roman" w:hAnsi="Times New Roman"/>
          <w:i/>
          <w:sz w:val="25"/>
          <w:szCs w:val="25"/>
          <w:lang w:val="ro-RO"/>
        </w:rPr>
        <w:t xml:space="preserve"> </w:t>
      </w:r>
      <w:r w:rsidR="00BE155C" w:rsidRPr="00201A68">
        <w:rPr>
          <w:rFonts w:ascii="Times New Roman" w:hAnsi="Times New Roman"/>
          <w:sz w:val="25"/>
          <w:szCs w:val="25"/>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46747F" w:rsidRPr="00201A68" w:rsidRDefault="00970113" w:rsidP="00201A68">
      <w:pPr>
        <w:autoSpaceDE w:val="0"/>
        <w:autoSpaceDN w:val="0"/>
        <w:adjustRightInd w:val="0"/>
        <w:spacing w:after="0" w:line="240" w:lineRule="auto"/>
        <w:ind w:firstLine="720"/>
        <w:jc w:val="both"/>
        <w:rPr>
          <w:rFonts w:ascii="Times New Roman" w:hAnsi="Times New Roman"/>
          <w:sz w:val="25"/>
          <w:szCs w:val="25"/>
          <w:lang w:val="ro-RO"/>
        </w:rPr>
      </w:pPr>
      <w:r w:rsidRPr="00201A68">
        <w:rPr>
          <w:rFonts w:ascii="Times New Roman" w:hAnsi="Times New Roman"/>
          <w:sz w:val="25"/>
          <w:szCs w:val="25"/>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D0251" w:rsidRPr="00201A68" w:rsidRDefault="00970113" w:rsidP="00490561">
      <w:pPr>
        <w:autoSpaceDE w:val="0"/>
        <w:autoSpaceDN w:val="0"/>
        <w:adjustRightInd w:val="0"/>
        <w:spacing w:after="0" w:line="240" w:lineRule="auto"/>
        <w:ind w:firstLine="720"/>
        <w:jc w:val="both"/>
        <w:rPr>
          <w:rFonts w:ascii="Times New Roman" w:hAnsi="Times New Roman"/>
          <w:color w:val="000000"/>
          <w:sz w:val="25"/>
          <w:szCs w:val="25"/>
          <w:lang w:val="ro-RO"/>
        </w:rPr>
      </w:pPr>
      <w:r w:rsidRPr="00201A68">
        <w:rPr>
          <w:rFonts w:ascii="Times New Roman" w:hAnsi="Times New Roman"/>
          <w:color w:val="000000"/>
          <w:sz w:val="25"/>
          <w:szCs w:val="25"/>
          <w:lang w:val="ro-RO"/>
        </w:rPr>
        <w:t xml:space="preserve">Prezenta decizie poate fi contestată în conformitate cu prevederile </w:t>
      </w:r>
      <w:r w:rsidRPr="00201A68">
        <w:rPr>
          <w:rFonts w:ascii="Times New Roman" w:hAnsi="Times New Roman"/>
          <w:b/>
          <w:color w:val="000000"/>
          <w:sz w:val="25"/>
          <w:szCs w:val="25"/>
          <w:lang w:val="ro-RO"/>
        </w:rPr>
        <w:t>Legii contenciosului administrativ nr. 554/2004</w:t>
      </w:r>
      <w:r w:rsidRPr="00201A68">
        <w:rPr>
          <w:rFonts w:ascii="Times New Roman" w:hAnsi="Times New Roman"/>
          <w:color w:val="000000"/>
          <w:sz w:val="25"/>
          <w:szCs w:val="25"/>
          <w:lang w:val="ro-RO"/>
        </w:rPr>
        <w:t xml:space="preserve"> cu modificările şi completările ulterioare.  </w:t>
      </w:r>
    </w:p>
    <w:p w:rsidR="008111F5" w:rsidRPr="00201A68" w:rsidRDefault="00970113" w:rsidP="0068737E">
      <w:pPr>
        <w:spacing w:after="0" w:line="240" w:lineRule="auto"/>
        <w:jc w:val="both"/>
        <w:rPr>
          <w:rFonts w:ascii="Times New Roman" w:hAnsi="Times New Roman"/>
          <w:b/>
          <w:sz w:val="25"/>
          <w:szCs w:val="25"/>
          <w:lang w:val="ro-RO"/>
        </w:rPr>
      </w:pPr>
      <w:r w:rsidRPr="00201A68">
        <w:rPr>
          <w:rFonts w:ascii="Times New Roman" w:hAnsi="Times New Roman"/>
          <w:b/>
          <w:sz w:val="25"/>
          <w:szCs w:val="25"/>
          <w:lang w:val="ro-RO"/>
        </w:rPr>
        <w:t>Proce</w:t>
      </w:r>
      <w:r w:rsidR="0068737E" w:rsidRPr="00201A68">
        <w:rPr>
          <w:rFonts w:ascii="Times New Roman" w:hAnsi="Times New Roman"/>
          <w:b/>
          <w:sz w:val="25"/>
          <w:szCs w:val="25"/>
          <w:lang w:val="ro-RO"/>
        </w:rPr>
        <w:t xml:space="preserve">dura administrativă prealabilă: </w:t>
      </w:r>
      <w:r w:rsidRPr="00201A68">
        <w:rPr>
          <w:rFonts w:ascii="Times New Roman" w:hAnsi="Times New Roman"/>
          <w:sz w:val="25"/>
          <w:szCs w:val="25"/>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201A68" w:rsidRDefault="00970113" w:rsidP="0068737E">
      <w:pPr>
        <w:spacing w:after="0" w:line="240" w:lineRule="auto"/>
        <w:jc w:val="both"/>
        <w:rPr>
          <w:rFonts w:ascii="Times New Roman" w:hAnsi="Times New Roman"/>
          <w:b/>
          <w:sz w:val="25"/>
          <w:szCs w:val="25"/>
          <w:lang w:val="ro-RO"/>
        </w:rPr>
      </w:pPr>
      <w:r w:rsidRPr="00201A68">
        <w:rPr>
          <w:rFonts w:ascii="Times New Roman" w:hAnsi="Times New Roman"/>
          <w:b/>
          <w:sz w:val="25"/>
          <w:szCs w:val="25"/>
          <w:lang w:val="ro-RO"/>
        </w:rPr>
        <w:t>Soluţionarea litigiilor:</w:t>
      </w:r>
      <w:r w:rsidR="0068737E" w:rsidRPr="00201A68">
        <w:rPr>
          <w:rFonts w:ascii="Times New Roman" w:hAnsi="Times New Roman"/>
          <w:b/>
          <w:sz w:val="25"/>
          <w:szCs w:val="25"/>
          <w:lang w:val="ro-RO"/>
        </w:rPr>
        <w:t xml:space="preserve"> </w:t>
      </w:r>
      <w:r w:rsidRPr="00201A68">
        <w:rPr>
          <w:rFonts w:ascii="Times New Roman" w:hAnsi="Times New Roman"/>
          <w:sz w:val="25"/>
          <w:szCs w:val="25"/>
          <w:lang w:val="ro-RO"/>
        </w:rPr>
        <w:t>Conform prevederilor art. 18 din O.U.G. nr. 195/2005 aprobată de Legea nr.265/2006, litigiile generate de emiterea prezentei decizii se soluţionează de</w:t>
      </w:r>
      <w:r w:rsidRPr="00201A68">
        <w:rPr>
          <w:rFonts w:ascii="Times New Roman" w:hAnsi="Times New Roman"/>
          <w:color w:val="FF0000"/>
          <w:sz w:val="25"/>
          <w:szCs w:val="25"/>
          <w:lang w:val="ro-RO"/>
        </w:rPr>
        <w:t xml:space="preserve"> </w:t>
      </w:r>
      <w:r w:rsidRPr="00201A68">
        <w:rPr>
          <w:rFonts w:ascii="Times New Roman" w:hAnsi="Times New Roman"/>
          <w:sz w:val="25"/>
          <w:szCs w:val="25"/>
          <w:lang w:val="ro-RO"/>
        </w:rPr>
        <w:t>instanţa de contencios administrativ competentă a Tribunalului Harghita. Cererea în acest sens se poate depune în termen de 6 luni de la data primirii răspunsului în urma parcurgerii procedurii prealabile</w:t>
      </w:r>
      <w:r w:rsidR="00201A68" w:rsidRPr="00201A68">
        <w:rPr>
          <w:rFonts w:ascii="Times New Roman" w:hAnsi="Times New Roman"/>
          <w:sz w:val="25"/>
          <w:szCs w:val="25"/>
          <w:lang w:val="ro-RO"/>
        </w:rPr>
        <w:t>.</w:t>
      </w: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DE1333"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9832B1" w:rsidRDefault="009832B1" w:rsidP="004260FD">
      <w:pPr>
        <w:spacing w:after="0" w:line="240" w:lineRule="auto"/>
        <w:rPr>
          <w:rFonts w:ascii="Times New Roman" w:hAnsi="Times New Roman"/>
          <w:sz w:val="26"/>
          <w:szCs w:val="26"/>
          <w:lang w:val="ro-RO"/>
        </w:rPr>
      </w:pPr>
    </w:p>
    <w:p w:rsidR="00201A68" w:rsidRDefault="00201A68" w:rsidP="004260FD">
      <w:pPr>
        <w:spacing w:after="0" w:line="240" w:lineRule="auto"/>
        <w:rPr>
          <w:rFonts w:ascii="Times New Roman" w:hAnsi="Times New Roman"/>
          <w:sz w:val="26"/>
          <w:szCs w:val="26"/>
          <w:lang w:val="ro-RO"/>
        </w:rPr>
      </w:pPr>
    </w:p>
    <w:p w:rsidR="00201A68" w:rsidRPr="00A20B14" w:rsidRDefault="00201A68"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9832B1" w:rsidRPr="00201A68" w:rsidRDefault="00970113" w:rsidP="00CC0572">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C5" w:rsidRDefault="00AD20C5" w:rsidP="0010560A">
      <w:pPr>
        <w:spacing w:after="0" w:line="240" w:lineRule="auto"/>
      </w:pPr>
      <w:r>
        <w:separator/>
      </w:r>
    </w:p>
  </w:endnote>
  <w:endnote w:type="continuationSeparator" w:id="0">
    <w:p w:rsidR="00AD20C5" w:rsidRDefault="00AD20C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01A68" w:rsidRPr="00201A68">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01A68" w:rsidRPr="00201A68">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AD20C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3378919"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C5" w:rsidRDefault="00AD20C5" w:rsidP="0010560A">
      <w:pPr>
        <w:spacing w:after="0" w:line="240" w:lineRule="auto"/>
      </w:pPr>
      <w:r>
        <w:separator/>
      </w:r>
    </w:p>
  </w:footnote>
  <w:footnote w:type="continuationSeparator" w:id="0">
    <w:p w:rsidR="00AD20C5" w:rsidRDefault="00AD20C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E0730"/>
    <w:multiLevelType w:val="hybridMultilevel"/>
    <w:tmpl w:val="D34EED86"/>
    <w:lvl w:ilvl="0" w:tplc="D91CAB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5F41A8D"/>
    <w:multiLevelType w:val="hybridMultilevel"/>
    <w:tmpl w:val="CB1EDAC0"/>
    <w:lvl w:ilvl="0" w:tplc="CEA2A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8"/>
  </w:num>
  <w:num w:numId="3">
    <w:abstractNumId w:val="19"/>
  </w:num>
  <w:num w:numId="4">
    <w:abstractNumId w:val="32"/>
  </w:num>
  <w:num w:numId="5">
    <w:abstractNumId w:val="29"/>
  </w:num>
  <w:num w:numId="6">
    <w:abstractNumId w:val="34"/>
  </w:num>
  <w:num w:numId="7">
    <w:abstractNumId w:val="13"/>
  </w:num>
  <w:num w:numId="8">
    <w:abstractNumId w:val="39"/>
  </w:num>
  <w:num w:numId="9">
    <w:abstractNumId w:val="26"/>
  </w:num>
  <w:num w:numId="10">
    <w:abstractNumId w:val="1"/>
  </w:num>
  <w:num w:numId="11">
    <w:abstractNumId w:val="9"/>
  </w:num>
  <w:num w:numId="12">
    <w:abstractNumId w:val="12"/>
  </w:num>
  <w:num w:numId="13">
    <w:abstractNumId w:val="31"/>
  </w:num>
  <w:num w:numId="14">
    <w:abstractNumId w:val="27"/>
  </w:num>
  <w:num w:numId="15">
    <w:abstractNumId w:val="16"/>
  </w:num>
  <w:num w:numId="16">
    <w:abstractNumId w:val="15"/>
  </w:num>
  <w:num w:numId="17">
    <w:abstractNumId w:val="14"/>
  </w:num>
  <w:num w:numId="18">
    <w:abstractNumId w:val="0"/>
  </w:num>
  <w:num w:numId="19">
    <w:abstractNumId w:val="22"/>
  </w:num>
  <w:num w:numId="20">
    <w:abstractNumId w:val="5"/>
  </w:num>
  <w:num w:numId="21">
    <w:abstractNumId w:val="25"/>
  </w:num>
  <w:num w:numId="22">
    <w:abstractNumId w:val="36"/>
  </w:num>
  <w:num w:numId="23">
    <w:abstractNumId w:val="24"/>
  </w:num>
  <w:num w:numId="24">
    <w:abstractNumId w:val="20"/>
  </w:num>
  <w:num w:numId="25">
    <w:abstractNumId w:val="17"/>
  </w:num>
  <w:num w:numId="26">
    <w:abstractNumId w:val="2"/>
  </w:num>
  <w:num w:numId="27">
    <w:abstractNumId w:val="35"/>
  </w:num>
  <w:num w:numId="28">
    <w:abstractNumId w:val="28"/>
  </w:num>
  <w:num w:numId="29">
    <w:abstractNumId w:val="30"/>
  </w:num>
  <w:num w:numId="30">
    <w:abstractNumId w:val="33"/>
  </w:num>
  <w:num w:numId="31">
    <w:abstractNumId w:val="4"/>
  </w:num>
  <w:num w:numId="32">
    <w:abstractNumId w:val="11"/>
  </w:num>
  <w:num w:numId="33">
    <w:abstractNumId w:val="10"/>
  </w:num>
  <w:num w:numId="34">
    <w:abstractNumId w:val="3"/>
  </w:num>
  <w:num w:numId="35">
    <w:abstractNumId w:val="38"/>
  </w:num>
  <w:num w:numId="36">
    <w:abstractNumId w:val="6"/>
  </w:num>
  <w:num w:numId="37">
    <w:abstractNumId w:val="7"/>
  </w:num>
  <w:num w:numId="38">
    <w:abstractNumId w:val="21"/>
  </w:num>
  <w:num w:numId="39">
    <w:abstractNumId w:val="37"/>
  </w:num>
  <w:num w:numId="4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1A68"/>
    <w:rsid w:val="00206333"/>
    <w:rsid w:val="002065CE"/>
    <w:rsid w:val="002114F3"/>
    <w:rsid w:val="00211649"/>
    <w:rsid w:val="00212A94"/>
    <w:rsid w:val="002140B6"/>
    <w:rsid w:val="00214B46"/>
    <w:rsid w:val="00217268"/>
    <w:rsid w:val="002176F5"/>
    <w:rsid w:val="00220B39"/>
    <w:rsid w:val="0022203B"/>
    <w:rsid w:val="00227D58"/>
    <w:rsid w:val="00231E84"/>
    <w:rsid w:val="00232324"/>
    <w:rsid w:val="00235DF6"/>
    <w:rsid w:val="002367AC"/>
    <w:rsid w:val="002422BB"/>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4DE6"/>
    <w:rsid w:val="00335886"/>
    <w:rsid w:val="0033682D"/>
    <w:rsid w:val="003404FC"/>
    <w:rsid w:val="00347395"/>
    <w:rsid w:val="00347E1A"/>
    <w:rsid w:val="00347EC0"/>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2CB9"/>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163"/>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5B63"/>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1CDC"/>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2AE2"/>
    <w:rsid w:val="007A3CCF"/>
    <w:rsid w:val="007A4AB0"/>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15DB"/>
    <w:rsid w:val="008831BD"/>
    <w:rsid w:val="00884CE1"/>
    <w:rsid w:val="008913EF"/>
    <w:rsid w:val="00894587"/>
    <w:rsid w:val="00895F10"/>
    <w:rsid w:val="008961A9"/>
    <w:rsid w:val="008966E8"/>
    <w:rsid w:val="0089789D"/>
    <w:rsid w:val="008A13F0"/>
    <w:rsid w:val="008A1902"/>
    <w:rsid w:val="008A4246"/>
    <w:rsid w:val="008A4AF9"/>
    <w:rsid w:val="008A4DA4"/>
    <w:rsid w:val="008A6AD0"/>
    <w:rsid w:val="008B3938"/>
    <w:rsid w:val="008B52E1"/>
    <w:rsid w:val="008B7C50"/>
    <w:rsid w:val="008C51B2"/>
    <w:rsid w:val="008C62DA"/>
    <w:rsid w:val="008D1150"/>
    <w:rsid w:val="008D27D5"/>
    <w:rsid w:val="008D28D4"/>
    <w:rsid w:val="008D7863"/>
    <w:rsid w:val="008E7FE6"/>
    <w:rsid w:val="008F25B0"/>
    <w:rsid w:val="008F42CE"/>
    <w:rsid w:val="008F7960"/>
    <w:rsid w:val="009020E5"/>
    <w:rsid w:val="009064A4"/>
    <w:rsid w:val="00907186"/>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50EF"/>
    <w:rsid w:val="009E771B"/>
    <w:rsid w:val="009F007E"/>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2585"/>
    <w:rsid w:val="00A9333B"/>
    <w:rsid w:val="00A933B6"/>
    <w:rsid w:val="00A95481"/>
    <w:rsid w:val="00A9649E"/>
    <w:rsid w:val="00A96D60"/>
    <w:rsid w:val="00AA2914"/>
    <w:rsid w:val="00AB2D7C"/>
    <w:rsid w:val="00AB47D2"/>
    <w:rsid w:val="00AC39FA"/>
    <w:rsid w:val="00AC6B87"/>
    <w:rsid w:val="00AC7D11"/>
    <w:rsid w:val="00AD0AAC"/>
    <w:rsid w:val="00AD1C4E"/>
    <w:rsid w:val="00AD20C5"/>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1FDD"/>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39AD"/>
    <w:rsid w:val="00D072EB"/>
    <w:rsid w:val="00D10DDD"/>
    <w:rsid w:val="00D119DE"/>
    <w:rsid w:val="00D138D6"/>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0E4F"/>
    <w:rsid w:val="00D75BA5"/>
    <w:rsid w:val="00D82079"/>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56E2777D"/>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 w:type="character" w:styleId="Emphasis">
    <w:name w:val="Emphasis"/>
    <w:basedOn w:val="DefaultParagraphFont"/>
    <w:uiPriority w:val="20"/>
    <w:qFormat/>
    <w:rsid w:val="00D820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380A-81FD-4168-A1F7-D1A76251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7</cp:revision>
  <cp:lastPrinted>2023-12-05T10:22:00Z</cp:lastPrinted>
  <dcterms:created xsi:type="dcterms:W3CDTF">2023-12-06T11:35:00Z</dcterms:created>
  <dcterms:modified xsi:type="dcterms:W3CDTF">2023-12-06T12:41:00Z</dcterms:modified>
</cp:coreProperties>
</file>