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B7" w:rsidRDefault="0077410E"/>
    <w:p w:rsidR="009C54A0" w:rsidRDefault="009C54A0"/>
    <w:p w:rsidR="009C54A0" w:rsidRDefault="009C54A0" w:rsidP="009C54A0">
      <w:pPr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Agen</w:t>
      </w:r>
      <w:r>
        <w:rPr>
          <w:rFonts w:ascii="Cambria Math" w:hAnsi="Cambria Math" w:cs="Cambria Math"/>
          <w:color w:val="000000"/>
          <w:sz w:val="24"/>
          <w:szCs w:val="24"/>
          <w:lang w:val="ro-RO"/>
        </w:rPr>
        <w:t>ț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ia Na</w:t>
      </w:r>
      <w:r>
        <w:rPr>
          <w:rFonts w:ascii="Cambria Math" w:hAnsi="Cambria Math" w:cs="Cambria Math"/>
          <w:color w:val="000000"/>
          <w:sz w:val="24"/>
          <w:szCs w:val="24"/>
          <w:lang w:val="ro-RO"/>
        </w:rPr>
        <w:t>ț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ională pentru Protec</w:t>
      </w:r>
      <w:r>
        <w:rPr>
          <w:rFonts w:ascii="Cambria Math" w:hAnsi="Cambria Math" w:cs="Cambria Math"/>
          <w:color w:val="000000"/>
          <w:sz w:val="24"/>
          <w:szCs w:val="24"/>
          <w:lang w:val="ro-RO"/>
        </w:rPr>
        <w:t>ț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ia Mediului anun</w:t>
      </w:r>
      <w:r>
        <w:rPr>
          <w:rFonts w:ascii="Cambria Math" w:hAnsi="Cambria Math" w:cs="Cambria Math"/>
          <w:color w:val="000000"/>
          <w:sz w:val="24"/>
          <w:szCs w:val="24"/>
          <w:lang w:val="ro-RO"/>
        </w:rPr>
        <w:t>ț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ă deschiderea sesiunii 2/2016 privind atribuirea în custodie a ariilor naturale protejate.</w:t>
      </w:r>
    </w:p>
    <w:p w:rsidR="009C54A0" w:rsidRDefault="009C54A0" w:rsidP="009C54A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lista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ariilor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naturale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protejate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atribui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aceast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sesiune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precum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detalii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sesiunii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postate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sediul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ANPM,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precum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institutiei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http://www.anpm.ro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C54A0" w:rsidRDefault="009C54A0"/>
    <w:p w:rsidR="005F4488" w:rsidRDefault="005F4488"/>
    <w:p w:rsidR="005F4488" w:rsidRDefault="005F4488" w:rsidP="005F4488">
      <w:pPr>
        <w:pStyle w:val="NormalWeb"/>
        <w:jc w:val="center"/>
      </w:pPr>
      <w:r>
        <w:rPr>
          <w:rStyle w:val="Strong"/>
        </w:rPr>
        <w:t>ANUN</w:t>
      </w:r>
      <w:r>
        <w:rPr>
          <w:rStyle w:val="Strong"/>
          <w:rFonts w:ascii="Cambria Math" w:hAnsi="Cambria Math" w:cs="Cambria Math"/>
        </w:rPr>
        <w:t>Ț</w:t>
      </w:r>
      <w:r>
        <w:rPr>
          <w:rStyle w:val="Strong"/>
        </w:rPr>
        <w:t xml:space="preserve"> </w:t>
      </w:r>
    </w:p>
    <w:p w:rsidR="005F4488" w:rsidRDefault="005F4488" w:rsidP="005F4488">
      <w:pPr>
        <w:pStyle w:val="NormalWeb"/>
        <w:jc w:val="center"/>
      </w:pPr>
      <w:proofErr w:type="spellStart"/>
      <w:proofErr w:type="gramStart"/>
      <w:r>
        <w:rPr>
          <w:rStyle w:val="Strong"/>
        </w:rPr>
        <w:t>privind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deschiderea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sesiunii</w:t>
      </w:r>
      <w:proofErr w:type="spellEnd"/>
      <w:r>
        <w:rPr>
          <w:rStyle w:val="Strong"/>
        </w:rPr>
        <w:t xml:space="preserve"> 2/2016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atribuirea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custodie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ariilor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naturale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protejate</w:t>
      </w:r>
      <w:proofErr w:type="spellEnd"/>
      <w:r>
        <w:rPr>
          <w:rStyle w:val="Strong"/>
        </w:rPr>
        <w:t>.</w:t>
      </w:r>
    </w:p>
    <w:p w:rsidR="005F4488" w:rsidRDefault="005F4488" w:rsidP="005F4488">
      <w:pPr>
        <w:pStyle w:val="NormalWeb"/>
      </w:pPr>
      <w:proofErr w:type="spellStart"/>
      <w:r>
        <w:t>Agen</w:t>
      </w:r>
      <w:r>
        <w:rPr>
          <w:rFonts w:ascii="Cambria Math" w:hAnsi="Cambria Math" w:cs="Cambria Math"/>
        </w:rPr>
        <w:t>ț</w:t>
      </w:r>
      <w:r>
        <w:t>ia</w:t>
      </w:r>
      <w:proofErr w:type="spellEnd"/>
      <w:r>
        <w:t xml:space="preserve"> </w:t>
      </w:r>
      <w:proofErr w:type="spellStart"/>
      <w:r>
        <w:t>Na</w:t>
      </w:r>
      <w:r>
        <w:rPr>
          <w:rFonts w:ascii="Cambria Math" w:hAnsi="Cambria Math" w:cs="Cambria Math"/>
        </w:rPr>
        <w:t>ț</w:t>
      </w:r>
      <w:r>
        <w:t>ională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</w:t>
      </w:r>
      <w:r>
        <w:rPr>
          <w:rFonts w:ascii="Cambria Math" w:hAnsi="Cambria Math" w:cs="Cambria Math"/>
        </w:rPr>
        <w:t>ț</w:t>
      </w:r>
      <w:r>
        <w:t>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anun</w:t>
      </w:r>
      <w:r>
        <w:rPr>
          <w:rFonts w:ascii="Cambria Math" w:hAnsi="Cambria Math" w:cs="Cambria Math"/>
        </w:rPr>
        <w:t>ț</w:t>
      </w:r>
      <w:r>
        <w:t>ă</w:t>
      </w:r>
      <w:proofErr w:type="spellEnd"/>
      <w:r>
        <w:t xml:space="preserve">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2/2016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custodie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ariilor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>.</w:t>
      </w:r>
    </w:p>
    <w:p w:rsidR="005F4488" w:rsidRDefault="005F4488" w:rsidP="005F4488">
      <w:pPr>
        <w:pStyle w:val="NormalWeb"/>
      </w:pP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atribuirii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custodie</w:t>
      </w:r>
      <w:proofErr w:type="spellEnd"/>
      <w:r>
        <w:t xml:space="preserve"> a </w:t>
      </w:r>
      <w:proofErr w:type="spellStart"/>
      <w:r>
        <w:t>ariilor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,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pot </w:t>
      </w:r>
      <w:proofErr w:type="spellStart"/>
      <w:r>
        <w:t>depune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dosar</w:t>
      </w:r>
      <w:proofErr w:type="spellEnd"/>
      <w:r>
        <w:t xml:space="preserve"> de </w:t>
      </w:r>
      <w:proofErr w:type="spellStart"/>
      <w:r>
        <w:t>candidatură</w:t>
      </w:r>
      <w:proofErr w:type="spellEnd"/>
      <w:r>
        <w:t xml:space="preserve">, </w:t>
      </w:r>
      <w:proofErr w:type="spellStart"/>
      <w:r>
        <w:rPr>
          <w:rStyle w:val="Strong"/>
          <w:u w:val="single"/>
        </w:rPr>
        <w:t>atât</w:t>
      </w:r>
      <w:proofErr w:type="spellEnd"/>
      <w:r>
        <w:rPr>
          <w:u w:val="single"/>
        </w:rPr>
        <w:t xml:space="preserve"> </w:t>
      </w:r>
      <w:proofErr w:type="spellStart"/>
      <w:r>
        <w:rPr>
          <w:rStyle w:val="Strong"/>
          <w:u w:val="single"/>
        </w:rPr>
        <w:t>în</w:t>
      </w:r>
      <w:proofErr w:type="spellEnd"/>
      <w:r>
        <w:rPr>
          <w:rStyle w:val="Strong"/>
          <w:u w:val="single"/>
        </w:rPr>
        <w:t xml:space="preserve"> format </w:t>
      </w:r>
      <w:proofErr w:type="spellStart"/>
      <w:r>
        <w:rPr>
          <w:rStyle w:val="Strong"/>
          <w:u w:val="single"/>
        </w:rPr>
        <w:t>hârtie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cât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şi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suport</w:t>
      </w:r>
      <w:proofErr w:type="spellEnd"/>
      <w:r>
        <w:rPr>
          <w:rStyle w:val="Strong"/>
          <w:u w:val="single"/>
        </w:rPr>
        <w:t xml:space="preserve"> electronic,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poziţie</w:t>
      </w:r>
      <w:proofErr w:type="spellEnd"/>
      <w:r>
        <w:t xml:space="preserve"> din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arii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afişate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art. 29 din </w:t>
      </w:r>
      <w:proofErr w:type="spellStart"/>
      <w:r>
        <w:t>Anexa</w:t>
      </w:r>
      <w:proofErr w:type="spellEnd"/>
      <w:r>
        <w:t xml:space="preserve"> la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rPr>
          <w:rFonts w:ascii="Cambria Math" w:hAnsi="Cambria Math" w:cs="Cambria Math"/>
        </w:rPr>
        <w:t>ș</w:t>
      </w:r>
      <w:r>
        <w:t>i</w:t>
      </w:r>
      <w:proofErr w:type="spellEnd"/>
      <w:r>
        <w:t xml:space="preserve"> </w:t>
      </w:r>
      <w:proofErr w:type="spellStart"/>
      <w:r>
        <w:t>schimbărilor</w:t>
      </w:r>
      <w:proofErr w:type="spellEnd"/>
      <w:r>
        <w:t xml:space="preserve"> </w:t>
      </w:r>
      <w:proofErr w:type="spellStart"/>
      <w:r>
        <w:t>climatice</w:t>
      </w:r>
      <w:proofErr w:type="spellEnd"/>
      <w:r>
        <w:t xml:space="preserve"> nr. 1052/2014 </w:t>
      </w:r>
      <w:proofErr w:type="spellStart"/>
      <w:r>
        <w:rPr>
          <w:rStyle w:val="Emphasis"/>
        </w:rPr>
        <w:t>privind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aprobarea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Metodologiei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atribuire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în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administrare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şi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custodie</w:t>
      </w:r>
      <w:proofErr w:type="spellEnd"/>
      <w:r>
        <w:rPr>
          <w:rStyle w:val="Emphasis"/>
        </w:rPr>
        <w:t xml:space="preserve"> </w:t>
      </w:r>
      <w:proofErr w:type="gramStart"/>
      <w:r>
        <w:rPr>
          <w:rStyle w:val="Emphasis"/>
        </w:rPr>
        <w:t>a</w:t>
      </w:r>
      <w:proofErr w:type="gram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ariilor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naturale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protejate</w:t>
      </w:r>
      <w:proofErr w:type="spellEnd"/>
      <w:r>
        <w:rPr>
          <w:rStyle w:val="Emphasis"/>
        </w:rPr>
        <w:t>,</w:t>
      </w:r>
      <w:r>
        <w:t xml:space="preserve"> </w:t>
      </w:r>
      <w:r>
        <w:rPr>
          <w:rStyle w:val="Emphasis"/>
        </w:rPr>
        <w:t xml:space="preserve">cu </w:t>
      </w:r>
      <w:proofErr w:type="spellStart"/>
      <w:r>
        <w:rPr>
          <w:rStyle w:val="Emphasis"/>
        </w:rPr>
        <w:t>modificările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Cambria Math" w:hAnsi="Cambria Math" w:cs="Cambria Math"/>
        </w:rPr>
        <w:t>ș</w:t>
      </w:r>
      <w:r>
        <w:rPr>
          <w:rStyle w:val="Emphasis"/>
        </w:rPr>
        <w:t>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completările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ulterioare</w:t>
      </w:r>
      <w:proofErr w:type="spellEnd"/>
      <w:r>
        <w:rPr>
          <w:rStyle w:val="Emphasis"/>
        </w:rPr>
        <w:t>.</w:t>
      </w:r>
    </w:p>
    <w:p w:rsidR="005F4488" w:rsidRDefault="005F4488" w:rsidP="005F4488">
      <w:pPr>
        <w:pStyle w:val="NormalWeb"/>
      </w:pPr>
      <w:proofErr w:type="spellStart"/>
      <w:r>
        <w:t>Etapele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custodie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5F4488" w:rsidRDefault="005F4488" w:rsidP="005F4488">
      <w:pPr>
        <w:pStyle w:val="NormalWeb"/>
      </w:pPr>
      <w:r>
        <w:rPr>
          <w:rStyle w:val="Strong"/>
        </w:rPr>
        <w:t>a)</w:t>
      </w:r>
      <w:proofErr w:type="spellStart"/>
      <w:r>
        <w:t>afişarea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de internet a </w:t>
      </w:r>
      <w:proofErr w:type="spellStart"/>
      <w:r>
        <w:t>anunţului</w:t>
      </w:r>
      <w:proofErr w:type="spellEnd"/>
      <w:r>
        <w:t xml:space="preserve"> de </w:t>
      </w:r>
      <w:proofErr w:type="spellStart"/>
      <w:r>
        <w:t>lansare</w:t>
      </w:r>
      <w:proofErr w:type="spellEnd"/>
      <w:r>
        <w:t xml:space="preserve"> a </w:t>
      </w:r>
      <w:proofErr w:type="spellStart"/>
      <w:r>
        <w:t>sesiunii</w:t>
      </w:r>
      <w:proofErr w:type="spellEnd"/>
      <w:r>
        <w:t xml:space="preserve"> </w:t>
      </w:r>
      <w:proofErr w:type="gramStart"/>
      <w:r>
        <w:t>de</w:t>
      </w:r>
      <w:proofErr w:type="gramEnd"/>
      <w:r>
        <w:t xml:space="preserve"> </w:t>
      </w:r>
      <w:proofErr w:type="spellStart"/>
      <w:r>
        <w:t>atribuire</w:t>
      </w:r>
      <w:proofErr w:type="spellEnd"/>
      <w:r>
        <w:t xml:space="preserve">, care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ariilor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care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custodie</w:t>
      </w:r>
      <w:proofErr w:type="spellEnd"/>
      <w:r>
        <w:t>;</w:t>
      </w:r>
    </w:p>
    <w:p w:rsidR="005F4488" w:rsidRDefault="005F4488" w:rsidP="005F4488">
      <w:pPr>
        <w:pStyle w:val="NormalWeb"/>
      </w:pPr>
      <w:r>
        <w:rPr>
          <w:rStyle w:val="Strong"/>
        </w:rPr>
        <w:t>b)</w:t>
      </w:r>
      <w:proofErr w:type="spellStart"/>
      <w:r>
        <w:t>depunerea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 de </w:t>
      </w:r>
      <w:proofErr w:type="spellStart"/>
      <w:r>
        <w:t>candidatură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</w:t>
      </w:r>
      <w:proofErr w:type="spellStart"/>
      <w:r>
        <w:t>hârtie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electronic,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data </w:t>
      </w:r>
      <w:proofErr w:type="spellStart"/>
      <w:r>
        <w:t>afişării</w:t>
      </w:r>
      <w:proofErr w:type="spellEnd"/>
      <w:r>
        <w:t xml:space="preserve"> </w:t>
      </w:r>
      <w:proofErr w:type="spellStart"/>
      <w:r>
        <w:t>anunţului</w:t>
      </w:r>
      <w:proofErr w:type="spellEnd"/>
      <w:r>
        <w:t xml:space="preserve"> de </w:t>
      </w:r>
      <w:proofErr w:type="spellStart"/>
      <w:r>
        <w:t>lansare</w:t>
      </w:r>
      <w:proofErr w:type="spellEnd"/>
      <w:r>
        <w:t xml:space="preserve"> a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;</w:t>
      </w:r>
    </w:p>
    <w:p w:rsidR="005F4488" w:rsidRDefault="005F4488" w:rsidP="005F4488">
      <w:pPr>
        <w:pStyle w:val="NormalWeb"/>
      </w:pPr>
      <w:r>
        <w:rPr>
          <w:rStyle w:val="Strong"/>
        </w:rPr>
        <w:t>c)</w:t>
      </w:r>
      <w:proofErr w:type="spellStart"/>
      <w:r>
        <w:t>transmiterea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responsabilă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 de </w:t>
      </w:r>
      <w:proofErr w:type="spellStart"/>
      <w:r>
        <w:t>candidatură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electronic,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>;</w:t>
      </w:r>
    </w:p>
    <w:p w:rsidR="005F4488" w:rsidRDefault="005F4488" w:rsidP="005F4488">
      <w:pPr>
        <w:pStyle w:val="NormalWeb"/>
      </w:pPr>
      <w:proofErr w:type="gramStart"/>
      <w:r>
        <w:rPr>
          <w:rStyle w:val="Strong"/>
        </w:rPr>
        <w:t>d)</w:t>
      </w:r>
      <w:proofErr w:type="spellStart"/>
      <w:proofErr w:type="gramEnd"/>
      <w:r>
        <w:t>întrunirea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de </w:t>
      </w:r>
      <w:proofErr w:type="spellStart"/>
      <w:r>
        <w:t>candidatură</w:t>
      </w:r>
      <w:proofErr w:type="spellEnd"/>
      <w:r>
        <w:t>;</w:t>
      </w:r>
    </w:p>
    <w:p w:rsidR="005F4488" w:rsidRDefault="005F4488" w:rsidP="005F4488">
      <w:pPr>
        <w:pStyle w:val="NormalWeb"/>
      </w:pPr>
      <w:proofErr w:type="gramStart"/>
      <w:r>
        <w:rPr>
          <w:rStyle w:val="Strong"/>
        </w:rPr>
        <w:t>e)</w:t>
      </w:r>
      <w:proofErr w:type="spellStart"/>
      <w:r>
        <w:t>întocmirea</w:t>
      </w:r>
      <w:proofErr w:type="spellEnd"/>
      <w:proofErr w:type="gramEnd"/>
      <w:r>
        <w:t xml:space="preserve"> </w:t>
      </w:r>
      <w:proofErr w:type="spellStart"/>
      <w:r>
        <w:t>raportului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conducătorul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a </w:t>
      </w:r>
      <w:proofErr w:type="spellStart"/>
      <w:r>
        <w:t>punctajelor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de </w:t>
      </w:r>
      <w:proofErr w:type="spellStart"/>
      <w:r>
        <w:t>candidatură</w:t>
      </w:r>
      <w:proofErr w:type="spellEnd"/>
      <w:r>
        <w:t>;</w:t>
      </w:r>
    </w:p>
    <w:p w:rsidR="005F4488" w:rsidRDefault="005F4488" w:rsidP="005F4488">
      <w:pPr>
        <w:pStyle w:val="NormalWeb"/>
      </w:pPr>
      <w:proofErr w:type="gramStart"/>
      <w:r>
        <w:rPr>
          <w:rStyle w:val="Strong"/>
        </w:rPr>
        <w:t>f)</w:t>
      </w:r>
      <w:proofErr w:type="spellStart"/>
      <w:r>
        <w:t>depunerea</w:t>
      </w:r>
      <w:proofErr w:type="spellEnd"/>
      <w:proofErr w:type="gram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a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custodie</w:t>
      </w:r>
      <w:proofErr w:type="spellEnd"/>
      <w:r>
        <w:t>;</w:t>
      </w:r>
    </w:p>
    <w:p w:rsidR="005F4488" w:rsidRDefault="005F4488" w:rsidP="005F4488">
      <w:pPr>
        <w:pStyle w:val="NormalWeb"/>
      </w:pPr>
      <w:proofErr w:type="gramStart"/>
      <w:r>
        <w:rPr>
          <w:rStyle w:val="Strong"/>
        </w:rPr>
        <w:t>g)</w:t>
      </w:r>
      <w:proofErr w:type="spellStart"/>
      <w:r>
        <w:t>întrunirea</w:t>
      </w:r>
      <w:proofErr w:type="spellEnd"/>
      <w:proofErr w:type="gram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contestaţii</w:t>
      </w:r>
      <w:proofErr w:type="spellEnd"/>
      <w:r>
        <w:t xml:space="preserve">, </w:t>
      </w:r>
      <w:proofErr w:type="spellStart"/>
      <w:r>
        <w:t>analizarea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contestaţiilor</w:t>
      </w:r>
      <w:proofErr w:type="spellEnd"/>
      <w:r>
        <w:t>;</w:t>
      </w:r>
    </w:p>
    <w:p w:rsidR="005F4488" w:rsidRDefault="005F4488" w:rsidP="005F4488">
      <w:pPr>
        <w:pStyle w:val="NormalWeb"/>
      </w:pPr>
      <w:proofErr w:type="gramStart"/>
      <w:r>
        <w:rPr>
          <w:rStyle w:val="Strong"/>
        </w:rPr>
        <w:t>h)</w:t>
      </w:r>
      <w:proofErr w:type="spellStart"/>
      <w:r>
        <w:t>întocmirea</w:t>
      </w:r>
      <w:proofErr w:type="spellEnd"/>
      <w:proofErr w:type="gramEnd"/>
      <w:r>
        <w:t xml:space="preserve"> </w:t>
      </w:r>
      <w:proofErr w:type="spellStart"/>
      <w:r>
        <w:t>raportului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contestaţii</w:t>
      </w:r>
      <w:proofErr w:type="spellEnd"/>
      <w:r>
        <w:t xml:space="preserve">,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conducătorul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a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de </w:t>
      </w:r>
      <w:proofErr w:type="spellStart"/>
      <w:r>
        <w:t>candidatură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s-au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contestaţii</w:t>
      </w:r>
      <w:proofErr w:type="spellEnd"/>
      <w:r>
        <w:t>;</w:t>
      </w:r>
    </w:p>
    <w:p w:rsidR="005F4488" w:rsidRDefault="005F4488" w:rsidP="005F4488">
      <w:pPr>
        <w:pStyle w:val="NormalWeb"/>
      </w:pPr>
      <w:proofErr w:type="spellStart"/>
      <w:proofErr w:type="gramStart"/>
      <w:r>
        <w:rPr>
          <w:rStyle w:val="Strong"/>
        </w:rPr>
        <w:t>i</w:t>
      </w:r>
      <w:proofErr w:type="spellEnd"/>
      <w:r>
        <w:rPr>
          <w:rStyle w:val="Strong"/>
        </w:rPr>
        <w:t>)</w:t>
      </w:r>
      <w:proofErr w:type="spellStart"/>
      <w:r>
        <w:t>întocmirea</w:t>
      </w:r>
      <w:proofErr w:type="spellEnd"/>
      <w:proofErr w:type="gramEnd"/>
      <w:r>
        <w:t xml:space="preserve"> </w:t>
      </w:r>
      <w:proofErr w:type="spellStart"/>
      <w:r>
        <w:t>raportului</w:t>
      </w:r>
      <w:proofErr w:type="spellEnd"/>
      <w:r>
        <w:t xml:space="preserve"> final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custodie</w:t>
      </w:r>
      <w:proofErr w:type="spellEnd"/>
      <w:r>
        <w:t xml:space="preserve"> care include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contestaţii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conducătorul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>;</w:t>
      </w:r>
    </w:p>
    <w:p w:rsidR="005F4488" w:rsidRDefault="005F4488" w:rsidP="005F4488">
      <w:pPr>
        <w:pStyle w:val="NormalWeb"/>
      </w:pPr>
      <w:proofErr w:type="gramStart"/>
      <w:r>
        <w:rPr>
          <w:rStyle w:val="Strong"/>
        </w:rPr>
        <w:lastRenderedPageBreak/>
        <w:t>j)</w:t>
      </w:r>
      <w:proofErr w:type="spellStart"/>
      <w:r>
        <w:t>semnarea</w:t>
      </w:r>
      <w:proofErr w:type="spellEnd"/>
      <w:proofErr w:type="gramEnd"/>
      <w:r>
        <w:t xml:space="preserve"> </w:t>
      </w:r>
      <w:proofErr w:type="spellStart"/>
      <w:r>
        <w:t>convenţiilor</w:t>
      </w:r>
      <w:proofErr w:type="spellEnd"/>
      <w:r>
        <w:t xml:space="preserve"> de </w:t>
      </w:r>
      <w:proofErr w:type="spellStart"/>
      <w:r>
        <w:t>custodie</w:t>
      </w:r>
      <w:proofErr w:type="spellEnd"/>
    </w:p>
    <w:p w:rsidR="005F4488" w:rsidRDefault="005F4488" w:rsidP="005F4488">
      <w:pPr>
        <w:pStyle w:val="NormalWeb"/>
      </w:pPr>
      <w:proofErr w:type="spellStart"/>
      <w:proofErr w:type="gramStart"/>
      <w:r>
        <w:rPr>
          <w:rStyle w:val="Strong"/>
        </w:rPr>
        <w:t>Lista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ariilor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naturale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protejate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pentru</w:t>
      </w:r>
      <w:proofErr w:type="spellEnd"/>
      <w:r>
        <w:rPr>
          <w:rStyle w:val="Strong"/>
        </w:rPr>
        <w:t xml:space="preserve"> care se pot </w:t>
      </w:r>
      <w:proofErr w:type="spellStart"/>
      <w:r>
        <w:rPr>
          <w:rStyle w:val="Strong"/>
        </w:rPr>
        <w:t>depune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dosare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candidatură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vederea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atribuirii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custodie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aprobată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prin</w:t>
      </w:r>
      <w:proofErr w:type="spellEnd"/>
      <w:r>
        <w:t xml:space="preserve"> </w:t>
      </w:r>
      <w:hyperlink r:id="rId5" w:history="1">
        <w:proofErr w:type="spellStart"/>
        <w:r>
          <w:rPr>
            <w:rStyle w:val="Hyperlink"/>
          </w:rPr>
          <w:t>Decizia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Pre</w:t>
        </w:r>
        <w:r>
          <w:rPr>
            <w:rStyle w:val="Hyperlink"/>
            <w:rFonts w:ascii="Cambria Math" w:hAnsi="Cambria Math" w:cs="Cambria Math"/>
          </w:rPr>
          <w:t>ș</w:t>
        </w:r>
        <w:r>
          <w:rPr>
            <w:rStyle w:val="Hyperlink"/>
          </w:rPr>
          <w:t>edintelui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Agen</w:t>
        </w:r>
        <w:r>
          <w:rPr>
            <w:rStyle w:val="Hyperlink"/>
            <w:rFonts w:ascii="Cambria Math" w:hAnsi="Cambria Math" w:cs="Cambria Math"/>
          </w:rPr>
          <w:t>ț</w:t>
        </w:r>
        <w:r>
          <w:rPr>
            <w:rStyle w:val="Hyperlink"/>
          </w:rPr>
          <w:t>iei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Na</w:t>
        </w:r>
        <w:r>
          <w:rPr>
            <w:rStyle w:val="Hyperlink"/>
            <w:rFonts w:ascii="Cambria Math" w:hAnsi="Cambria Math" w:cs="Cambria Math"/>
          </w:rPr>
          <w:t>ț</w:t>
        </w:r>
        <w:r>
          <w:rPr>
            <w:rStyle w:val="Hyperlink"/>
          </w:rPr>
          <w:t>ionale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pentru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Protec</w:t>
        </w:r>
        <w:r>
          <w:rPr>
            <w:rStyle w:val="Hyperlink"/>
            <w:rFonts w:ascii="Cambria Math" w:hAnsi="Cambria Math" w:cs="Cambria Math"/>
          </w:rPr>
          <w:t>ț</w:t>
        </w:r>
        <w:r>
          <w:rPr>
            <w:rStyle w:val="Hyperlink"/>
          </w:rPr>
          <w:t>ia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Mediului</w:t>
        </w:r>
        <w:proofErr w:type="spellEnd"/>
        <w:r>
          <w:rPr>
            <w:rStyle w:val="Hyperlink"/>
          </w:rPr>
          <w:t xml:space="preserve"> nr.</w:t>
        </w:r>
        <w:proofErr w:type="gramEnd"/>
        <w:r>
          <w:rPr>
            <w:rStyle w:val="Hyperlink"/>
          </w:rPr>
          <w:t xml:space="preserve"> 280 din 26.04.2016</w:t>
        </w:r>
      </w:hyperlink>
      <w:r>
        <w:t xml:space="preserve">. + </w:t>
      </w:r>
      <w:hyperlink r:id="rId6" w:history="1">
        <w:proofErr w:type="spellStart"/>
        <w:r>
          <w:rPr>
            <w:rStyle w:val="Hyperlink"/>
          </w:rPr>
          <w:t>Anexa</w:t>
        </w:r>
        <w:proofErr w:type="spellEnd"/>
      </w:hyperlink>
    </w:p>
    <w:p w:rsidR="005F4488" w:rsidRDefault="005F4488" w:rsidP="005F4488">
      <w:pPr>
        <w:pStyle w:val="NormalWeb"/>
      </w:pPr>
      <w:proofErr w:type="spellStart"/>
      <w:r>
        <w:t>Dosarele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custodie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Agen</w:t>
      </w:r>
      <w:r>
        <w:rPr>
          <w:rFonts w:ascii="Cambria Math" w:hAnsi="Cambria Math" w:cs="Cambria Math"/>
        </w:rPr>
        <w:t>ț</w:t>
      </w:r>
      <w:r>
        <w:t>ia</w:t>
      </w:r>
      <w:proofErr w:type="spellEnd"/>
      <w:r>
        <w:t xml:space="preserve"> </w:t>
      </w:r>
      <w:proofErr w:type="spellStart"/>
      <w:r>
        <w:t>Na</w:t>
      </w:r>
      <w:r>
        <w:rPr>
          <w:rFonts w:ascii="Cambria Math" w:hAnsi="Cambria Math" w:cs="Cambria Math"/>
        </w:rPr>
        <w:t>ț</w:t>
      </w:r>
      <w:r>
        <w:t>ională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</w:t>
      </w:r>
      <w:r>
        <w:rPr>
          <w:rFonts w:ascii="Cambria Math" w:hAnsi="Cambria Math" w:cs="Cambria Math"/>
        </w:rPr>
        <w:t>ț</w:t>
      </w:r>
      <w:r>
        <w:t>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(ANPM) </w:t>
      </w:r>
      <w:proofErr w:type="spellStart"/>
      <w:r>
        <w:t>până</w:t>
      </w:r>
      <w:proofErr w:type="spellEnd"/>
      <w:r>
        <w:t xml:space="preserve"> la</w:t>
      </w:r>
      <w:r>
        <w:rPr>
          <w:rStyle w:val="Strong"/>
        </w:rPr>
        <w:t xml:space="preserve"> data de </w:t>
      </w:r>
      <w:r>
        <w:rPr>
          <w:rStyle w:val="Strong"/>
          <w:u w:val="single"/>
        </w:rPr>
        <w:t>27.05.2016</w:t>
      </w:r>
      <w:r>
        <w:rPr>
          <w:rStyle w:val="Strong"/>
        </w:rPr>
        <w:t xml:space="preserve"> (data </w:t>
      </w:r>
      <w:proofErr w:type="spellStart"/>
      <w:r>
        <w:rPr>
          <w:rStyle w:val="Strong"/>
        </w:rPr>
        <w:t>înregistrării</w:t>
      </w:r>
      <w:proofErr w:type="spellEnd"/>
      <w:r>
        <w:rPr>
          <w:rStyle w:val="Strong"/>
        </w:rPr>
        <w:t xml:space="preserve"> la </w:t>
      </w:r>
      <w:proofErr w:type="spellStart"/>
      <w:r>
        <w:rPr>
          <w:rStyle w:val="Strong"/>
        </w:rPr>
        <w:t>registratura</w:t>
      </w:r>
      <w:proofErr w:type="spellEnd"/>
      <w:r>
        <w:rPr>
          <w:rStyle w:val="Strong"/>
        </w:rPr>
        <w:t xml:space="preserve"> ANPM), la </w:t>
      </w:r>
      <w:proofErr w:type="spellStart"/>
      <w:r>
        <w:rPr>
          <w:rStyle w:val="Strong"/>
        </w:rPr>
        <w:t>sediul</w:t>
      </w:r>
      <w:proofErr w:type="spellEnd"/>
      <w:r>
        <w:t xml:space="preserve"> </w:t>
      </w:r>
      <w:r>
        <w:rPr>
          <w:rStyle w:val="Strong"/>
        </w:rPr>
        <w:t xml:space="preserve">din </w:t>
      </w:r>
      <w:proofErr w:type="spellStart"/>
      <w:r>
        <w:rPr>
          <w:rStyle w:val="Strong"/>
        </w:rPr>
        <w:t>Splaiul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Independen</w:t>
      </w:r>
      <w:r>
        <w:rPr>
          <w:rStyle w:val="Strong"/>
          <w:rFonts w:ascii="Cambria Math" w:hAnsi="Cambria Math" w:cs="Cambria Math"/>
        </w:rPr>
        <w:t>ț</w:t>
      </w:r>
      <w:r>
        <w:rPr>
          <w:rStyle w:val="Strong"/>
        </w:rPr>
        <w:t>ei</w:t>
      </w:r>
      <w:proofErr w:type="spellEnd"/>
      <w:r>
        <w:rPr>
          <w:rStyle w:val="Strong"/>
        </w:rPr>
        <w:t xml:space="preserve"> nr. 294, </w:t>
      </w:r>
      <w:proofErr w:type="spellStart"/>
      <w:r>
        <w:rPr>
          <w:rStyle w:val="Strong"/>
        </w:rPr>
        <w:t>CorpB</w:t>
      </w:r>
      <w:proofErr w:type="spellEnd"/>
      <w:r>
        <w:rPr>
          <w:rStyle w:val="Strong"/>
        </w:rPr>
        <w:t>, Sector 6</w:t>
      </w:r>
      <w:r>
        <w:t>,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Bucure</w:t>
      </w:r>
      <w:r>
        <w:rPr>
          <w:rStyle w:val="Strong"/>
          <w:rFonts w:ascii="Cambria Math" w:hAnsi="Cambria Math" w:cs="Cambria Math"/>
        </w:rPr>
        <w:t>ș</w:t>
      </w:r>
      <w:r>
        <w:rPr>
          <w:rStyle w:val="Strong"/>
        </w:rPr>
        <w:t>ti</w:t>
      </w:r>
      <w:proofErr w:type="spellEnd"/>
      <w:r>
        <w:rPr>
          <w:rStyle w:val="Strong"/>
        </w:rPr>
        <w:t>,</w:t>
      </w:r>
      <w:r>
        <w:t xml:space="preserve"> </w:t>
      </w:r>
      <w:proofErr w:type="spellStart"/>
      <w:r>
        <w:rPr>
          <w:rStyle w:val="Strong"/>
          <w:u w:val="single"/>
        </w:rPr>
        <w:t>în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cadrul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programului</w:t>
      </w:r>
      <w:proofErr w:type="spellEnd"/>
      <w:r>
        <w:rPr>
          <w:rStyle w:val="Strong"/>
          <w:u w:val="single"/>
        </w:rPr>
        <w:t xml:space="preserve"> de </w:t>
      </w:r>
      <w:proofErr w:type="spellStart"/>
      <w:r>
        <w:rPr>
          <w:rStyle w:val="Strong"/>
          <w:u w:val="single"/>
        </w:rPr>
        <w:t>func</w:t>
      </w:r>
      <w:r>
        <w:rPr>
          <w:rStyle w:val="Strong"/>
          <w:rFonts w:ascii="Cambria Math" w:hAnsi="Cambria Math" w:cs="Cambria Math"/>
          <w:u w:val="single"/>
        </w:rPr>
        <w:t>ț</w:t>
      </w:r>
      <w:r>
        <w:rPr>
          <w:rStyle w:val="Strong"/>
          <w:u w:val="single"/>
        </w:rPr>
        <w:t>ionare</w:t>
      </w:r>
      <w:proofErr w:type="spellEnd"/>
      <w:r>
        <w:rPr>
          <w:rStyle w:val="Strong"/>
          <w:u w:val="single"/>
        </w:rPr>
        <w:t xml:space="preserve"> al </w:t>
      </w:r>
      <w:proofErr w:type="spellStart"/>
      <w:r>
        <w:rPr>
          <w:rStyle w:val="Strong"/>
          <w:u w:val="single"/>
        </w:rPr>
        <w:t>Agen</w:t>
      </w:r>
      <w:r>
        <w:rPr>
          <w:rStyle w:val="Strong"/>
          <w:rFonts w:ascii="Cambria Math" w:hAnsi="Cambria Math" w:cs="Cambria Math"/>
          <w:u w:val="single"/>
        </w:rPr>
        <w:t>ț</w:t>
      </w:r>
      <w:r>
        <w:rPr>
          <w:rStyle w:val="Strong"/>
          <w:u w:val="single"/>
        </w:rPr>
        <w:t>iei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Na</w:t>
      </w:r>
      <w:r>
        <w:rPr>
          <w:rStyle w:val="Strong"/>
          <w:rFonts w:ascii="Cambria Math" w:hAnsi="Cambria Math" w:cs="Cambria Math"/>
          <w:u w:val="single"/>
        </w:rPr>
        <w:t>ț</w:t>
      </w:r>
      <w:r>
        <w:rPr>
          <w:rStyle w:val="Strong"/>
          <w:u w:val="single"/>
        </w:rPr>
        <w:t>ionale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pentru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Protec</w:t>
      </w:r>
      <w:r>
        <w:rPr>
          <w:rStyle w:val="Strong"/>
          <w:rFonts w:ascii="Cambria Math" w:hAnsi="Cambria Math" w:cs="Cambria Math"/>
          <w:u w:val="single"/>
        </w:rPr>
        <w:t>ț</w:t>
      </w:r>
      <w:r>
        <w:rPr>
          <w:rStyle w:val="Strong"/>
          <w:u w:val="single"/>
        </w:rPr>
        <w:t>ia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Mediului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respectiv</w:t>
      </w:r>
      <w:proofErr w:type="spellEnd"/>
      <w:r>
        <w:rPr>
          <w:rStyle w:val="Strong"/>
        </w:rPr>
        <w:t>:</w:t>
      </w:r>
    </w:p>
    <w:p w:rsidR="005F4488" w:rsidRDefault="005F4488" w:rsidP="005F4488">
      <w:pPr>
        <w:pStyle w:val="NormalWeb"/>
      </w:pPr>
      <w:proofErr w:type="spellStart"/>
      <w:r>
        <w:rPr>
          <w:rStyle w:val="Strong"/>
        </w:rPr>
        <w:t>Luni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Joi</w:t>
      </w:r>
      <w:proofErr w:type="spellEnd"/>
      <w:proofErr w:type="gramStart"/>
      <w:r>
        <w:rPr>
          <w:rStyle w:val="Strong"/>
        </w:rPr>
        <w:t>  8:00</w:t>
      </w:r>
      <w:proofErr w:type="gramEnd"/>
      <w:r>
        <w:rPr>
          <w:rStyle w:val="Strong"/>
        </w:rPr>
        <w:t>-16:30</w:t>
      </w:r>
    </w:p>
    <w:p w:rsidR="005F4488" w:rsidRDefault="005F4488" w:rsidP="005F4488">
      <w:pPr>
        <w:pStyle w:val="NormalWeb"/>
      </w:pPr>
      <w:proofErr w:type="spellStart"/>
      <w:r>
        <w:rPr>
          <w:rStyle w:val="Strong"/>
        </w:rPr>
        <w:t>Vineri</w:t>
      </w:r>
      <w:proofErr w:type="spellEnd"/>
      <w:proofErr w:type="gramStart"/>
      <w:r>
        <w:rPr>
          <w:rStyle w:val="Strong"/>
        </w:rPr>
        <w:t>  8:00</w:t>
      </w:r>
      <w:proofErr w:type="gramEnd"/>
      <w:r>
        <w:rPr>
          <w:rStyle w:val="Strong"/>
        </w:rPr>
        <w:t>-14:00</w:t>
      </w:r>
    </w:p>
    <w:p w:rsidR="005F4488" w:rsidRDefault="005F4488" w:rsidP="005F4488"/>
    <w:p w:rsidR="005C48BB" w:rsidRDefault="005C48BB" w:rsidP="005C48BB">
      <w:pPr>
        <w:pStyle w:val="Default"/>
      </w:pPr>
    </w:p>
    <w:p w:rsidR="005C48BB" w:rsidRDefault="005C48BB" w:rsidP="005C48BB">
      <w:pPr>
        <w:pStyle w:val="Default"/>
        <w:rPr>
          <w:sz w:val="22"/>
          <w:szCs w:val="22"/>
        </w:rPr>
      </w:pPr>
      <w:r>
        <w:t xml:space="preserve"> </w:t>
      </w:r>
      <w:proofErr w:type="spellStart"/>
      <w:r>
        <w:rPr>
          <w:sz w:val="22"/>
          <w:szCs w:val="22"/>
        </w:rPr>
        <w:t>Anexa</w:t>
      </w:r>
      <w:proofErr w:type="spellEnd"/>
      <w:r>
        <w:rPr>
          <w:sz w:val="22"/>
          <w:szCs w:val="22"/>
        </w:rPr>
        <w:t xml:space="preserve"> </w:t>
      </w:r>
    </w:p>
    <w:p w:rsidR="005C48BB" w:rsidRDefault="005C48BB" w:rsidP="005C48BB">
      <w:pPr>
        <w:pStyle w:val="Default"/>
        <w:rPr>
          <w:rFonts w:cs="Arial"/>
          <w:color w:val="auto"/>
        </w:rPr>
      </w:pPr>
    </w:p>
    <w:p w:rsidR="005C48BB" w:rsidRDefault="005C48BB" w:rsidP="005C48BB">
      <w:pPr>
        <w:pStyle w:val="Defaul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1 </w:t>
      </w:r>
    </w:p>
    <w:p w:rsidR="005C48BB" w:rsidRDefault="005C48BB" w:rsidP="005C48BB">
      <w:pPr>
        <w:pStyle w:val="Default"/>
        <w:rPr>
          <w:rFonts w:cs="Arial"/>
          <w:color w:val="auto"/>
        </w:rPr>
      </w:pPr>
    </w:p>
    <w:p w:rsidR="005C48BB" w:rsidRDefault="005C48BB" w:rsidP="005C48B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Arial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ariilor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naturale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protejate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necesită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atribuirea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custodie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85"/>
        <w:gridCol w:w="2085"/>
        <w:gridCol w:w="2085"/>
        <w:gridCol w:w="2085"/>
        <w:gridCol w:w="2085"/>
      </w:tblGrid>
      <w:tr w:rsidR="005C48B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085" w:type="dxa"/>
          </w:tcPr>
          <w:p w:rsidR="005C48BB" w:rsidRDefault="005C48B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Sesiunea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2/2016 - ANPM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85" w:type="dxa"/>
          </w:tcPr>
          <w:p w:rsidR="005C48BB" w:rsidRDefault="005C48B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Judeţ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arie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naturală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protejată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principală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85" w:type="dxa"/>
          </w:tcPr>
          <w:p w:rsidR="005C48BB" w:rsidRDefault="005C48B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Cod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arie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naturală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protejată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principală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85" w:type="dxa"/>
          </w:tcPr>
          <w:p w:rsidR="005C48BB" w:rsidRDefault="005C48B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arie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naturală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protejată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principală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85" w:type="dxa"/>
          </w:tcPr>
          <w:p w:rsidR="005C48BB" w:rsidRDefault="005C48B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Arii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protejate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cu care 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atribuie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5C48BB" w:rsidRPr="005C48BB" w:rsidRDefault="005C48BB" w:rsidP="005C48BB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06"/>
        <w:gridCol w:w="435"/>
        <w:gridCol w:w="510"/>
        <w:gridCol w:w="661"/>
        <w:gridCol w:w="870"/>
        <w:gridCol w:w="736"/>
        <w:gridCol w:w="284"/>
        <w:gridCol w:w="1021"/>
        <w:gridCol w:w="301"/>
        <w:gridCol w:w="1229"/>
        <w:gridCol w:w="511"/>
        <w:gridCol w:w="2041"/>
      </w:tblGrid>
      <w:tr w:rsidR="005C48BB" w:rsidRPr="005C48BB" w:rsidTr="0077410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51" w:type="dxa"/>
            <w:gridSpan w:val="3"/>
          </w:tcPr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48B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14. </w:t>
            </w:r>
          </w:p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gridSpan w:val="4"/>
          </w:tcPr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Alba, Hunedoara </w:t>
            </w:r>
          </w:p>
        </w:tc>
        <w:tc>
          <w:tcPr>
            <w:tcW w:w="2551" w:type="dxa"/>
            <w:gridSpan w:val="3"/>
          </w:tcPr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ROSCI0339 </w:t>
            </w:r>
          </w:p>
        </w:tc>
        <w:tc>
          <w:tcPr>
            <w:tcW w:w="2552" w:type="dxa"/>
            <w:gridSpan w:val="2"/>
          </w:tcPr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Pădurea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Povernii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-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Valea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Cernita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5C48BB" w:rsidRPr="005C48BB" w:rsidTr="0077410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41" w:type="dxa"/>
            <w:gridSpan w:val="2"/>
          </w:tcPr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15. </w:t>
            </w:r>
          </w:p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gridSpan w:val="3"/>
          </w:tcPr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Alba, Hunedoara </w:t>
            </w:r>
          </w:p>
        </w:tc>
        <w:tc>
          <w:tcPr>
            <w:tcW w:w="2041" w:type="dxa"/>
            <w:gridSpan w:val="3"/>
          </w:tcPr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ROSPA0139 </w:t>
            </w:r>
          </w:p>
        </w:tc>
        <w:tc>
          <w:tcPr>
            <w:tcW w:w="2041" w:type="dxa"/>
            <w:gridSpan w:val="3"/>
          </w:tcPr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Piemontul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Munţilor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Metaliferi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şi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Vântului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1" w:type="dxa"/>
          </w:tcPr>
          <w:p w:rsidR="005C48BB" w:rsidRPr="005C48BB" w:rsidRDefault="005C48BB" w:rsidP="005C48B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împreună</w:t>
            </w:r>
            <w:proofErr w:type="spellEnd"/>
            <w:proofErr w:type="gram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cu 2.519.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Măgura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Uroiului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48BB">
              <w:rPr>
                <w:rFonts w:ascii="Cambria Math" w:hAnsi="Cambria Math" w:cs="Cambria Math"/>
                <w:iCs/>
                <w:color w:val="000000"/>
                <w:sz w:val="23"/>
                <w:szCs w:val="23"/>
              </w:rPr>
              <w:t>ș</w:t>
            </w:r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i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cu ROSCI0419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Mure</w:t>
            </w:r>
            <w:r w:rsidRPr="005C48BB">
              <w:rPr>
                <w:rFonts w:ascii="Cambria Math" w:hAnsi="Cambria Math" w:cs="Cambria Math"/>
                <w:iCs/>
                <w:color w:val="000000"/>
                <w:sz w:val="23"/>
                <w:szCs w:val="23"/>
              </w:rPr>
              <w:t>ș</w:t>
            </w:r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ul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Mijlociu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Cugir</w:t>
            </w:r>
            <w:proofErr w:type="spellEnd"/>
            <w:r w:rsidRPr="005C48BB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7410E" w:rsidRPr="0077410E" w:rsidTr="0077410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41" w:type="dxa"/>
            <w:gridSpan w:val="2"/>
            <w:tcBorders>
              <w:left w:val="nil"/>
              <w:bottom w:val="nil"/>
            </w:tcBorders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7410E">
              <w:rPr>
                <w:rFonts w:ascii="Times New Roman" w:hAnsi="Times New Roman"/>
                <w:iCs/>
                <w:sz w:val="24"/>
                <w:szCs w:val="24"/>
              </w:rPr>
              <w:t xml:space="preserve">97.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Caraş-Severin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, Hunedoara,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Timiş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ROSCI0219 </w:t>
            </w:r>
          </w:p>
        </w:tc>
        <w:tc>
          <w:tcPr>
            <w:tcW w:w="2041" w:type="dxa"/>
            <w:gridSpan w:val="3"/>
            <w:tcBorders>
              <w:bottom w:val="nil"/>
            </w:tcBorders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Rusca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Montană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1" w:type="dxa"/>
            <w:tcBorders>
              <w:bottom w:val="nil"/>
              <w:right w:val="nil"/>
            </w:tcBorders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împreună</w:t>
            </w:r>
            <w:proofErr w:type="spellEnd"/>
            <w:proofErr w:type="gram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cu IV.16.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Pădurea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Pleşu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si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IV.17.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Rusca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Montană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7410E" w:rsidRPr="0077410E" w:rsidTr="0077410E">
        <w:tblPrEx>
          <w:tblCellMar>
            <w:top w:w="0" w:type="dxa"/>
            <w:bottom w:w="0" w:type="dxa"/>
          </w:tblCellMar>
        </w:tblPrEx>
        <w:trPr>
          <w:gridAfter w:val="3"/>
          <w:wAfter w:w="3781" w:type="dxa"/>
          <w:trHeight w:val="247"/>
        </w:trPr>
        <w:tc>
          <w:tcPr>
            <w:tcW w:w="1606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147.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606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Hunedoara </w:t>
            </w:r>
          </w:p>
        </w:tc>
        <w:tc>
          <w:tcPr>
            <w:tcW w:w="1606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2.501. </w:t>
            </w:r>
          </w:p>
        </w:tc>
        <w:tc>
          <w:tcPr>
            <w:tcW w:w="1606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Locul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fosilifer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Lăpugiu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Sus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7410E" w:rsidRPr="0077410E" w:rsidTr="0077410E">
        <w:tblPrEx>
          <w:tblCellMar>
            <w:top w:w="0" w:type="dxa"/>
            <w:bottom w:w="0" w:type="dxa"/>
          </w:tblCellMar>
        </w:tblPrEx>
        <w:trPr>
          <w:gridAfter w:val="3"/>
          <w:wAfter w:w="3781" w:type="dxa"/>
          <w:trHeight w:val="109"/>
        </w:trPr>
        <w:tc>
          <w:tcPr>
            <w:tcW w:w="1606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148.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606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Hunedoara </w:t>
            </w:r>
          </w:p>
        </w:tc>
        <w:tc>
          <w:tcPr>
            <w:tcW w:w="1606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2.511. </w:t>
            </w:r>
          </w:p>
        </w:tc>
        <w:tc>
          <w:tcPr>
            <w:tcW w:w="1606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Pădurea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Chizid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7410E" w:rsidRPr="0077410E" w:rsidTr="0077410E">
        <w:tblPrEx>
          <w:tblCellMar>
            <w:top w:w="0" w:type="dxa"/>
            <w:bottom w:w="0" w:type="dxa"/>
          </w:tblCellMar>
        </w:tblPrEx>
        <w:trPr>
          <w:gridAfter w:val="3"/>
          <w:wAfter w:w="3781" w:type="dxa"/>
          <w:trHeight w:val="247"/>
        </w:trPr>
        <w:tc>
          <w:tcPr>
            <w:tcW w:w="1606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149.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1606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Hunedoara </w:t>
            </w:r>
          </w:p>
        </w:tc>
        <w:tc>
          <w:tcPr>
            <w:tcW w:w="1606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2.532. </w:t>
            </w:r>
          </w:p>
        </w:tc>
        <w:tc>
          <w:tcPr>
            <w:tcW w:w="1606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Apele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mezotermale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Geoagiu-Băi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77410E" w:rsidRDefault="0077410E">
      <w:r>
        <w:t xml:space="preserve">150.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41"/>
        <w:gridCol w:w="511"/>
        <w:gridCol w:w="850"/>
        <w:gridCol w:w="680"/>
        <w:gridCol w:w="1022"/>
        <w:gridCol w:w="1019"/>
        <w:gridCol w:w="681"/>
        <w:gridCol w:w="852"/>
        <w:gridCol w:w="508"/>
        <w:gridCol w:w="2044"/>
      </w:tblGrid>
      <w:tr w:rsidR="0077410E" w:rsidRPr="007741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402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Hunedoara </w:t>
            </w:r>
          </w:p>
        </w:tc>
        <w:tc>
          <w:tcPr>
            <w:tcW w:w="3402" w:type="dxa"/>
            <w:gridSpan w:val="4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2.533. </w:t>
            </w:r>
          </w:p>
        </w:tc>
        <w:tc>
          <w:tcPr>
            <w:tcW w:w="3402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Rezervaţia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Boholţ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7410E" w:rsidRPr="007741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151.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Hunedoara </w:t>
            </w:r>
          </w:p>
        </w:tc>
        <w:tc>
          <w:tcPr>
            <w:tcW w:w="2041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ROSCI0028 </w:t>
            </w: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Cheile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Cernei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împreună</w:t>
            </w:r>
            <w:proofErr w:type="spellEnd"/>
            <w:proofErr w:type="gram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cu 2.530.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Cheile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Cernei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7410E" w:rsidRPr="0077410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152.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 xml:space="preserve">Hunedoara </w:t>
            </w:r>
          </w:p>
        </w:tc>
        <w:tc>
          <w:tcPr>
            <w:tcW w:w="2041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ROSCI0054 </w:t>
            </w: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Dealul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Cetaţii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Deva </w:t>
            </w:r>
          </w:p>
        </w:tc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împreună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cu 2.504.Dealul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COlt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lastRenderedPageBreak/>
              <w:t>si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Dealul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Zanoaga;2.518.Dealul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Cetatii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Deva </w:t>
            </w:r>
          </w:p>
        </w:tc>
      </w:tr>
      <w:tr w:rsidR="0077410E" w:rsidRPr="0077410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153.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Hunedoara </w:t>
            </w:r>
          </w:p>
        </w:tc>
        <w:tc>
          <w:tcPr>
            <w:tcW w:w="2041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ROSCI0136 </w:t>
            </w: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Pădurea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Bejan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împreună</w:t>
            </w:r>
            <w:proofErr w:type="spellEnd"/>
            <w:proofErr w:type="gram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cu 2.512.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Pădurea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Bejan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7410E" w:rsidRPr="0077410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154.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Hunedoara </w:t>
            </w:r>
          </w:p>
        </w:tc>
        <w:tc>
          <w:tcPr>
            <w:tcW w:w="2041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ROSCI0250 </w:t>
            </w: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Ţinutul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Pădurenilor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împreună</w:t>
            </w:r>
            <w:proofErr w:type="spellEnd"/>
            <w:proofErr w:type="gram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cu 2.525.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Codrii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seculari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Valea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Dobrisoarei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Cambria Math" w:hAnsi="Cambria Math" w:cs="Cambria Math"/>
                <w:iCs/>
                <w:color w:val="000000"/>
                <w:sz w:val="23"/>
                <w:szCs w:val="23"/>
              </w:rPr>
              <w:t>ș</w:t>
            </w: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Prisloapei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7410E" w:rsidRPr="0077410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155.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Hunedoara </w:t>
            </w:r>
          </w:p>
        </w:tc>
        <w:tc>
          <w:tcPr>
            <w:tcW w:w="2041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ROSCI0254 </w:t>
            </w:r>
          </w:p>
        </w:tc>
        <w:tc>
          <w:tcPr>
            <w:tcW w:w="2041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Tufurile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calcaroase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din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Valea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Bobâlna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1" w:type="dxa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împreună</w:t>
            </w:r>
            <w:proofErr w:type="spellEnd"/>
            <w:proofErr w:type="gram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cu 2.520.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Tufurile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calcaroase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de la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Valea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Bobâlna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77410E" w:rsidRPr="0077410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52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156. </w:t>
            </w:r>
          </w:p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Hunedoara </w:t>
            </w:r>
          </w:p>
        </w:tc>
        <w:tc>
          <w:tcPr>
            <w:tcW w:w="2552" w:type="dxa"/>
            <w:gridSpan w:val="3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ROSCI0373 </w:t>
            </w:r>
          </w:p>
        </w:tc>
        <w:tc>
          <w:tcPr>
            <w:tcW w:w="2552" w:type="dxa"/>
            <w:gridSpan w:val="2"/>
          </w:tcPr>
          <w:p w:rsidR="0077410E" w:rsidRPr="0077410E" w:rsidRDefault="0077410E" w:rsidP="0077410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3"/>
                <w:szCs w:val="23"/>
              </w:rPr>
            </w:pP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Râul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Mureş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între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Brani</w:t>
            </w:r>
            <w:r w:rsidRPr="0077410E">
              <w:rPr>
                <w:rFonts w:ascii="Cambria Math" w:hAnsi="Cambria Math" w:cs="Cambria Math"/>
                <w:iCs/>
                <w:color w:val="000000"/>
                <w:sz w:val="23"/>
                <w:szCs w:val="23"/>
              </w:rPr>
              <w:t>ș</w:t>
            </w: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ca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Cambria Math" w:hAnsi="Cambria Math" w:cs="Cambria Math"/>
                <w:iCs/>
                <w:color w:val="000000"/>
                <w:sz w:val="23"/>
                <w:szCs w:val="23"/>
              </w:rPr>
              <w:t>ș</w:t>
            </w:r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i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Ilia</w:t>
            </w:r>
            <w:proofErr w:type="spellEnd"/>
            <w:r w:rsidRPr="0077410E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5F4488" w:rsidRDefault="005F4488"/>
    <w:sectPr w:rsidR="005F4488" w:rsidSect="009C54A0">
      <w:pgSz w:w="12240" w:h="15840"/>
      <w:pgMar w:top="54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4A0"/>
    <w:rsid w:val="001F3BAC"/>
    <w:rsid w:val="0034065B"/>
    <w:rsid w:val="00552CD2"/>
    <w:rsid w:val="005C48BB"/>
    <w:rsid w:val="005F4488"/>
    <w:rsid w:val="0077410E"/>
    <w:rsid w:val="007F54A6"/>
    <w:rsid w:val="009C54A0"/>
    <w:rsid w:val="00AF634D"/>
    <w:rsid w:val="00BF5913"/>
    <w:rsid w:val="00D2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Cs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A0"/>
    <w:pPr>
      <w:spacing w:after="0" w:line="240" w:lineRule="auto"/>
    </w:pPr>
    <w:rPr>
      <w:rFonts w:ascii="Calibri" w:hAnsi="Calibri" w:cs="Times New Roman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4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F4488"/>
    <w:rPr>
      <w:i/>
      <w:iCs/>
    </w:rPr>
  </w:style>
  <w:style w:type="character" w:styleId="Strong">
    <w:name w:val="Strong"/>
    <w:basedOn w:val="DefaultParagraphFont"/>
    <w:uiPriority w:val="22"/>
    <w:qFormat/>
    <w:rsid w:val="005F44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44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C4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pm.ro/documents/12220/2068677/Anexa+la+decizie+sesiune+2.pdf/aafdd424-ec63-4080-b7e1-dde57da41aac" TargetMode="External"/><Relationship Id="rId5" Type="http://schemas.openxmlformats.org/officeDocument/2006/relationships/hyperlink" Target="http://www.anpm.ro/documents/12220/2068677/DeciziaSesiune2.pdf/732cb5de-e933-4944-b1f2-d8a9cf590b5c" TargetMode="External"/><Relationship Id="rId4" Type="http://schemas.openxmlformats.org/officeDocument/2006/relationships/hyperlink" Target="http://www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4466</Characters>
  <Application>Microsoft Office Word</Application>
  <DocSecurity>0</DocSecurity>
  <Lines>37</Lines>
  <Paragraphs>10</Paragraphs>
  <ScaleCrop>false</ScaleCrop>
  <Company>APMHD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bicskei.iuliu</dc:creator>
  <cp:keywords/>
  <dc:description/>
  <cp:lastModifiedBy>bicskei.iuliu</cp:lastModifiedBy>
  <cp:revision>5</cp:revision>
  <dcterms:created xsi:type="dcterms:W3CDTF">2016-04-28T05:59:00Z</dcterms:created>
  <dcterms:modified xsi:type="dcterms:W3CDTF">2016-04-28T12:49:00Z</dcterms:modified>
</cp:coreProperties>
</file>