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F13FE" w14:textId="77777777" w:rsidR="00FD566B" w:rsidRDefault="00FD566B">
      <w:pPr>
        <w:pStyle w:val="Titlu"/>
        <w:jc w:val="both"/>
        <w:rPr>
          <w:rFonts w:ascii="Calibri" w:hAnsi="Calibri"/>
          <w:sz w:val="24"/>
          <w:szCs w:val="24"/>
        </w:rPr>
      </w:pPr>
    </w:p>
    <w:p w14:paraId="6CAEEB2F" w14:textId="77777777" w:rsidR="00FD566B" w:rsidRDefault="00FD566B">
      <w:pPr>
        <w:pStyle w:val="Titlu"/>
        <w:jc w:val="both"/>
        <w:rPr>
          <w:rFonts w:ascii="Calibri" w:hAnsi="Calibri"/>
          <w:sz w:val="24"/>
          <w:szCs w:val="24"/>
        </w:rPr>
      </w:pPr>
    </w:p>
    <w:p w14:paraId="0D816A48" w14:textId="77777777" w:rsidR="00FD566B" w:rsidRDefault="00FD566B">
      <w:pPr>
        <w:pStyle w:val="Titlu"/>
        <w:jc w:val="both"/>
        <w:rPr>
          <w:rFonts w:ascii="Calibri" w:hAnsi="Calibri"/>
          <w:sz w:val="24"/>
          <w:szCs w:val="24"/>
        </w:rPr>
      </w:pPr>
    </w:p>
    <w:p w14:paraId="38D6F78A" w14:textId="77777777" w:rsidR="00FD566B" w:rsidRDefault="00FD566B">
      <w:pPr>
        <w:pStyle w:val="Titlu"/>
        <w:jc w:val="both"/>
        <w:rPr>
          <w:rFonts w:ascii="Calibri" w:hAnsi="Calibri"/>
          <w:sz w:val="24"/>
          <w:szCs w:val="24"/>
        </w:rPr>
      </w:pPr>
    </w:p>
    <w:p w14:paraId="506AF3DD" w14:textId="77777777" w:rsidR="00FD566B" w:rsidRDefault="00FD566B" w:rsidP="00DD6684">
      <w:pPr>
        <w:pStyle w:val="Titlu"/>
        <w:rPr>
          <w:rFonts w:ascii="Calibri" w:hAnsi="Calibri"/>
          <w:sz w:val="48"/>
          <w:szCs w:val="48"/>
        </w:rPr>
      </w:pPr>
    </w:p>
    <w:p w14:paraId="321A541B" w14:textId="77777777" w:rsidR="00FD566B" w:rsidRDefault="00FD566B">
      <w:pPr>
        <w:pStyle w:val="Titlu"/>
        <w:jc w:val="center"/>
        <w:rPr>
          <w:rFonts w:ascii="Calibri" w:hAnsi="Calibri"/>
          <w:sz w:val="48"/>
          <w:szCs w:val="48"/>
        </w:rPr>
      </w:pPr>
    </w:p>
    <w:p w14:paraId="37195C16" w14:textId="77777777" w:rsidR="00FD566B" w:rsidRDefault="00FD566B">
      <w:pPr>
        <w:pStyle w:val="Titlu"/>
        <w:jc w:val="center"/>
        <w:rPr>
          <w:rFonts w:ascii="Calibri" w:hAnsi="Calibri"/>
          <w:sz w:val="48"/>
          <w:szCs w:val="48"/>
        </w:rPr>
      </w:pPr>
    </w:p>
    <w:p w14:paraId="62EE8E62" w14:textId="77777777" w:rsidR="00FD566B" w:rsidRDefault="000D1FC2">
      <w:pPr>
        <w:pStyle w:val="Titlu"/>
        <w:jc w:val="center"/>
        <w:rPr>
          <w:rFonts w:ascii="Calibri" w:hAnsi="Calibri"/>
          <w:sz w:val="48"/>
          <w:szCs w:val="48"/>
        </w:rPr>
      </w:pPr>
      <w:r>
        <w:rPr>
          <w:rFonts w:ascii="Calibri" w:hAnsi="Calibri"/>
          <w:sz w:val="48"/>
          <w:szCs w:val="48"/>
        </w:rPr>
        <w:t>Memoriu de Prezentare</w:t>
      </w:r>
    </w:p>
    <w:p w14:paraId="74D92FFF" w14:textId="77777777" w:rsidR="00FD566B" w:rsidRDefault="00FD566B">
      <w:pPr>
        <w:pStyle w:val="Titlu"/>
        <w:jc w:val="both"/>
        <w:rPr>
          <w:rFonts w:ascii="Calibri" w:hAnsi="Calibri"/>
          <w:sz w:val="48"/>
          <w:szCs w:val="48"/>
        </w:rPr>
      </w:pPr>
    </w:p>
    <w:p w14:paraId="2A20114C" w14:textId="77777777" w:rsidR="00FD566B" w:rsidRDefault="000D1FC2" w:rsidP="004F0C2B">
      <w:pPr>
        <w:jc w:val="center"/>
        <w:rPr>
          <w:rFonts w:cstheme="minorHAnsi"/>
          <w:b/>
          <w:bCs/>
          <w:color w:val="17365D"/>
          <w:sz w:val="44"/>
          <w:szCs w:val="44"/>
        </w:rPr>
      </w:pPr>
      <w:r>
        <w:rPr>
          <w:rFonts w:cstheme="minorHAnsi"/>
          <w:b/>
          <w:bCs/>
          <w:color w:val="17365D"/>
          <w:sz w:val="44"/>
          <w:szCs w:val="44"/>
        </w:rPr>
        <w:t xml:space="preserve">EXPLOTARE NISIP ȘI PIETRIȘ DIN TERASĂ – PERIMETRU </w:t>
      </w:r>
      <w:proofErr w:type="gramStart"/>
      <w:r>
        <w:rPr>
          <w:rFonts w:cstheme="minorHAnsi"/>
          <w:b/>
          <w:bCs/>
          <w:color w:val="17365D"/>
          <w:sz w:val="44"/>
          <w:szCs w:val="44"/>
        </w:rPr>
        <w:t>GELMAR  EST</w:t>
      </w:r>
      <w:proofErr w:type="gramEnd"/>
    </w:p>
    <w:p w14:paraId="7AC2EECD" w14:textId="77777777" w:rsidR="006812B5" w:rsidRDefault="006812B5" w:rsidP="004F0C2B">
      <w:pPr>
        <w:jc w:val="center"/>
        <w:rPr>
          <w:rFonts w:cstheme="minorHAnsi"/>
          <w:b/>
          <w:bCs/>
          <w:color w:val="17365D"/>
          <w:sz w:val="44"/>
          <w:szCs w:val="44"/>
        </w:rPr>
      </w:pPr>
    </w:p>
    <w:p w14:paraId="52F3B902" w14:textId="16D704FD" w:rsidR="006812B5" w:rsidRDefault="006812B5" w:rsidP="004F0C2B">
      <w:pPr>
        <w:jc w:val="center"/>
        <w:rPr>
          <w:rFonts w:cstheme="minorHAnsi"/>
          <w:b/>
          <w:bCs/>
          <w:color w:val="17365D"/>
          <w:sz w:val="44"/>
          <w:szCs w:val="44"/>
        </w:rPr>
      </w:pPr>
      <w:r>
        <w:rPr>
          <w:rFonts w:ascii="Calibri" w:hAnsi="Calibri"/>
          <w:noProof/>
          <w:sz w:val="44"/>
          <w:szCs w:val="44"/>
        </w:rPr>
        <w:drawing>
          <wp:inline distT="0" distB="0" distL="0" distR="0" wp14:anchorId="51E71236" wp14:editId="409AF050">
            <wp:extent cx="5483860" cy="2535966"/>
            <wp:effectExtent l="0" t="0" r="254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486858" cy="2537352"/>
                    </a:xfrm>
                    <a:prstGeom prst="rect">
                      <a:avLst/>
                    </a:prstGeom>
                  </pic:spPr>
                </pic:pic>
              </a:graphicData>
            </a:graphic>
          </wp:inline>
        </w:drawing>
      </w:r>
    </w:p>
    <w:p w14:paraId="7D9517C8" w14:textId="77777777" w:rsidR="006812B5" w:rsidRDefault="006812B5" w:rsidP="004F0C2B">
      <w:pPr>
        <w:jc w:val="center"/>
        <w:rPr>
          <w:rFonts w:cstheme="minorHAnsi"/>
          <w:b/>
          <w:bCs/>
          <w:color w:val="17365D"/>
          <w:sz w:val="44"/>
          <w:szCs w:val="44"/>
        </w:rPr>
      </w:pPr>
    </w:p>
    <w:p w14:paraId="4B134724" w14:textId="08F0420E" w:rsidR="006812B5" w:rsidRDefault="006812B5" w:rsidP="004F0C2B">
      <w:pPr>
        <w:jc w:val="center"/>
        <w:rPr>
          <w:rFonts w:ascii="Calibri" w:hAnsi="Calibri"/>
          <w:sz w:val="44"/>
          <w:szCs w:val="44"/>
        </w:rPr>
        <w:sectPr w:rsidR="006812B5" w:rsidSect="00937243">
          <w:footerReference w:type="default" r:id="rId9"/>
          <w:pgSz w:w="11906" w:h="16838"/>
          <w:pgMar w:top="1440" w:right="1440" w:bottom="1440" w:left="1440" w:header="0" w:footer="0" w:gutter="0"/>
          <w:cols w:space="720"/>
          <w:formProt w:val="0"/>
          <w:titlePg/>
          <w:docGrid w:linePitch="360" w:charSpace="4096"/>
        </w:sectPr>
      </w:pPr>
    </w:p>
    <w:p w14:paraId="3D9D1382" w14:textId="77777777" w:rsidR="00FD566B" w:rsidRDefault="000D1FC2">
      <w:pPr>
        <w:jc w:val="both"/>
        <w:rPr>
          <w:rFonts w:ascii="Calibri" w:hAnsi="Calibri"/>
          <w:sz w:val="24"/>
          <w:szCs w:val="24"/>
        </w:rPr>
      </w:pPr>
      <w:r>
        <w:rPr>
          <w:sz w:val="24"/>
          <w:szCs w:val="24"/>
        </w:rPr>
        <w:lastRenderedPageBreak/>
        <w:t>Cuprins:</w:t>
      </w:r>
    </w:p>
    <w:sdt>
      <w:sdtPr>
        <w:rPr>
          <w:rFonts w:asciiTheme="minorHAnsi" w:eastAsiaTheme="minorEastAsia" w:hAnsiTheme="minorHAnsi" w:cstheme="minorBidi"/>
          <w:b w:val="0"/>
          <w:bCs w:val="0"/>
          <w:sz w:val="22"/>
          <w:szCs w:val="22"/>
        </w:rPr>
        <w:id w:val="118894431"/>
        <w:docPartObj>
          <w:docPartGallery w:val="Table of Contents"/>
          <w:docPartUnique/>
        </w:docPartObj>
      </w:sdtPr>
      <w:sdtEndPr/>
      <w:sdtContent>
        <w:p w14:paraId="4E023D7D" w14:textId="77777777" w:rsidR="00FD566B" w:rsidRDefault="000D1FC2">
          <w:pPr>
            <w:pStyle w:val="TitluTOA"/>
          </w:pPr>
          <w:r>
            <w:t>Contents</w:t>
          </w:r>
        </w:p>
        <w:p w14:paraId="1393EB3D" w14:textId="42DDF563" w:rsidR="00240393" w:rsidRDefault="000D1FC2">
          <w:pPr>
            <w:pStyle w:val="Cuprins1"/>
            <w:tabs>
              <w:tab w:val="right" w:leader="dot" w:pos="9016"/>
            </w:tabs>
            <w:rPr>
              <w:noProof/>
            </w:rPr>
          </w:pPr>
          <w:r>
            <w:fldChar w:fldCharType="begin"/>
          </w:r>
          <w:r>
            <w:rPr>
              <w:rStyle w:val="IndexLink"/>
              <w:webHidden/>
            </w:rPr>
            <w:instrText>TOC \z \o "1-3" \u \h</w:instrText>
          </w:r>
          <w:r>
            <w:rPr>
              <w:rStyle w:val="IndexLink"/>
            </w:rPr>
            <w:fldChar w:fldCharType="separate"/>
          </w:r>
          <w:hyperlink w:anchor="_Toc41997000" w:history="1">
            <w:r w:rsidR="00240393" w:rsidRPr="005670E7">
              <w:rPr>
                <w:rStyle w:val="Hyperlink"/>
                <w:rFonts w:ascii="Calibri" w:hAnsi="Calibri"/>
                <w:noProof/>
              </w:rPr>
              <w:t>I. Denumirea proiectului:</w:t>
            </w:r>
            <w:r w:rsidR="00240393">
              <w:rPr>
                <w:noProof/>
                <w:webHidden/>
              </w:rPr>
              <w:tab/>
            </w:r>
            <w:r w:rsidR="00240393">
              <w:rPr>
                <w:noProof/>
                <w:webHidden/>
              </w:rPr>
              <w:fldChar w:fldCharType="begin"/>
            </w:r>
            <w:r w:rsidR="00240393">
              <w:rPr>
                <w:noProof/>
                <w:webHidden/>
              </w:rPr>
              <w:instrText xml:space="preserve"> PAGEREF _Toc41997000 \h </w:instrText>
            </w:r>
            <w:r w:rsidR="00240393">
              <w:rPr>
                <w:noProof/>
                <w:webHidden/>
              </w:rPr>
            </w:r>
            <w:r w:rsidR="00240393">
              <w:rPr>
                <w:noProof/>
                <w:webHidden/>
              </w:rPr>
              <w:fldChar w:fldCharType="separate"/>
            </w:r>
            <w:r w:rsidR="00240393">
              <w:rPr>
                <w:noProof/>
                <w:webHidden/>
              </w:rPr>
              <w:t>3</w:t>
            </w:r>
            <w:r w:rsidR="00240393">
              <w:rPr>
                <w:noProof/>
                <w:webHidden/>
              </w:rPr>
              <w:fldChar w:fldCharType="end"/>
            </w:r>
          </w:hyperlink>
        </w:p>
        <w:p w14:paraId="2CB44493" w14:textId="52EBD5E7" w:rsidR="00240393" w:rsidRDefault="00240393">
          <w:pPr>
            <w:pStyle w:val="Cuprins1"/>
            <w:tabs>
              <w:tab w:val="right" w:leader="dot" w:pos="9016"/>
            </w:tabs>
            <w:rPr>
              <w:noProof/>
            </w:rPr>
          </w:pPr>
          <w:hyperlink w:anchor="_Toc41997001" w:history="1">
            <w:r w:rsidRPr="005670E7">
              <w:rPr>
                <w:rStyle w:val="Hyperlink"/>
                <w:rFonts w:ascii="Calibri" w:hAnsi="Calibri"/>
                <w:noProof/>
              </w:rPr>
              <w:t>II. Titular</w:t>
            </w:r>
            <w:r>
              <w:rPr>
                <w:noProof/>
                <w:webHidden/>
              </w:rPr>
              <w:tab/>
            </w:r>
            <w:r>
              <w:rPr>
                <w:noProof/>
                <w:webHidden/>
              </w:rPr>
              <w:fldChar w:fldCharType="begin"/>
            </w:r>
            <w:r>
              <w:rPr>
                <w:noProof/>
                <w:webHidden/>
              </w:rPr>
              <w:instrText xml:space="preserve"> PAGEREF _Toc41997001 \h </w:instrText>
            </w:r>
            <w:r>
              <w:rPr>
                <w:noProof/>
                <w:webHidden/>
              </w:rPr>
            </w:r>
            <w:r>
              <w:rPr>
                <w:noProof/>
                <w:webHidden/>
              </w:rPr>
              <w:fldChar w:fldCharType="separate"/>
            </w:r>
            <w:r>
              <w:rPr>
                <w:noProof/>
                <w:webHidden/>
              </w:rPr>
              <w:t>3</w:t>
            </w:r>
            <w:r>
              <w:rPr>
                <w:noProof/>
                <w:webHidden/>
              </w:rPr>
              <w:fldChar w:fldCharType="end"/>
            </w:r>
          </w:hyperlink>
        </w:p>
        <w:p w14:paraId="1AB79056" w14:textId="4B1A12E9" w:rsidR="00240393" w:rsidRDefault="00240393">
          <w:pPr>
            <w:pStyle w:val="Cuprins1"/>
            <w:tabs>
              <w:tab w:val="right" w:leader="dot" w:pos="9016"/>
            </w:tabs>
            <w:rPr>
              <w:noProof/>
            </w:rPr>
          </w:pPr>
          <w:hyperlink w:anchor="_Toc41997002" w:history="1">
            <w:r w:rsidRPr="005670E7">
              <w:rPr>
                <w:rStyle w:val="Hyperlink"/>
                <w:rFonts w:ascii="Calibri" w:hAnsi="Calibri"/>
                <w:noProof/>
              </w:rPr>
              <w:t>III. Descrierea caracteristicilor fizice ale întregului proiect:</w:t>
            </w:r>
            <w:r>
              <w:rPr>
                <w:noProof/>
                <w:webHidden/>
              </w:rPr>
              <w:tab/>
            </w:r>
            <w:r>
              <w:rPr>
                <w:noProof/>
                <w:webHidden/>
              </w:rPr>
              <w:fldChar w:fldCharType="begin"/>
            </w:r>
            <w:r>
              <w:rPr>
                <w:noProof/>
                <w:webHidden/>
              </w:rPr>
              <w:instrText xml:space="preserve"> PAGEREF _Toc41997002 \h </w:instrText>
            </w:r>
            <w:r>
              <w:rPr>
                <w:noProof/>
                <w:webHidden/>
              </w:rPr>
            </w:r>
            <w:r>
              <w:rPr>
                <w:noProof/>
                <w:webHidden/>
              </w:rPr>
              <w:fldChar w:fldCharType="separate"/>
            </w:r>
            <w:r>
              <w:rPr>
                <w:noProof/>
                <w:webHidden/>
              </w:rPr>
              <w:t>3</w:t>
            </w:r>
            <w:r>
              <w:rPr>
                <w:noProof/>
                <w:webHidden/>
              </w:rPr>
              <w:fldChar w:fldCharType="end"/>
            </w:r>
          </w:hyperlink>
        </w:p>
        <w:p w14:paraId="0F28F5AB" w14:textId="21C70DD7" w:rsidR="00240393" w:rsidRDefault="00240393">
          <w:pPr>
            <w:pStyle w:val="Cuprins1"/>
            <w:tabs>
              <w:tab w:val="right" w:leader="dot" w:pos="9016"/>
            </w:tabs>
            <w:rPr>
              <w:noProof/>
            </w:rPr>
          </w:pPr>
          <w:hyperlink w:anchor="_Toc41997003" w:history="1">
            <w:r w:rsidRPr="005670E7">
              <w:rPr>
                <w:rStyle w:val="Hyperlink"/>
                <w:rFonts w:ascii="Calibri" w:hAnsi="Calibri"/>
                <w:noProof/>
              </w:rPr>
              <w:t>IV. Prezența și efectivele/suprafețele acoperite de specii și habitate de interes comunitar în zona proiectului</w:t>
            </w:r>
            <w:r>
              <w:rPr>
                <w:noProof/>
                <w:webHidden/>
              </w:rPr>
              <w:tab/>
            </w:r>
            <w:r>
              <w:rPr>
                <w:noProof/>
                <w:webHidden/>
              </w:rPr>
              <w:fldChar w:fldCharType="begin"/>
            </w:r>
            <w:r>
              <w:rPr>
                <w:noProof/>
                <w:webHidden/>
              </w:rPr>
              <w:instrText xml:space="preserve"> PAGEREF _Toc41997003 \h </w:instrText>
            </w:r>
            <w:r>
              <w:rPr>
                <w:noProof/>
                <w:webHidden/>
              </w:rPr>
            </w:r>
            <w:r>
              <w:rPr>
                <w:noProof/>
                <w:webHidden/>
              </w:rPr>
              <w:fldChar w:fldCharType="separate"/>
            </w:r>
            <w:r>
              <w:rPr>
                <w:noProof/>
                <w:webHidden/>
              </w:rPr>
              <w:t>6</w:t>
            </w:r>
            <w:r>
              <w:rPr>
                <w:noProof/>
                <w:webHidden/>
              </w:rPr>
              <w:fldChar w:fldCharType="end"/>
            </w:r>
          </w:hyperlink>
        </w:p>
        <w:p w14:paraId="316568B7" w14:textId="67816BE1" w:rsidR="00240393" w:rsidRDefault="00240393">
          <w:pPr>
            <w:pStyle w:val="Cuprins1"/>
            <w:tabs>
              <w:tab w:val="right" w:leader="dot" w:pos="9016"/>
            </w:tabs>
            <w:rPr>
              <w:noProof/>
            </w:rPr>
          </w:pPr>
          <w:hyperlink w:anchor="_Toc41997004" w:history="1">
            <w:r w:rsidRPr="005670E7">
              <w:rPr>
                <w:rStyle w:val="Hyperlink"/>
                <w:rFonts w:ascii="Calibri" w:hAnsi="Calibri"/>
                <w:noProof/>
              </w:rPr>
              <w:t>V. Descrierea amplasării proiectului:</w:t>
            </w:r>
            <w:r>
              <w:rPr>
                <w:noProof/>
                <w:webHidden/>
              </w:rPr>
              <w:tab/>
            </w:r>
            <w:r>
              <w:rPr>
                <w:noProof/>
                <w:webHidden/>
              </w:rPr>
              <w:fldChar w:fldCharType="begin"/>
            </w:r>
            <w:r>
              <w:rPr>
                <w:noProof/>
                <w:webHidden/>
              </w:rPr>
              <w:instrText xml:space="preserve"> PAGEREF _Toc41997004 \h </w:instrText>
            </w:r>
            <w:r>
              <w:rPr>
                <w:noProof/>
                <w:webHidden/>
              </w:rPr>
            </w:r>
            <w:r>
              <w:rPr>
                <w:noProof/>
                <w:webHidden/>
              </w:rPr>
              <w:fldChar w:fldCharType="separate"/>
            </w:r>
            <w:r>
              <w:rPr>
                <w:noProof/>
                <w:webHidden/>
              </w:rPr>
              <w:t>10</w:t>
            </w:r>
            <w:r>
              <w:rPr>
                <w:noProof/>
                <w:webHidden/>
              </w:rPr>
              <w:fldChar w:fldCharType="end"/>
            </w:r>
          </w:hyperlink>
        </w:p>
        <w:p w14:paraId="1A6F1088" w14:textId="0A4CB484" w:rsidR="00240393" w:rsidRDefault="00240393">
          <w:pPr>
            <w:pStyle w:val="Cuprins1"/>
            <w:tabs>
              <w:tab w:val="right" w:leader="dot" w:pos="9016"/>
            </w:tabs>
            <w:rPr>
              <w:noProof/>
            </w:rPr>
          </w:pPr>
          <w:hyperlink w:anchor="_Toc41997005" w:history="1">
            <w:r w:rsidRPr="005670E7">
              <w:rPr>
                <w:rStyle w:val="Hyperlink"/>
                <w:rFonts w:ascii="Calibri" w:hAnsi="Calibri"/>
                <w:noProof/>
              </w:rPr>
              <w:t>VI. 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_Toc41997005 \h </w:instrText>
            </w:r>
            <w:r>
              <w:rPr>
                <w:noProof/>
                <w:webHidden/>
              </w:rPr>
            </w:r>
            <w:r>
              <w:rPr>
                <w:noProof/>
                <w:webHidden/>
              </w:rPr>
              <w:fldChar w:fldCharType="separate"/>
            </w:r>
            <w:r>
              <w:rPr>
                <w:noProof/>
                <w:webHidden/>
              </w:rPr>
              <w:t>11</w:t>
            </w:r>
            <w:r>
              <w:rPr>
                <w:noProof/>
                <w:webHidden/>
              </w:rPr>
              <w:fldChar w:fldCharType="end"/>
            </w:r>
          </w:hyperlink>
        </w:p>
        <w:p w14:paraId="31D9FDA6" w14:textId="564D872B" w:rsidR="00240393" w:rsidRDefault="00240393">
          <w:pPr>
            <w:pStyle w:val="Cuprins2"/>
            <w:tabs>
              <w:tab w:val="right" w:leader="dot" w:pos="9016"/>
            </w:tabs>
            <w:rPr>
              <w:noProof/>
            </w:rPr>
          </w:pPr>
          <w:hyperlink w:anchor="_Toc41997006" w:history="1">
            <w:r w:rsidRPr="005670E7">
              <w:rPr>
                <w:rStyle w:val="Hyperlink"/>
                <w:rFonts w:ascii="Calibri" w:hAnsi="Calibri"/>
                <w:noProof/>
              </w:rPr>
              <w:t>A. 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_Toc41997006 \h </w:instrText>
            </w:r>
            <w:r>
              <w:rPr>
                <w:noProof/>
                <w:webHidden/>
              </w:rPr>
            </w:r>
            <w:r>
              <w:rPr>
                <w:noProof/>
                <w:webHidden/>
              </w:rPr>
              <w:fldChar w:fldCharType="separate"/>
            </w:r>
            <w:r>
              <w:rPr>
                <w:noProof/>
                <w:webHidden/>
              </w:rPr>
              <w:t>11</w:t>
            </w:r>
            <w:r>
              <w:rPr>
                <w:noProof/>
                <w:webHidden/>
              </w:rPr>
              <w:fldChar w:fldCharType="end"/>
            </w:r>
          </w:hyperlink>
        </w:p>
        <w:p w14:paraId="12E48909" w14:textId="2640D1A6" w:rsidR="00240393" w:rsidRDefault="00240393">
          <w:pPr>
            <w:pStyle w:val="Cuprins2"/>
            <w:tabs>
              <w:tab w:val="right" w:leader="dot" w:pos="9016"/>
            </w:tabs>
            <w:rPr>
              <w:noProof/>
            </w:rPr>
          </w:pPr>
          <w:hyperlink w:anchor="_Toc41997007" w:history="1">
            <w:r w:rsidRPr="005670E7">
              <w:rPr>
                <w:rStyle w:val="Hyperlink"/>
                <w:rFonts w:ascii="Calibri" w:hAnsi="Calibri"/>
                <w:noProof/>
              </w:rPr>
              <w:t>B. Utilizarea resurselor naturale, în special a solului, a terenurilor, a apei și a biodiversității.</w:t>
            </w:r>
            <w:r>
              <w:rPr>
                <w:noProof/>
                <w:webHidden/>
              </w:rPr>
              <w:tab/>
            </w:r>
            <w:r>
              <w:rPr>
                <w:noProof/>
                <w:webHidden/>
              </w:rPr>
              <w:fldChar w:fldCharType="begin"/>
            </w:r>
            <w:r>
              <w:rPr>
                <w:noProof/>
                <w:webHidden/>
              </w:rPr>
              <w:instrText xml:space="preserve"> PAGEREF _Toc41997007 \h </w:instrText>
            </w:r>
            <w:r>
              <w:rPr>
                <w:noProof/>
                <w:webHidden/>
              </w:rPr>
            </w:r>
            <w:r>
              <w:rPr>
                <w:noProof/>
                <w:webHidden/>
              </w:rPr>
              <w:fldChar w:fldCharType="separate"/>
            </w:r>
            <w:r>
              <w:rPr>
                <w:noProof/>
                <w:webHidden/>
              </w:rPr>
              <w:t>14</w:t>
            </w:r>
            <w:r>
              <w:rPr>
                <w:noProof/>
                <w:webHidden/>
              </w:rPr>
              <w:fldChar w:fldCharType="end"/>
            </w:r>
          </w:hyperlink>
        </w:p>
        <w:p w14:paraId="6469D12E" w14:textId="01732B4A" w:rsidR="00240393" w:rsidRDefault="00240393">
          <w:pPr>
            <w:pStyle w:val="Cuprins1"/>
            <w:tabs>
              <w:tab w:val="right" w:leader="dot" w:pos="9016"/>
            </w:tabs>
            <w:rPr>
              <w:noProof/>
            </w:rPr>
          </w:pPr>
          <w:hyperlink w:anchor="_Toc41997008" w:history="1">
            <w:r w:rsidRPr="005670E7">
              <w:rPr>
                <w:rStyle w:val="Hyperlink"/>
                <w:rFonts w:ascii="Calibri" w:hAnsi="Calibri"/>
                <w:noProof/>
              </w:rPr>
              <w:t>VII. Descrierea aspectelor de mediu susceptibile a fi afectate în mod semnificativ de proiect:</w:t>
            </w:r>
            <w:r>
              <w:rPr>
                <w:noProof/>
                <w:webHidden/>
              </w:rPr>
              <w:tab/>
            </w:r>
            <w:r>
              <w:rPr>
                <w:noProof/>
                <w:webHidden/>
              </w:rPr>
              <w:fldChar w:fldCharType="begin"/>
            </w:r>
            <w:r>
              <w:rPr>
                <w:noProof/>
                <w:webHidden/>
              </w:rPr>
              <w:instrText xml:space="preserve"> PAGEREF _Toc41997008 \h </w:instrText>
            </w:r>
            <w:r>
              <w:rPr>
                <w:noProof/>
                <w:webHidden/>
              </w:rPr>
            </w:r>
            <w:r>
              <w:rPr>
                <w:noProof/>
                <w:webHidden/>
              </w:rPr>
              <w:fldChar w:fldCharType="separate"/>
            </w:r>
            <w:r>
              <w:rPr>
                <w:noProof/>
                <w:webHidden/>
              </w:rPr>
              <w:t>14</w:t>
            </w:r>
            <w:r>
              <w:rPr>
                <w:noProof/>
                <w:webHidden/>
              </w:rPr>
              <w:fldChar w:fldCharType="end"/>
            </w:r>
          </w:hyperlink>
        </w:p>
        <w:p w14:paraId="4A8ACF07" w14:textId="0B655ACA" w:rsidR="00240393" w:rsidRDefault="00240393">
          <w:pPr>
            <w:pStyle w:val="Cuprins1"/>
            <w:tabs>
              <w:tab w:val="right" w:leader="dot" w:pos="9016"/>
            </w:tabs>
            <w:rPr>
              <w:noProof/>
            </w:rPr>
          </w:pPr>
          <w:hyperlink w:anchor="_Toc41997009" w:history="1">
            <w:r w:rsidRPr="005670E7">
              <w:rPr>
                <w:rStyle w:val="Hyperlink"/>
                <w:rFonts w:ascii="Calibri" w:hAnsi="Calibri"/>
                <w:noProof/>
              </w:rPr>
              <w:t>VIII. Prevederi pentru monitorizarea mediului:</w:t>
            </w:r>
            <w:r>
              <w:rPr>
                <w:noProof/>
                <w:webHidden/>
              </w:rPr>
              <w:tab/>
            </w:r>
            <w:r>
              <w:rPr>
                <w:noProof/>
                <w:webHidden/>
              </w:rPr>
              <w:fldChar w:fldCharType="begin"/>
            </w:r>
            <w:r>
              <w:rPr>
                <w:noProof/>
                <w:webHidden/>
              </w:rPr>
              <w:instrText xml:space="preserve"> PAGEREF _Toc41997009 \h </w:instrText>
            </w:r>
            <w:r>
              <w:rPr>
                <w:noProof/>
                <w:webHidden/>
              </w:rPr>
            </w:r>
            <w:r>
              <w:rPr>
                <w:noProof/>
                <w:webHidden/>
              </w:rPr>
              <w:fldChar w:fldCharType="separate"/>
            </w:r>
            <w:r>
              <w:rPr>
                <w:noProof/>
                <w:webHidden/>
              </w:rPr>
              <w:t>14</w:t>
            </w:r>
            <w:r>
              <w:rPr>
                <w:noProof/>
                <w:webHidden/>
              </w:rPr>
              <w:fldChar w:fldCharType="end"/>
            </w:r>
          </w:hyperlink>
        </w:p>
        <w:p w14:paraId="4A3524B2" w14:textId="1609D1B1" w:rsidR="00240393" w:rsidRDefault="00240393">
          <w:pPr>
            <w:pStyle w:val="Cuprins1"/>
            <w:tabs>
              <w:tab w:val="right" w:leader="dot" w:pos="9016"/>
            </w:tabs>
            <w:rPr>
              <w:noProof/>
            </w:rPr>
          </w:pPr>
          <w:hyperlink w:anchor="_Toc41997010" w:history="1">
            <w:r w:rsidRPr="005670E7">
              <w:rPr>
                <w:rStyle w:val="Hyperlink"/>
                <w:rFonts w:ascii="Calibri" w:hAnsi="Calibri"/>
                <w:noProof/>
              </w:rPr>
              <w:t>IX. Legătura cu alte acte normative și/sau planuri/programe/strategii/documente de planificare:</w:t>
            </w:r>
            <w:r>
              <w:rPr>
                <w:noProof/>
                <w:webHidden/>
              </w:rPr>
              <w:tab/>
            </w:r>
            <w:r>
              <w:rPr>
                <w:noProof/>
                <w:webHidden/>
              </w:rPr>
              <w:fldChar w:fldCharType="begin"/>
            </w:r>
            <w:r>
              <w:rPr>
                <w:noProof/>
                <w:webHidden/>
              </w:rPr>
              <w:instrText xml:space="preserve"> PAGEREF _Toc41997010 \h </w:instrText>
            </w:r>
            <w:r>
              <w:rPr>
                <w:noProof/>
                <w:webHidden/>
              </w:rPr>
            </w:r>
            <w:r>
              <w:rPr>
                <w:noProof/>
                <w:webHidden/>
              </w:rPr>
              <w:fldChar w:fldCharType="separate"/>
            </w:r>
            <w:r>
              <w:rPr>
                <w:noProof/>
                <w:webHidden/>
              </w:rPr>
              <w:t>14</w:t>
            </w:r>
            <w:r>
              <w:rPr>
                <w:noProof/>
                <w:webHidden/>
              </w:rPr>
              <w:fldChar w:fldCharType="end"/>
            </w:r>
          </w:hyperlink>
        </w:p>
        <w:p w14:paraId="73CDA2BE" w14:textId="17672407" w:rsidR="00240393" w:rsidRDefault="00240393">
          <w:pPr>
            <w:pStyle w:val="Cuprins2"/>
            <w:tabs>
              <w:tab w:val="right" w:leader="dot" w:pos="9016"/>
            </w:tabs>
            <w:rPr>
              <w:noProof/>
            </w:rPr>
          </w:pPr>
          <w:hyperlink w:anchor="_Toc41997011" w:history="1">
            <w:r w:rsidRPr="005670E7">
              <w:rPr>
                <w:rStyle w:val="Hyperlink"/>
                <w:rFonts w:ascii="Calibri" w:hAnsi="Calibri"/>
                <w:noProof/>
              </w:rPr>
              <w:t>A. Se va menționa planul/programul/strategia/documentul de programare/planificare din care face proiectul, cu indicarea actului normativ prin care a fost aprobat.</w:t>
            </w:r>
            <w:r>
              <w:rPr>
                <w:noProof/>
                <w:webHidden/>
              </w:rPr>
              <w:tab/>
            </w:r>
            <w:r>
              <w:rPr>
                <w:noProof/>
                <w:webHidden/>
              </w:rPr>
              <w:fldChar w:fldCharType="begin"/>
            </w:r>
            <w:r>
              <w:rPr>
                <w:noProof/>
                <w:webHidden/>
              </w:rPr>
              <w:instrText xml:space="preserve"> PAGEREF _Toc41997011 \h </w:instrText>
            </w:r>
            <w:r>
              <w:rPr>
                <w:noProof/>
                <w:webHidden/>
              </w:rPr>
            </w:r>
            <w:r>
              <w:rPr>
                <w:noProof/>
                <w:webHidden/>
              </w:rPr>
              <w:fldChar w:fldCharType="separate"/>
            </w:r>
            <w:r>
              <w:rPr>
                <w:noProof/>
                <w:webHidden/>
              </w:rPr>
              <w:t>14</w:t>
            </w:r>
            <w:r>
              <w:rPr>
                <w:noProof/>
                <w:webHidden/>
              </w:rPr>
              <w:fldChar w:fldCharType="end"/>
            </w:r>
          </w:hyperlink>
        </w:p>
        <w:p w14:paraId="32E94A4F" w14:textId="08D5FD4B" w:rsidR="00240393" w:rsidRDefault="00240393">
          <w:pPr>
            <w:pStyle w:val="Cuprins1"/>
            <w:tabs>
              <w:tab w:val="right" w:leader="dot" w:pos="9016"/>
            </w:tabs>
            <w:rPr>
              <w:noProof/>
            </w:rPr>
          </w:pPr>
          <w:hyperlink w:anchor="_Toc41997012" w:history="1">
            <w:r w:rsidRPr="005670E7">
              <w:rPr>
                <w:rStyle w:val="Hyperlink"/>
                <w:rFonts w:ascii="Calibri" w:hAnsi="Calibri"/>
                <w:noProof/>
              </w:rPr>
              <w:t>X. Lucrări necesare organizării de şantier:</w:t>
            </w:r>
            <w:r>
              <w:rPr>
                <w:noProof/>
                <w:webHidden/>
              </w:rPr>
              <w:tab/>
            </w:r>
            <w:r>
              <w:rPr>
                <w:noProof/>
                <w:webHidden/>
              </w:rPr>
              <w:fldChar w:fldCharType="begin"/>
            </w:r>
            <w:r>
              <w:rPr>
                <w:noProof/>
                <w:webHidden/>
              </w:rPr>
              <w:instrText xml:space="preserve"> PAGEREF _Toc41997012 \h </w:instrText>
            </w:r>
            <w:r>
              <w:rPr>
                <w:noProof/>
                <w:webHidden/>
              </w:rPr>
            </w:r>
            <w:r>
              <w:rPr>
                <w:noProof/>
                <w:webHidden/>
              </w:rPr>
              <w:fldChar w:fldCharType="separate"/>
            </w:r>
            <w:r>
              <w:rPr>
                <w:noProof/>
                <w:webHidden/>
              </w:rPr>
              <w:t>15</w:t>
            </w:r>
            <w:r>
              <w:rPr>
                <w:noProof/>
                <w:webHidden/>
              </w:rPr>
              <w:fldChar w:fldCharType="end"/>
            </w:r>
          </w:hyperlink>
        </w:p>
        <w:p w14:paraId="3AD49922" w14:textId="497AD2BD" w:rsidR="00240393" w:rsidRDefault="00240393">
          <w:pPr>
            <w:pStyle w:val="Cuprins1"/>
            <w:tabs>
              <w:tab w:val="right" w:leader="dot" w:pos="9016"/>
            </w:tabs>
            <w:rPr>
              <w:noProof/>
            </w:rPr>
          </w:pPr>
          <w:hyperlink w:anchor="_Toc41997013" w:history="1">
            <w:r w:rsidRPr="005670E7">
              <w:rPr>
                <w:rStyle w:val="Hyperlink"/>
                <w:rFonts w:ascii="Calibri" w:hAnsi="Calibri"/>
                <w:noProof/>
              </w:rPr>
              <w:t>XI. Lucrări de refacere a amplasamentului la finalizarea investiţiei, în caz de accidente şi/sau la încetarea activităţii, în măsura în care aceste informaţii sunt disponibile:</w:t>
            </w:r>
            <w:r>
              <w:rPr>
                <w:noProof/>
                <w:webHidden/>
              </w:rPr>
              <w:tab/>
            </w:r>
            <w:r>
              <w:rPr>
                <w:noProof/>
                <w:webHidden/>
              </w:rPr>
              <w:fldChar w:fldCharType="begin"/>
            </w:r>
            <w:r>
              <w:rPr>
                <w:noProof/>
                <w:webHidden/>
              </w:rPr>
              <w:instrText xml:space="preserve"> PAGEREF _Toc41997013 \h </w:instrText>
            </w:r>
            <w:r>
              <w:rPr>
                <w:noProof/>
                <w:webHidden/>
              </w:rPr>
            </w:r>
            <w:r>
              <w:rPr>
                <w:noProof/>
                <w:webHidden/>
              </w:rPr>
              <w:fldChar w:fldCharType="separate"/>
            </w:r>
            <w:r>
              <w:rPr>
                <w:noProof/>
                <w:webHidden/>
              </w:rPr>
              <w:t>15</w:t>
            </w:r>
            <w:r>
              <w:rPr>
                <w:noProof/>
                <w:webHidden/>
              </w:rPr>
              <w:fldChar w:fldCharType="end"/>
            </w:r>
          </w:hyperlink>
        </w:p>
        <w:p w14:paraId="09037E6D" w14:textId="5ED85318" w:rsidR="00240393" w:rsidRDefault="00240393">
          <w:pPr>
            <w:pStyle w:val="Cuprins1"/>
            <w:tabs>
              <w:tab w:val="right" w:leader="dot" w:pos="9016"/>
            </w:tabs>
            <w:rPr>
              <w:noProof/>
            </w:rPr>
          </w:pPr>
          <w:hyperlink w:anchor="_Toc41997014" w:history="1">
            <w:r w:rsidRPr="005670E7">
              <w:rPr>
                <w:rStyle w:val="Hyperlink"/>
                <w:rFonts w:ascii="Calibri" w:hAnsi="Calibri"/>
                <w:noProof/>
              </w:rPr>
              <w:t>XII. Anexe - piese desenate</w:t>
            </w:r>
            <w:r>
              <w:rPr>
                <w:noProof/>
                <w:webHidden/>
              </w:rPr>
              <w:tab/>
            </w:r>
            <w:r>
              <w:rPr>
                <w:noProof/>
                <w:webHidden/>
              </w:rPr>
              <w:fldChar w:fldCharType="begin"/>
            </w:r>
            <w:r>
              <w:rPr>
                <w:noProof/>
                <w:webHidden/>
              </w:rPr>
              <w:instrText xml:space="preserve"> PAGEREF _Toc41997014 \h </w:instrText>
            </w:r>
            <w:r>
              <w:rPr>
                <w:noProof/>
                <w:webHidden/>
              </w:rPr>
            </w:r>
            <w:r>
              <w:rPr>
                <w:noProof/>
                <w:webHidden/>
              </w:rPr>
              <w:fldChar w:fldCharType="separate"/>
            </w:r>
            <w:r>
              <w:rPr>
                <w:noProof/>
                <w:webHidden/>
              </w:rPr>
              <w:t>15</w:t>
            </w:r>
            <w:r>
              <w:rPr>
                <w:noProof/>
                <w:webHidden/>
              </w:rPr>
              <w:fldChar w:fldCharType="end"/>
            </w:r>
          </w:hyperlink>
        </w:p>
        <w:p w14:paraId="6615E39A" w14:textId="230DB0D2" w:rsidR="00240393" w:rsidRDefault="00240393">
          <w:pPr>
            <w:pStyle w:val="Cuprins1"/>
            <w:tabs>
              <w:tab w:val="right" w:leader="dot" w:pos="9016"/>
            </w:tabs>
            <w:rPr>
              <w:noProof/>
            </w:rPr>
          </w:pPr>
          <w:hyperlink w:anchor="_Toc41997015" w:history="1">
            <w:r w:rsidRPr="005670E7">
              <w:rPr>
                <w:rStyle w:val="Hyperlink"/>
                <w:rFonts w:ascii="Calibri" w:hAnsi="Calibri"/>
                <w:noProof/>
              </w:rPr>
              <w:t>XII.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Pr>
                <w:noProof/>
                <w:webHidden/>
              </w:rPr>
              <w:tab/>
            </w:r>
            <w:r>
              <w:rPr>
                <w:noProof/>
                <w:webHidden/>
              </w:rPr>
              <w:fldChar w:fldCharType="begin"/>
            </w:r>
            <w:r>
              <w:rPr>
                <w:noProof/>
                <w:webHidden/>
              </w:rPr>
              <w:instrText xml:space="preserve"> PAGEREF _Toc41997015 \h </w:instrText>
            </w:r>
            <w:r>
              <w:rPr>
                <w:noProof/>
                <w:webHidden/>
              </w:rPr>
            </w:r>
            <w:r>
              <w:rPr>
                <w:noProof/>
                <w:webHidden/>
              </w:rPr>
              <w:fldChar w:fldCharType="separate"/>
            </w:r>
            <w:r>
              <w:rPr>
                <w:noProof/>
                <w:webHidden/>
              </w:rPr>
              <w:t>16</w:t>
            </w:r>
            <w:r>
              <w:rPr>
                <w:noProof/>
                <w:webHidden/>
              </w:rPr>
              <w:fldChar w:fldCharType="end"/>
            </w:r>
          </w:hyperlink>
        </w:p>
        <w:p w14:paraId="2638E7DF" w14:textId="70C97A23" w:rsidR="00FD566B" w:rsidRDefault="000D1FC2">
          <w:pPr>
            <w:pStyle w:val="Cuprins1"/>
            <w:tabs>
              <w:tab w:val="right" w:leader="dot" w:pos="9026"/>
            </w:tabs>
          </w:pPr>
          <w:r>
            <w:rPr>
              <w:rStyle w:val="IndexLink"/>
            </w:rPr>
            <w:fldChar w:fldCharType="end"/>
          </w:r>
        </w:p>
      </w:sdtContent>
    </w:sdt>
    <w:p w14:paraId="70240A02" w14:textId="77777777" w:rsidR="00FD566B" w:rsidRDefault="00FD566B">
      <w:pPr>
        <w:jc w:val="both"/>
        <w:rPr>
          <w:rFonts w:ascii="Calibri" w:hAnsi="Calibri"/>
          <w:sz w:val="24"/>
          <w:szCs w:val="24"/>
        </w:rPr>
      </w:pPr>
    </w:p>
    <w:p w14:paraId="31A0F12E" w14:textId="77777777" w:rsidR="00FD566B" w:rsidRDefault="00FD566B">
      <w:pPr>
        <w:jc w:val="both"/>
        <w:rPr>
          <w:rFonts w:ascii="Calibri" w:hAnsi="Calibri"/>
          <w:sz w:val="24"/>
          <w:szCs w:val="24"/>
        </w:rPr>
      </w:pPr>
    </w:p>
    <w:p w14:paraId="06512E55" w14:textId="77777777" w:rsidR="00FD566B" w:rsidRDefault="000D1FC2">
      <w:pPr>
        <w:jc w:val="both"/>
        <w:rPr>
          <w:rFonts w:ascii="Calibri" w:hAnsi="Calibri"/>
          <w:sz w:val="24"/>
          <w:szCs w:val="24"/>
        </w:rPr>
        <w:sectPr w:rsidR="00FD566B">
          <w:pgSz w:w="11906" w:h="16838"/>
          <w:pgMar w:top="1440" w:right="1440" w:bottom="1440" w:left="1440" w:header="0" w:footer="0" w:gutter="0"/>
          <w:cols w:space="720"/>
          <w:formProt w:val="0"/>
          <w:docGrid w:linePitch="360" w:charSpace="4096"/>
        </w:sectPr>
      </w:pPr>
      <w:r>
        <w:rPr>
          <w:sz w:val="24"/>
          <w:szCs w:val="24"/>
        </w:rPr>
        <w:br/>
      </w:r>
    </w:p>
    <w:p w14:paraId="736B2454" w14:textId="77777777" w:rsidR="00FD566B" w:rsidRDefault="000D1FC2">
      <w:pPr>
        <w:pStyle w:val="Titlu1"/>
        <w:jc w:val="both"/>
        <w:rPr>
          <w:rFonts w:ascii="Calibri" w:hAnsi="Calibri"/>
          <w:sz w:val="24"/>
          <w:szCs w:val="24"/>
        </w:rPr>
      </w:pPr>
      <w:bookmarkStart w:id="0" w:name="_Toc3992726"/>
      <w:bookmarkStart w:id="1" w:name="_Toc41997000"/>
      <w:r>
        <w:rPr>
          <w:rFonts w:ascii="Calibri" w:hAnsi="Calibri"/>
          <w:b w:val="0"/>
          <w:bCs w:val="0"/>
          <w:sz w:val="24"/>
          <w:szCs w:val="24"/>
        </w:rPr>
        <w:lastRenderedPageBreak/>
        <w:t>I.</w:t>
      </w:r>
      <w:r>
        <w:rPr>
          <w:rFonts w:ascii="Calibri" w:hAnsi="Calibri"/>
          <w:sz w:val="24"/>
          <w:szCs w:val="24"/>
        </w:rPr>
        <w:t xml:space="preserve"> Denumirea proiectului:</w:t>
      </w:r>
      <w:bookmarkEnd w:id="0"/>
      <w:bookmarkEnd w:id="1"/>
      <w:r>
        <w:rPr>
          <w:rFonts w:ascii="Calibri" w:hAnsi="Calibri"/>
          <w:sz w:val="24"/>
          <w:szCs w:val="24"/>
        </w:rPr>
        <w:t xml:space="preserve"> </w:t>
      </w:r>
    </w:p>
    <w:p w14:paraId="705DA638" w14:textId="77777777" w:rsidR="00FD566B" w:rsidRDefault="000D1FC2">
      <w:pPr>
        <w:jc w:val="both"/>
        <w:rPr>
          <w:rFonts w:ascii="Calibri" w:hAnsi="Calibri"/>
          <w:sz w:val="24"/>
          <w:szCs w:val="24"/>
        </w:rPr>
      </w:pPr>
      <w:r>
        <w:rPr>
          <w:b/>
          <w:sz w:val="24"/>
          <w:szCs w:val="24"/>
        </w:rPr>
        <w:t>Exploatare nisipi și pietriș din terasă – Permie</w:t>
      </w:r>
      <w:r>
        <w:rPr>
          <w:b/>
          <w:sz w:val="24"/>
          <w:szCs w:val="24"/>
        </w:rPr>
        <w:t>tru GELMAR EST</w:t>
      </w:r>
    </w:p>
    <w:p w14:paraId="53BEAE59" w14:textId="49E4A8C9" w:rsidR="00FD566B" w:rsidRDefault="000D1FC2">
      <w:pPr>
        <w:jc w:val="both"/>
        <w:rPr>
          <w:rFonts w:ascii="Calibri" w:hAnsi="Calibri"/>
          <w:sz w:val="24"/>
          <w:szCs w:val="24"/>
        </w:rPr>
      </w:pPr>
      <w:r>
        <w:rPr>
          <w:sz w:val="24"/>
          <w:szCs w:val="24"/>
        </w:rPr>
        <w:t>Activitatea propusă are cod CAEN 0812- extracția nisipului și pietrișului se încadrează în anexa 2 la HG 445/2009.</w:t>
      </w:r>
    </w:p>
    <w:p w14:paraId="55337DD9" w14:textId="77777777" w:rsidR="00FD566B" w:rsidRDefault="000D1FC2">
      <w:pPr>
        <w:pStyle w:val="Titlu1"/>
        <w:jc w:val="both"/>
        <w:rPr>
          <w:rFonts w:ascii="Calibri" w:hAnsi="Calibri"/>
          <w:sz w:val="24"/>
          <w:szCs w:val="24"/>
        </w:rPr>
      </w:pPr>
      <w:bookmarkStart w:id="2" w:name="_Toc3992727"/>
      <w:bookmarkStart w:id="3" w:name="_Toc41997001"/>
      <w:r>
        <w:rPr>
          <w:rFonts w:ascii="Calibri" w:hAnsi="Calibri"/>
          <w:sz w:val="24"/>
          <w:szCs w:val="24"/>
        </w:rPr>
        <w:t>II. Titular</w:t>
      </w:r>
      <w:bookmarkEnd w:id="2"/>
      <w:bookmarkEnd w:id="3"/>
      <w:r>
        <w:rPr>
          <w:rFonts w:ascii="Calibri" w:hAnsi="Calibri"/>
          <w:sz w:val="24"/>
          <w:szCs w:val="24"/>
        </w:rPr>
        <w:t xml:space="preserve"> </w:t>
      </w:r>
    </w:p>
    <w:p w14:paraId="336FCECA" w14:textId="77777777" w:rsidR="00FD566B" w:rsidRDefault="000D1FC2">
      <w:pPr>
        <w:pStyle w:val="Listparagraf"/>
        <w:ind w:left="360"/>
        <w:jc w:val="both"/>
        <w:rPr>
          <w:rFonts w:ascii="Calibri" w:hAnsi="Calibri"/>
          <w:sz w:val="24"/>
          <w:szCs w:val="24"/>
        </w:rPr>
      </w:pPr>
      <w:r>
        <w:rPr>
          <w:sz w:val="24"/>
          <w:szCs w:val="24"/>
        </w:rPr>
        <w:t>Numele companiei:</w:t>
      </w:r>
      <w:r>
        <w:rPr>
          <w:i/>
          <w:sz w:val="24"/>
          <w:szCs w:val="24"/>
        </w:rPr>
        <w:t xml:space="preserve"> </w:t>
      </w:r>
      <w:r>
        <w:rPr>
          <w:b/>
          <w:bCs/>
          <w:sz w:val="24"/>
          <w:szCs w:val="24"/>
        </w:rPr>
        <w:t>S.C. ELIS AGREGATE S.R.L</w:t>
      </w:r>
    </w:p>
    <w:p w14:paraId="635CF6DE" w14:textId="77777777" w:rsidR="00FD566B" w:rsidRDefault="000D1FC2">
      <w:pPr>
        <w:pStyle w:val="Listparagraf"/>
        <w:ind w:left="360"/>
        <w:jc w:val="both"/>
        <w:rPr>
          <w:rFonts w:ascii="Calibri" w:hAnsi="Calibri"/>
          <w:sz w:val="24"/>
          <w:szCs w:val="24"/>
        </w:rPr>
      </w:pPr>
      <w:r>
        <w:rPr>
          <w:sz w:val="24"/>
          <w:szCs w:val="24"/>
        </w:rPr>
        <w:t>Adresa poștală</w:t>
      </w:r>
      <w:r>
        <w:rPr>
          <w:i/>
          <w:sz w:val="24"/>
          <w:szCs w:val="24"/>
        </w:rPr>
        <w:t xml:space="preserve">: </w:t>
      </w:r>
      <w:r>
        <w:rPr>
          <w:rFonts w:cstheme="minorHAnsi"/>
          <w:b/>
          <w:bCs/>
          <w:sz w:val="24"/>
          <w:szCs w:val="24"/>
        </w:rPr>
        <w:t>Localitatea Petrești, Municipiul Sebeș, strada Zorilor</w:t>
      </w:r>
      <w:r>
        <w:rPr>
          <w:rFonts w:cstheme="minorHAnsi"/>
          <w:b/>
          <w:bCs/>
          <w:sz w:val="24"/>
          <w:szCs w:val="24"/>
        </w:rPr>
        <w:t xml:space="preserve">, nr.1, județul Alba, </w:t>
      </w:r>
    </w:p>
    <w:p w14:paraId="00779A8A" w14:textId="77777777" w:rsidR="00FD566B" w:rsidRDefault="000D1FC2">
      <w:pPr>
        <w:pStyle w:val="Listparagraf"/>
        <w:ind w:left="360"/>
        <w:jc w:val="both"/>
        <w:rPr>
          <w:rFonts w:ascii="Calibri" w:hAnsi="Calibri"/>
          <w:sz w:val="24"/>
          <w:szCs w:val="24"/>
        </w:rPr>
      </w:pPr>
      <w:r>
        <w:rPr>
          <w:sz w:val="24"/>
          <w:szCs w:val="24"/>
        </w:rPr>
        <w:t>Numărul de telefon, de fax și adresa de e-mail, adresa paginii de internet:</w:t>
      </w:r>
      <w:r>
        <w:rPr>
          <w:rFonts w:cstheme="minorHAnsi"/>
          <w:b/>
          <w:bCs/>
          <w:sz w:val="24"/>
          <w:szCs w:val="24"/>
        </w:rPr>
        <w:t xml:space="preserve"> 0744678799.</w:t>
      </w:r>
    </w:p>
    <w:p w14:paraId="0770453A" w14:textId="77777777" w:rsidR="00FD566B" w:rsidRDefault="000D1FC2">
      <w:pPr>
        <w:pStyle w:val="Listparagraf"/>
        <w:ind w:left="360"/>
        <w:jc w:val="both"/>
        <w:rPr>
          <w:rFonts w:ascii="Calibri" w:hAnsi="Calibri"/>
          <w:sz w:val="24"/>
          <w:szCs w:val="24"/>
        </w:rPr>
      </w:pPr>
      <w:r>
        <w:rPr>
          <w:rFonts w:cstheme="minorHAnsi"/>
          <w:sz w:val="24"/>
          <w:szCs w:val="24"/>
        </w:rPr>
        <w:t xml:space="preserve">nr. RC: </w:t>
      </w:r>
      <w:r>
        <w:rPr>
          <w:rFonts w:cstheme="minorHAnsi"/>
          <w:b/>
          <w:bCs/>
          <w:sz w:val="24"/>
          <w:szCs w:val="24"/>
        </w:rPr>
        <w:t>J01/763/05.09.2003</w:t>
      </w:r>
    </w:p>
    <w:p w14:paraId="791C722C" w14:textId="77777777" w:rsidR="00FD566B" w:rsidRDefault="000D1FC2">
      <w:pPr>
        <w:pStyle w:val="Listparagraf"/>
        <w:ind w:left="360"/>
        <w:jc w:val="both"/>
        <w:rPr>
          <w:rFonts w:ascii="Calibri" w:hAnsi="Calibri"/>
          <w:sz w:val="24"/>
          <w:szCs w:val="24"/>
        </w:rPr>
      </w:pPr>
      <w:r>
        <w:rPr>
          <w:rFonts w:cstheme="minorHAnsi"/>
          <w:sz w:val="24"/>
          <w:szCs w:val="24"/>
        </w:rPr>
        <w:t xml:space="preserve">CUI: </w:t>
      </w:r>
      <w:r>
        <w:rPr>
          <w:rFonts w:cstheme="minorHAnsi"/>
          <w:b/>
          <w:bCs/>
          <w:sz w:val="24"/>
          <w:szCs w:val="24"/>
        </w:rPr>
        <w:t>15727075</w:t>
      </w:r>
    </w:p>
    <w:p w14:paraId="5354FEDA" w14:textId="77777777" w:rsidR="00FD566B" w:rsidRDefault="000D1FC2">
      <w:pPr>
        <w:pStyle w:val="Listparagraf"/>
        <w:spacing w:line="240" w:lineRule="auto"/>
        <w:ind w:left="2520"/>
        <w:jc w:val="both"/>
        <w:rPr>
          <w:rFonts w:ascii="Calibri" w:hAnsi="Calibri"/>
          <w:sz w:val="24"/>
          <w:szCs w:val="24"/>
        </w:rPr>
      </w:pPr>
      <w:r>
        <w:rPr>
          <w:sz w:val="24"/>
          <w:szCs w:val="24"/>
        </w:rPr>
        <w:t>Numele persoanelor de contact:</w:t>
      </w:r>
    </w:p>
    <w:p w14:paraId="7EC1D2F9" w14:textId="77777777" w:rsidR="00FD566B" w:rsidRDefault="000D1FC2">
      <w:pPr>
        <w:spacing w:after="0" w:line="240" w:lineRule="auto"/>
        <w:ind w:left="360"/>
        <w:jc w:val="both"/>
        <w:rPr>
          <w:rFonts w:ascii="Calibri" w:hAnsi="Calibri"/>
          <w:sz w:val="24"/>
          <w:szCs w:val="24"/>
        </w:rPr>
      </w:pPr>
      <w:r>
        <w:rPr>
          <w:rFonts w:cstheme="minorHAnsi"/>
          <w:sz w:val="24"/>
          <w:szCs w:val="24"/>
        </w:rPr>
        <w:t>Numele persoanelor de contact: Goța Elisiu- Administrator</w:t>
      </w:r>
    </w:p>
    <w:p w14:paraId="6CC79C3B" w14:textId="77777777" w:rsidR="00FD566B" w:rsidRDefault="000D1FC2">
      <w:pPr>
        <w:spacing w:after="0"/>
        <w:ind w:left="360"/>
        <w:jc w:val="both"/>
        <w:rPr>
          <w:rFonts w:ascii="Calibri" w:hAnsi="Calibri"/>
          <w:sz w:val="24"/>
          <w:szCs w:val="24"/>
        </w:rPr>
      </w:pPr>
      <w:r>
        <w:rPr>
          <w:rFonts w:cstheme="minorHAnsi"/>
          <w:sz w:val="24"/>
          <w:szCs w:val="24"/>
        </w:rPr>
        <w:t>Telefon: +40 258 743 682; Fax: 0258 743284; E-mail: office@elis.ro</w:t>
      </w:r>
    </w:p>
    <w:p w14:paraId="40C1745A" w14:textId="77777777" w:rsidR="00FD566B" w:rsidRDefault="000D1FC2">
      <w:pPr>
        <w:spacing w:after="0"/>
        <w:ind w:left="1080"/>
        <w:jc w:val="both"/>
        <w:rPr>
          <w:rFonts w:ascii="Calibri" w:hAnsi="Calibri"/>
          <w:sz w:val="24"/>
          <w:szCs w:val="24"/>
        </w:rPr>
      </w:pPr>
      <w:r>
        <w:rPr>
          <w:rFonts w:cstheme="minorHAnsi"/>
          <w:i/>
          <w:sz w:val="24"/>
          <w:szCs w:val="24"/>
        </w:rPr>
        <w:t>Responsabil pentru protecția mediului: Cristina Regrut</w:t>
      </w:r>
      <w:r>
        <w:rPr>
          <w:rFonts w:cstheme="minorHAnsi"/>
          <w:i/>
          <w:sz w:val="24"/>
          <w:szCs w:val="24"/>
        </w:rPr>
        <w:tab/>
      </w:r>
    </w:p>
    <w:p w14:paraId="58997058" w14:textId="77777777" w:rsidR="00FD566B" w:rsidRDefault="000D1FC2">
      <w:pPr>
        <w:pStyle w:val="Titlu1"/>
        <w:jc w:val="both"/>
        <w:rPr>
          <w:rFonts w:ascii="Calibri" w:hAnsi="Calibri"/>
          <w:sz w:val="24"/>
          <w:szCs w:val="24"/>
        </w:rPr>
      </w:pPr>
      <w:bookmarkStart w:id="4" w:name="_Toc3992728"/>
      <w:bookmarkStart w:id="5" w:name="_Toc41997002"/>
      <w:r>
        <w:rPr>
          <w:rFonts w:ascii="Calibri" w:hAnsi="Calibri"/>
          <w:sz w:val="24"/>
          <w:szCs w:val="24"/>
        </w:rPr>
        <w:t>III. Descrierea caracteristicilor fizice ale întregului proiect:</w:t>
      </w:r>
      <w:bookmarkEnd w:id="4"/>
      <w:bookmarkEnd w:id="5"/>
      <w:r>
        <w:rPr>
          <w:rFonts w:ascii="Calibri" w:hAnsi="Calibri"/>
          <w:sz w:val="24"/>
          <w:szCs w:val="24"/>
        </w:rPr>
        <w:t xml:space="preserve"> </w:t>
      </w:r>
    </w:p>
    <w:p w14:paraId="1177BD08" w14:textId="77777777" w:rsidR="00FD566B" w:rsidRDefault="000D1FC2">
      <w:pPr>
        <w:jc w:val="both"/>
        <w:rPr>
          <w:rFonts w:ascii="Calibri" w:hAnsi="Calibri"/>
          <w:sz w:val="24"/>
          <w:szCs w:val="24"/>
        </w:rPr>
      </w:pPr>
      <w:r>
        <w:rPr>
          <w:rFonts w:cstheme="minorHAnsi"/>
          <w:sz w:val="24"/>
          <w:szCs w:val="24"/>
        </w:rPr>
        <w:t xml:space="preserve">Permietrul de exploatare Gelmar Est este situat în zona cu destinație agricolă a satului Gelmar. Suprafața de teren este de  </w:t>
      </w:r>
      <w:bookmarkStart w:id="6" w:name="__DdeLink__2451_2188114247"/>
      <w:r>
        <w:rPr>
          <w:rFonts w:cstheme="minorHAnsi"/>
          <w:sz w:val="24"/>
          <w:szCs w:val="24"/>
        </w:rPr>
        <w:t>43446.069 m</w:t>
      </w:r>
      <w:r>
        <w:rPr>
          <w:rFonts w:cstheme="minorHAnsi"/>
          <w:sz w:val="24"/>
          <w:szCs w:val="24"/>
          <w:vertAlign w:val="superscript"/>
        </w:rPr>
        <w:t>2</w:t>
      </w:r>
      <w:bookmarkEnd w:id="6"/>
      <w:r>
        <w:rPr>
          <w:rFonts w:cstheme="minorHAnsi"/>
          <w:sz w:val="24"/>
          <w:szCs w:val="24"/>
        </w:rPr>
        <w:t>.</w:t>
      </w:r>
    </w:p>
    <w:p w14:paraId="399BA650" w14:textId="77777777" w:rsidR="00FD566B" w:rsidRDefault="000D1FC2">
      <w:pPr>
        <w:jc w:val="both"/>
        <w:rPr>
          <w:rFonts w:ascii="Calibri" w:hAnsi="Calibri"/>
          <w:sz w:val="24"/>
          <w:szCs w:val="24"/>
        </w:rPr>
      </w:pPr>
      <w:r>
        <w:rPr>
          <w:rFonts w:cstheme="minorHAnsi"/>
          <w:sz w:val="24"/>
          <w:szCs w:val="24"/>
        </w:rPr>
        <w:t>Conform Certificatuui de Urbanism nr. 8/02.04.2020 emis de Primăria Orașului Geoagiu, amplasamentul propus este situa</w:t>
      </w:r>
      <w:r>
        <w:rPr>
          <w:rFonts w:cstheme="minorHAnsi"/>
          <w:sz w:val="24"/>
          <w:szCs w:val="24"/>
        </w:rPr>
        <w:t>t în extravilanul satului Gelmar, având folosința agricolă.</w:t>
      </w:r>
    </w:p>
    <w:p w14:paraId="23480CB4" w14:textId="77777777" w:rsidR="00FD566B" w:rsidRDefault="000D1FC2">
      <w:pPr>
        <w:jc w:val="both"/>
        <w:rPr>
          <w:rFonts w:ascii="Calibri" w:hAnsi="Calibri"/>
          <w:sz w:val="24"/>
          <w:szCs w:val="24"/>
        </w:rPr>
      </w:pPr>
      <w:r>
        <w:rPr>
          <w:rFonts w:cstheme="minorHAnsi"/>
          <w:sz w:val="24"/>
          <w:szCs w:val="24"/>
        </w:rPr>
        <w:t>Certificatul de Urbanism nr. 8/02.04.2020 emis de primăria Orașiului Geoagiu, nu specifică nici o restricție de natură ubanistică privitoare la realizarea proiectului propus.</w:t>
      </w:r>
    </w:p>
    <w:p w14:paraId="1E1C0D5D" w14:textId="77777777" w:rsidR="00FD566B" w:rsidRDefault="000D1FC2">
      <w:pPr>
        <w:spacing w:after="0"/>
        <w:jc w:val="both"/>
        <w:rPr>
          <w:rFonts w:ascii="Calibri" w:hAnsi="Calibri"/>
          <w:sz w:val="24"/>
          <w:szCs w:val="24"/>
        </w:rPr>
      </w:pPr>
      <w:r>
        <w:rPr>
          <w:rFonts w:cstheme="minorHAnsi"/>
          <w:sz w:val="24"/>
          <w:szCs w:val="24"/>
        </w:rPr>
        <w:t>Conform Deciziei etap</w:t>
      </w:r>
      <w:r>
        <w:rPr>
          <w:rFonts w:cstheme="minorHAnsi"/>
          <w:sz w:val="24"/>
          <w:szCs w:val="24"/>
        </w:rPr>
        <w:t xml:space="preserve">ei de evaluare inițială nr. 3527  / 30.04.2020 a APM Hunedoara, pe perimetrul de exploatare propus </w:t>
      </w:r>
      <w:r>
        <w:rPr>
          <w:rFonts w:cstheme="minorHAnsi"/>
          <w:b/>
          <w:bCs/>
          <w:sz w:val="24"/>
          <w:szCs w:val="24"/>
        </w:rPr>
        <w:t>nu intră sub incidența</w:t>
      </w:r>
      <w:r>
        <w:rPr>
          <w:rFonts w:cstheme="minorHAnsi"/>
          <w:i/>
          <w:iCs/>
          <w:sz w:val="24"/>
          <w:szCs w:val="24"/>
        </w:rPr>
        <w:t xml:space="preserve"> </w:t>
      </w:r>
    </w:p>
    <w:p w14:paraId="35397690" w14:textId="77777777" w:rsidR="00FD566B" w:rsidRDefault="000D1FC2">
      <w:pPr>
        <w:numPr>
          <w:ilvl w:val="0"/>
          <w:numId w:val="2"/>
        </w:numPr>
        <w:spacing w:after="0"/>
        <w:jc w:val="both"/>
        <w:rPr>
          <w:rFonts w:ascii="Calibri" w:hAnsi="Calibri"/>
          <w:sz w:val="24"/>
          <w:szCs w:val="24"/>
        </w:rPr>
      </w:pPr>
      <w:r>
        <w:rPr>
          <w:rFonts w:cstheme="minorHAnsi"/>
          <w:i/>
          <w:iCs/>
          <w:sz w:val="24"/>
          <w:szCs w:val="24"/>
        </w:rPr>
        <w:t>Legii nr. 292/2018 privind evaluarea impactului anumitor proiecte publice și private asupra mediului</w:t>
      </w:r>
    </w:p>
    <w:p w14:paraId="78863A9D" w14:textId="77777777" w:rsidR="00FD566B" w:rsidRDefault="000D1FC2">
      <w:pPr>
        <w:numPr>
          <w:ilvl w:val="0"/>
          <w:numId w:val="2"/>
        </w:numPr>
        <w:spacing w:after="0"/>
        <w:jc w:val="both"/>
        <w:rPr>
          <w:rFonts w:ascii="Calibri" w:hAnsi="Calibri"/>
          <w:sz w:val="24"/>
          <w:szCs w:val="24"/>
        </w:rPr>
      </w:pPr>
      <w:r>
        <w:rPr>
          <w:rFonts w:cstheme="minorHAnsi"/>
          <w:i/>
          <w:iCs/>
          <w:sz w:val="24"/>
          <w:szCs w:val="24"/>
        </w:rPr>
        <w:t>Ariticolului 28 din Ordonanța de</w:t>
      </w:r>
      <w:r>
        <w:rPr>
          <w:rFonts w:cstheme="minorHAnsi"/>
          <w:i/>
          <w:iCs/>
          <w:sz w:val="24"/>
          <w:szCs w:val="24"/>
        </w:rPr>
        <w:t xml:space="preserve"> urgență a Guvernului nr. 57/2007, privind regimul arilor protejate, conservarea habitatelor naturale, a florei  și faunei sălbatice, aprobată și completări prin Legea nr.49/2011 cu modificările și completările ulterioare.</w:t>
      </w:r>
    </w:p>
    <w:p w14:paraId="5083A41A" w14:textId="77777777" w:rsidR="00FD566B" w:rsidRDefault="000D1FC2">
      <w:pPr>
        <w:numPr>
          <w:ilvl w:val="0"/>
          <w:numId w:val="2"/>
        </w:numPr>
        <w:spacing w:after="0"/>
        <w:jc w:val="both"/>
        <w:rPr>
          <w:rFonts w:ascii="Calibri" w:hAnsi="Calibri"/>
          <w:sz w:val="24"/>
          <w:szCs w:val="24"/>
        </w:rPr>
      </w:pPr>
      <w:r>
        <w:rPr>
          <w:rFonts w:cstheme="minorHAnsi"/>
          <w:i/>
          <w:iCs/>
          <w:sz w:val="24"/>
          <w:szCs w:val="24"/>
        </w:rPr>
        <w:t>Prevederilor nr.48 și 54 din Lege</w:t>
      </w:r>
      <w:r>
        <w:rPr>
          <w:rFonts w:cstheme="minorHAnsi"/>
          <w:i/>
          <w:iCs/>
          <w:sz w:val="24"/>
          <w:szCs w:val="24"/>
        </w:rPr>
        <w:t>a apelor nr. 107/1996 cu modificările și completările ulterioare.</w:t>
      </w:r>
    </w:p>
    <w:p w14:paraId="653B5814" w14:textId="77777777" w:rsidR="00FD566B" w:rsidRDefault="00FD566B">
      <w:pPr>
        <w:spacing w:after="0"/>
        <w:jc w:val="both"/>
        <w:rPr>
          <w:rFonts w:cstheme="minorHAnsi"/>
          <w:i/>
          <w:iCs/>
        </w:rPr>
      </w:pPr>
    </w:p>
    <w:p w14:paraId="30AEE0EA" w14:textId="77777777" w:rsidR="00FD566B" w:rsidRDefault="00FD566B">
      <w:pPr>
        <w:spacing w:after="0"/>
        <w:jc w:val="both"/>
        <w:rPr>
          <w:rFonts w:cstheme="minorHAnsi"/>
          <w:i/>
          <w:iCs/>
        </w:rPr>
      </w:pPr>
    </w:p>
    <w:p w14:paraId="3FF74F31" w14:textId="77777777" w:rsidR="00FD566B" w:rsidRDefault="00FD566B">
      <w:pPr>
        <w:spacing w:after="0"/>
        <w:jc w:val="both"/>
        <w:rPr>
          <w:rFonts w:cstheme="minorHAnsi"/>
          <w:i/>
          <w:iCs/>
        </w:rPr>
      </w:pPr>
    </w:p>
    <w:p w14:paraId="0DA5F102" w14:textId="77777777" w:rsidR="00FD566B" w:rsidRDefault="00FD566B">
      <w:pPr>
        <w:spacing w:after="0"/>
        <w:jc w:val="both"/>
        <w:rPr>
          <w:rFonts w:cstheme="minorHAnsi"/>
          <w:i/>
          <w:iCs/>
        </w:rPr>
      </w:pPr>
    </w:p>
    <w:p w14:paraId="321B83EA" w14:textId="77777777" w:rsidR="00FD566B" w:rsidRDefault="000D1FC2">
      <w:pPr>
        <w:pStyle w:val="Listparagraf"/>
        <w:jc w:val="both"/>
        <w:rPr>
          <w:rFonts w:ascii="Calibri" w:hAnsi="Calibri"/>
          <w:sz w:val="24"/>
          <w:szCs w:val="24"/>
        </w:rPr>
      </w:pPr>
      <w:r>
        <w:rPr>
          <w:sz w:val="24"/>
          <w:szCs w:val="24"/>
        </w:rPr>
        <w:lastRenderedPageBreak/>
        <w:t>Lucrările proiectate se vor desfășura într-un perimetru de exploatare situat în zona agricolă a satului Gelmar, delimitat de următoarele puncte de coordonare STEREO 70:</w:t>
      </w:r>
    </w:p>
    <w:tbl>
      <w:tblPr>
        <w:tblW w:w="5673" w:type="dxa"/>
        <w:tblInd w:w="1792" w:type="dxa"/>
        <w:tblCellMar>
          <w:top w:w="55" w:type="dxa"/>
          <w:left w:w="55" w:type="dxa"/>
          <w:bottom w:w="55" w:type="dxa"/>
          <w:right w:w="55" w:type="dxa"/>
        </w:tblCellMar>
        <w:tblLook w:val="04A0" w:firstRow="1" w:lastRow="0" w:firstColumn="1" w:lastColumn="0" w:noHBand="0" w:noVBand="1"/>
      </w:tblPr>
      <w:tblGrid>
        <w:gridCol w:w="1418"/>
        <w:gridCol w:w="1977"/>
        <w:gridCol w:w="2278"/>
      </w:tblGrid>
      <w:tr w:rsidR="00FD566B" w14:paraId="093A3066" w14:textId="77777777">
        <w:tc>
          <w:tcPr>
            <w:tcW w:w="1418" w:type="dxa"/>
            <w:tcBorders>
              <w:top w:val="single" w:sz="2" w:space="0" w:color="000000"/>
              <w:left w:val="single" w:sz="2" w:space="0" w:color="000000"/>
              <w:bottom w:val="single" w:sz="2" w:space="0" w:color="000000"/>
            </w:tcBorders>
            <w:shd w:val="clear" w:color="auto" w:fill="auto"/>
          </w:tcPr>
          <w:p w14:paraId="64A06599" w14:textId="77777777" w:rsidR="00FD566B" w:rsidRDefault="000D1FC2">
            <w:pPr>
              <w:pStyle w:val="TableContents"/>
              <w:rPr>
                <w:rFonts w:ascii="Calibri" w:hAnsi="Calibri"/>
                <w:sz w:val="24"/>
                <w:szCs w:val="24"/>
              </w:rPr>
            </w:pPr>
            <w:r>
              <w:rPr>
                <w:sz w:val="24"/>
                <w:szCs w:val="24"/>
              </w:rPr>
              <w:t>Pct.</w:t>
            </w:r>
          </w:p>
        </w:tc>
        <w:tc>
          <w:tcPr>
            <w:tcW w:w="1977" w:type="dxa"/>
            <w:tcBorders>
              <w:top w:val="single" w:sz="2" w:space="0" w:color="000000"/>
              <w:left w:val="single" w:sz="2" w:space="0" w:color="000000"/>
              <w:bottom w:val="single" w:sz="2" w:space="0" w:color="000000"/>
            </w:tcBorders>
            <w:shd w:val="clear" w:color="auto" w:fill="auto"/>
          </w:tcPr>
          <w:p w14:paraId="78668442" w14:textId="77777777" w:rsidR="00FD566B" w:rsidRDefault="000D1FC2">
            <w:pPr>
              <w:pStyle w:val="TableContents"/>
              <w:spacing w:after="0"/>
              <w:rPr>
                <w:rFonts w:ascii="Calibri" w:hAnsi="Calibri"/>
                <w:sz w:val="24"/>
                <w:szCs w:val="24"/>
              </w:rPr>
            </w:pPr>
            <w:r>
              <w:rPr>
                <w:rFonts w:cstheme="minorHAnsi"/>
                <w:sz w:val="24"/>
                <w:szCs w:val="24"/>
              </w:rPr>
              <w:t>X</w:t>
            </w:r>
            <w:r>
              <w:rPr>
                <w:rFonts w:eastAsia="SimSun" w:cstheme="minorHAnsi"/>
                <w:sz w:val="24"/>
                <w:szCs w:val="24"/>
              </w:rPr>
              <w:t>[m]</w:t>
            </w:r>
          </w:p>
        </w:tc>
        <w:tc>
          <w:tcPr>
            <w:tcW w:w="2278" w:type="dxa"/>
            <w:tcBorders>
              <w:top w:val="single" w:sz="2" w:space="0" w:color="000000"/>
              <w:left w:val="single" w:sz="2" w:space="0" w:color="000000"/>
              <w:bottom w:val="single" w:sz="2" w:space="0" w:color="000000"/>
              <w:right w:val="single" w:sz="2" w:space="0" w:color="000000"/>
            </w:tcBorders>
            <w:shd w:val="clear" w:color="auto" w:fill="auto"/>
          </w:tcPr>
          <w:p w14:paraId="0FECC47A" w14:textId="77777777" w:rsidR="00FD566B" w:rsidRDefault="000D1FC2">
            <w:pPr>
              <w:pStyle w:val="TableContents"/>
              <w:spacing w:after="0"/>
              <w:rPr>
                <w:rFonts w:ascii="Calibri" w:hAnsi="Calibri"/>
                <w:sz w:val="24"/>
                <w:szCs w:val="24"/>
              </w:rPr>
            </w:pPr>
            <w:r>
              <w:rPr>
                <w:rFonts w:cstheme="minorHAnsi"/>
                <w:sz w:val="24"/>
                <w:szCs w:val="24"/>
              </w:rPr>
              <w:t>Y</w:t>
            </w:r>
            <w:r>
              <w:rPr>
                <w:rFonts w:eastAsia="SimSun" w:cstheme="minorHAnsi"/>
                <w:sz w:val="24"/>
                <w:szCs w:val="24"/>
              </w:rPr>
              <w:t>[m]</w:t>
            </w:r>
          </w:p>
        </w:tc>
      </w:tr>
      <w:tr w:rsidR="00FD566B" w14:paraId="46972332" w14:textId="77777777">
        <w:tc>
          <w:tcPr>
            <w:tcW w:w="1418" w:type="dxa"/>
            <w:tcBorders>
              <w:left w:val="single" w:sz="2" w:space="0" w:color="000000"/>
              <w:bottom w:val="single" w:sz="2" w:space="0" w:color="000000"/>
            </w:tcBorders>
            <w:shd w:val="clear" w:color="auto" w:fill="auto"/>
          </w:tcPr>
          <w:p w14:paraId="185F75C0" w14:textId="77777777" w:rsidR="00FD566B" w:rsidRDefault="000D1FC2">
            <w:pPr>
              <w:pStyle w:val="TableContents"/>
              <w:rPr>
                <w:rFonts w:ascii="Calibri" w:hAnsi="Calibri"/>
                <w:sz w:val="24"/>
                <w:szCs w:val="24"/>
              </w:rPr>
            </w:pPr>
            <w:r>
              <w:rPr>
                <w:sz w:val="24"/>
                <w:szCs w:val="24"/>
              </w:rPr>
              <w:t>1</w:t>
            </w:r>
          </w:p>
        </w:tc>
        <w:tc>
          <w:tcPr>
            <w:tcW w:w="1977" w:type="dxa"/>
            <w:tcBorders>
              <w:left w:val="single" w:sz="2" w:space="0" w:color="000000"/>
              <w:bottom w:val="single" w:sz="2" w:space="0" w:color="000000"/>
            </w:tcBorders>
            <w:shd w:val="clear" w:color="auto" w:fill="auto"/>
          </w:tcPr>
          <w:p w14:paraId="2134FF2C" w14:textId="77777777" w:rsidR="00FD566B" w:rsidRDefault="000D1FC2">
            <w:pPr>
              <w:spacing w:before="114" w:after="114"/>
              <w:rPr>
                <w:rFonts w:ascii="Calibri" w:hAnsi="Calibri"/>
                <w:sz w:val="24"/>
                <w:szCs w:val="24"/>
              </w:rPr>
            </w:pPr>
            <w:r>
              <w:rPr>
                <w:sz w:val="24"/>
                <w:szCs w:val="24"/>
              </w:rPr>
              <w:t>491582.385</w:t>
            </w:r>
          </w:p>
        </w:tc>
        <w:tc>
          <w:tcPr>
            <w:tcW w:w="2278" w:type="dxa"/>
            <w:tcBorders>
              <w:left w:val="single" w:sz="2" w:space="0" w:color="000000"/>
              <w:bottom w:val="single" w:sz="2" w:space="0" w:color="000000"/>
              <w:right w:val="single" w:sz="2" w:space="0" w:color="000000"/>
            </w:tcBorders>
            <w:shd w:val="clear" w:color="auto" w:fill="auto"/>
          </w:tcPr>
          <w:p w14:paraId="092E0C36" w14:textId="77777777" w:rsidR="00FD566B" w:rsidRDefault="000D1FC2">
            <w:pPr>
              <w:spacing w:before="114" w:after="114"/>
              <w:rPr>
                <w:rFonts w:ascii="Calibri" w:hAnsi="Calibri"/>
                <w:sz w:val="24"/>
                <w:szCs w:val="24"/>
              </w:rPr>
            </w:pPr>
            <w:r>
              <w:rPr>
                <w:sz w:val="24"/>
                <w:szCs w:val="24"/>
              </w:rPr>
              <w:t>363192.494</w:t>
            </w:r>
          </w:p>
        </w:tc>
      </w:tr>
      <w:tr w:rsidR="00FD566B" w14:paraId="68CA221A" w14:textId="77777777">
        <w:tc>
          <w:tcPr>
            <w:tcW w:w="1418" w:type="dxa"/>
            <w:tcBorders>
              <w:left w:val="single" w:sz="2" w:space="0" w:color="000000"/>
              <w:bottom w:val="single" w:sz="2" w:space="0" w:color="000000"/>
            </w:tcBorders>
            <w:shd w:val="clear" w:color="auto" w:fill="auto"/>
          </w:tcPr>
          <w:p w14:paraId="2F2E1C1E" w14:textId="77777777" w:rsidR="00FD566B" w:rsidRDefault="000D1FC2">
            <w:pPr>
              <w:pStyle w:val="TableContents"/>
              <w:rPr>
                <w:rFonts w:ascii="Calibri" w:hAnsi="Calibri"/>
                <w:sz w:val="24"/>
                <w:szCs w:val="24"/>
              </w:rPr>
            </w:pPr>
            <w:r>
              <w:rPr>
                <w:sz w:val="24"/>
                <w:szCs w:val="24"/>
              </w:rPr>
              <w:t>2</w:t>
            </w:r>
          </w:p>
        </w:tc>
        <w:tc>
          <w:tcPr>
            <w:tcW w:w="1977" w:type="dxa"/>
            <w:tcBorders>
              <w:left w:val="single" w:sz="2" w:space="0" w:color="000000"/>
              <w:bottom w:val="single" w:sz="2" w:space="0" w:color="000000"/>
            </w:tcBorders>
            <w:shd w:val="clear" w:color="auto" w:fill="auto"/>
          </w:tcPr>
          <w:p w14:paraId="16F97468" w14:textId="77777777" w:rsidR="00FD566B" w:rsidRDefault="000D1FC2">
            <w:pPr>
              <w:spacing w:before="114" w:after="114"/>
              <w:rPr>
                <w:rFonts w:ascii="Calibri" w:hAnsi="Calibri"/>
                <w:sz w:val="24"/>
                <w:szCs w:val="24"/>
              </w:rPr>
            </w:pPr>
            <w:r>
              <w:rPr>
                <w:sz w:val="24"/>
                <w:szCs w:val="24"/>
              </w:rPr>
              <w:t>491509.661</w:t>
            </w:r>
          </w:p>
        </w:tc>
        <w:tc>
          <w:tcPr>
            <w:tcW w:w="2278" w:type="dxa"/>
            <w:tcBorders>
              <w:left w:val="single" w:sz="2" w:space="0" w:color="000000"/>
              <w:bottom w:val="single" w:sz="2" w:space="0" w:color="000000"/>
              <w:right w:val="single" w:sz="2" w:space="0" w:color="000000"/>
            </w:tcBorders>
            <w:shd w:val="clear" w:color="auto" w:fill="auto"/>
          </w:tcPr>
          <w:p w14:paraId="7AF37486" w14:textId="77777777" w:rsidR="00FD566B" w:rsidRDefault="000D1FC2">
            <w:pPr>
              <w:spacing w:before="114" w:after="114"/>
              <w:rPr>
                <w:rFonts w:ascii="Calibri" w:hAnsi="Calibri"/>
                <w:sz w:val="24"/>
                <w:szCs w:val="24"/>
              </w:rPr>
            </w:pPr>
            <w:r>
              <w:rPr>
                <w:sz w:val="24"/>
                <w:szCs w:val="24"/>
              </w:rPr>
              <w:t>363233.239</w:t>
            </w:r>
            <w:r>
              <w:rPr>
                <w:sz w:val="24"/>
                <w:szCs w:val="24"/>
              </w:rPr>
              <w:tab/>
            </w:r>
          </w:p>
        </w:tc>
      </w:tr>
      <w:tr w:rsidR="00FD566B" w14:paraId="6BDC3D3B" w14:textId="77777777">
        <w:tc>
          <w:tcPr>
            <w:tcW w:w="1418" w:type="dxa"/>
            <w:tcBorders>
              <w:left w:val="single" w:sz="2" w:space="0" w:color="000000"/>
              <w:bottom w:val="single" w:sz="2" w:space="0" w:color="000000"/>
            </w:tcBorders>
            <w:shd w:val="clear" w:color="auto" w:fill="auto"/>
          </w:tcPr>
          <w:p w14:paraId="2D8B2F2A" w14:textId="77777777" w:rsidR="00FD566B" w:rsidRDefault="000D1FC2">
            <w:pPr>
              <w:pStyle w:val="TableContents"/>
              <w:rPr>
                <w:rFonts w:ascii="Calibri" w:hAnsi="Calibri"/>
                <w:sz w:val="24"/>
                <w:szCs w:val="24"/>
              </w:rPr>
            </w:pPr>
            <w:r>
              <w:rPr>
                <w:sz w:val="24"/>
                <w:szCs w:val="24"/>
              </w:rPr>
              <w:t>3</w:t>
            </w:r>
          </w:p>
        </w:tc>
        <w:tc>
          <w:tcPr>
            <w:tcW w:w="1977" w:type="dxa"/>
            <w:tcBorders>
              <w:left w:val="single" w:sz="2" w:space="0" w:color="000000"/>
              <w:bottom w:val="single" w:sz="2" w:space="0" w:color="000000"/>
            </w:tcBorders>
            <w:shd w:val="clear" w:color="auto" w:fill="auto"/>
          </w:tcPr>
          <w:p w14:paraId="4F9D316D" w14:textId="77777777" w:rsidR="00FD566B" w:rsidRDefault="000D1FC2">
            <w:pPr>
              <w:spacing w:before="114" w:after="114"/>
              <w:rPr>
                <w:rFonts w:ascii="Calibri" w:hAnsi="Calibri"/>
                <w:sz w:val="24"/>
                <w:szCs w:val="24"/>
              </w:rPr>
            </w:pPr>
            <w:r>
              <w:rPr>
                <w:sz w:val="24"/>
                <w:szCs w:val="24"/>
              </w:rPr>
              <w:t>491498.552</w:t>
            </w:r>
          </w:p>
        </w:tc>
        <w:tc>
          <w:tcPr>
            <w:tcW w:w="2278" w:type="dxa"/>
            <w:tcBorders>
              <w:left w:val="single" w:sz="2" w:space="0" w:color="000000"/>
              <w:bottom w:val="single" w:sz="2" w:space="0" w:color="000000"/>
              <w:right w:val="single" w:sz="2" w:space="0" w:color="000000"/>
            </w:tcBorders>
            <w:shd w:val="clear" w:color="auto" w:fill="auto"/>
          </w:tcPr>
          <w:p w14:paraId="5C7E1443" w14:textId="77777777" w:rsidR="00FD566B" w:rsidRDefault="000D1FC2">
            <w:pPr>
              <w:spacing w:before="114" w:after="114"/>
              <w:rPr>
                <w:rFonts w:ascii="Calibri" w:hAnsi="Calibri"/>
                <w:sz w:val="24"/>
                <w:szCs w:val="24"/>
              </w:rPr>
            </w:pPr>
            <w:r>
              <w:rPr>
                <w:sz w:val="24"/>
                <w:szCs w:val="24"/>
              </w:rPr>
              <w:t>363239.463</w:t>
            </w:r>
          </w:p>
        </w:tc>
      </w:tr>
      <w:tr w:rsidR="00FD566B" w14:paraId="64D14EC6" w14:textId="77777777">
        <w:tc>
          <w:tcPr>
            <w:tcW w:w="1418" w:type="dxa"/>
            <w:tcBorders>
              <w:left w:val="single" w:sz="2" w:space="0" w:color="000000"/>
              <w:bottom w:val="single" w:sz="2" w:space="0" w:color="000000"/>
            </w:tcBorders>
            <w:shd w:val="clear" w:color="auto" w:fill="auto"/>
          </w:tcPr>
          <w:p w14:paraId="7B25FA0A" w14:textId="77777777" w:rsidR="00FD566B" w:rsidRDefault="000D1FC2">
            <w:pPr>
              <w:pStyle w:val="TableContents"/>
              <w:rPr>
                <w:rFonts w:ascii="Calibri" w:hAnsi="Calibri"/>
                <w:sz w:val="24"/>
                <w:szCs w:val="24"/>
              </w:rPr>
            </w:pPr>
            <w:r>
              <w:rPr>
                <w:sz w:val="24"/>
                <w:szCs w:val="24"/>
              </w:rPr>
              <w:t>4</w:t>
            </w:r>
          </w:p>
        </w:tc>
        <w:tc>
          <w:tcPr>
            <w:tcW w:w="1977" w:type="dxa"/>
            <w:tcBorders>
              <w:left w:val="single" w:sz="2" w:space="0" w:color="000000"/>
              <w:bottom w:val="single" w:sz="2" w:space="0" w:color="000000"/>
            </w:tcBorders>
            <w:shd w:val="clear" w:color="auto" w:fill="auto"/>
          </w:tcPr>
          <w:p w14:paraId="7AF64A57" w14:textId="77777777" w:rsidR="00FD566B" w:rsidRDefault="000D1FC2">
            <w:pPr>
              <w:spacing w:before="114" w:after="114"/>
              <w:rPr>
                <w:rFonts w:ascii="Calibri" w:hAnsi="Calibri"/>
                <w:sz w:val="24"/>
                <w:szCs w:val="24"/>
              </w:rPr>
            </w:pPr>
            <w:r>
              <w:rPr>
                <w:sz w:val="24"/>
                <w:szCs w:val="24"/>
              </w:rPr>
              <w:t>491484.857</w:t>
            </w:r>
          </w:p>
        </w:tc>
        <w:tc>
          <w:tcPr>
            <w:tcW w:w="2278" w:type="dxa"/>
            <w:tcBorders>
              <w:left w:val="single" w:sz="2" w:space="0" w:color="000000"/>
              <w:bottom w:val="single" w:sz="2" w:space="0" w:color="000000"/>
              <w:right w:val="single" w:sz="2" w:space="0" w:color="000000"/>
            </w:tcBorders>
            <w:shd w:val="clear" w:color="auto" w:fill="auto"/>
          </w:tcPr>
          <w:p w14:paraId="558EDD6C" w14:textId="77777777" w:rsidR="00FD566B" w:rsidRDefault="000D1FC2">
            <w:pPr>
              <w:spacing w:before="114" w:after="114"/>
              <w:rPr>
                <w:rFonts w:ascii="Calibri" w:hAnsi="Calibri"/>
                <w:sz w:val="24"/>
                <w:szCs w:val="24"/>
              </w:rPr>
            </w:pPr>
            <w:r>
              <w:rPr>
                <w:sz w:val="24"/>
                <w:szCs w:val="24"/>
              </w:rPr>
              <w:t>363247.136</w:t>
            </w:r>
            <w:r>
              <w:rPr>
                <w:sz w:val="24"/>
                <w:szCs w:val="24"/>
              </w:rPr>
              <w:tab/>
            </w:r>
          </w:p>
        </w:tc>
      </w:tr>
      <w:tr w:rsidR="00FD566B" w14:paraId="1778F0FA" w14:textId="77777777">
        <w:tc>
          <w:tcPr>
            <w:tcW w:w="1418" w:type="dxa"/>
            <w:tcBorders>
              <w:left w:val="single" w:sz="2" w:space="0" w:color="000000"/>
              <w:bottom w:val="single" w:sz="2" w:space="0" w:color="000000"/>
            </w:tcBorders>
            <w:shd w:val="clear" w:color="auto" w:fill="auto"/>
          </w:tcPr>
          <w:p w14:paraId="4CC7FA44" w14:textId="77777777" w:rsidR="00FD566B" w:rsidRDefault="000D1FC2">
            <w:pPr>
              <w:pStyle w:val="TableContents"/>
              <w:rPr>
                <w:rFonts w:ascii="Calibri" w:hAnsi="Calibri"/>
                <w:sz w:val="24"/>
                <w:szCs w:val="24"/>
              </w:rPr>
            </w:pPr>
            <w:r>
              <w:rPr>
                <w:sz w:val="24"/>
                <w:szCs w:val="24"/>
              </w:rPr>
              <w:t>5</w:t>
            </w:r>
          </w:p>
        </w:tc>
        <w:tc>
          <w:tcPr>
            <w:tcW w:w="1977" w:type="dxa"/>
            <w:tcBorders>
              <w:left w:val="single" w:sz="2" w:space="0" w:color="000000"/>
              <w:bottom w:val="single" w:sz="2" w:space="0" w:color="000000"/>
            </w:tcBorders>
            <w:shd w:val="clear" w:color="auto" w:fill="auto"/>
          </w:tcPr>
          <w:p w14:paraId="2ED8D19B" w14:textId="77777777" w:rsidR="00FD566B" w:rsidRDefault="000D1FC2">
            <w:pPr>
              <w:spacing w:before="114" w:after="114"/>
              <w:rPr>
                <w:rFonts w:ascii="Calibri" w:hAnsi="Calibri"/>
                <w:sz w:val="24"/>
                <w:szCs w:val="24"/>
              </w:rPr>
            </w:pPr>
            <w:r>
              <w:rPr>
                <w:sz w:val="24"/>
                <w:szCs w:val="24"/>
              </w:rPr>
              <w:t>491460.677</w:t>
            </w:r>
          </w:p>
        </w:tc>
        <w:tc>
          <w:tcPr>
            <w:tcW w:w="2278" w:type="dxa"/>
            <w:tcBorders>
              <w:left w:val="single" w:sz="2" w:space="0" w:color="000000"/>
              <w:bottom w:val="single" w:sz="2" w:space="0" w:color="000000"/>
              <w:right w:val="single" w:sz="2" w:space="0" w:color="000000"/>
            </w:tcBorders>
            <w:shd w:val="clear" w:color="auto" w:fill="auto"/>
          </w:tcPr>
          <w:p w14:paraId="4EEDE50D" w14:textId="77777777" w:rsidR="00FD566B" w:rsidRDefault="000D1FC2">
            <w:pPr>
              <w:spacing w:before="114" w:after="114"/>
              <w:rPr>
                <w:rFonts w:ascii="Calibri" w:hAnsi="Calibri"/>
                <w:sz w:val="24"/>
                <w:szCs w:val="24"/>
              </w:rPr>
            </w:pPr>
            <w:r>
              <w:rPr>
                <w:sz w:val="24"/>
                <w:szCs w:val="24"/>
              </w:rPr>
              <w:t xml:space="preserve"> 363260.683</w:t>
            </w:r>
          </w:p>
        </w:tc>
      </w:tr>
      <w:tr w:rsidR="00FD566B" w14:paraId="1892EB46" w14:textId="77777777">
        <w:tc>
          <w:tcPr>
            <w:tcW w:w="1418" w:type="dxa"/>
            <w:tcBorders>
              <w:left w:val="single" w:sz="2" w:space="0" w:color="000000"/>
              <w:bottom w:val="single" w:sz="2" w:space="0" w:color="000000"/>
            </w:tcBorders>
            <w:shd w:val="clear" w:color="auto" w:fill="auto"/>
          </w:tcPr>
          <w:p w14:paraId="15C164B7" w14:textId="77777777" w:rsidR="00FD566B" w:rsidRDefault="000D1FC2">
            <w:pPr>
              <w:pStyle w:val="TableContents"/>
              <w:rPr>
                <w:rFonts w:ascii="Calibri" w:hAnsi="Calibri"/>
                <w:sz w:val="24"/>
                <w:szCs w:val="24"/>
              </w:rPr>
            </w:pPr>
            <w:r>
              <w:rPr>
                <w:sz w:val="24"/>
                <w:szCs w:val="24"/>
              </w:rPr>
              <w:t>6</w:t>
            </w:r>
          </w:p>
        </w:tc>
        <w:tc>
          <w:tcPr>
            <w:tcW w:w="1977" w:type="dxa"/>
            <w:tcBorders>
              <w:left w:val="single" w:sz="2" w:space="0" w:color="000000"/>
              <w:bottom w:val="single" w:sz="2" w:space="0" w:color="000000"/>
            </w:tcBorders>
            <w:shd w:val="clear" w:color="auto" w:fill="auto"/>
          </w:tcPr>
          <w:p w14:paraId="3741754E" w14:textId="77777777" w:rsidR="00FD566B" w:rsidRDefault="000D1FC2">
            <w:pPr>
              <w:spacing w:before="114" w:after="114"/>
              <w:rPr>
                <w:rFonts w:ascii="Calibri" w:hAnsi="Calibri"/>
                <w:sz w:val="24"/>
                <w:szCs w:val="24"/>
              </w:rPr>
            </w:pPr>
            <w:r>
              <w:rPr>
                <w:sz w:val="24"/>
                <w:szCs w:val="24"/>
              </w:rPr>
              <w:t>491537.447</w:t>
            </w:r>
          </w:p>
        </w:tc>
        <w:tc>
          <w:tcPr>
            <w:tcW w:w="2278" w:type="dxa"/>
            <w:tcBorders>
              <w:left w:val="single" w:sz="2" w:space="0" w:color="000000"/>
              <w:bottom w:val="single" w:sz="2" w:space="0" w:color="000000"/>
              <w:right w:val="single" w:sz="2" w:space="0" w:color="000000"/>
            </w:tcBorders>
            <w:shd w:val="clear" w:color="auto" w:fill="auto"/>
          </w:tcPr>
          <w:p w14:paraId="653E0D59" w14:textId="77777777" w:rsidR="00FD566B" w:rsidRDefault="000D1FC2">
            <w:pPr>
              <w:spacing w:before="114" w:after="114"/>
              <w:rPr>
                <w:rFonts w:ascii="Calibri" w:hAnsi="Calibri"/>
                <w:sz w:val="24"/>
                <w:szCs w:val="24"/>
              </w:rPr>
            </w:pPr>
            <w:r>
              <w:rPr>
                <w:sz w:val="24"/>
                <w:szCs w:val="24"/>
              </w:rPr>
              <w:t>363374.715</w:t>
            </w:r>
          </w:p>
        </w:tc>
      </w:tr>
      <w:tr w:rsidR="00FD566B" w14:paraId="612CEDF3" w14:textId="77777777">
        <w:tc>
          <w:tcPr>
            <w:tcW w:w="1418" w:type="dxa"/>
            <w:tcBorders>
              <w:left w:val="single" w:sz="2" w:space="0" w:color="000000"/>
              <w:bottom w:val="single" w:sz="2" w:space="0" w:color="000000"/>
            </w:tcBorders>
            <w:shd w:val="clear" w:color="auto" w:fill="auto"/>
          </w:tcPr>
          <w:p w14:paraId="57588B09" w14:textId="77777777" w:rsidR="00FD566B" w:rsidRDefault="000D1FC2">
            <w:pPr>
              <w:pStyle w:val="TableContents"/>
              <w:rPr>
                <w:rFonts w:ascii="Calibri" w:hAnsi="Calibri"/>
                <w:sz w:val="24"/>
                <w:szCs w:val="24"/>
              </w:rPr>
            </w:pPr>
            <w:r>
              <w:rPr>
                <w:sz w:val="24"/>
                <w:szCs w:val="24"/>
              </w:rPr>
              <w:t>7</w:t>
            </w:r>
          </w:p>
        </w:tc>
        <w:tc>
          <w:tcPr>
            <w:tcW w:w="1977" w:type="dxa"/>
            <w:tcBorders>
              <w:left w:val="single" w:sz="2" w:space="0" w:color="000000"/>
              <w:bottom w:val="single" w:sz="2" w:space="0" w:color="000000"/>
            </w:tcBorders>
            <w:shd w:val="clear" w:color="auto" w:fill="auto"/>
          </w:tcPr>
          <w:p w14:paraId="7ADAB15B" w14:textId="77777777" w:rsidR="00FD566B" w:rsidRDefault="000D1FC2">
            <w:pPr>
              <w:spacing w:before="114" w:after="114"/>
              <w:rPr>
                <w:rFonts w:ascii="Calibri" w:hAnsi="Calibri"/>
                <w:sz w:val="24"/>
                <w:szCs w:val="24"/>
              </w:rPr>
            </w:pPr>
            <w:r>
              <w:rPr>
                <w:sz w:val="24"/>
                <w:szCs w:val="24"/>
              </w:rPr>
              <w:t>491699.163</w:t>
            </w:r>
          </w:p>
        </w:tc>
        <w:tc>
          <w:tcPr>
            <w:tcW w:w="2278" w:type="dxa"/>
            <w:tcBorders>
              <w:left w:val="single" w:sz="2" w:space="0" w:color="000000"/>
              <w:bottom w:val="single" w:sz="2" w:space="0" w:color="000000"/>
              <w:right w:val="single" w:sz="2" w:space="0" w:color="000000"/>
            </w:tcBorders>
            <w:shd w:val="clear" w:color="auto" w:fill="auto"/>
          </w:tcPr>
          <w:p w14:paraId="32D2EF23" w14:textId="77777777" w:rsidR="00FD566B" w:rsidRDefault="000D1FC2">
            <w:pPr>
              <w:spacing w:before="114" w:after="114"/>
              <w:rPr>
                <w:rFonts w:ascii="Calibri" w:hAnsi="Calibri"/>
                <w:sz w:val="24"/>
                <w:szCs w:val="24"/>
              </w:rPr>
            </w:pPr>
            <w:r>
              <w:rPr>
                <w:sz w:val="24"/>
                <w:szCs w:val="24"/>
              </w:rPr>
              <w:t>363614.927</w:t>
            </w:r>
          </w:p>
        </w:tc>
      </w:tr>
      <w:tr w:rsidR="00FD566B" w14:paraId="65A1AB6F" w14:textId="77777777">
        <w:tc>
          <w:tcPr>
            <w:tcW w:w="1418" w:type="dxa"/>
            <w:tcBorders>
              <w:left w:val="single" w:sz="2" w:space="0" w:color="000000"/>
              <w:bottom w:val="single" w:sz="2" w:space="0" w:color="000000"/>
            </w:tcBorders>
            <w:shd w:val="clear" w:color="auto" w:fill="auto"/>
          </w:tcPr>
          <w:p w14:paraId="13B1741F" w14:textId="77777777" w:rsidR="00FD566B" w:rsidRDefault="000D1FC2">
            <w:pPr>
              <w:pStyle w:val="TableContents"/>
              <w:rPr>
                <w:rFonts w:ascii="Calibri" w:hAnsi="Calibri"/>
                <w:sz w:val="24"/>
                <w:szCs w:val="24"/>
              </w:rPr>
            </w:pPr>
            <w:r>
              <w:rPr>
                <w:sz w:val="24"/>
                <w:szCs w:val="24"/>
              </w:rPr>
              <w:t>8</w:t>
            </w:r>
          </w:p>
        </w:tc>
        <w:tc>
          <w:tcPr>
            <w:tcW w:w="1977" w:type="dxa"/>
            <w:tcBorders>
              <w:left w:val="single" w:sz="2" w:space="0" w:color="000000"/>
              <w:bottom w:val="single" w:sz="2" w:space="0" w:color="000000"/>
            </w:tcBorders>
            <w:shd w:val="clear" w:color="auto" w:fill="auto"/>
          </w:tcPr>
          <w:p w14:paraId="19C091DF" w14:textId="77777777" w:rsidR="00FD566B" w:rsidRDefault="000D1FC2">
            <w:pPr>
              <w:spacing w:before="114" w:after="114"/>
              <w:rPr>
                <w:rFonts w:ascii="Calibri" w:hAnsi="Calibri"/>
                <w:sz w:val="24"/>
                <w:szCs w:val="24"/>
              </w:rPr>
            </w:pPr>
            <w:r>
              <w:rPr>
                <w:sz w:val="24"/>
                <w:szCs w:val="24"/>
              </w:rPr>
              <w:t>491699.289</w:t>
            </w:r>
          </w:p>
        </w:tc>
        <w:tc>
          <w:tcPr>
            <w:tcW w:w="2278" w:type="dxa"/>
            <w:tcBorders>
              <w:left w:val="single" w:sz="2" w:space="0" w:color="000000"/>
              <w:bottom w:val="single" w:sz="2" w:space="0" w:color="000000"/>
              <w:right w:val="single" w:sz="2" w:space="0" w:color="000000"/>
            </w:tcBorders>
            <w:shd w:val="clear" w:color="auto" w:fill="auto"/>
          </w:tcPr>
          <w:p w14:paraId="0BA8CBDE" w14:textId="77777777" w:rsidR="00FD566B" w:rsidRDefault="000D1FC2">
            <w:pPr>
              <w:spacing w:before="114" w:after="114"/>
              <w:rPr>
                <w:rFonts w:ascii="Calibri" w:hAnsi="Calibri"/>
                <w:sz w:val="24"/>
                <w:szCs w:val="24"/>
              </w:rPr>
            </w:pPr>
            <w:r>
              <w:rPr>
                <w:sz w:val="24"/>
                <w:szCs w:val="24"/>
              </w:rPr>
              <w:t>363614.927</w:t>
            </w:r>
          </w:p>
        </w:tc>
      </w:tr>
      <w:tr w:rsidR="00FD566B" w14:paraId="14057243" w14:textId="77777777">
        <w:tc>
          <w:tcPr>
            <w:tcW w:w="1418" w:type="dxa"/>
            <w:tcBorders>
              <w:left w:val="single" w:sz="2" w:space="0" w:color="000000"/>
              <w:bottom w:val="single" w:sz="2" w:space="0" w:color="000000"/>
            </w:tcBorders>
            <w:shd w:val="clear" w:color="auto" w:fill="auto"/>
          </w:tcPr>
          <w:p w14:paraId="063AAC7A" w14:textId="77777777" w:rsidR="00FD566B" w:rsidRDefault="000D1FC2">
            <w:pPr>
              <w:pStyle w:val="TableContents"/>
              <w:rPr>
                <w:rFonts w:ascii="Calibri" w:hAnsi="Calibri"/>
                <w:sz w:val="24"/>
                <w:szCs w:val="24"/>
              </w:rPr>
            </w:pPr>
            <w:r>
              <w:rPr>
                <w:sz w:val="24"/>
                <w:szCs w:val="24"/>
              </w:rPr>
              <w:t>9</w:t>
            </w:r>
          </w:p>
        </w:tc>
        <w:tc>
          <w:tcPr>
            <w:tcW w:w="1977" w:type="dxa"/>
            <w:tcBorders>
              <w:left w:val="single" w:sz="2" w:space="0" w:color="000000"/>
              <w:bottom w:val="single" w:sz="2" w:space="0" w:color="000000"/>
            </w:tcBorders>
            <w:shd w:val="clear" w:color="auto" w:fill="auto"/>
          </w:tcPr>
          <w:p w14:paraId="13F76E0F" w14:textId="77777777" w:rsidR="00FD566B" w:rsidRDefault="000D1FC2">
            <w:pPr>
              <w:spacing w:before="114" w:after="114"/>
              <w:rPr>
                <w:rFonts w:ascii="Calibri" w:hAnsi="Calibri"/>
                <w:sz w:val="24"/>
                <w:szCs w:val="24"/>
              </w:rPr>
            </w:pPr>
            <w:r>
              <w:rPr>
                <w:sz w:val="24"/>
                <w:szCs w:val="24"/>
              </w:rPr>
              <w:t>491759.712</w:t>
            </w:r>
          </w:p>
        </w:tc>
        <w:tc>
          <w:tcPr>
            <w:tcW w:w="2278" w:type="dxa"/>
            <w:tcBorders>
              <w:left w:val="single" w:sz="2" w:space="0" w:color="000000"/>
              <w:bottom w:val="single" w:sz="2" w:space="0" w:color="000000"/>
              <w:right w:val="single" w:sz="2" w:space="0" w:color="000000"/>
            </w:tcBorders>
            <w:shd w:val="clear" w:color="auto" w:fill="auto"/>
          </w:tcPr>
          <w:p w14:paraId="1645EF99" w14:textId="77777777" w:rsidR="00FD566B" w:rsidRDefault="000D1FC2">
            <w:pPr>
              <w:spacing w:before="114" w:after="114"/>
              <w:rPr>
                <w:rFonts w:ascii="Calibri" w:hAnsi="Calibri"/>
                <w:sz w:val="24"/>
                <w:szCs w:val="24"/>
              </w:rPr>
            </w:pPr>
            <w:r>
              <w:rPr>
                <w:sz w:val="24"/>
                <w:szCs w:val="24"/>
              </w:rPr>
              <w:t>363608.406</w:t>
            </w:r>
          </w:p>
        </w:tc>
      </w:tr>
      <w:tr w:rsidR="00FD566B" w14:paraId="7CC5E716" w14:textId="77777777">
        <w:tc>
          <w:tcPr>
            <w:tcW w:w="1418" w:type="dxa"/>
            <w:tcBorders>
              <w:left w:val="single" w:sz="2" w:space="0" w:color="000000"/>
              <w:bottom w:val="single" w:sz="2" w:space="0" w:color="000000"/>
            </w:tcBorders>
            <w:shd w:val="clear" w:color="auto" w:fill="auto"/>
          </w:tcPr>
          <w:p w14:paraId="2FFD383A" w14:textId="77777777" w:rsidR="00FD566B" w:rsidRDefault="000D1FC2">
            <w:pPr>
              <w:pStyle w:val="TableContents"/>
              <w:rPr>
                <w:rFonts w:ascii="Calibri" w:hAnsi="Calibri"/>
                <w:sz w:val="24"/>
                <w:szCs w:val="24"/>
              </w:rPr>
            </w:pPr>
            <w:r>
              <w:rPr>
                <w:sz w:val="24"/>
                <w:szCs w:val="24"/>
              </w:rPr>
              <w:t>10</w:t>
            </w:r>
          </w:p>
        </w:tc>
        <w:tc>
          <w:tcPr>
            <w:tcW w:w="1977" w:type="dxa"/>
            <w:tcBorders>
              <w:left w:val="single" w:sz="2" w:space="0" w:color="000000"/>
              <w:bottom w:val="single" w:sz="2" w:space="0" w:color="000000"/>
            </w:tcBorders>
            <w:shd w:val="clear" w:color="auto" w:fill="auto"/>
          </w:tcPr>
          <w:p w14:paraId="2062D247" w14:textId="77777777" w:rsidR="00FD566B" w:rsidRDefault="000D1FC2">
            <w:pPr>
              <w:spacing w:before="114" w:after="114"/>
              <w:rPr>
                <w:rFonts w:ascii="Calibri" w:hAnsi="Calibri"/>
                <w:sz w:val="24"/>
                <w:szCs w:val="24"/>
              </w:rPr>
            </w:pPr>
            <w:r>
              <w:rPr>
                <w:sz w:val="24"/>
                <w:szCs w:val="24"/>
              </w:rPr>
              <w:t>491643.425</w:t>
            </w:r>
          </w:p>
        </w:tc>
        <w:tc>
          <w:tcPr>
            <w:tcW w:w="2278" w:type="dxa"/>
            <w:tcBorders>
              <w:left w:val="single" w:sz="2" w:space="0" w:color="000000"/>
              <w:bottom w:val="single" w:sz="2" w:space="0" w:color="000000"/>
              <w:right w:val="single" w:sz="2" w:space="0" w:color="000000"/>
            </w:tcBorders>
            <w:shd w:val="clear" w:color="auto" w:fill="auto"/>
          </w:tcPr>
          <w:p w14:paraId="0A29B308" w14:textId="77777777" w:rsidR="00FD566B" w:rsidRDefault="000D1FC2">
            <w:pPr>
              <w:spacing w:before="114" w:after="114"/>
              <w:rPr>
                <w:rFonts w:ascii="Calibri" w:hAnsi="Calibri"/>
                <w:sz w:val="24"/>
                <w:szCs w:val="24"/>
              </w:rPr>
            </w:pPr>
            <w:r>
              <w:rPr>
                <w:sz w:val="24"/>
                <w:szCs w:val="24"/>
              </w:rPr>
              <w:t>363432.392</w:t>
            </w:r>
          </w:p>
        </w:tc>
      </w:tr>
      <w:tr w:rsidR="00FD566B" w14:paraId="5D73B27D" w14:textId="77777777">
        <w:tc>
          <w:tcPr>
            <w:tcW w:w="1418" w:type="dxa"/>
            <w:tcBorders>
              <w:left w:val="single" w:sz="2" w:space="0" w:color="000000"/>
              <w:bottom w:val="single" w:sz="2" w:space="0" w:color="000000"/>
            </w:tcBorders>
            <w:shd w:val="clear" w:color="auto" w:fill="auto"/>
          </w:tcPr>
          <w:p w14:paraId="4F3F2523" w14:textId="77777777" w:rsidR="00FD566B" w:rsidRDefault="000D1FC2">
            <w:pPr>
              <w:pStyle w:val="TableContents"/>
              <w:rPr>
                <w:rFonts w:ascii="Calibri" w:hAnsi="Calibri"/>
                <w:sz w:val="24"/>
                <w:szCs w:val="24"/>
              </w:rPr>
            </w:pPr>
            <w:r>
              <w:rPr>
                <w:sz w:val="24"/>
                <w:szCs w:val="24"/>
              </w:rPr>
              <w:t>11</w:t>
            </w:r>
          </w:p>
        </w:tc>
        <w:tc>
          <w:tcPr>
            <w:tcW w:w="1977" w:type="dxa"/>
            <w:tcBorders>
              <w:left w:val="single" w:sz="2" w:space="0" w:color="000000"/>
              <w:bottom w:val="single" w:sz="2" w:space="0" w:color="000000"/>
            </w:tcBorders>
            <w:shd w:val="clear" w:color="auto" w:fill="auto"/>
          </w:tcPr>
          <w:p w14:paraId="44808A27" w14:textId="77777777" w:rsidR="00FD566B" w:rsidRDefault="000D1FC2">
            <w:pPr>
              <w:spacing w:before="114" w:after="114"/>
              <w:rPr>
                <w:rFonts w:ascii="Calibri" w:hAnsi="Calibri"/>
                <w:sz w:val="24"/>
                <w:szCs w:val="24"/>
              </w:rPr>
            </w:pPr>
            <w:r>
              <w:rPr>
                <w:sz w:val="24"/>
                <w:szCs w:val="24"/>
              </w:rPr>
              <w:t>491641.403</w:t>
            </w:r>
          </w:p>
        </w:tc>
        <w:tc>
          <w:tcPr>
            <w:tcW w:w="2278" w:type="dxa"/>
            <w:tcBorders>
              <w:left w:val="single" w:sz="2" w:space="0" w:color="000000"/>
              <w:bottom w:val="single" w:sz="2" w:space="0" w:color="000000"/>
              <w:right w:val="single" w:sz="2" w:space="0" w:color="000000"/>
            </w:tcBorders>
            <w:shd w:val="clear" w:color="auto" w:fill="auto"/>
          </w:tcPr>
          <w:p w14:paraId="1240DD3A" w14:textId="77777777" w:rsidR="00FD566B" w:rsidRDefault="000D1FC2">
            <w:pPr>
              <w:spacing w:before="114" w:after="114"/>
              <w:rPr>
                <w:rFonts w:ascii="Calibri" w:hAnsi="Calibri"/>
                <w:sz w:val="24"/>
                <w:szCs w:val="24"/>
              </w:rPr>
            </w:pPr>
            <w:r>
              <w:rPr>
                <w:sz w:val="24"/>
                <w:szCs w:val="24"/>
              </w:rPr>
              <w:t>363428.935</w:t>
            </w:r>
          </w:p>
        </w:tc>
      </w:tr>
      <w:tr w:rsidR="00FD566B" w14:paraId="438FD859" w14:textId="77777777">
        <w:tc>
          <w:tcPr>
            <w:tcW w:w="1418" w:type="dxa"/>
            <w:tcBorders>
              <w:left w:val="single" w:sz="2" w:space="0" w:color="000000"/>
              <w:bottom w:val="single" w:sz="2" w:space="0" w:color="000000"/>
            </w:tcBorders>
            <w:shd w:val="clear" w:color="auto" w:fill="auto"/>
          </w:tcPr>
          <w:p w14:paraId="3A935CFF" w14:textId="77777777" w:rsidR="00FD566B" w:rsidRDefault="000D1FC2">
            <w:pPr>
              <w:pStyle w:val="TableContents"/>
              <w:rPr>
                <w:rFonts w:ascii="Calibri" w:hAnsi="Calibri"/>
                <w:sz w:val="24"/>
                <w:szCs w:val="24"/>
              </w:rPr>
            </w:pPr>
            <w:r>
              <w:rPr>
                <w:sz w:val="24"/>
                <w:szCs w:val="24"/>
              </w:rPr>
              <w:t>12</w:t>
            </w:r>
          </w:p>
        </w:tc>
        <w:tc>
          <w:tcPr>
            <w:tcW w:w="1977" w:type="dxa"/>
            <w:tcBorders>
              <w:left w:val="single" w:sz="2" w:space="0" w:color="000000"/>
              <w:bottom w:val="single" w:sz="2" w:space="0" w:color="000000"/>
            </w:tcBorders>
            <w:shd w:val="clear" w:color="auto" w:fill="auto"/>
          </w:tcPr>
          <w:p w14:paraId="42637894" w14:textId="77777777" w:rsidR="00FD566B" w:rsidRDefault="000D1FC2">
            <w:pPr>
              <w:spacing w:before="114" w:after="114"/>
              <w:rPr>
                <w:rFonts w:ascii="Calibri" w:hAnsi="Calibri"/>
                <w:sz w:val="24"/>
                <w:szCs w:val="24"/>
              </w:rPr>
            </w:pPr>
            <w:r>
              <w:rPr>
                <w:sz w:val="24"/>
                <w:szCs w:val="24"/>
              </w:rPr>
              <w:t>491710.972</w:t>
            </w:r>
          </w:p>
        </w:tc>
        <w:tc>
          <w:tcPr>
            <w:tcW w:w="2278" w:type="dxa"/>
            <w:tcBorders>
              <w:left w:val="single" w:sz="2" w:space="0" w:color="000000"/>
              <w:bottom w:val="single" w:sz="2" w:space="0" w:color="000000"/>
              <w:right w:val="single" w:sz="2" w:space="0" w:color="000000"/>
            </w:tcBorders>
            <w:shd w:val="clear" w:color="auto" w:fill="auto"/>
          </w:tcPr>
          <w:p w14:paraId="7D15ACB7" w14:textId="77777777" w:rsidR="00FD566B" w:rsidRDefault="000D1FC2">
            <w:pPr>
              <w:spacing w:before="114" w:after="114"/>
              <w:rPr>
                <w:rFonts w:ascii="Calibri" w:hAnsi="Calibri"/>
                <w:sz w:val="24"/>
                <w:szCs w:val="24"/>
              </w:rPr>
            </w:pPr>
            <w:r>
              <w:rPr>
                <w:sz w:val="24"/>
                <w:szCs w:val="24"/>
              </w:rPr>
              <w:t>363392.438</w:t>
            </w:r>
            <w:r>
              <w:rPr>
                <w:sz w:val="24"/>
                <w:szCs w:val="24"/>
              </w:rPr>
              <w:tab/>
            </w:r>
          </w:p>
        </w:tc>
      </w:tr>
    </w:tbl>
    <w:p w14:paraId="006BAF85" w14:textId="77777777" w:rsidR="00FD566B" w:rsidRDefault="00FD566B">
      <w:pPr>
        <w:ind w:left="720"/>
        <w:jc w:val="both"/>
        <w:rPr>
          <w:rFonts w:cstheme="minorHAnsi"/>
        </w:rPr>
      </w:pPr>
    </w:p>
    <w:p w14:paraId="3E3924FC" w14:textId="77777777" w:rsidR="00FD566B" w:rsidRDefault="000D1FC2">
      <w:pPr>
        <w:ind w:left="720"/>
        <w:jc w:val="both"/>
      </w:pPr>
      <w:r>
        <w:rPr>
          <w:rFonts w:cstheme="minorHAnsi"/>
          <w:sz w:val="24"/>
          <w:szCs w:val="24"/>
        </w:rPr>
        <w:t>Agregatele minerale sunt alcătuite predominant din pietriș și nisip cu granulație predominant de 0-70 mm, ajungând uneori la 120 mm. Elementele petrografice componente sunt reprezentate de f</w:t>
      </w:r>
      <w:r>
        <w:rPr>
          <w:rFonts w:cstheme="minorHAnsi"/>
          <w:sz w:val="24"/>
          <w:szCs w:val="24"/>
        </w:rPr>
        <w:t>ragmente cu forme rotunjite și subrotunjite de andezit, amfibolite, șisturi cristaline de diferite tipuri, etc. care provin din rocile formațiunilor transversate de râul Mureș și de afluienții săi.</w:t>
      </w:r>
    </w:p>
    <w:p w14:paraId="314C9CB5" w14:textId="77777777" w:rsidR="00FD566B" w:rsidRDefault="000D1FC2">
      <w:pPr>
        <w:ind w:left="720"/>
        <w:jc w:val="both"/>
        <w:rPr>
          <w:rFonts w:ascii="Calibri" w:hAnsi="Calibri"/>
          <w:sz w:val="24"/>
          <w:szCs w:val="24"/>
        </w:rPr>
      </w:pPr>
      <w:r>
        <w:rPr>
          <w:sz w:val="24"/>
          <w:szCs w:val="24"/>
        </w:rPr>
        <w:t>Perimetrul de exploatare este amplasat la cca. 500 m de malul stâng al râului Mureș.</w:t>
      </w:r>
    </w:p>
    <w:p w14:paraId="6324A3CB" w14:textId="77777777" w:rsidR="00FD566B" w:rsidRDefault="00FD566B">
      <w:pPr>
        <w:pStyle w:val="Listparagraf"/>
        <w:jc w:val="both"/>
        <w:rPr>
          <w:rFonts w:cstheme="minorHAnsi"/>
          <w:sz w:val="24"/>
          <w:szCs w:val="24"/>
        </w:rPr>
      </w:pPr>
    </w:p>
    <w:p w14:paraId="0FAC8CFF" w14:textId="77777777" w:rsidR="00FD566B" w:rsidRDefault="00FD566B">
      <w:pPr>
        <w:pStyle w:val="Listparagraf"/>
        <w:jc w:val="both"/>
        <w:rPr>
          <w:rFonts w:cstheme="minorHAnsi"/>
          <w:sz w:val="24"/>
          <w:szCs w:val="24"/>
        </w:rPr>
      </w:pPr>
    </w:p>
    <w:p w14:paraId="69A9DBD7" w14:textId="77777777" w:rsidR="00FD566B" w:rsidRDefault="00FD566B">
      <w:pPr>
        <w:pStyle w:val="Listparagraf"/>
        <w:jc w:val="both"/>
        <w:rPr>
          <w:rFonts w:cstheme="minorHAnsi"/>
        </w:rPr>
      </w:pPr>
    </w:p>
    <w:p w14:paraId="459A3B00" w14:textId="77777777" w:rsidR="00937243" w:rsidRDefault="00937243">
      <w:pPr>
        <w:pStyle w:val="Listparagraf"/>
        <w:jc w:val="both"/>
        <w:rPr>
          <w:b/>
          <w:bCs/>
          <w:i/>
          <w:iCs/>
          <w:sz w:val="24"/>
          <w:szCs w:val="24"/>
        </w:rPr>
      </w:pPr>
    </w:p>
    <w:p w14:paraId="3463B2B4" w14:textId="3DCEE7AA" w:rsidR="00FD566B" w:rsidRDefault="000D1FC2">
      <w:pPr>
        <w:pStyle w:val="Listparagraf"/>
        <w:jc w:val="both"/>
        <w:rPr>
          <w:rFonts w:ascii="Calibri" w:hAnsi="Calibri"/>
          <w:sz w:val="24"/>
          <w:szCs w:val="24"/>
        </w:rPr>
      </w:pPr>
      <w:r>
        <w:rPr>
          <w:b/>
          <w:bCs/>
          <w:i/>
          <w:iCs/>
          <w:noProof/>
          <w:sz w:val="24"/>
          <w:szCs w:val="24"/>
        </w:rPr>
        <w:lastRenderedPageBreak/>
        <w:t>Perimetrul de exploatare are următoarele</w:t>
      </w:r>
      <w:r>
        <w:rPr>
          <w:b/>
          <w:bCs/>
          <w:i/>
          <w:iCs/>
          <w:sz w:val="24"/>
          <w:szCs w:val="24"/>
        </w:rPr>
        <w:t xml:space="preserve"> caracteristici dimensionale:</w:t>
      </w:r>
    </w:p>
    <w:p w14:paraId="6FCB76EF" w14:textId="77777777" w:rsidR="00FD566B" w:rsidRDefault="00FD566B">
      <w:pPr>
        <w:pStyle w:val="Listparagraf"/>
        <w:jc w:val="both"/>
        <w:rPr>
          <w:rFonts w:ascii="Calibri" w:hAnsi="Calibri"/>
          <w:sz w:val="24"/>
          <w:szCs w:val="24"/>
        </w:rPr>
      </w:pPr>
    </w:p>
    <w:p w14:paraId="6B9E9CF7" w14:textId="77777777" w:rsidR="00FD566B" w:rsidRDefault="000D1FC2">
      <w:pPr>
        <w:pStyle w:val="Listparagraf"/>
        <w:numPr>
          <w:ilvl w:val="0"/>
          <w:numId w:val="1"/>
        </w:numPr>
        <w:jc w:val="both"/>
      </w:pPr>
      <w:r>
        <w:rPr>
          <w:sz w:val="24"/>
          <w:szCs w:val="24"/>
        </w:rPr>
        <w:t>lungime = 427,05 m</w:t>
      </w:r>
    </w:p>
    <w:p w14:paraId="3EF8B088" w14:textId="77777777" w:rsidR="00FD566B" w:rsidRDefault="000D1FC2">
      <w:pPr>
        <w:pStyle w:val="Listparagraf"/>
        <w:numPr>
          <w:ilvl w:val="0"/>
          <w:numId w:val="1"/>
        </w:numPr>
        <w:jc w:val="both"/>
      </w:pPr>
      <w:r>
        <w:rPr>
          <w:sz w:val="24"/>
          <w:szCs w:val="24"/>
        </w:rPr>
        <w:t>lățime = 139,51 m</w:t>
      </w:r>
    </w:p>
    <w:p w14:paraId="65993489" w14:textId="77777777" w:rsidR="00FD566B" w:rsidRDefault="000D1FC2">
      <w:pPr>
        <w:pStyle w:val="Listparagraf"/>
        <w:numPr>
          <w:ilvl w:val="0"/>
          <w:numId w:val="1"/>
        </w:numPr>
        <w:jc w:val="both"/>
      </w:pPr>
      <w:r>
        <w:rPr>
          <w:sz w:val="24"/>
          <w:szCs w:val="24"/>
        </w:rPr>
        <w:t xml:space="preserve">suprafață =  </w:t>
      </w:r>
      <w:r>
        <w:rPr>
          <w:rFonts w:cstheme="minorHAnsi"/>
          <w:sz w:val="24"/>
          <w:szCs w:val="24"/>
        </w:rPr>
        <w:t>43446.069 m</w:t>
      </w:r>
      <w:r>
        <w:rPr>
          <w:rFonts w:cstheme="minorHAnsi"/>
          <w:sz w:val="24"/>
          <w:szCs w:val="24"/>
          <w:vertAlign w:val="superscript"/>
        </w:rPr>
        <w:t>2</w:t>
      </w:r>
    </w:p>
    <w:p w14:paraId="41815186" w14:textId="77777777" w:rsidR="00FD566B" w:rsidRDefault="00FD566B">
      <w:pPr>
        <w:pStyle w:val="Listparagraf"/>
        <w:jc w:val="both"/>
        <w:rPr>
          <w:rFonts w:ascii="Calibri" w:hAnsi="Calibri" w:cstheme="minorHAnsi"/>
          <w:sz w:val="24"/>
          <w:szCs w:val="24"/>
          <w:vertAlign w:val="superscript"/>
        </w:rPr>
      </w:pPr>
    </w:p>
    <w:p w14:paraId="19214EC9" w14:textId="77777777" w:rsidR="00FD566B" w:rsidRDefault="000D1FC2">
      <w:pPr>
        <w:pStyle w:val="Listparagraf"/>
        <w:jc w:val="both"/>
      </w:pPr>
      <w:r>
        <w:rPr>
          <w:rFonts w:cstheme="minorHAnsi"/>
          <w:sz w:val="24"/>
          <w:szCs w:val="24"/>
        </w:rPr>
        <w:t>Proiectul prevede exploatarea agregatelor minerale cere se va executa pe adâncimi maxime de 5.0 m păstrând un 1.0 deasupra talpei sondajelor geologice executate, astfel încât aceasta nu va avea nici o influientă asupra resurselor de apă subterane.</w:t>
      </w:r>
    </w:p>
    <w:p w14:paraId="2DD824FA" w14:textId="77777777" w:rsidR="00FD566B" w:rsidRDefault="000D1FC2">
      <w:pPr>
        <w:pStyle w:val="Listparagraf"/>
        <w:jc w:val="both"/>
      </w:pPr>
      <w:r>
        <w:rPr>
          <w:rFonts w:cstheme="minorHAnsi"/>
          <w:sz w:val="24"/>
          <w:szCs w:val="24"/>
        </w:rPr>
        <w:t>Exploata</w:t>
      </w:r>
      <w:r>
        <w:rPr>
          <w:rFonts w:cstheme="minorHAnsi"/>
          <w:sz w:val="24"/>
          <w:szCs w:val="24"/>
        </w:rPr>
        <w:t>rea se va realiza cu excavatorul și buldozerul prin executarea lucrărilor de pregătire, exploatare propriu zisă, haldare sol vegetal/steril, protecția zăcământului.</w:t>
      </w:r>
    </w:p>
    <w:p w14:paraId="580F47E3" w14:textId="77777777" w:rsidR="00FD566B" w:rsidRDefault="00FD566B">
      <w:pPr>
        <w:pStyle w:val="Listparagraf"/>
        <w:jc w:val="both"/>
        <w:rPr>
          <w:rFonts w:ascii="Calibri" w:hAnsi="Calibri"/>
          <w:sz w:val="24"/>
          <w:szCs w:val="24"/>
        </w:rPr>
      </w:pPr>
    </w:p>
    <w:p w14:paraId="5D45AABA" w14:textId="77777777" w:rsidR="00FD566B" w:rsidRDefault="000D1FC2">
      <w:pPr>
        <w:jc w:val="both"/>
        <w:rPr>
          <w:rFonts w:ascii="Calibri" w:hAnsi="Calibri"/>
          <w:sz w:val="24"/>
          <w:szCs w:val="24"/>
        </w:rPr>
      </w:pPr>
      <w:r>
        <w:rPr>
          <w:rFonts w:cstheme="minorHAnsi"/>
          <w:i/>
          <w:iCs/>
          <w:sz w:val="24"/>
          <w:szCs w:val="24"/>
        </w:rPr>
        <w:t>Dotări și utilaje în perimetrul de exploatare:</w:t>
      </w:r>
    </w:p>
    <w:p w14:paraId="54B3848D" w14:textId="77777777" w:rsidR="00FD566B" w:rsidRDefault="000D1FC2">
      <w:pPr>
        <w:numPr>
          <w:ilvl w:val="0"/>
          <w:numId w:val="3"/>
        </w:numPr>
        <w:jc w:val="both"/>
        <w:rPr>
          <w:rFonts w:ascii="Calibri" w:hAnsi="Calibri"/>
          <w:sz w:val="24"/>
          <w:szCs w:val="24"/>
        </w:rPr>
      </w:pPr>
      <w:r>
        <w:rPr>
          <w:rFonts w:cstheme="minorHAnsi"/>
          <w:sz w:val="24"/>
          <w:szCs w:val="24"/>
        </w:rPr>
        <w:t>ecavator Cat 320 – 1 buc</w:t>
      </w:r>
    </w:p>
    <w:p w14:paraId="05F0ED0B" w14:textId="77777777" w:rsidR="00FD566B" w:rsidRDefault="000D1FC2">
      <w:pPr>
        <w:numPr>
          <w:ilvl w:val="0"/>
          <w:numId w:val="3"/>
        </w:numPr>
        <w:jc w:val="both"/>
        <w:rPr>
          <w:rFonts w:ascii="Calibri" w:hAnsi="Calibri"/>
          <w:sz w:val="24"/>
          <w:szCs w:val="24"/>
        </w:rPr>
      </w:pPr>
      <w:r>
        <w:rPr>
          <w:rFonts w:cstheme="minorHAnsi"/>
          <w:sz w:val="24"/>
          <w:szCs w:val="24"/>
        </w:rPr>
        <w:t xml:space="preserve">buldozer S 1500 – </w:t>
      </w:r>
      <w:r>
        <w:rPr>
          <w:rFonts w:cstheme="minorHAnsi"/>
          <w:sz w:val="24"/>
          <w:szCs w:val="24"/>
        </w:rPr>
        <w:t>1 buc</w:t>
      </w:r>
    </w:p>
    <w:p w14:paraId="06C26DFB" w14:textId="77777777" w:rsidR="00FD566B" w:rsidRDefault="000D1FC2">
      <w:pPr>
        <w:numPr>
          <w:ilvl w:val="0"/>
          <w:numId w:val="3"/>
        </w:numPr>
        <w:jc w:val="both"/>
        <w:rPr>
          <w:rFonts w:ascii="Calibri" w:hAnsi="Calibri"/>
          <w:sz w:val="24"/>
          <w:szCs w:val="24"/>
        </w:rPr>
      </w:pPr>
      <w:r>
        <w:rPr>
          <w:rFonts w:cstheme="minorHAnsi"/>
          <w:sz w:val="24"/>
          <w:szCs w:val="24"/>
        </w:rPr>
        <w:t>încărcător frontal – 1 buc</w:t>
      </w:r>
    </w:p>
    <w:p w14:paraId="6C01E563" w14:textId="77777777" w:rsidR="00FD566B" w:rsidRDefault="000D1FC2">
      <w:pPr>
        <w:numPr>
          <w:ilvl w:val="0"/>
          <w:numId w:val="3"/>
        </w:numPr>
        <w:jc w:val="both"/>
        <w:rPr>
          <w:rFonts w:ascii="Calibri" w:hAnsi="Calibri"/>
          <w:sz w:val="24"/>
          <w:szCs w:val="24"/>
        </w:rPr>
      </w:pPr>
      <w:r>
        <w:rPr>
          <w:rFonts w:cstheme="minorHAnsi"/>
          <w:sz w:val="24"/>
          <w:szCs w:val="24"/>
        </w:rPr>
        <w:t>autobasculante 18 t</w:t>
      </w:r>
    </w:p>
    <w:p w14:paraId="1FC9F171" w14:textId="77777777" w:rsidR="00FD566B" w:rsidRDefault="000D1FC2">
      <w:pPr>
        <w:spacing w:before="114" w:after="314"/>
        <w:jc w:val="both"/>
        <w:rPr>
          <w:rFonts w:ascii="Calibri" w:hAnsi="Calibri"/>
          <w:sz w:val="24"/>
          <w:szCs w:val="24"/>
        </w:rPr>
      </w:pPr>
      <w:r>
        <w:rPr>
          <w:rFonts w:cstheme="minorHAnsi"/>
          <w:b/>
          <w:bCs/>
          <w:i/>
          <w:sz w:val="24"/>
          <w:szCs w:val="24"/>
        </w:rPr>
        <w:t>Timpul de funcționare:</w:t>
      </w:r>
    </w:p>
    <w:p w14:paraId="214033E0" w14:textId="77777777" w:rsidR="00FD566B" w:rsidRDefault="000D1FC2">
      <w:pPr>
        <w:spacing w:after="29"/>
        <w:ind w:left="720"/>
        <w:jc w:val="both"/>
        <w:rPr>
          <w:rFonts w:ascii="Calibri" w:hAnsi="Calibri"/>
          <w:sz w:val="24"/>
          <w:szCs w:val="24"/>
        </w:rPr>
      </w:pPr>
      <w:r>
        <w:rPr>
          <w:rFonts w:cstheme="minorHAnsi"/>
          <w:sz w:val="24"/>
          <w:szCs w:val="24"/>
        </w:rPr>
        <w:t>Progamul de lucru va fi de 8 ore/zi, 5 zile/săpămână, 250 zile/an.</w:t>
      </w:r>
    </w:p>
    <w:p w14:paraId="3712D837" w14:textId="77777777" w:rsidR="00FD566B" w:rsidRDefault="00FD566B">
      <w:pPr>
        <w:spacing w:after="29"/>
        <w:ind w:left="720"/>
        <w:jc w:val="both"/>
        <w:rPr>
          <w:rFonts w:cstheme="minorHAnsi"/>
        </w:rPr>
      </w:pPr>
    </w:p>
    <w:p w14:paraId="68FD8687" w14:textId="77777777" w:rsidR="00FD566B" w:rsidRDefault="000D1FC2">
      <w:pPr>
        <w:spacing w:after="29"/>
        <w:jc w:val="both"/>
      </w:pPr>
      <w:r>
        <w:rPr>
          <w:rFonts w:cstheme="minorHAnsi"/>
          <w:b/>
          <w:bCs/>
          <w:sz w:val="24"/>
          <w:szCs w:val="24"/>
        </w:rPr>
        <w:t xml:space="preserve">Procesul tehnologic de exploatare- </w:t>
      </w:r>
      <w:r>
        <w:rPr>
          <w:rFonts w:cstheme="minorHAnsi"/>
          <w:sz w:val="24"/>
          <w:szCs w:val="24"/>
        </w:rPr>
        <w:t>constă în excavarea agregatelor minerale  felii longitudinale. Lățimea unei f</w:t>
      </w:r>
      <w:r>
        <w:rPr>
          <w:rFonts w:cstheme="minorHAnsi"/>
          <w:sz w:val="24"/>
          <w:szCs w:val="24"/>
        </w:rPr>
        <w:t>eli a fost de cca. 10 m, pe o adâncime de cca 5.0 m.</w:t>
      </w:r>
    </w:p>
    <w:p w14:paraId="611ECCFF" w14:textId="77777777" w:rsidR="00FD566B" w:rsidRDefault="000D1FC2">
      <w:pPr>
        <w:jc w:val="both"/>
      </w:pPr>
      <w:r>
        <w:rPr>
          <w:rFonts w:cstheme="minorHAnsi"/>
          <w:sz w:val="24"/>
          <w:szCs w:val="24"/>
        </w:rPr>
        <w:t>Se va folosi un excavator cu o cupă inversă pentru excavare în punctele în care nu nu se justifică utilizarea  a autoâncarcator frontal pentru încărcarea materialului în mijloacele auto. Materialul excavat se va încărca direct în mijloacele auto fiind tran</w:t>
      </w:r>
      <w:r>
        <w:rPr>
          <w:rFonts w:cstheme="minorHAnsi"/>
          <w:sz w:val="24"/>
          <w:szCs w:val="24"/>
        </w:rPr>
        <w:t>sportate la punctel de valorificare al beneficiarului.</w:t>
      </w:r>
    </w:p>
    <w:p w14:paraId="75AB3850" w14:textId="77777777" w:rsidR="00FD566B" w:rsidRDefault="000D1FC2">
      <w:pPr>
        <w:spacing w:after="29"/>
        <w:jc w:val="both"/>
      </w:pPr>
      <w:r>
        <w:rPr>
          <w:rFonts w:cstheme="minorHAnsi"/>
          <w:sz w:val="24"/>
          <w:szCs w:val="24"/>
        </w:rPr>
        <w:t>Exploatarea se va face astfel încât să nu fie afectată stabilitatea taluzurilor formate, laturile permetrului de exploatare vor fi taluzate, la o pantă de minim 1:2</w:t>
      </w:r>
    </w:p>
    <w:p w14:paraId="449C418F" w14:textId="77777777" w:rsidR="00FD566B" w:rsidRDefault="00FD566B">
      <w:pPr>
        <w:spacing w:after="29"/>
        <w:jc w:val="both"/>
        <w:rPr>
          <w:rFonts w:cstheme="minorHAnsi"/>
          <w:sz w:val="24"/>
          <w:szCs w:val="24"/>
        </w:rPr>
      </w:pPr>
    </w:p>
    <w:p w14:paraId="398BE563" w14:textId="77777777" w:rsidR="00FD566B" w:rsidRDefault="000D1FC2">
      <w:pPr>
        <w:jc w:val="both"/>
        <w:rPr>
          <w:rFonts w:ascii="Calibri" w:hAnsi="Calibri"/>
          <w:sz w:val="24"/>
          <w:szCs w:val="24"/>
        </w:rPr>
      </w:pPr>
      <w:r>
        <w:rPr>
          <w:rFonts w:cstheme="minorHAnsi"/>
          <w:b/>
          <w:bCs/>
          <w:sz w:val="24"/>
          <w:szCs w:val="24"/>
        </w:rPr>
        <w:t>Transportul:</w:t>
      </w:r>
      <w:r>
        <w:rPr>
          <w:rFonts w:cstheme="minorHAnsi"/>
          <w:sz w:val="24"/>
          <w:szCs w:val="24"/>
        </w:rPr>
        <w:t xml:space="preserve"> se va realiza cu mijlo</w:t>
      </w:r>
      <w:r>
        <w:rPr>
          <w:rFonts w:cstheme="minorHAnsi"/>
          <w:sz w:val="24"/>
          <w:szCs w:val="24"/>
        </w:rPr>
        <w:t>acele auto prevăzute cu bene etanșe.</w:t>
      </w:r>
    </w:p>
    <w:p w14:paraId="46EBEA05" w14:textId="0C17B0AA" w:rsidR="00FD566B" w:rsidRDefault="000D1FC2">
      <w:pPr>
        <w:jc w:val="both"/>
        <w:rPr>
          <w:rFonts w:cstheme="minorHAnsi"/>
          <w:sz w:val="24"/>
          <w:szCs w:val="24"/>
        </w:rPr>
      </w:pPr>
      <w:r>
        <w:rPr>
          <w:rFonts w:cstheme="minorHAnsi"/>
          <w:sz w:val="24"/>
          <w:szCs w:val="24"/>
        </w:rPr>
        <w:t xml:space="preserve">Transporturile pe drumurile județene și naționale se va face respectând legislația în vigoare </w:t>
      </w:r>
      <w:r>
        <w:rPr>
          <w:rFonts w:cstheme="minorHAnsi"/>
          <w:noProof/>
          <w:sz w:val="24"/>
          <w:szCs w:val="24"/>
        </w:rPr>
        <w:t>privind tonajele maxime a</w:t>
      </w:r>
      <w:r>
        <w:rPr>
          <w:rFonts w:cstheme="minorHAnsi"/>
          <w:noProof/>
          <w:sz w:val="24"/>
          <w:szCs w:val="24"/>
        </w:rPr>
        <w:t>dmise în acesste cazuri.</w:t>
      </w:r>
    </w:p>
    <w:p w14:paraId="4292B361" w14:textId="10F8723F" w:rsidR="00C00822" w:rsidRDefault="00C00822">
      <w:pPr>
        <w:jc w:val="both"/>
        <w:rPr>
          <w:rFonts w:cstheme="minorHAnsi"/>
          <w:sz w:val="24"/>
          <w:szCs w:val="24"/>
        </w:rPr>
      </w:pPr>
    </w:p>
    <w:p w14:paraId="2643A4D8" w14:textId="77777777" w:rsidR="00C00822" w:rsidRDefault="00C00822">
      <w:pPr>
        <w:jc w:val="both"/>
        <w:rPr>
          <w:rFonts w:ascii="Calibri" w:hAnsi="Calibri"/>
          <w:sz w:val="24"/>
          <w:szCs w:val="24"/>
        </w:rPr>
      </w:pPr>
    </w:p>
    <w:p w14:paraId="637DA099" w14:textId="77777777" w:rsidR="00FD566B" w:rsidRDefault="000D1FC2">
      <w:pPr>
        <w:jc w:val="both"/>
        <w:rPr>
          <w:rFonts w:ascii="Calibri" w:hAnsi="Calibri"/>
          <w:sz w:val="24"/>
          <w:szCs w:val="24"/>
        </w:rPr>
      </w:pPr>
      <w:r>
        <w:rPr>
          <w:rFonts w:cstheme="minorHAnsi"/>
          <w:b/>
          <w:bCs/>
          <w:sz w:val="24"/>
          <w:szCs w:val="24"/>
        </w:rPr>
        <w:lastRenderedPageBreak/>
        <w:t>Modul de asigurare cu uleiuri și combustibilii</w:t>
      </w:r>
    </w:p>
    <w:p w14:paraId="6587052A" w14:textId="77777777" w:rsidR="00FD566B" w:rsidRDefault="000D1FC2">
      <w:pPr>
        <w:jc w:val="both"/>
        <w:rPr>
          <w:rFonts w:ascii="Calibri" w:hAnsi="Calibri"/>
          <w:sz w:val="24"/>
          <w:szCs w:val="24"/>
        </w:rPr>
      </w:pPr>
      <w:r>
        <w:rPr>
          <w:rFonts w:cstheme="minorHAnsi"/>
          <w:sz w:val="24"/>
          <w:szCs w:val="24"/>
        </w:rPr>
        <w:t>Pe amplasament se vor alime</w:t>
      </w:r>
      <w:r>
        <w:rPr>
          <w:rFonts w:cstheme="minorHAnsi"/>
          <w:sz w:val="24"/>
          <w:szCs w:val="24"/>
        </w:rPr>
        <w:t>nta cu combustibili numai utilajele folosite la extracția agregatelor minerale (excavator). Autobasculantele folosite la transportul și autoîncărcătorul frontal se vor alimenta individual prin deplasarea la stații de combustibil autorizate.</w:t>
      </w:r>
    </w:p>
    <w:p w14:paraId="07DE1891" w14:textId="77777777" w:rsidR="00FD566B" w:rsidRDefault="000D1FC2">
      <w:pPr>
        <w:jc w:val="both"/>
        <w:rPr>
          <w:rFonts w:ascii="Calibri" w:hAnsi="Calibri"/>
          <w:sz w:val="24"/>
          <w:szCs w:val="24"/>
        </w:rPr>
      </w:pPr>
      <w:r>
        <w:rPr>
          <w:rFonts w:cstheme="minorHAnsi"/>
          <w:sz w:val="24"/>
          <w:szCs w:val="24"/>
        </w:rPr>
        <w:t>Alimentarea utilajelor cu carburanți se va realiza doar pentru utilajele care lucrează strict pe platformele de execuție, carburantul fiind adus aici în butoaie metalice de 200 de l, de unde va fi transvazat în rezervoarele utilajelor cu ajutorul unei pomp</w:t>
      </w:r>
      <w:r>
        <w:rPr>
          <w:rFonts w:cstheme="minorHAnsi"/>
          <w:sz w:val="24"/>
          <w:szCs w:val="24"/>
        </w:rPr>
        <w:t xml:space="preserve">e, prevăzută cu furtun flexibil, pe o platfor,ă impermeabilă, riscul poluării cu carburanți a solului și a apelor fiind minim. </w:t>
      </w:r>
    </w:p>
    <w:p w14:paraId="6E613343" w14:textId="77777777" w:rsidR="00FD566B" w:rsidRDefault="000D1FC2">
      <w:pPr>
        <w:jc w:val="both"/>
        <w:rPr>
          <w:rFonts w:ascii="Calibri" w:hAnsi="Calibri"/>
          <w:sz w:val="24"/>
          <w:szCs w:val="24"/>
        </w:rPr>
      </w:pPr>
      <w:r>
        <w:rPr>
          <w:rFonts w:cstheme="minorHAnsi"/>
          <w:sz w:val="24"/>
          <w:szCs w:val="24"/>
        </w:rPr>
        <w:t xml:space="preserve">Lubrifianții necesari funcționării utilajelor vor fi depozitați în recipienți metalici, în magazia de materiale aflată în afara </w:t>
      </w:r>
      <w:r>
        <w:rPr>
          <w:rFonts w:cstheme="minorHAnsi"/>
          <w:sz w:val="24"/>
          <w:szCs w:val="24"/>
        </w:rPr>
        <w:t>perimetrului de exploatare.</w:t>
      </w:r>
    </w:p>
    <w:p w14:paraId="21F88136" w14:textId="77777777" w:rsidR="00FD566B" w:rsidRDefault="000D1FC2">
      <w:pPr>
        <w:jc w:val="both"/>
        <w:rPr>
          <w:rFonts w:ascii="Calibri" w:hAnsi="Calibri"/>
          <w:sz w:val="24"/>
          <w:szCs w:val="24"/>
        </w:rPr>
      </w:pPr>
      <w:r>
        <w:rPr>
          <w:rFonts w:cstheme="minorHAnsi"/>
          <w:sz w:val="24"/>
          <w:szCs w:val="24"/>
        </w:rPr>
        <w:t xml:space="preserve">Pe amplasamentul perimetrului de exploatare </w:t>
      </w:r>
      <w:r>
        <w:rPr>
          <w:rFonts w:cstheme="minorHAnsi"/>
          <w:sz w:val="24"/>
          <w:szCs w:val="24"/>
          <w:u w:val="single"/>
        </w:rPr>
        <w:t>nu se vor face schimburi de uleiuri</w:t>
      </w:r>
      <w:r>
        <w:rPr>
          <w:rFonts w:cstheme="minorHAnsi"/>
          <w:sz w:val="24"/>
          <w:szCs w:val="24"/>
        </w:rPr>
        <w:t>, acestea fiind făcute în perioadele de revizii generale și reparații capitale cand utilajele se vor deplasa la unități specializate.</w:t>
      </w:r>
    </w:p>
    <w:p w14:paraId="5581AF6F" w14:textId="77777777" w:rsidR="00FD566B" w:rsidRDefault="000D1FC2">
      <w:pPr>
        <w:pStyle w:val="Titlu1"/>
        <w:jc w:val="both"/>
        <w:rPr>
          <w:rFonts w:ascii="Calibri" w:hAnsi="Calibri"/>
          <w:sz w:val="24"/>
          <w:szCs w:val="24"/>
        </w:rPr>
      </w:pPr>
      <w:bookmarkStart w:id="7" w:name="_Toc3992729"/>
      <w:bookmarkStart w:id="8" w:name="_Toc41997003"/>
      <w:r>
        <w:rPr>
          <w:rFonts w:ascii="Calibri" w:hAnsi="Calibri"/>
          <w:sz w:val="24"/>
          <w:szCs w:val="24"/>
        </w:rPr>
        <w:t xml:space="preserve">IV. </w:t>
      </w:r>
      <w:bookmarkEnd w:id="7"/>
      <w:r>
        <w:rPr>
          <w:rFonts w:ascii="Calibri" w:hAnsi="Calibri"/>
          <w:sz w:val="24"/>
          <w:szCs w:val="24"/>
        </w:rPr>
        <w:t>Prezența și</w:t>
      </w:r>
      <w:r>
        <w:rPr>
          <w:rFonts w:ascii="Calibri" w:hAnsi="Calibri"/>
          <w:sz w:val="24"/>
          <w:szCs w:val="24"/>
        </w:rPr>
        <w:t xml:space="preserve"> efectivele/suprafețele acoperite de specii și habitate de interes comunitar în zona proiectului</w:t>
      </w:r>
      <w:bookmarkEnd w:id="8"/>
    </w:p>
    <w:p w14:paraId="6B3425B7" w14:textId="77777777" w:rsidR="00FD566B" w:rsidRDefault="00FD566B">
      <w:pPr>
        <w:jc w:val="both"/>
        <w:rPr>
          <w:rFonts w:ascii="Calibri" w:hAnsi="Calibri"/>
          <w:sz w:val="24"/>
          <w:szCs w:val="24"/>
        </w:rPr>
      </w:pPr>
    </w:p>
    <w:p w14:paraId="4A97C901" w14:textId="581246A7" w:rsidR="00FD566B" w:rsidRDefault="000D1FC2">
      <w:pPr>
        <w:jc w:val="both"/>
        <w:rPr>
          <w:rFonts w:ascii="Calibri" w:hAnsi="Calibri"/>
          <w:noProof/>
          <w:sz w:val="24"/>
          <w:szCs w:val="24"/>
        </w:rPr>
      </w:pPr>
      <w:r w:rsidRPr="007236A9">
        <w:rPr>
          <w:rFonts w:cstheme="minorHAnsi"/>
          <w:sz w:val="24"/>
          <w:szCs w:val="24"/>
        </w:rPr>
        <w:t>Conform Deciziei etapei de evaluare inițială nr.</w:t>
      </w:r>
      <w:r w:rsidR="007236A9" w:rsidRPr="007236A9">
        <w:rPr>
          <w:rFonts w:cstheme="minorHAnsi"/>
          <w:sz w:val="24"/>
          <w:szCs w:val="24"/>
        </w:rPr>
        <w:t xml:space="preserve"> 3527  / 30.04.2020 a APM Hunedoara</w:t>
      </w:r>
      <w:r w:rsidRPr="007236A9">
        <w:rPr>
          <w:rFonts w:cstheme="minorHAnsi"/>
          <w:sz w:val="24"/>
          <w:szCs w:val="24"/>
        </w:rPr>
        <w:t xml:space="preserve"> perimetrul de exploatare propus se află situat la cca. 1 km de limita sudi</w:t>
      </w:r>
      <w:r w:rsidRPr="007236A9">
        <w:rPr>
          <w:rFonts w:cstheme="minorHAnsi"/>
          <w:sz w:val="24"/>
          <w:szCs w:val="24"/>
        </w:rPr>
        <w:t xml:space="preserve">că </w:t>
      </w:r>
      <w:proofErr w:type="gramStart"/>
      <w:r w:rsidRPr="007236A9">
        <w:rPr>
          <w:rFonts w:cstheme="minorHAnsi"/>
          <w:sz w:val="24"/>
          <w:szCs w:val="24"/>
        </w:rPr>
        <w:t>a</w:t>
      </w:r>
      <w:proofErr w:type="gramEnd"/>
      <w:r w:rsidRPr="007236A9">
        <w:rPr>
          <w:rFonts w:cstheme="minorHAnsi"/>
          <w:sz w:val="24"/>
          <w:szCs w:val="24"/>
        </w:rPr>
        <w:t xml:space="preserve"> ariei naturale </w:t>
      </w:r>
      <w:r w:rsidRPr="007236A9">
        <w:rPr>
          <w:rFonts w:cstheme="minorHAnsi"/>
          <w:noProof/>
          <w:sz w:val="24"/>
          <w:szCs w:val="24"/>
        </w:rPr>
        <w:t>protejate ROSPA0139 Piemontul Munților Metaliferi- Vințu.</w:t>
      </w:r>
    </w:p>
    <w:p w14:paraId="7DAD2164" w14:textId="7F456DCB" w:rsidR="007236A9" w:rsidRPr="007236A9" w:rsidRDefault="007236A9" w:rsidP="007236A9">
      <w:pPr>
        <w:jc w:val="both"/>
        <w:rPr>
          <w:rFonts w:ascii="Calibri" w:hAnsi="Calibri" w:cstheme="minorHAnsi"/>
          <w:noProof/>
          <w:color w:val="000000"/>
          <w:sz w:val="24"/>
          <w:szCs w:val="24"/>
        </w:rPr>
      </w:pPr>
      <w:r>
        <w:rPr>
          <w:rFonts w:ascii="Calibri" w:hAnsi="Calibri" w:cstheme="minorHAnsi"/>
          <w:noProof/>
          <w:color w:val="000000"/>
          <w:sz w:val="24"/>
          <w:szCs w:val="24"/>
        </w:rPr>
        <w:t>I</w:t>
      </w:r>
      <w:r w:rsidRPr="007236A9">
        <w:rPr>
          <w:rFonts w:ascii="Calibri" w:hAnsi="Calibri" w:cstheme="minorHAnsi"/>
          <w:noProof/>
          <w:color w:val="000000"/>
          <w:sz w:val="24"/>
          <w:szCs w:val="24"/>
        </w:rPr>
        <w:t>n zona județelor Alba și Hunedoara, de-a lungul râului Mureș între Alba – Iulia și Simeria, cele trei arii naturale protejate în custodia EPMC sunt:</w:t>
      </w:r>
    </w:p>
    <w:p w14:paraId="75E6F422" w14:textId="77777777" w:rsidR="007236A9" w:rsidRPr="007236A9" w:rsidRDefault="007236A9" w:rsidP="007236A9">
      <w:pPr>
        <w:numPr>
          <w:ilvl w:val="0"/>
          <w:numId w:val="8"/>
        </w:numPr>
        <w:jc w:val="both"/>
        <w:rPr>
          <w:rFonts w:ascii="Calibri" w:hAnsi="Calibri" w:cstheme="minorHAnsi"/>
          <w:noProof/>
          <w:color w:val="000000"/>
          <w:sz w:val="24"/>
          <w:szCs w:val="24"/>
        </w:rPr>
      </w:pPr>
      <w:r w:rsidRPr="007236A9">
        <w:rPr>
          <w:rFonts w:ascii="Calibri" w:hAnsi="Calibri" w:cstheme="minorHAnsi"/>
          <w:noProof/>
          <w:color w:val="000000"/>
          <w:sz w:val="24"/>
          <w:szCs w:val="24"/>
        </w:rPr>
        <w:t>situl de protecție special avifaunistică ROSPA0139 Piemontul Munților Metaliferi – Vințu, cu o suprafață de 8369 ha</w:t>
      </w:r>
    </w:p>
    <w:p w14:paraId="3830B177" w14:textId="77777777" w:rsidR="007236A9" w:rsidRPr="007236A9" w:rsidRDefault="007236A9" w:rsidP="007236A9">
      <w:pPr>
        <w:numPr>
          <w:ilvl w:val="0"/>
          <w:numId w:val="8"/>
        </w:numPr>
        <w:jc w:val="both"/>
        <w:rPr>
          <w:rFonts w:ascii="Calibri" w:hAnsi="Calibri" w:cstheme="minorHAnsi"/>
          <w:noProof/>
          <w:color w:val="000000"/>
          <w:sz w:val="24"/>
          <w:szCs w:val="24"/>
        </w:rPr>
      </w:pPr>
      <w:r w:rsidRPr="007236A9">
        <w:rPr>
          <w:rFonts w:ascii="Calibri" w:hAnsi="Calibri" w:cstheme="minorHAnsi"/>
          <w:noProof/>
          <w:color w:val="000000"/>
          <w:sz w:val="24"/>
          <w:szCs w:val="24"/>
        </w:rPr>
        <w:t>situl de importanță comunitară ROSCI0419 Mureșul Mijlociu – Cugir, cu o suprafață de 356 ha reprezentate de cursul râului Mureș și o parte a râului Cugir și</w:t>
      </w:r>
    </w:p>
    <w:p w14:paraId="3F14F879" w14:textId="77777777" w:rsidR="007236A9" w:rsidRPr="007236A9" w:rsidRDefault="007236A9" w:rsidP="007236A9">
      <w:pPr>
        <w:numPr>
          <w:ilvl w:val="0"/>
          <w:numId w:val="8"/>
        </w:numPr>
        <w:jc w:val="both"/>
        <w:rPr>
          <w:rFonts w:ascii="Calibri" w:hAnsi="Calibri" w:cstheme="minorHAnsi"/>
          <w:noProof/>
          <w:color w:val="000000"/>
          <w:sz w:val="24"/>
          <w:szCs w:val="24"/>
        </w:rPr>
      </w:pPr>
      <w:r w:rsidRPr="007236A9">
        <w:rPr>
          <w:rFonts w:ascii="Calibri" w:hAnsi="Calibri" w:cstheme="minorHAnsi"/>
          <w:noProof/>
          <w:color w:val="000000"/>
          <w:sz w:val="24"/>
          <w:szCs w:val="24"/>
        </w:rPr>
        <w:t>rezervația naturală geologică 2.519 Măgura Uroiului, cu o suprafță de 24 ha</w:t>
      </w:r>
    </w:p>
    <w:p w14:paraId="1BB84546" w14:textId="77777777" w:rsidR="001842A0" w:rsidRDefault="001842A0">
      <w:pPr>
        <w:pStyle w:val="Default"/>
        <w:jc w:val="both"/>
        <w:rPr>
          <w:rFonts w:cstheme="minorHAnsi"/>
          <w:szCs w:val="24"/>
        </w:rPr>
      </w:pPr>
      <w:r w:rsidRPr="001842A0">
        <w:rPr>
          <w:noProof/>
        </w:rPr>
        <w:lastRenderedPageBreak/>
        <w:drawing>
          <wp:inline distT="0" distB="0" distL="0" distR="0" wp14:anchorId="623F6B59" wp14:editId="2026A1DA">
            <wp:extent cx="5731510" cy="38036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03650"/>
                    </a:xfrm>
                    <a:prstGeom prst="rect">
                      <a:avLst/>
                    </a:prstGeom>
                  </pic:spPr>
                </pic:pic>
              </a:graphicData>
            </a:graphic>
          </wp:inline>
        </w:drawing>
      </w:r>
    </w:p>
    <w:p w14:paraId="6CCCA83E" w14:textId="77777777" w:rsidR="00C00822" w:rsidRDefault="00C00822">
      <w:pPr>
        <w:jc w:val="both"/>
        <w:rPr>
          <w:rFonts w:cstheme="minorHAnsi"/>
          <w:sz w:val="24"/>
          <w:szCs w:val="24"/>
        </w:rPr>
      </w:pPr>
    </w:p>
    <w:p w14:paraId="1E7F751D" w14:textId="77777777" w:rsidR="00C00822" w:rsidRDefault="00C00822">
      <w:pPr>
        <w:jc w:val="both"/>
        <w:rPr>
          <w:rFonts w:cstheme="minorHAnsi"/>
          <w:sz w:val="24"/>
          <w:szCs w:val="24"/>
        </w:rPr>
      </w:pPr>
    </w:p>
    <w:p w14:paraId="4E8EB3DC" w14:textId="77777777" w:rsidR="00C00822" w:rsidRDefault="00C00822">
      <w:pPr>
        <w:jc w:val="both"/>
        <w:rPr>
          <w:rFonts w:cstheme="minorHAnsi"/>
          <w:noProof/>
          <w:sz w:val="24"/>
          <w:szCs w:val="24"/>
        </w:rPr>
      </w:pPr>
    </w:p>
    <w:p w14:paraId="7CFE6080" w14:textId="1ABC8D8A" w:rsidR="00FD566B" w:rsidRDefault="000D1FC2">
      <w:pPr>
        <w:jc w:val="both"/>
        <w:rPr>
          <w:rFonts w:ascii="Calibri" w:hAnsi="Calibri"/>
          <w:sz w:val="24"/>
          <w:szCs w:val="24"/>
        </w:rPr>
      </w:pPr>
      <w:r>
        <w:rPr>
          <w:rFonts w:cstheme="minorHAnsi"/>
          <w:noProof/>
          <w:sz w:val="24"/>
          <w:szCs w:val="24"/>
        </w:rPr>
        <w:t>Situl</w:t>
      </w:r>
      <w:r>
        <w:rPr>
          <w:rFonts w:cstheme="minorHAnsi"/>
          <w:b/>
          <w:bCs/>
          <w:noProof/>
          <w:sz w:val="24"/>
          <w:szCs w:val="24"/>
        </w:rPr>
        <w:t xml:space="preserve"> "Piemontul Munților Metaliferi Vințu"</w:t>
      </w:r>
      <w:r>
        <w:rPr>
          <w:rFonts w:cstheme="minorHAnsi"/>
          <w:noProof/>
          <w:sz w:val="24"/>
          <w:szCs w:val="24"/>
        </w:rPr>
        <w:t xml:space="preserve"> – este mărginit la sud- est de Valea Râului Mureș și localitățile aferente dintre Raportul Mare în sud, sud-est și Vințu de Jos – Alba Iulia în n</w:t>
      </w:r>
      <w:r>
        <w:rPr>
          <w:rFonts w:cstheme="minorHAnsi"/>
          <w:noProof/>
          <w:sz w:val="24"/>
          <w:szCs w:val="24"/>
        </w:rPr>
        <w:t>ord, nord-est. La vest situl este mărginit de Munții Metaliferi . Cuprinde în principal zone forestiere dar și mozaic de pășuni, fânațe, terenuri arabile și tufărișuri</w:t>
      </w:r>
      <w:r>
        <w:rPr>
          <w:rFonts w:cstheme="minorHAnsi"/>
          <w:sz w:val="24"/>
          <w:szCs w:val="24"/>
        </w:rPr>
        <w:t>.</w:t>
      </w:r>
    </w:p>
    <w:p w14:paraId="45C8FF58" w14:textId="77777777" w:rsidR="00FD566B" w:rsidRDefault="000D1FC2">
      <w:pPr>
        <w:jc w:val="both"/>
        <w:rPr>
          <w:rFonts w:ascii="Calibri" w:hAnsi="Calibri"/>
          <w:sz w:val="24"/>
          <w:szCs w:val="24"/>
        </w:rPr>
      </w:pPr>
      <w:r>
        <w:rPr>
          <w:rFonts w:cstheme="minorHAnsi"/>
          <w:sz w:val="24"/>
          <w:szCs w:val="24"/>
        </w:rPr>
        <w:t>Suprafața sitului este de 8,388 ha. Din punct de vedere altitudinal, prezintă o altitud</w:t>
      </w:r>
      <w:r>
        <w:rPr>
          <w:rFonts w:cstheme="minorHAnsi"/>
          <w:sz w:val="24"/>
          <w:szCs w:val="24"/>
        </w:rPr>
        <w:t>ine medie de 308 m, altitudinea maximă fiind de 641 m, iar ce minimă de 189 m.</w:t>
      </w:r>
    </w:p>
    <w:p w14:paraId="4AF89BB9" w14:textId="77777777" w:rsidR="00FD566B" w:rsidRDefault="000D1FC2">
      <w:pPr>
        <w:jc w:val="both"/>
        <w:rPr>
          <w:rFonts w:ascii="Calibri" w:hAnsi="Calibri"/>
          <w:sz w:val="24"/>
          <w:szCs w:val="24"/>
        </w:rPr>
      </w:pPr>
      <w:r>
        <w:rPr>
          <w:rFonts w:cstheme="minorHAnsi"/>
          <w:sz w:val="24"/>
          <w:szCs w:val="24"/>
        </w:rPr>
        <w:t>Din punct de vedere administrativ, situl se împarte astfel:</w:t>
      </w:r>
    </w:p>
    <w:tbl>
      <w:tblPr>
        <w:tblW w:w="5932" w:type="dxa"/>
        <w:tblInd w:w="1056" w:type="dxa"/>
        <w:tblCellMar>
          <w:top w:w="55" w:type="dxa"/>
          <w:left w:w="55" w:type="dxa"/>
          <w:bottom w:w="55" w:type="dxa"/>
          <w:right w:w="55" w:type="dxa"/>
        </w:tblCellMar>
        <w:tblLook w:val="0000" w:firstRow="0" w:lastRow="0" w:firstColumn="0" w:lastColumn="0" w:noHBand="0" w:noVBand="0"/>
      </w:tblPr>
      <w:tblGrid>
        <w:gridCol w:w="2153"/>
        <w:gridCol w:w="1705"/>
        <w:gridCol w:w="2074"/>
      </w:tblGrid>
      <w:tr w:rsidR="00FD566B" w14:paraId="6500DC90" w14:textId="77777777">
        <w:tc>
          <w:tcPr>
            <w:tcW w:w="2153" w:type="dxa"/>
            <w:tcBorders>
              <w:top w:val="single" w:sz="2" w:space="0" w:color="000000"/>
              <w:left w:val="single" w:sz="2" w:space="0" w:color="000000"/>
              <w:bottom w:val="single" w:sz="2" w:space="0" w:color="000000"/>
            </w:tcBorders>
            <w:shd w:val="clear" w:color="auto" w:fill="auto"/>
          </w:tcPr>
          <w:p w14:paraId="3E7AF05C" w14:textId="77777777" w:rsidR="00FD566B" w:rsidRDefault="000D1FC2">
            <w:pPr>
              <w:pStyle w:val="TableContents"/>
              <w:spacing w:after="0"/>
              <w:jc w:val="both"/>
              <w:rPr>
                <w:rFonts w:ascii="Calibri" w:hAnsi="Calibri"/>
                <w:sz w:val="24"/>
                <w:szCs w:val="24"/>
              </w:rPr>
            </w:pPr>
            <w:r>
              <w:rPr>
                <w:rFonts w:cstheme="minorHAnsi"/>
                <w:b/>
                <w:bCs/>
                <w:sz w:val="24"/>
                <w:szCs w:val="24"/>
              </w:rPr>
              <w:t>NUTS</w:t>
            </w:r>
          </w:p>
        </w:tc>
        <w:tc>
          <w:tcPr>
            <w:tcW w:w="1705" w:type="dxa"/>
            <w:tcBorders>
              <w:top w:val="single" w:sz="2" w:space="0" w:color="000000"/>
              <w:left w:val="single" w:sz="2" w:space="0" w:color="000000"/>
              <w:bottom w:val="single" w:sz="2" w:space="0" w:color="000000"/>
            </w:tcBorders>
            <w:shd w:val="clear" w:color="auto" w:fill="auto"/>
          </w:tcPr>
          <w:p w14:paraId="0D63BF55" w14:textId="77777777" w:rsidR="00FD566B" w:rsidRDefault="000D1FC2">
            <w:pPr>
              <w:pStyle w:val="TableContents"/>
              <w:spacing w:after="0"/>
              <w:jc w:val="both"/>
              <w:rPr>
                <w:rFonts w:ascii="Calibri" w:hAnsi="Calibri"/>
                <w:sz w:val="24"/>
                <w:szCs w:val="24"/>
              </w:rPr>
            </w:pPr>
            <w:r>
              <w:rPr>
                <w:rFonts w:cstheme="minorHAnsi"/>
                <w:b/>
                <w:bCs/>
                <w:sz w:val="24"/>
                <w:szCs w:val="24"/>
              </w:rPr>
              <w:t>%</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14:paraId="46AFE56A" w14:textId="77777777" w:rsidR="00FD566B" w:rsidRDefault="000D1FC2">
            <w:pPr>
              <w:pStyle w:val="TableContents"/>
              <w:spacing w:after="0"/>
              <w:jc w:val="both"/>
              <w:rPr>
                <w:rFonts w:ascii="Calibri" w:hAnsi="Calibri"/>
                <w:sz w:val="24"/>
                <w:szCs w:val="24"/>
              </w:rPr>
            </w:pPr>
            <w:r>
              <w:rPr>
                <w:rFonts w:cstheme="minorHAnsi"/>
                <w:b/>
                <w:bCs/>
                <w:sz w:val="24"/>
                <w:szCs w:val="24"/>
              </w:rPr>
              <w:t>Județul</w:t>
            </w:r>
          </w:p>
        </w:tc>
      </w:tr>
      <w:tr w:rsidR="00FD566B" w14:paraId="587B5093" w14:textId="77777777">
        <w:tc>
          <w:tcPr>
            <w:tcW w:w="2153" w:type="dxa"/>
            <w:tcBorders>
              <w:left w:val="single" w:sz="2" w:space="0" w:color="000000"/>
              <w:bottom w:val="single" w:sz="2" w:space="0" w:color="000000"/>
            </w:tcBorders>
            <w:shd w:val="clear" w:color="auto" w:fill="auto"/>
          </w:tcPr>
          <w:p w14:paraId="6D1A5DF8" w14:textId="77777777" w:rsidR="00FD566B" w:rsidRDefault="000D1FC2">
            <w:pPr>
              <w:pStyle w:val="TableContents"/>
              <w:spacing w:after="0"/>
              <w:jc w:val="both"/>
              <w:rPr>
                <w:rFonts w:ascii="Calibri" w:hAnsi="Calibri"/>
                <w:sz w:val="24"/>
                <w:szCs w:val="24"/>
              </w:rPr>
            </w:pPr>
            <w:r>
              <w:rPr>
                <w:rFonts w:cstheme="minorHAnsi"/>
                <w:sz w:val="24"/>
                <w:szCs w:val="24"/>
              </w:rPr>
              <w:t>RO071</w:t>
            </w:r>
          </w:p>
        </w:tc>
        <w:tc>
          <w:tcPr>
            <w:tcW w:w="1705" w:type="dxa"/>
            <w:tcBorders>
              <w:left w:val="single" w:sz="2" w:space="0" w:color="000000"/>
              <w:bottom w:val="single" w:sz="2" w:space="0" w:color="000000"/>
            </w:tcBorders>
            <w:shd w:val="clear" w:color="auto" w:fill="auto"/>
          </w:tcPr>
          <w:p w14:paraId="2793F53F" w14:textId="77777777" w:rsidR="00FD566B" w:rsidRDefault="000D1FC2">
            <w:pPr>
              <w:pStyle w:val="TableContents"/>
              <w:spacing w:after="0"/>
              <w:jc w:val="both"/>
              <w:rPr>
                <w:rFonts w:ascii="Calibri" w:hAnsi="Calibri"/>
                <w:sz w:val="24"/>
                <w:szCs w:val="24"/>
              </w:rPr>
            </w:pPr>
            <w:r>
              <w:rPr>
                <w:rFonts w:cstheme="minorHAnsi"/>
                <w:sz w:val="24"/>
                <w:szCs w:val="24"/>
              </w:rPr>
              <w:t>46</w:t>
            </w:r>
          </w:p>
        </w:tc>
        <w:tc>
          <w:tcPr>
            <w:tcW w:w="2074" w:type="dxa"/>
            <w:tcBorders>
              <w:left w:val="single" w:sz="2" w:space="0" w:color="000000"/>
              <w:bottom w:val="single" w:sz="2" w:space="0" w:color="000000"/>
              <w:right w:val="single" w:sz="2" w:space="0" w:color="000000"/>
            </w:tcBorders>
            <w:shd w:val="clear" w:color="auto" w:fill="auto"/>
          </w:tcPr>
          <w:p w14:paraId="723438FE" w14:textId="77777777" w:rsidR="00FD566B" w:rsidRDefault="000D1FC2">
            <w:pPr>
              <w:pStyle w:val="TableContents"/>
              <w:spacing w:after="0"/>
              <w:jc w:val="both"/>
              <w:rPr>
                <w:rFonts w:ascii="Calibri" w:hAnsi="Calibri"/>
                <w:sz w:val="24"/>
                <w:szCs w:val="24"/>
              </w:rPr>
            </w:pPr>
            <w:r>
              <w:rPr>
                <w:rFonts w:cstheme="minorHAnsi"/>
                <w:sz w:val="24"/>
                <w:szCs w:val="24"/>
              </w:rPr>
              <w:t>Alba</w:t>
            </w:r>
          </w:p>
        </w:tc>
      </w:tr>
      <w:tr w:rsidR="00FD566B" w14:paraId="7DF15196" w14:textId="77777777">
        <w:tc>
          <w:tcPr>
            <w:tcW w:w="2153" w:type="dxa"/>
            <w:tcBorders>
              <w:left w:val="single" w:sz="2" w:space="0" w:color="000000"/>
              <w:bottom w:val="single" w:sz="2" w:space="0" w:color="000000"/>
            </w:tcBorders>
            <w:shd w:val="clear" w:color="auto" w:fill="auto"/>
          </w:tcPr>
          <w:p w14:paraId="0DCEEB40" w14:textId="77777777" w:rsidR="00FD566B" w:rsidRDefault="000D1FC2">
            <w:pPr>
              <w:pStyle w:val="TableContents"/>
              <w:spacing w:after="0"/>
              <w:jc w:val="both"/>
              <w:rPr>
                <w:rFonts w:ascii="Calibri" w:hAnsi="Calibri"/>
                <w:sz w:val="24"/>
                <w:szCs w:val="24"/>
              </w:rPr>
            </w:pPr>
            <w:r>
              <w:rPr>
                <w:rFonts w:cstheme="minorHAnsi"/>
                <w:sz w:val="24"/>
                <w:szCs w:val="24"/>
              </w:rPr>
              <w:t>RO053</w:t>
            </w:r>
          </w:p>
        </w:tc>
        <w:tc>
          <w:tcPr>
            <w:tcW w:w="1705" w:type="dxa"/>
            <w:tcBorders>
              <w:left w:val="single" w:sz="2" w:space="0" w:color="000000"/>
              <w:bottom w:val="single" w:sz="2" w:space="0" w:color="000000"/>
            </w:tcBorders>
            <w:shd w:val="clear" w:color="auto" w:fill="auto"/>
          </w:tcPr>
          <w:p w14:paraId="5623B38A" w14:textId="77777777" w:rsidR="00FD566B" w:rsidRDefault="000D1FC2">
            <w:pPr>
              <w:pStyle w:val="TableContents"/>
              <w:spacing w:after="0"/>
              <w:jc w:val="both"/>
              <w:rPr>
                <w:rFonts w:ascii="Calibri" w:hAnsi="Calibri"/>
                <w:sz w:val="24"/>
                <w:szCs w:val="24"/>
              </w:rPr>
            </w:pPr>
            <w:r>
              <w:rPr>
                <w:rFonts w:cstheme="minorHAnsi"/>
                <w:sz w:val="24"/>
                <w:szCs w:val="24"/>
              </w:rPr>
              <w:t>54</w:t>
            </w:r>
          </w:p>
        </w:tc>
        <w:tc>
          <w:tcPr>
            <w:tcW w:w="2074" w:type="dxa"/>
            <w:tcBorders>
              <w:left w:val="single" w:sz="2" w:space="0" w:color="000000"/>
              <w:bottom w:val="single" w:sz="2" w:space="0" w:color="000000"/>
              <w:right w:val="single" w:sz="2" w:space="0" w:color="000000"/>
            </w:tcBorders>
            <w:shd w:val="clear" w:color="auto" w:fill="auto"/>
          </w:tcPr>
          <w:p w14:paraId="32ABA54D" w14:textId="77777777" w:rsidR="00FD566B" w:rsidRDefault="000D1FC2">
            <w:pPr>
              <w:pStyle w:val="TableContents"/>
              <w:spacing w:after="0"/>
              <w:jc w:val="both"/>
              <w:rPr>
                <w:rFonts w:ascii="Calibri" w:hAnsi="Calibri"/>
                <w:sz w:val="24"/>
                <w:szCs w:val="24"/>
              </w:rPr>
            </w:pPr>
            <w:r>
              <w:rPr>
                <w:rFonts w:cstheme="minorHAnsi"/>
                <w:sz w:val="24"/>
                <w:szCs w:val="24"/>
              </w:rPr>
              <w:t>Hunedoara</w:t>
            </w:r>
          </w:p>
        </w:tc>
      </w:tr>
    </w:tbl>
    <w:p w14:paraId="2DD3E6CC" w14:textId="77777777" w:rsidR="00FD566B" w:rsidRDefault="00FD566B">
      <w:pPr>
        <w:jc w:val="both"/>
        <w:rPr>
          <w:rFonts w:cstheme="minorHAnsi"/>
        </w:rPr>
      </w:pPr>
    </w:p>
    <w:p w14:paraId="3549EAF7" w14:textId="77777777" w:rsidR="00FD566B" w:rsidRDefault="000D1FC2">
      <w:pPr>
        <w:jc w:val="both"/>
        <w:rPr>
          <w:rFonts w:cstheme="minorHAnsi"/>
        </w:rPr>
      </w:pPr>
      <w:r>
        <w:rPr>
          <w:rFonts w:cstheme="minorHAnsi"/>
          <w:noProof/>
        </w:rPr>
        <w:lastRenderedPageBreak/>
        <w:drawing>
          <wp:anchor distT="0" distB="0" distL="0" distR="0" simplePos="0" relativeHeight="3" behindDoc="0" locked="0" layoutInCell="1" allowOverlap="1" wp14:anchorId="319F5D27" wp14:editId="49C572B1">
            <wp:simplePos x="0" y="0"/>
            <wp:positionH relativeFrom="column">
              <wp:posOffset>168910</wp:posOffset>
            </wp:positionH>
            <wp:positionV relativeFrom="paragraph">
              <wp:posOffset>-112395</wp:posOffset>
            </wp:positionV>
            <wp:extent cx="5273675" cy="372681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1"/>
                    <a:stretch>
                      <a:fillRect/>
                    </a:stretch>
                  </pic:blipFill>
                  <pic:spPr bwMode="auto">
                    <a:xfrm>
                      <a:off x="0" y="0"/>
                      <a:ext cx="5273675" cy="3726815"/>
                    </a:xfrm>
                    <a:prstGeom prst="rect">
                      <a:avLst/>
                    </a:prstGeom>
                  </pic:spPr>
                </pic:pic>
              </a:graphicData>
            </a:graphic>
          </wp:anchor>
        </w:drawing>
      </w:r>
    </w:p>
    <w:p w14:paraId="6FC7CAD0" w14:textId="77777777" w:rsidR="00FD566B" w:rsidRDefault="00FD566B">
      <w:pPr>
        <w:jc w:val="both"/>
        <w:rPr>
          <w:rFonts w:cstheme="minorHAnsi"/>
        </w:rPr>
      </w:pPr>
    </w:p>
    <w:p w14:paraId="5EBC7988" w14:textId="77777777" w:rsidR="00FD566B" w:rsidRDefault="00FD566B">
      <w:pPr>
        <w:jc w:val="both"/>
        <w:rPr>
          <w:rFonts w:cstheme="minorHAnsi"/>
        </w:rPr>
      </w:pPr>
    </w:p>
    <w:p w14:paraId="7F8F4CDD" w14:textId="77777777" w:rsidR="00FD566B" w:rsidRDefault="00FD566B">
      <w:pPr>
        <w:jc w:val="both"/>
        <w:rPr>
          <w:rFonts w:cstheme="minorHAnsi"/>
        </w:rPr>
      </w:pPr>
    </w:p>
    <w:p w14:paraId="3784C128" w14:textId="77777777" w:rsidR="00FD566B" w:rsidRDefault="00FD566B">
      <w:pPr>
        <w:jc w:val="both"/>
        <w:rPr>
          <w:rFonts w:cstheme="minorHAnsi"/>
        </w:rPr>
      </w:pPr>
    </w:p>
    <w:p w14:paraId="7AF2F392" w14:textId="77777777" w:rsidR="00FD566B" w:rsidRDefault="00FD566B">
      <w:pPr>
        <w:jc w:val="both"/>
        <w:rPr>
          <w:rFonts w:cstheme="minorHAnsi"/>
        </w:rPr>
      </w:pPr>
    </w:p>
    <w:p w14:paraId="55771249" w14:textId="77777777" w:rsidR="00FD566B" w:rsidRDefault="00FD566B">
      <w:pPr>
        <w:jc w:val="both"/>
        <w:rPr>
          <w:rFonts w:cstheme="minorHAnsi"/>
        </w:rPr>
      </w:pPr>
    </w:p>
    <w:p w14:paraId="54056A3D" w14:textId="77777777" w:rsidR="00FD566B" w:rsidRDefault="00FD566B">
      <w:pPr>
        <w:jc w:val="both"/>
        <w:rPr>
          <w:rFonts w:cstheme="minorHAnsi"/>
        </w:rPr>
      </w:pPr>
    </w:p>
    <w:p w14:paraId="6EC97954" w14:textId="77777777" w:rsidR="00FD566B" w:rsidRDefault="00FD566B">
      <w:pPr>
        <w:jc w:val="both"/>
        <w:rPr>
          <w:rFonts w:cstheme="minorHAnsi"/>
        </w:rPr>
      </w:pPr>
    </w:p>
    <w:p w14:paraId="42407D2F" w14:textId="77777777" w:rsidR="00FD566B" w:rsidRDefault="00FD566B">
      <w:pPr>
        <w:jc w:val="both"/>
        <w:rPr>
          <w:rFonts w:cstheme="minorHAnsi"/>
        </w:rPr>
      </w:pPr>
    </w:p>
    <w:p w14:paraId="3F0F3CAE" w14:textId="77777777" w:rsidR="00FD566B" w:rsidRDefault="00FD566B">
      <w:pPr>
        <w:jc w:val="both"/>
        <w:rPr>
          <w:b/>
          <w:bCs/>
          <w:sz w:val="20"/>
          <w:szCs w:val="20"/>
        </w:rPr>
      </w:pPr>
    </w:p>
    <w:p w14:paraId="4697B96D" w14:textId="77777777" w:rsidR="00FD566B" w:rsidRDefault="00FD566B">
      <w:pPr>
        <w:jc w:val="both"/>
        <w:rPr>
          <w:b/>
          <w:bCs/>
          <w:sz w:val="20"/>
          <w:szCs w:val="20"/>
        </w:rPr>
      </w:pPr>
    </w:p>
    <w:p w14:paraId="45B158BF" w14:textId="77777777" w:rsidR="00FD566B" w:rsidRDefault="000D1FC2">
      <w:pPr>
        <w:jc w:val="both"/>
        <w:rPr>
          <w:rFonts w:cstheme="minorHAnsi"/>
        </w:rPr>
      </w:pPr>
      <w:r>
        <w:rPr>
          <w:rFonts w:cstheme="minorHAnsi"/>
          <w:b/>
          <w:bCs/>
          <w:sz w:val="20"/>
          <w:szCs w:val="20"/>
        </w:rPr>
        <w:tab/>
      </w:r>
      <w:r>
        <w:rPr>
          <w:rFonts w:cstheme="minorHAnsi"/>
          <w:b/>
          <w:bCs/>
          <w:sz w:val="20"/>
          <w:szCs w:val="20"/>
        </w:rPr>
        <w:tab/>
      </w:r>
      <w:r>
        <w:rPr>
          <w:rFonts w:cstheme="minorHAnsi"/>
          <w:b/>
          <w:bCs/>
          <w:sz w:val="20"/>
          <w:szCs w:val="20"/>
        </w:rPr>
        <w:tab/>
        <w:t xml:space="preserve">Fig. 1. </w:t>
      </w:r>
      <w:proofErr w:type="spellStart"/>
      <w:r>
        <w:rPr>
          <w:rFonts w:cstheme="minorHAnsi"/>
          <w:b/>
          <w:bCs/>
          <w:sz w:val="20"/>
          <w:szCs w:val="20"/>
        </w:rPr>
        <w:t>Planul</w:t>
      </w:r>
      <w:proofErr w:type="spellEnd"/>
      <w:r>
        <w:rPr>
          <w:rFonts w:cstheme="minorHAnsi"/>
          <w:b/>
          <w:bCs/>
          <w:sz w:val="20"/>
          <w:szCs w:val="20"/>
        </w:rPr>
        <w:t xml:space="preserve"> de </w:t>
      </w:r>
      <w:proofErr w:type="spellStart"/>
      <w:r>
        <w:rPr>
          <w:rFonts w:cstheme="minorHAnsi"/>
          <w:b/>
          <w:bCs/>
          <w:sz w:val="20"/>
          <w:szCs w:val="20"/>
        </w:rPr>
        <w:t>încadrare</w:t>
      </w:r>
      <w:proofErr w:type="spellEnd"/>
      <w:r>
        <w:rPr>
          <w:rFonts w:cstheme="minorHAnsi"/>
          <w:b/>
          <w:bCs/>
          <w:sz w:val="20"/>
          <w:szCs w:val="20"/>
        </w:rPr>
        <w:t xml:space="preserve"> </w:t>
      </w:r>
      <w:proofErr w:type="spellStart"/>
      <w:r>
        <w:rPr>
          <w:rFonts w:cstheme="minorHAnsi"/>
          <w:b/>
          <w:bCs/>
          <w:sz w:val="20"/>
          <w:szCs w:val="20"/>
        </w:rPr>
        <w:t>în</w:t>
      </w:r>
      <w:proofErr w:type="spellEnd"/>
      <w:r>
        <w:rPr>
          <w:rFonts w:cstheme="minorHAnsi"/>
          <w:b/>
          <w:bCs/>
          <w:sz w:val="20"/>
          <w:szCs w:val="20"/>
        </w:rPr>
        <w:t xml:space="preserve"> </w:t>
      </w:r>
      <w:proofErr w:type="spellStart"/>
      <w:r>
        <w:rPr>
          <w:rFonts w:cstheme="minorHAnsi"/>
          <w:b/>
          <w:bCs/>
          <w:sz w:val="20"/>
          <w:szCs w:val="20"/>
        </w:rPr>
        <w:t>zonă</w:t>
      </w:r>
      <w:proofErr w:type="spellEnd"/>
      <w:r>
        <w:rPr>
          <w:rFonts w:cstheme="minorHAnsi"/>
          <w:b/>
          <w:bCs/>
          <w:sz w:val="20"/>
          <w:szCs w:val="20"/>
        </w:rPr>
        <w:t xml:space="preserve"> cu </w:t>
      </w:r>
      <w:proofErr w:type="spellStart"/>
      <w:r>
        <w:rPr>
          <w:rFonts w:cstheme="minorHAnsi"/>
          <w:b/>
          <w:bCs/>
          <w:sz w:val="20"/>
          <w:szCs w:val="20"/>
        </w:rPr>
        <w:t>limita</w:t>
      </w:r>
      <w:proofErr w:type="spellEnd"/>
      <w:r>
        <w:rPr>
          <w:rFonts w:cstheme="minorHAnsi"/>
          <w:b/>
          <w:bCs/>
          <w:sz w:val="20"/>
          <w:szCs w:val="20"/>
        </w:rPr>
        <w:t xml:space="preserve"> </w:t>
      </w:r>
      <w:proofErr w:type="spellStart"/>
      <w:r>
        <w:rPr>
          <w:rFonts w:cstheme="minorHAnsi"/>
          <w:b/>
          <w:bCs/>
          <w:sz w:val="20"/>
          <w:szCs w:val="20"/>
        </w:rPr>
        <w:t>ariilor</w:t>
      </w:r>
      <w:proofErr w:type="spellEnd"/>
      <w:r>
        <w:rPr>
          <w:rFonts w:cstheme="minorHAnsi"/>
          <w:b/>
          <w:bCs/>
          <w:sz w:val="20"/>
          <w:szCs w:val="20"/>
        </w:rPr>
        <w:t xml:space="preserve"> </w:t>
      </w:r>
      <w:proofErr w:type="spellStart"/>
      <w:r>
        <w:rPr>
          <w:rFonts w:cstheme="minorHAnsi"/>
          <w:b/>
          <w:bCs/>
          <w:sz w:val="20"/>
          <w:szCs w:val="20"/>
        </w:rPr>
        <w:t>protejate</w:t>
      </w:r>
      <w:proofErr w:type="spellEnd"/>
    </w:p>
    <w:p w14:paraId="3FA68289" w14:textId="77777777" w:rsidR="00FD566B" w:rsidRDefault="000D1FC2">
      <w:pPr>
        <w:jc w:val="both"/>
        <w:rPr>
          <w:rFonts w:ascii="Calibri" w:hAnsi="Calibri"/>
          <w:sz w:val="24"/>
          <w:szCs w:val="24"/>
        </w:rPr>
      </w:pPr>
      <w:r>
        <w:rPr>
          <w:rFonts w:cstheme="minorHAnsi"/>
          <w:sz w:val="24"/>
          <w:szCs w:val="24"/>
        </w:rPr>
        <w:t>Unitățile administrativ – teritoriale în care este localizat situl și suprafața unității administrativ -  teritoriale cuprinsă în sit se prezintă astfel:</w:t>
      </w:r>
    </w:p>
    <w:p w14:paraId="71EA91DD" w14:textId="77777777" w:rsidR="00FD566B" w:rsidRDefault="000D1FC2">
      <w:pPr>
        <w:numPr>
          <w:ilvl w:val="0"/>
          <w:numId w:val="4"/>
        </w:numPr>
        <w:jc w:val="both"/>
        <w:rPr>
          <w:rFonts w:ascii="Calibri" w:hAnsi="Calibri"/>
          <w:sz w:val="24"/>
          <w:szCs w:val="24"/>
        </w:rPr>
      </w:pPr>
      <w:r>
        <w:rPr>
          <w:rFonts w:cstheme="minorHAnsi"/>
          <w:sz w:val="24"/>
          <w:szCs w:val="24"/>
        </w:rPr>
        <w:t>Județul Alba: Alba Iulia (9%), Blandiana (11%), Vințu de Jos (18%), Șibot (14</w:t>
      </w:r>
      <w:r>
        <w:rPr>
          <w:rFonts w:cstheme="minorHAnsi"/>
          <w:sz w:val="24"/>
          <w:szCs w:val="24"/>
        </w:rPr>
        <w:t>%)</w:t>
      </w:r>
    </w:p>
    <w:p w14:paraId="4EEAD228" w14:textId="77777777" w:rsidR="00FD566B" w:rsidRDefault="000D1FC2">
      <w:pPr>
        <w:numPr>
          <w:ilvl w:val="0"/>
          <w:numId w:val="4"/>
        </w:numPr>
        <w:jc w:val="both"/>
      </w:pPr>
      <w:r>
        <w:rPr>
          <w:rFonts w:cstheme="minorHAnsi"/>
          <w:sz w:val="24"/>
          <w:szCs w:val="24"/>
        </w:rPr>
        <w:t>Județul Hunedoara: Geoagiu (14%), Hărău (5%), Rapoltul Mare (17%), Simeria (12%), Turdaș (3%).</w:t>
      </w:r>
    </w:p>
    <w:p w14:paraId="218D2093" w14:textId="77777777" w:rsidR="00FD566B" w:rsidRDefault="000D1FC2">
      <w:pPr>
        <w:pStyle w:val="Default"/>
        <w:jc w:val="both"/>
        <w:rPr>
          <w:szCs w:val="24"/>
        </w:rPr>
      </w:pPr>
      <w:r>
        <w:rPr>
          <w:rFonts w:cstheme="minorHAnsi"/>
          <w:b/>
          <w:szCs w:val="24"/>
        </w:rPr>
        <w:t xml:space="preserve">Localizarea proiectului </w:t>
      </w:r>
    </w:p>
    <w:p w14:paraId="3E276B4A" w14:textId="66386577" w:rsidR="00FD566B" w:rsidRDefault="000D1FC2">
      <w:pPr>
        <w:spacing w:before="57" w:after="57"/>
        <w:jc w:val="both"/>
        <w:rPr>
          <w:rFonts w:cstheme="minorHAnsi"/>
          <w:b/>
          <w:bCs/>
          <w:i/>
          <w:sz w:val="24"/>
          <w:szCs w:val="24"/>
        </w:rPr>
      </w:pPr>
      <w:r>
        <w:rPr>
          <w:rFonts w:cstheme="minorHAnsi"/>
          <w:b/>
          <w:bCs/>
          <w:i/>
          <w:sz w:val="24"/>
          <w:szCs w:val="24"/>
        </w:rPr>
        <w:t>Perimetrul de exploatare  Gelmar Est, este situat în zona terasei superioare a râului Mureș,  la circa 1km Sud-Vest de localitatea Ge</w:t>
      </w:r>
      <w:r>
        <w:rPr>
          <w:rFonts w:cstheme="minorHAnsi"/>
          <w:b/>
          <w:bCs/>
          <w:i/>
          <w:sz w:val="24"/>
          <w:szCs w:val="24"/>
        </w:rPr>
        <w:t>lmar si aproximativ 500 m Sud de albia raului Mures.</w:t>
      </w:r>
    </w:p>
    <w:p w14:paraId="1C99756D" w14:textId="2A6AFF00" w:rsidR="004F0C2B" w:rsidRDefault="004F0C2B" w:rsidP="004F0C2B">
      <w:pPr>
        <w:spacing w:before="57" w:after="57"/>
        <w:jc w:val="center"/>
        <w:rPr>
          <w:rFonts w:ascii="Calibri" w:hAnsi="Calibri"/>
          <w:i/>
          <w:sz w:val="24"/>
          <w:szCs w:val="24"/>
        </w:rPr>
      </w:pPr>
      <w:r>
        <w:rPr>
          <w:rFonts w:ascii="Calibri" w:hAnsi="Calibri"/>
          <w:i/>
          <w:noProof/>
          <w:sz w:val="24"/>
          <w:szCs w:val="24"/>
        </w:rPr>
        <w:lastRenderedPageBreak/>
        <w:drawing>
          <wp:inline distT="0" distB="0" distL="0" distR="0" wp14:anchorId="0742F3DF" wp14:editId="27595DAA">
            <wp:extent cx="5023485" cy="330454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85" cy="3304540"/>
                    </a:xfrm>
                    <a:prstGeom prst="rect">
                      <a:avLst/>
                    </a:prstGeom>
                    <a:noFill/>
                  </pic:spPr>
                </pic:pic>
              </a:graphicData>
            </a:graphic>
          </wp:inline>
        </w:drawing>
      </w:r>
    </w:p>
    <w:p w14:paraId="094BBF17" w14:textId="3E628FEE" w:rsidR="00FD566B" w:rsidRDefault="000D1FC2">
      <w:pPr>
        <w:spacing w:after="0"/>
        <w:jc w:val="center"/>
        <w:rPr>
          <w:i/>
        </w:rPr>
      </w:pPr>
      <w:r>
        <w:rPr>
          <w:rFonts w:cstheme="minorHAnsi"/>
          <w:b/>
          <w:bCs/>
          <w:sz w:val="20"/>
          <w:szCs w:val="20"/>
        </w:rPr>
        <w:t xml:space="preserve">Fig.2 </w:t>
      </w:r>
      <w:proofErr w:type="spellStart"/>
      <w:r>
        <w:rPr>
          <w:rFonts w:cstheme="minorHAnsi"/>
          <w:b/>
          <w:bCs/>
          <w:sz w:val="20"/>
          <w:szCs w:val="20"/>
        </w:rPr>
        <w:t>Distanța</w:t>
      </w:r>
      <w:proofErr w:type="spellEnd"/>
      <w:r>
        <w:rPr>
          <w:rFonts w:cstheme="minorHAnsi"/>
          <w:b/>
          <w:bCs/>
          <w:sz w:val="20"/>
          <w:szCs w:val="20"/>
        </w:rPr>
        <w:t xml:space="preserve"> </w:t>
      </w:r>
      <w:proofErr w:type="spellStart"/>
      <w:r>
        <w:rPr>
          <w:rFonts w:cstheme="minorHAnsi"/>
          <w:b/>
          <w:bCs/>
          <w:sz w:val="20"/>
          <w:szCs w:val="20"/>
        </w:rPr>
        <w:t>dintre</w:t>
      </w:r>
      <w:proofErr w:type="spellEnd"/>
      <w:r>
        <w:rPr>
          <w:rFonts w:cstheme="minorHAnsi"/>
          <w:b/>
          <w:bCs/>
          <w:sz w:val="20"/>
          <w:szCs w:val="20"/>
        </w:rPr>
        <w:t xml:space="preserve"> </w:t>
      </w:r>
      <w:proofErr w:type="spellStart"/>
      <w:r>
        <w:rPr>
          <w:rFonts w:cstheme="minorHAnsi"/>
          <w:b/>
          <w:bCs/>
          <w:sz w:val="20"/>
          <w:szCs w:val="20"/>
        </w:rPr>
        <w:t>perimetrul</w:t>
      </w:r>
      <w:proofErr w:type="spellEnd"/>
      <w:r>
        <w:rPr>
          <w:rFonts w:cstheme="minorHAnsi"/>
          <w:b/>
          <w:bCs/>
          <w:sz w:val="20"/>
          <w:szCs w:val="20"/>
        </w:rPr>
        <w:t xml:space="preserve"> de </w:t>
      </w:r>
      <w:proofErr w:type="spellStart"/>
      <w:r>
        <w:rPr>
          <w:rFonts w:cstheme="minorHAnsi"/>
          <w:b/>
          <w:bCs/>
          <w:sz w:val="20"/>
          <w:szCs w:val="20"/>
        </w:rPr>
        <w:t>exploatare</w:t>
      </w:r>
      <w:proofErr w:type="spellEnd"/>
      <w:r>
        <w:rPr>
          <w:rFonts w:cstheme="minorHAnsi"/>
          <w:b/>
          <w:bCs/>
          <w:sz w:val="20"/>
          <w:szCs w:val="20"/>
        </w:rPr>
        <w:t xml:space="preserve"> </w:t>
      </w:r>
      <w:proofErr w:type="spellStart"/>
      <w:r>
        <w:rPr>
          <w:rFonts w:cstheme="minorHAnsi"/>
          <w:b/>
          <w:bCs/>
          <w:sz w:val="20"/>
          <w:szCs w:val="20"/>
        </w:rPr>
        <w:t>Gelmar</w:t>
      </w:r>
      <w:proofErr w:type="spellEnd"/>
      <w:r>
        <w:rPr>
          <w:rFonts w:cstheme="minorHAnsi"/>
          <w:b/>
          <w:bCs/>
          <w:sz w:val="20"/>
          <w:szCs w:val="20"/>
        </w:rPr>
        <w:t xml:space="preserve"> Est </w:t>
      </w:r>
      <w:proofErr w:type="spellStart"/>
      <w:r>
        <w:rPr>
          <w:rFonts w:cstheme="minorHAnsi"/>
          <w:b/>
          <w:bCs/>
          <w:sz w:val="20"/>
          <w:szCs w:val="20"/>
        </w:rPr>
        <w:t>și</w:t>
      </w:r>
      <w:proofErr w:type="spellEnd"/>
      <w:r>
        <w:rPr>
          <w:rFonts w:cstheme="minorHAnsi"/>
          <w:b/>
          <w:bCs/>
          <w:sz w:val="20"/>
          <w:szCs w:val="20"/>
        </w:rPr>
        <w:t xml:space="preserve"> Râul Mureș</w:t>
      </w:r>
    </w:p>
    <w:p w14:paraId="39EE9A97" w14:textId="57BBE7DB" w:rsidR="00FD566B" w:rsidRDefault="00FD566B">
      <w:pPr>
        <w:jc w:val="both"/>
        <w:rPr>
          <w:rFonts w:ascii="Calibri" w:hAnsi="Calibri"/>
          <w:sz w:val="24"/>
          <w:szCs w:val="24"/>
        </w:rPr>
      </w:pPr>
    </w:p>
    <w:p w14:paraId="5EBA8E9B" w14:textId="35FDA62D" w:rsidR="004F0C2B" w:rsidRDefault="004F0C2B">
      <w:pPr>
        <w:jc w:val="both"/>
        <w:rPr>
          <w:rFonts w:ascii="Calibri" w:hAnsi="Calibri"/>
          <w:sz w:val="24"/>
          <w:szCs w:val="24"/>
        </w:rPr>
      </w:pPr>
    </w:p>
    <w:p w14:paraId="5EDCEC54" w14:textId="77777777" w:rsidR="004F0C2B" w:rsidRDefault="004F0C2B">
      <w:pPr>
        <w:jc w:val="both"/>
        <w:rPr>
          <w:rFonts w:ascii="Calibri" w:hAnsi="Calibri"/>
          <w:sz w:val="24"/>
          <w:szCs w:val="24"/>
        </w:rPr>
      </w:pPr>
    </w:p>
    <w:p w14:paraId="11AD6667" w14:textId="77777777" w:rsidR="00FD566B" w:rsidRDefault="000D1FC2">
      <w:pPr>
        <w:jc w:val="both"/>
      </w:pPr>
      <w:r>
        <w:rPr>
          <w:noProof/>
        </w:rPr>
        <w:drawing>
          <wp:inline distT="0" distB="0" distL="0" distR="0" wp14:anchorId="1BB16C22" wp14:editId="3E28D4C1">
            <wp:extent cx="5542444" cy="3105150"/>
            <wp:effectExtent l="0" t="0" r="127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3"/>
                    <a:stretch>
                      <a:fillRect/>
                    </a:stretch>
                  </pic:blipFill>
                  <pic:spPr bwMode="auto">
                    <a:xfrm>
                      <a:off x="0" y="0"/>
                      <a:ext cx="5545137" cy="3106659"/>
                    </a:xfrm>
                    <a:prstGeom prst="rect">
                      <a:avLst/>
                    </a:prstGeom>
                  </pic:spPr>
                </pic:pic>
              </a:graphicData>
            </a:graphic>
          </wp:inline>
        </w:drawing>
      </w:r>
    </w:p>
    <w:p w14:paraId="443E4533" w14:textId="77777777" w:rsidR="00FD566B" w:rsidRDefault="000D1FC2">
      <w:pPr>
        <w:jc w:val="center"/>
      </w:pPr>
      <w:r>
        <w:rPr>
          <w:rFonts w:cstheme="minorHAnsi"/>
          <w:b/>
          <w:bCs/>
          <w:sz w:val="20"/>
          <w:szCs w:val="20"/>
        </w:rPr>
        <w:t>Fig.3 Pripalele forme de relief</w:t>
      </w:r>
    </w:p>
    <w:p w14:paraId="14082E0B" w14:textId="77777777" w:rsidR="00240393" w:rsidRDefault="00240393">
      <w:pPr>
        <w:pStyle w:val="Titlu1"/>
        <w:jc w:val="both"/>
        <w:rPr>
          <w:rFonts w:ascii="Calibri" w:hAnsi="Calibri"/>
          <w:sz w:val="24"/>
          <w:szCs w:val="24"/>
        </w:rPr>
      </w:pPr>
      <w:bookmarkStart w:id="9" w:name="_Toc3992730"/>
    </w:p>
    <w:p w14:paraId="23F18FD1" w14:textId="3D62D813" w:rsidR="00FD566B" w:rsidRDefault="000D1FC2">
      <w:pPr>
        <w:pStyle w:val="Titlu1"/>
        <w:jc w:val="both"/>
        <w:rPr>
          <w:rFonts w:ascii="Calibri" w:hAnsi="Calibri"/>
          <w:sz w:val="24"/>
          <w:szCs w:val="24"/>
        </w:rPr>
      </w:pPr>
      <w:bookmarkStart w:id="10" w:name="_Toc41997004"/>
      <w:r>
        <w:rPr>
          <w:rFonts w:ascii="Calibri" w:hAnsi="Calibri"/>
          <w:sz w:val="24"/>
          <w:szCs w:val="24"/>
        </w:rPr>
        <w:t>V. Descrierea amplasării proiectului:</w:t>
      </w:r>
      <w:bookmarkEnd w:id="9"/>
      <w:bookmarkEnd w:id="10"/>
    </w:p>
    <w:p w14:paraId="05271A0C" w14:textId="77777777" w:rsidR="00FD566B" w:rsidRDefault="000D1FC2">
      <w:pPr>
        <w:jc w:val="both"/>
        <w:rPr>
          <w:rFonts w:ascii="Calibri" w:hAnsi="Calibri"/>
          <w:sz w:val="24"/>
          <w:szCs w:val="24"/>
        </w:rPr>
      </w:pPr>
      <w:r>
        <w:rPr>
          <w:sz w:val="24"/>
          <w:szCs w:val="24"/>
        </w:rPr>
        <w:t xml:space="preserve">Din punct de vedere administrativ, </w:t>
      </w:r>
      <w:r>
        <w:rPr>
          <w:sz w:val="24"/>
          <w:szCs w:val="24"/>
        </w:rPr>
        <w:t>perimetrul de exploatare se află situat în extravilanul localității Gelmar, oraș Geoagiu, jud. Hunedoara, la sud DJ710 Aurel Vlaicu- Geoagiu.</w:t>
      </w:r>
    </w:p>
    <w:p w14:paraId="481EFF06" w14:textId="7A06E801" w:rsidR="00FD566B" w:rsidRPr="001842A0" w:rsidRDefault="001842A0">
      <w:pPr>
        <w:jc w:val="both"/>
        <w:rPr>
          <w:sz w:val="24"/>
          <w:szCs w:val="24"/>
        </w:rPr>
      </w:pPr>
      <w:r w:rsidRPr="001842A0">
        <w:rPr>
          <w:noProof/>
          <w:sz w:val="24"/>
          <w:szCs w:val="24"/>
        </w:rPr>
        <w:t>Clim</w:t>
      </w:r>
      <w:r>
        <w:rPr>
          <w:noProof/>
          <w:sz w:val="24"/>
          <w:szCs w:val="24"/>
        </w:rPr>
        <w:t>atul zonei este</w:t>
      </w:r>
      <w:r w:rsidRPr="001842A0">
        <w:rPr>
          <w:noProof/>
          <w:sz w:val="24"/>
          <w:szCs w:val="24"/>
        </w:rPr>
        <w:t xml:space="preserve"> determinată de aşezarea in depresiunea montană, în culoarul Mureşului - este de tipul continental-temperată, destul de blândă, cu ierni nu prea aspre şi veri călduroase.</w:t>
      </w:r>
      <w:r>
        <w:rPr>
          <w:noProof/>
          <w:sz w:val="24"/>
          <w:szCs w:val="24"/>
        </w:rPr>
        <w:t xml:space="preserve"> </w:t>
      </w:r>
      <w:r w:rsidRPr="001842A0">
        <w:rPr>
          <w:noProof/>
          <w:sz w:val="24"/>
          <w:szCs w:val="24"/>
        </w:rPr>
        <w:t>Media anuală a temperaturii este de 9,8°C. Media lunii ianuarie este -3°C (în februarie +1°C) iar media lunii iulie este de +20°C (cam aceleaşi valori înregistrându-se şi în luna august).</w:t>
      </w:r>
      <w:r>
        <w:rPr>
          <w:noProof/>
          <w:sz w:val="24"/>
          <w:szCs w:val="24"/>
        </w:rPr>
        <w:t xml:space="preserve"> </w:t>
      </w:r>
      <w:r w:rsidRPr="001842A0">
        <w:rPr>
          <w:noProof/>
          <w:sz w:val="24"/>
          <w:szCs w:val="24"/>
        </w:rPr>
        <w:t>Temperatura medie zilnică depăşeşte 0°C între 21 februarie şi 1 martie şi +10°C după 21 aprilie. Sub 0°C temperatura coboară numai după 11 decembrie. Temperaturile maxime înregistrate au fost de 43°C, iar minima de -30°</w:t>
      </w:r>
      <w:r>
        <w:rPr>
          <w:noProof/>
          <w:sz w:val="24"/>
          <w:szCs w:val="24"/>
        </w:rPr>
        <w:t>C</w:t>
      </w:r>
      <w:r w:rsidRPr="001842A0">
        <w:rPr>
          <w:noProof/>
          <w:sz w:val="24"/>
          <w:szCs w:val="24"/>
        </w:rPr>
        <w:t>.</w:t>
      </w:r>
      <w:r w:rsidRPr="001842A0">
        <w:rPr>
          <w:noProof/>
          <w:sz w:val="24"/>
          <w:szCs w:val="24"/>
        </w:rPr>
        <w:br/>
      </w:r>
      <w:r w:rsidRPr="001842A0">
        <w:rPr>
          <w:noProof/>
          <w:sz w:val="24"/>
          <w:szCs w:val="24"/>
        </w:rPr>
        <w:br/>
      </w:r>
      <w:r w:rsidRPr="001842A0">
        <w:rPr>
          <w:b/>
          <w:bCs/>
          <w:noProof/>
          <w:sz w:val="24"/>
          <w:szCs w:val="24"/>
        </w:rPr>
        <w:t>Hidrografia</w:t>
      </w:r>
      <w:r w:rsidRPr="001842A0">
        <w:rPr>
          <w:noProof/>
          <w:sz w:val="24"/>
          <w:szCs w:val="24"/>
        </w:rPr>
        <w:br/>
      </w:r>
      <w:r>
        <w:rPr>
          <w:noProof/>
          <w:sz w:val="24"/>
          <w:szCs w:val="24"/>
        </w:rPr>
        <w:t>Amplasamentul</w:t>
      </w:r>
      <w:r w:rsidRPr="001842A0">
        <w:rPr>
          <w:noProof/>
          <w:sz w:val="24"/>
          <w:szCs w:val="24"/>
        </w:rPr>
        <w:t xml:space="preserve"> este </w:t>
      </w:r>
      <w:r>
        <w:rPr>
          <w:noProof/>
          <w:sz w:val="24"/>
          <w:szCs w:val="24"/>
        </w:rPr>
        <w:t>situat</w:t>
      </w:r>
      <w:r w:rsidRPr="001842A0">
        <w:rPr>
          <w:noProof/>
          <w:sz w:val="24"/>
          <w:szCs w:val="24"/>
        </w:rPr>
        <w:t xml:space="preserve"> în sudul râului Mureş. În </w:t>
      </w:r>
      <w:r w:rsidR="00916AD2">
        <w:rPr>
          <w:noProof/>
          <w:sz w:val="24"/>
          <w:szCs w:val="24"/>
        </w:rPr>
        <w:t>zona amplasamentului</w:t>
      </w:r>
      <w:r w:rsidRPr="001842A0">
        <w:rPr>
          <w:noProof/>
          <w:sz w:val="24"/>
          <w:szCs w:val="24"/>
        </w:rPr>
        <w:t>, Mureşul are lăţimi între 80 şi 120 metri cu adâncimi medii de 1-2 m. Lăţimea luncii variază între 1 şi 5 km.</w:t>
      </w:r>
      <w:r w:rsidRPr="001842A0">
        <w:rPr>
          <w:noProof/>
          <w:sz w:val="24"/>
          <w:szCs w:val="24"/>
        </w:rPr>
        <w:br/>
      </w:r>
      <w:r w:rsidRPr="001842A0">
        <w:rPr>
          <w:sz w:val="24"/>
          <w:szCs w:val="24"/>
        </w:rPr>
        <w:br/>
      </w:r>
      <w:r w:rsidR="000D1FC2">
        <w:rPr>
          <w:sz w:val="24"/>
          <w:szCs w:val="24"/>
        </w:rPr>
        <w:t>Perimetru de exploatare Gelmar Est este situat în zona cu destinație agricolă a local</w:t>
      </w:r>
      <w:r w:rsidR="000D1FC2">
        <w:rPr>
          <w:sz w:val="24"/>
          <w:szCs w:val="24"/>
        </w:rPr>
        <w:t xml:space="preserve">ității Gelmar. Suprafața de teren este de </w:t>
      </w:r>
      <w:r w:rsidR="000D1FC2">
        <w:rPr>
          <w:rFonts w:cstheme="minorHAnsi"/>
          <w:sz w:val="24"/>
          <w:szCs w:val="24"/>
        </w:rPr>
        <w:t xml:space="preserve"> 43446.069 mp.</w:t>
      </w:r>
    </w:p>
    <w:p w14:paraId="682A59A7" w14:textId="77777777" w:rsidR="00FD566B" w:rsidRDefault="000D1FC2">
      <w:pPr>
        <w:spacing w:after="0"/>
        <w:jc w:val="both"/>
        <w:rPr>
          <w:rFonts w:ascii="Calibri" w:hAnsi="Calibri"/>
          <w:sz w:val="24"/>
          <w:szCs w:val="24"/>
        </w:rPr>
      </w:pPr>
      <w:r>
        <w:rPr>
          <w:rFonts w:cstheme="minorHAnsi"/>
          <w:sz w:val="24"/>
          <w:szCs w:val="24"/>
        </w:rPr>
        <w:t>Localizarea amplasamentului în raport cu patrimoniul cultural Potrivit Listei monumentelor istorice, actualizată, aprobată prin Ordinul ministrului culturii și cultelor nr. 2.314/2004, cu modificăril</w:t>
      </w:r>
      <w:r>
        <w:rPr>
          <w:rFonts w:cstheme="minorHAnsi"/>
          <w:sz w:val="24"/>
          <w:szCs w:val="24"/>
        </w:rPr>
        <w:t>e ulterioare, și Repertoriului arheologic național prevăzut de Ordonanța Guvernului nr. 43/2000 privind protecția patrimoniului arheologic și declararea unor situri arheologice ca zone de interes național, republicată, cu modificările și completările ulter</w:t>
      </w:r>
      <w:r>
        <w:rPr>
          <w:rFonts w:cstheme="minorHAnsi"/>
          <w:sz w:val="24"/>
          <w:szCs w:val="24"/>
        </w:rPr>
        <w:t>ioare in limita perimetrului propus pentru explotarea agregatelor minerale nu a fost identificate monumente istorice sau situuri inregistrare in Repertoriul Arheologic National.</w:t>
      </w:r>
    </w:p>
    <w:p w14:paraId="3BBE38A8" w14:textId="77777777" w:rsidR="00FD566B" w:rsidRDefault="00FD566B">
      <w:pPr>
        <w:spacing w:after="0"/>
        <w:jc w:val="both"/>
        <w:rPr>
          <w:rFonts w:cstheme="minorHAnsi"/>
        </w:rPr>
      </w:pPr>
    </w:p>
    <w:p w14:paraId="0B904878" w14:textId="77777777" w:rsidR="00FD566B" w:rsidRDefault="000D1FC2">
      <w:pPr>
        <w:spacing w:after="0"/>
        <w:jc w:val="both"/>
        <w:rPr>
          <w:rFonts w:ascii="Calibri" w:hAnsi="Calibri"/>
          <w:sz w:val="24"/>
          <w:szCs w:val="24"/>
        </w:rPr>
      </w:pPr>
      <w:r>
        <w:rPr>
          <w:rFonts w:cstheme="minorHAnsi"/>
          <w:sz w:val="24"/>
          <w:szCs w:val="24"/>
        </w:rPr>
        <w:t>Vecinătăți:</w:t>
      </w:r>
    </w:p>
    <w:p w14:paraId="3938E95A" w14:textId="77777777" w:rsidR="00FD566B" w:rsidRDefault="000D1FC2">
      <w:pPr>
        <w:pStyle w:val="Listparagraf"/>
        <w:numPr>
          <w:ilvl w:val="0"/>
          <w:numId w:val="1"/>
        </w:numPr>
        <w:spacing w:after="0"/>
        <w:jc w:val="both"/>
        <w:rPr>
          <w:rFonts w:ascii="Calibri" w:hAnsi="Calibri"/>
          <w:sz w:val="24"/>
          <w:szCs w:val="24"/>
        </w:rPr>
      </w:pPr>
      <w:r>
        <w:rPr>
          <w:rFonts w:cstheme="minorHAnsi"/>
          <w:sz w:val="24"/>
          <w:szCs w:val="24"/>
        </w:rPr>
        <w:t xml:space="preserve">în partea de Nord: drum exploatare și teren agricol; </w:t>
      </w:r>
    </w:p>
    <w:p w14:paraId="575CFFA7" w14:textId="77777777" w:rsidR="00FD566B" w:rsidRDefault="000D1FC2">
      <w:pPr>
        <w:pStyle w:val="Listparagraf"/>
        <w:numPr>
          <w:ilvl w:val="0"/>
          <w:numId w:val="1"/>
        </w:numPr>
        <w:spacing w:after="0"/>
        <w:jc w:val="both"/>
        <w:rPr>
          <w:rFonts w:ascii="Calibri" w:hAnsi="Calibri"/>
          <w:sz w:val="24"/>
          <w:szCs w:val="24"/>
        </w:rPr>
      </w:pPr>
      <w:r>
        <w:rPr>
          <w:rFonts w:cstheme="minorHAnsi"/>
          <w:sz w:val="24"/>
          <w:szCs w:val="24"/>
        </w:rPr>
        <w:t>în partea d</w:t>
      </w:r>
      <w:r>
        <w:rPr>
          <w:rFonts w:cstheme="minorHAnsi"/>
          <w:sz w:val="24"/>
          <w:szCs w:val="24"/>
        </w:rPr>
        <w:t xml:space="preserve">e Sud  : terenuri agricole; </w:t>
      </w:r>
    </w:p>
    <w:p w14:paraId="25C8A155" w14:textId="77777777" w:rsidR="00FD566B" w:rsidRDefault="000D1FC2">
      <w:pPr>
        <w:pStyle w:val="Listparagraf"/>
        <w:numPr>
          <w:ilvl w:val="0"/>
          <w:numId w:val="1"/>
        </w:numPr>
        <w:spacing w:after="0"/>
        <w:jc w:val="both"/>
        <w:rPr>
          <w:rFonts w:ascii="Calibri" w:hAnsi="Calibri"/>
          <w:sz w:val="24"/>
          <w:szCs w:val="24"/>
        </w:rPr>
      </w:pPr>
      <w:r>
        <w:rPr>
          <w:rFonts w:cstheme="minorHAnsi"/>
          <w:sz w:val="24"/>
          <w:szCs w:val="24"/>
        </w:rPr>
        <w:t xml:space="preserve">în partea de Vest : drum exploatare; </w:t>
      </w:r>
    </w:p>
    <w:p w14:paraId="1CE1F06E" w14:textId="77777777" w:rsidR="00FD566B" w:rsidRDefault="000D1FC2">
      <w:pPr>
        <w:pStyle w:val="Listparagraf"/>
        <w:numPr>
          <w:ilvl w:val="0"/>
          <w:numId w:val="1"/>
        </w:numPr>
        <w:spacing w:after="0"/>
        <w:jc w:val="both"/>
        <w:rPr>
          <w:rFonts w:ascii="Calibri" w:hAnsi="Calibri"/>
          <w:sz w:val="24"/>
          <w:szCs w:val="24"/>
        </w:rPr>
      </w:pPr>
      <w:r>
        <w:rPr>
          <w:rFonts w:cstheme="minorHAnsi"/>
          <w:sz w:val="24"/>
          <w:szCs w:val="24"/>
        </w:rPr>
        <w:t xml:space="preserve">în partea de Est : amenajare piscicolă; </w:t>
      </w:r>
    </w:p>
    <w:p w14:paraId="22D1686E" w14:textId="77777777" w:rsidR="00FD566B" w:rsidRDefault="00FD566B">
      <w:pPr>
        <w:pStyle w:val="Listparagraf"/>
        <w:spacing w:after="0"/>
        <w:jc w:val="both"/>
        <w:rPr>
          <w:rFonts w:cstheme="minorHAnsi"/>
          <w:i/>
        </w:rPr>
      </w:pPr>
    </w:p>
    <w:p w14:paraId="56A00DD7" w14:textId="77777777" w:rsidR="00FD566B" w:rsidRDefault="000D1FC2">
      <w:pPr>
        <w:spacing w:after="0"/>
        <w:jc w:val="both"/>
        <w:rPr>
          <w:rFonts w:ascii="Calibri" w:hAnsi="Calibri"/>
          <w:sz w:val="24"/>
          <w:szCs w:val="24"/>
        </w:rPr>
      </w:pPr>
      <w:r>
        <w:rPr>
          <w:rFonts w:cstheme="minorHAnsi"/>
          <w:sz w:val="24"/>
          <w:szCs w:val="24"/>
        </w:rPr>
        <w:t>Proiectul nu se încadrează în anexa nr. I la Convenția privind</w:t>
      </w:r>
      <w:r>
        <w:rPr>
          <w:rFonts w:cstheme="minorHAnsi"/>
          <w:sz w:val="24"/>
          <w:szCs w:val="24"/>
        </w:rPr>
        <w:t xml:space="preserve"> evaluarea impactului asupra mediului în context transfrontieră, adoptată la Espoo la 25 februarie 1991, ratificată prin Legea nr. 22/2001, cu completările ulterioare.</w:t>
      </w:r>
    </w:p>
    <w:p w14:paraId="553FCEB1" w14:textId="77777777" w:rsidR="00FD566B" w:rsidRDefault="00FD566B">
      <w:pPr>
        <w:spacing w:after="0"/>
        <w:jc w:val="both"/>
        <w:rPr>
          <w:rFonts w:cstheme="minorHAnsi"/>
        </w:rPr>
      </w:pPr>
    </w:p>
    <w:p w14:paraId="49CCD738" w14:textId="77777777" w:rsidR="00240393" w:rsidRDefault="00240393">
      <w:pPr>
        <w:spacing w:after="0"/>
        <w:jc w:val="both"/>
        <w:rPr>
          <w:rFonts w:cstheme="minorHAnsi"/>
          <w:b/>
          <w:bCs/>
          <w:sz w:val="24"/>
          <w:szCs w:val="24"/>
        </w:rPr>
      </w:pPr>
    </w:p>
    <w:p w14:paraId="2FB7446D" w14:textId="77777777" w:rsidR="00240393" w:rsidRDefault="00240393">
      <w:pPr>
        <w:spacing w:after="0"/>
        <w:jc w:val="both"/>
        <w:rPr>
          <w:rFonts w:cstheme="minorHAnsi"/>
          <w:b/>
          <w:bCs/>
          <w:sz w:val="24"/>
          <w:szCs w:val="24"/>
        </w:rPr>
      </w:pPr>
    </w:p>
    <w:p w14:paraId="0BE93120" w14:textId="526960E6" w:rsidR="00FD566B" w:rsidRDefault="000D1FC2">
      <w:pPr>
        <w:spacing w:after="0"/>
        <w:jc w:val="both"/>
        <w:rPr>
          <w:rFonts w:ascii="Calibri" w:hAnsi="Calibri"/>
          <w:noProof/>
          <w:sz w:val="24"/>
          <w:szCs w:val="24"/>
        </w:rPr>
      </w:pPr>
      <w:r>
        <w:rPr>
          <w:rFonts w:cstheme="minorHAnsi"/>
          <w:b/>
          <w:bCs/>
          <w:noProof/>
          <w:sz w:val="24"/>
          <w:szCs w:val="24"/>
        </w:rPr>
        <w:lastRenderedPageBreak/>
        <w:t>Folosinţele actuale şi planificate ale terenului atât pe amplasament, cât şi pe zone ad</w:t>
      </w:r>
      <w:r>
        <w:rPr>
          <w:rFonts w:cstheme="minorHAnsi"/>
          <w:b/>
          <w:bCs/>
          <w:noProof/>
          <w:sz w:val="24"/>
          <w:szCs w:val="24"/>
        </w:rPr>
        <w:t xml:space="preserve">iacente acestuia </w:t>
      </w:r>
    </w:p>
    <w:p w14:paraId="0C0E3D6B" w14:textId="77777777" w:rsidR="00FD566B" w:rsidRDefault="000D1FC2">
      <w:pPr>
        <w:spacing w:after="0"/>
        <w:jc w:val="both"/>
        <w:rPr>
          <w:rFonts w:ascii="Calibri" w:hAnsi="Calibri"/>
          <w:sz w:val="24"/>
          <w:szCs w:val="24"/>
        </w:rPr>
      </w:pPr>
      <w:r>
        <w:rPr>
          <w:rFonts w:cstheme="minorHAnsi"/>
          <w:sz w:val="24"/>
          <w:szCs w:val="24"/>
        </w:rPr>
        <w:t>Conform PUG și RLU aprobat, investiția propusă este amplasată în extravilanul comunei Gelmar. Conform C.U. nr. 8 din 02.04.2020,  perimetrul de exploat</w:t>
      </w:r>
      <w:r>
        <w:rPr>
          <w:rFonts w:cstheme="minorHAnsi"/>
          <w:sz w:val="24"/>
          <w:szCs w:val="24"/>
        </w:rPr>
        <w:t>are propus este încadrat în categoria de folosință  teren arabil, asupra terenului nu este instituit un regim urbanistic special, lucrările propuse a se realiza fiind cele de ”exploatare nisip și pietriș din terasă ”- Perimetru Gelmar Est.</w:t>
      </w:r>
    </w:p>
    <w:p w14:paraId="1956EC78" w14:textId="77777777" w:rsidR="00FD566B" w:rsidRDefault="00FD566B">
      <w:pPr>
        <w:pStyle w:val="Listparagraf"/>
        <w:spacing w:after="0"/>
        <w:jc w:val="both"/>
        <w:rPr>
          <w:rFonts w:cstheme="minorHAnsi"/>
        </w:rPr>
      </w:pPr>
    </w:p>
    <w:p w14:paraId="36BA6CB8" w14:textId="77777777" w:rsidR="00FD566B" w:rsidRDefault="000D1FC2">
      <w:pPr>
        <w:spacing w:after="0"/>
        <w:jc w:val="both"/>
        <w:rPr>
          <w:rFonts w:ascii="Calibri" w:hAnsi="Calibri"/>
          <w:sz w:val="24"/>
          <w:szCs w:val="24"/>
        </w:rPr>
      </w:pPr>
      <w:r>
        <w:rPr>
          <w:rFonts w:cstheme="minorHAnsi"/>
          <w:b/>
          <w:bCs/>
          <w:sz w:val="24"/>
          <w:szCs w:val="24"/>
        </w:rPr>
        <w:t>Arealele sensib</w:t>
      </w:r>
      <w:r>
        <w:rPr>
          <w:rFonts w:cstheme="minorHAnsi"/>
          <w:b/>
          <w:bCs/>
          <w:sz w:val="24"/>
          <w:szCs w:val="24"/>
        </w:rPr>
        <w:t xml:space="preserve">ile </w:t>
      </w:r>
    </w:p>
    <w:p w14:paraId="28E9A05E" w14:textId="77777777" w:rsidR="00FD566B" w:rsidRDefault="000D1FC2">
      <w:pPr>
        <w:spacing w:after="0"/>
        <w:jc w:val="both"/>
        <w:rPr>
          <w:rFonts w:ascii="Calibri" w:hAnsi="Calibri"/>
          <w:sz w:val="24"/>
          <w:szCs w:val="24"/>
        </w:rPr>
      </w:pPr>
      <w:r>
        <w:rPr>
          <w:rFonts w:cstheme="minorHAnsi"/>
          <w:sz w:val="24"/>
          <w:szCs w:val="24"/>
        </w:rPr>
        <w:t>Perimetrul de exploatare Gelmar Est este amplasat la cca 800 km sud de zona sitului Natura 2000 (ROSPA0139- Piemontul Munților Metaliferi - Vințu), nu există un areal sensibil în proximitatea amplasamentului.</w:t>
      </w:r>
    </w:p>
    <w:p w14:paraId="25BA019A" w14:textId="77777777" w:rsidR="00FD566B" w:rsidRDefault="000D1FC2">
      <w:pPr>
        <w:pStyle w:val="Titlu1"/>
        <w:jc w:val="both"/>
        <w:rPr>
          <w:rFonts w:ascii="Calibri" w:hAnsi="Calibri"/>
          <w:sz w:val="24"/>
          <w:szCs w:val="24"/>
        </w:rPr>
      </w:pPr>
      <w:bookmarkStart w:id="11" w:name="_Toc3992731"/>
      <w:bookmarkStart w:id="12" w:name="_Toc41997005"/>
      <w:r>
        <w:rPr>
          <w:rFonts w:ascii="Calibri" w:hAnsi="Calibri"/>
          <w:sz w:val="24"/>
          <w:szCs w:val="24"/>
        </w:rPr>
        <w:t>VI. Descrierea tuturor efectelor semnifica</w:t>
      </w:r>
      <w:r>
        <w:rPr>
          <w:rFonts w:ascii="Calibri" w:hAnsi="Calibri"/>
          <w:sz w:val="24"/>
          <w:szCs w:val="24"/>
        </w:rPr>
        <w:t>tive posibile asupra mediului ale proiectului, în limita informațiilor disponibile:</w:t>
      </w:r>
      <w:bookmarkEnd w:id="11"/>
      <w:bookmarkEnd w:id="12"/>
    </w:p>
    <w:p w14:paraId="6BDC4769" w14:textId="77777777" w:rsidR="00FD566B" w:rsidRDefault="000D1FC2">
      <w:pPr>
        <w:pStyle w:val="Titlu2"/>
        <w:jc w:val="both"/>
        <w:rPr>
          <w:rFonts w:ascii="Calibri" w:hAnsi="Calibri"/>
          <w:sz w:val="24"/>
          <w:szCs w:val="24"/>
        </w:rPr>
      </w:pPr>
      <w:bookmarkStart w:id="13" w:name="_Toc3992732"/>
      <w:bookmarkStart w:id="14" w:name="_Toc41997006"/>
      <w:r>
        <w:rPr>
          <w:rFonts w:ascii="Calibri" w:hAnsi="Calibri"/>
          <w:sz w:val="24"/>
          <w:szCs w:val="24"/>
        </w:rPr>
        <w:t>A. Surse de poluanţi şi instalaţii pentru reţinerea, evacuarea şi dispersia poluanţilor în mediu</w:t>
      </w:r>
      <w:bookmarkEnd w:id="13"/>
      <w:bookmarkEnd w:id="14"/>
      <w:r>
        <w:rPr>
          <w:rFonts w:ascii="Calibri" w:hAnsi="Calibri"/>
          <w:sz w:val="24"/>
          <w:szCs w:val="24"/>
        </w:rPr>
        <w:t xml:space="preserve"> </w:t>
      </w:r>
    </w:p>
    <w:p w14:paraId="7CAC7882" w14:textId="77777777" w:rsidR="00FD566B" w:rsidRDefault="00FD566B">
      <w:pPr>
        <w:jc w:val="both"/>
        <w:rPr>
          <w:rFonts w:ascii="Calibri" w:hAnsi="Calibri"/>
          <w:bCs/>
          <w:i/>
          <w:sz w:val="24"/>
          <w:szCs w:val="24"/>
        </w:rPr>
      </w:pPr>
    </w:p>
    <w:p w14:paraId="7F980CAF" w14:textId="77777777" w:rsidR="00FD566B" w:rsidRDefault="000D1FC2">
      <w:pPr>
        <w:jc w:val="both"/>
        <w:rPr>
          <w:rFonts w:ascii="Calibri" w:hAnsi="Calibri"/>
          <w:sz w:val="24"/>
          <w:szCs w:val="24"/>
        </w:rPr>
      </w:pPr>
      <w:r>
        <w:rPr>
          <w:b/>
          <w:bCs/>
          <w:i/>
          <w:sz w:val="24"/>
          <w:szCs w:val="24"/>
        </w:rPr>
        <w:t xml:space="preserve">a) Protecţia calităţii apelor: </w:t>
      </w:r>
    </w:p>
    <w:p w14:paraId="072B805A" w14:textId="77777777" w:rsidR="00FD566B" w:rsidRDefault="000D1FC2">
      <w:pPr>
        <w:jc w:val="both"/>
        <w:rPr>
          <w:sz w:val="24"/>
          <w:szCs w:val="24"/>
        </w:rPr>
      </w:pPr>
      <w:r>
        <w:rPr>
          <w:rFonts w:cstheme="minorHAnsi"/>
          <w:sz w:val="24"/>
          <w:szCs w:val="24"/>
        </w:rPr>
        <w:t>Activitatea de exploatare se desfășoară î</w:t>
      </w:r>
      <w:r>
        <w:rPr>
          <w:rFonts w:cstheme="minorHAnsi"/>
          <w:sz w:val="24"/>
          <w:szCs w:val="24"/>
        </w:rPr>
        <w:t>n terasa superioară a râului Mureș, apa de suprafață nu poate fi contaminată.</w:t>
      </w:r>
    </w:p>
    <w:p w14:paraId="2AE7AA07" w14:textId="77777777" w:rsidR="00FD566B" w:rsidRDefault="000D1FC2">
      <w:pPr>
        <w:jc w:val="both"/>
        <w:rPr>
          <w:sz w:val="24"/>
          <w:szCs w:val="24"/>
        </w:rPr>
      </w:pPr>
      <w:r>
        <w:rPr>
          <w:rFonts w:cstheme="minorHAnsi"/>
          <w:sz w:val="24"/>
          <w:szCs w:val="24"/>
        </w:rPr>
        <w:t>Exploatarea agregatelor minerale se va excava la o adâncimi maxime de 5.0 m păstrând un palier de 1.0 m deasupra talpei sondajelor geologice executate, astfel încât aceasta nu va</w:t>
      </w:r>
      <w:r>
        <w:rPr>
          <w:rFonts w:cstheme="minorHAnsi"/>
          <w:sz w:val="24"/>
          <w:szCs w:val="24"/>
        </w:rPr>
        <w:t xml:space="preserve"> avea nici o influientă asupra resurselor de apă subterane.</w:t>
      </w:r>
    </w:p>
    <w:p w14:paraId="1472A444" w14:textId="77777777" w:rsidR="00FD566B" w:rsidRDefault="000D1FC2">
      <w:pPr>
        <w:jc w:val="both"/>
      </w:pPr>
      <w:r>
        <w:rPr>
          <w:rFonts w:cstheme="minorHAnsi"/>
          <w:sz w:val="24"/>
          <w:szCs w:val="24"/>
        </w:rPr>
        <w:t>Lucrările proiectate a se executa prin realizarea proiectului nu implică modificarea schemei cadru de amenajare a bazinului hidrografic a râului Mureș.</w:t>
      </w:r>
    </w:p>
    <w:p w14:paraId="0D147064" w14:textId="77777777" w:rsidR="00FD566B" w:rsidRDefault="000D1FC2">
      <w:pPr>
        <w:jc w:val="both"/>
        <w:rPr>
          <w:rFonts w:ascii="Calibri" w:hAnsi="Calibri"/>
          <w:sz w:val="24"/>
          <w:szCs w:val="24"/>
        </w:rPr>
      </w:pPr>
      <w:r>
        <w:rPr>
          <w:b/>
          <w:bCs/>
          <w:i/>
          <w:sz w:val="24"/>
          <w:szCs w:val="24"/>
        </w:rPr>
        <w:t xml:space="preserve">b) Protecţia aerului: </w:t>
      </w:r>
    </w:p>
    <w:p w14:paraId="64285BD5" w14:textId="77777777" w:rsidR="00FD566B" w:rsidRDefault="000D1FC2">
      <w:pPr>
        <w:jc w:val="both"/>
        <w:rPr>
          <w:rFonts w:ascii="Calibri" w:hAnsi="Calibri"/>
          <w:sz w:val="24"/>
          <w:szCs w:val="24"/>
        </w:rPr>
      </w:pPr>
      <w:r>
        <w:rPr>
          <w:sz w:val="24"/>
          <w:szCs w:val="24"/>
        </w:rPr>
        <w:t>Surse de poluare pote</w:t>
      </w:r>
      <w:r>
        <w:rPr>
          <w:sz w:val="24"/>
          <w:szCs w:val="24"/>
        </w:rPr>
        <w:t>nțiale ale factorului de mediu aer sunt reprezentate</w:t>
      </w:r>
      <w:r>
        <w:rPr>
          <w:rFonts w:ascii="Liberation Serif" w:hAnsi="Liberation Serif"/>
          <w:sz w:val="24"/>
          <w:szCs w:val="24"/>
        </w:rPr>
        <w:t>:</w:t>
      </w:r>
    </w:p>
    <w:p w14:paraId="7B57DA5C" w14:textId="77777777" w:rsidR="00FD566B" w:rsidRDefault="000D1FC2">
      <w:pPr>
        <w:numPr>
          <w:ilvl w:val="0"/>
          <w:numId w:val="5"/>
        </w:numPr>
        <w:jc w:val="both"/>
        <w:rPr>
          <w:rFonts w:ascii="Calibri" w:hAnsi="Calibri"/>
          <w:sz w:val="24"/>
          <w:szCs w:val="24"/>
        </w:rPr>
      </w:pPr>
      <w:r>
        <w:rPr>
          <w:sz w:val="24"/>
          <w:szCs w:val="24"/>
        </w:rPr>
        <w:t xml:space="preserve">surse fixe – reprezentate de utilajele utilizate înn exploatare </w:t>
      </w:r>
    </w:p>
    <w:p w14:paraId="7460EF68" w14:textId="77777777" w:rsidR="00FD566B" w:rsidRDefault="000D1FC2">
      <w:pPr>
        <w:numPr>
          <w:ilvl w:val="0"/>
          <w:numId w:val="5"/>
        </w:numPr>
        <w:jc w:val="both"/>
        <w:rPr>
          <w:rFonts w:ascii="Calibri" w:hAnsi="Calibri"/>
          <w:sz w:val="24"/>
          <w:szCs w:val="24"/>
        </w:rPr>
      </w:pPr>
      <w:r>
        <w:rPr>
          <w:sz w:val="24"/>
          <w:szCs w:val="24"/>
        </w:rPr>
        <w:t>surse mobile- - reprezentate de autovehiculele folosite la transportul materialului brut la depozit sau beneficiari.</w:t>
      </w:r>
    </w:p>
    <w:p w14:paraId="45CD6FE0" w14:textId="77777777" w:rsidR="00FD566B" w:rsidRDefault="000D1FC2">
      <w:pPr>
        <w:jc w:val="both"/>
        <w:rPr>
          <w:rFonts w:ascii="Calibri" w:hAnsi="Calibri"/>
          <w:sz w:val="24"/>
          <w:szCs w:val="24"/>
        </w:rPr>
      </w:pPr>
      <w:r>
        <w:rPr>
          <w:sz w:val="24"/>
          <w:szCs w:val="24"/>
        </w:rPr>
        <w:t>Drumul tehnologic am</w:t>
      </w:r>
      <w:r>
        <w:rPr>
          <w:sz w:val="24"/>
          <w:szCs w:val="24"/>
        </w:rPr>
        <w:t>enajat pentru accesul în zona de exploatare va fi întreținut în mod corespunzător.</w:t>
      </w:r>
    </w:p>
    <w:p w14:paraId="7549D165" w14:textId="77777777" w:rsidR="00FD566B" w:rsidRDefault="000D1FC2">
      <w:pPr>
        <w:jc w:val="both"/>
        <w:rPr>
          <w:rFonts w:ascii="Calibri" w:hAnsi="Calibri"/>
          <w:sz w:val="24"/>
          <w:szCs w:val="24"/>
        </w:rPr>
      </w:pPr>
      <w:r>
        <w:rPr>
          <w:sz w:val="24"/>
          <w:szCs w:val="24"/>
        </w:rPr>
        <w:lastRenderedPageBreak/>
        <w:t>Exploatarea se va realiza cu excavatorul și buldozerul prin executarea lucrărilor de deschidere, pregătire, exploatare propriu-zisă, haldare sol vegetal/steril, protecția ză</w:t>
      </w:r>
      <w:r>
        <w:rPr>
          <w:sz w:val="24"/>
          <w:szCs w:val="24"/>
        </w:rPr>
        <w:t>cământului.</w:t>
      </w:r>
    </w:p>
    <w:p w14:paraId="2BF2F48C" w14:textId="77777777" w:rsidR="00FD566B" w:rsidRDefault="000D1FC2">
      <w:pPr>
        <w:jc w:val="both"/>
        <w:rPr>
          <w:rFonts w:ascii="Calibri" w:hAnsi="Calibri"/>
          <w:sz w:val="24"/>
          <w:szCs w:val="24"/>
        </w:rPr>
      </w:pPr>
      <w:r>
        <w:rPr>
          <w:sz w:val="24"/>
          <w:szCs w:val="24"/>
        </w:rPr>
        <w:t>Datorită faptului că numărul de utilaje este redus și acționează pe o rază de câțiva km, valorile noxelor emise în atmosferă se înscriu în limitele admise, prevăzute de STAS-urile aflate în vigoare. Efectele potențiale ale agenților poluanți at</w:t>
      </w:r>
      <w:r>
        <w:rPr>
          <w:sz w:val="24"/>
          <w:szCs w:val="24"/>
        </w:rPr>
        <w:t>mosferici vor fi limitate la incinta obiectivului și în imediata sa vecinătate.</w:t>
      </w:r>
    </w:p>
    <w:p w14:paraId="229C6538" w14:textId="77777777" w:rsidR="00FD566B" w:rsidRDefault="000D1FC2">
      <w:pPr>
        <w:jc w:val="both"/>
        <w:rPr>
          <w:rFonts w:ascii="Calibri" w:hAnsi="Calibri"/>
          <w:sz w:val="24"/>
          <w:szCs w:val="24"/>
        </w:rPr>
      </w:pPr>
      <w:r>
        <w:rPr>
          <w:sz w:val="24"/>
          <w:szCs w:val="24"/>
        </w:rPr>
        <w:t>Pentru evitarea ridicării prafului ca urmare a lucrărilor de exploatare și transport, în perioadele lipsite de precipitații se vor stropi zilnic materialul excavat și drumurile de acces.</w:t>
      </w:r>
    </w:p>
    <w:p w14:paraId="64E3DE52" w14:textId="77777777" w:rsidR="00FD566B" w:rsidRDefault="000D1FC2">
      <w:pPr>
        <w:jc w:val="both"/>
        <w:rPr>
          <w:rFonts w:ascii="Calibri" w:hAnsi="Calibri"/>
          <w:sz w:val="24"/>
          <w:szCs w:val="24"/>
        </w:rPr>
      </w:pPr>
      <w:r>
        <w:rPr>
          <w:sz w:val="24"/>
          <w:szCs w:val="24"/>
        </w:rPr>
        <w:t>Emisiile atmosferice locale care vor fi generate de itensificarea tra</w:t>
      </w:r>
      <w:r>
        <w:rPr>
          <w:sz w:val="24"/>
          <w:szCs w:val="24"/>
        </w:rPr>
        <w:t>nsportului, nu vor determina potențiale efecte cumulative negative aspura factorilor de mediu aer pe toată perioada de activitate.</w:t>
      </w:r>
    </w:p>
    <w:p w14:paraId="14D4ECD9" w14:textId="77777777" w:rsidR="00FD566B" w:rsidRDefault="000D1FC2">
      <w:pPr>
        <w:jc w:val="both"/>
        <w:rPr>
          <w:rFonts w:ascii="Calibri" w:hAnsi="Calibri"/>
          <w:sz w:val="24"/>
          <w:szCs w:val="24"/>
        </w:rPr>
      </w:pPr>
      <w:r>
        <w:rPr>
          <w:b/>
          <w:bCs/>
          <w:i/>
          <w:sz w:val="24"/>
          <w:szCs w:val="24"/>
        </w:rPr>
        <w:t>c) Protecţia împotriva zgomotului şi vibraţiilor:</w:t>
      </w:r>
    </w:p>
    <w:p w14:paraId="478EFA60" w14:textId="77777777" w:rsidR="00FD566B" w:rsidRDefault="000D1FC2">
      <w:pPr>
        <w:jc w:val="both"/>
        <w:rPr>
          <w:rFonts w:ascii="Calibri" w:hAnsi="Calibri"/>
          <w:sz w:val="24"/>
          <w:szCs w:val="24"/>
        </w:rPr>
      </w:pPr>
      <w:r>
        <w:rPr>
          <w:sz w:val="24"/>
          <w:szCs w:val="24"/>
        </w:rPr>
        <w:t>Sursele de emisii de zgomot asociate exploatărilor de agregate minerale din</w:t>
      </w:r>
      <w:r>
        <w:rPr>
          <w:sz w:val="24"/>
          <w:szCs w:val="24"/>
        </w:rPr>
        <w:t xml:space="preserve"> perimetru Gelmar Est pot include zgomotul provenit de la motoarele vehiculelor, încărcarea și descărcarea  agregatelor în/ din autobasculante.</w:t>
      </w:r>
    </w:p>
    <w:p w14:paraId="532821E5" w14:textId="77777777" w:rsidR="00FD566B" w:rsidRDefault="000D1FC2">
      <w:pPr>
        <w:jc w:val="both"/>
        <w:rPr>
          <w:rFonts w:ascii="Calibri" w:hAnsi="Calibri"/>
          <w:sz w:val="24"/>
          <w:szCs w:val="24"/>
        </w:rPr>
      </w:pPr>
      <w:r>
        <w:rPr>
          <w:sz w:val="24"/>
          <w:szCs w:val="24"/>
        </w:rPr>
        <w:t>Activitatea de exploatare a agregatelor minerale se va derula fără a perturba așezările umane, fiind la o distan</w:t>
      </w:r>
      <w:r>
        <w:rPr>
          <w:sz w:val="24"/>
          <w:szCs w:val="24"/>
        </w:rPr>
        <w:t>ț</w:t>
      </w:r>
      <w:r>
        <w:rPr>
          <w:sz w:val="24"/>
          <w:szCs w:val="24"/>
        </w:rPr>
        <w:t>ă &gt;1 km.</w:t>
      </w:r>
    </w:p>
    <w:p w14:paraId="45A9330B" w14:textId="77777777" w:rsidR="00FD566B" w:rsidRDefault="000D1FC2">
      <w:pPr>
        <w:jc w:val="both"/>
        <w:rPr>
          <w:rFonts w:ascii="Calibri" w:hAnsi="Calibri"/>
          <w:sz w:val="24"/>
          <w:szCs w:val="24"/>
        </w:rPr>
      </w:pPr>
      <w:r>
        <w:rPr>
          <w:b/>
          <w:bCs/>
          <w:i/>
          <w:sz w:val="24"/>
          <w:szCs w:val="24"/>
        </w:rPr>
        <w:t xml:space="preserve">d) Protecţia împotriva radiaţiilor: </w:t>
      </w:r>
    </w:p>
    <w:p w14:paraId="07181992" w14:textId="77777777" w:rsidR="00FD566B" w:rsidRDefault="000D1FC2">
      <w:pPr>
        <w:jc w:val="both"/>
        <w:rPr>
          <w:rFonts w:ascii="Calibri" w:hAnsi="Calibri"/>
          <w:sz w:val="24"/>
          <w:szCs w:val="24"/>
        </w:rPr>
      </w:pPr>
      <w:r>
        <w:rPr>
          <w:sz w:val="24"/>
          <w:szCs w:val="24"/>
        </w:rPr>
        <w:t xml:space="preserve">Derularea proiectului nu implică utilizarea unor tehnologii sau utilaje care ar putea genera radiații ionizante. Radioactivitatea zonei este determinată de fondul natural și este carcterictică zonelor în care </w:t>
      </w:r>
      <w:r>
        <w:rPr>
          <w:sz w:val="24"/>
          <w:szCs w:val="24"/>
        </w:rPr>
        <w:t xml:space="preserve">sunt </w:t>
      </w:r>
      <w:r>
        <w:rPr>
          <w:rFonts w:cstheme="minorHAnsi"/>
          <w:iCs/>
          <w:sz w:val="24"/>
          <w:szCs w:val="24"/>
        </w:rPr>
        <w:t>cantonate zăcăminte de roci minerale.</w:t>
      </w:r>
    </w:p>
    <w:p w14:paraId="4299B115" w14:textId="77777777" w:rsidR="00FD566B" w:rsidRDefault="000D1FC2">
      <w:pPr>
        <w:jc w:val="both"/>
        <w:rPr>
          <w:rFonts w:ascii="Calibri" w:hAnsi="Calibri"/>
          <w:sz w:val="24"/>
          <w:szCs w:val="24"/>
        </w:rPr>
      </w:pPr>
      <w:r>
        <w:rPr>
          <w:bCs/>
          <w:i/>
          <w:sz w:val="24"/>
          <w:szCs w:val="24"/>
        </w:rPr>
        <w:t>e)</w:t>
      </w:r>
      <w:r>
        <w:rPr>
          <w:i/>
          <w:sz w:val="24"/>
          <w:szCs w:val="24"/>
        </w:rPr>
        <w:t xml:space="preserve"> Protecţia solului şi a subsolului: </w:t>
      </w:r>
    </w:p>
    <w:p w14:paraId="1D2B5191" w14:textId="77777777" w:rsidR="00FD566B" w:rsidRDefault="000D1FC2">
      <w:pPr>
        <w:jc w:val="both"/>
        <w:rPr>
          <w:rFonts w:ascii="Calibri" w:hAnsi="Calibri"/>
          <w:sz w:val="24"/>
          <w:szCs w:val="24"/>
        </w:rPr>
      </w:pPr>
      <w:r>
        <w:rPr>
          <w:sz w:val="24"/>
          <w:szCs w:val="24"/>
        </w:rPr>
        <w:t xml:space="preserve">Toate utilajele și mijloacele de transport ce deservesc investiția, vor fi alimentate cu carburanți în afara perimetrului de exploatare. De asemenea reparațiile utilajelor se vor executa în afara perimetrului de exploatare la unități specializate. </w:t>
      </w:r>
    </w:p>
    <w:p w14:paraId="21E4E079" w14:textId="77777777" w:rsidR="00FD566B" w:rsidRDefault="000D1FC2">
      <w:pPr>
        <w:jc w:val="both"/>
      </w:pPr>
      <w:r>
        <w:rPr>
          <w:sz w:val="24"/>
          <w:szCs w:val="24"/>
        </w:rPr>
        <w:t>Operați</w:t>
      </w:r>
      <w:r>
        <w:rPr>
          <w:sz w:val="24"/>
          <w:szCs w:val="24"/>
        </w:rPr>
        <w:t>unea de alimentare cu carburanți precum și schimbul de ulei pentru utilaje ce lucrează în frontul de lucru se va realiza în afar perimetrului pe o platformă impermeabilă.</w:t>
      </w:r>
    </w:p>
    <w:p w14:paraId="64844FA8" w14:textId="77777777" w:rsidR="00FD566B" w:rsidRDefault="000D1FC2">
      <w:pPr>
        <w:jc w:val="both"/>
        <w:rPr>
          <w:rFonts w:ascii="Calibri" w:hAnsi="Calibri"/>
          <w:sz w:val="24"/>
          <w:szCs w:val="24"/>
        </w:rPr>
      </w:pPr>
      <w:r>
        <w:rPr>
          <w:b/>
          <w:bCs/>
          <w:i/>
          <w:sz w:val="24"/>
          <w:szCs w:val="24"/>
        </w:rPr>
        <w:t xml:space="preserve">f) Protecţia ecosistemelor terestre şi acvatice: </w:t>
      </w:r>
    </w:p>
    <w:p w14:paraId="42F0C7BB" w14:textId="77777777" w:rsidR="00FD566B" w:rsidRDefault="000D1FC2">
      <w:pPr>
        <w:jc w:val="both"/>
        <w:rPr>
          <w:rFonts w:ascii="Calibri" w:hAnsi="Calibri"/>
          <w:sz w:val="24"/>
          <w:szCs w:val="24"/>
        </w:rPr>
      </w:pPr>
      <w:r>
        <w:rPr>
          <w:i/>
          <w:sz w:val="24"/>
          <w:szCs w:val="24"/>
        </w:rPr>
        <w:t xml:space="preserve">- </w:t>
      </w:r>
      <w:r>
        <w:rPr>
          <w:sz w:val="24"/>
          <w:szCs w:val="24"/>
        </w:rPr>
        <w:t>ecosistemul acvatic nu va fi afec</w:t>
      </w:r>
      <w:r>
        <w:rPr>
          <w:sz w:val="24"/>
          <w:szCs w:val="24"/>
        </w:rPr>
        <w:t>tat deoarece amplasamentul de exploatare este localizat la 500 m sud de albia râului Mureș.</w:t>
      </w:r>
    </w:p>
    <w:p w14:paraId="2A2B39C3" w14:textId="596A1797" w:rsidR="00FD566B" w:rsidRDefault="000D1FC2">
      <w:pPr>
        <w:jc w:val="both"/>
        <w:rPr>
          <w:rFonts w:ascii="Calibri" w:hAnsi="Calibri"/>
          <w:sz w:val="24"/>
          <w:szCs w:val="24"/>
        </w:rPr>
      </w:pPr>
      <w:r>
        <w:rPr>
          <w:sz w:val="24"/>
          <w:szCs w:val="24"/>
        </w:rPr>
        <w:t xml:space="preserve">- distrugerea vegetației pe suprafața perimetrului de exploatare. Terenul prpus spre exploatare și terenurile învecinate au destinație agricolă, </w:t>
      </w:r>
      <w:r w:rsidRPr="007236A9">
        <w:rPr>
          <w:sz w:val="24"/>
          <w:szCs w:val="24"/>
        </w:rPr>
        <w:t>acestea fiind lucra</w:t>
      </w:r>
      <w:r w:rsidRPr="007236A9">
        <w:rPr>
          <w:sz w:val="24"/>
          <w:szCs w:val="24"/>
        </w:rPr>
        <w:t xml:space="preserve">te intensiv în ulâimii 50 ani, neexistând vegetație cu valoare conservativă care ar putea fi afectate. </w:t>
      </w:r>
    </w:p>
    <w:p w14:paraId="5753A5BC" w14:textId="77777777" w:rsidR="00FD566B" w:rsidRDefault="000D1FC2">
      <w:pPr>
        <w:jc w:val="both"/>
        <w:rPr>
          <w:sz w:val="24"/>
          <w:szCs w:val="24"/>
        </w:rPr>
      </w:pPr>
      <w:r>
        <w:rPr>
          <w:sz w:val="24"/>
          <w:szCs w:val="24"/>
        </w:rPr>
        <w:lastRenderedPageBreak/>
        <w:t>- depuneri de pulberi sedimentabile pe plantele și pe culturile învecinate, ca urmare a activității de transport.</w:t>
      </w:r>
    </w:p>
    <w:p w14:paraId="3F0A0A78" w14:textId="77777777" w:rsidR="00FD566B" w:rsidRDefault="000D1FC2">
      <w:pPr>
        <w:jc w:val="both"/>
        <w:rPr>
          <w:sz w:val="24"/>
          <w:szCs w:val="24"/>
        </w:rPr>
      </w:pPr>
      <w:r>
        <w:rPr>
          <w:sz w:val="24"/>
          <w:szCs w:val="24"/>
        </w:rPr>
        <w:t xml:space="preserve">Fauna terestră din zonă este afectată </w:t>
      </w:r>
      <w:r>
        <w:rPr>
          <w:sz w:val="24"/>
          <w:szCs w:val="24"/>
        </w:rPr>
        <w:t>de undele acustice de către utilajele ce deservesc exploatarea agregatelor minerale existând posibilitatea ca unele specii să se stabiliească temporar la distanțe mai mari față de actualele amplasamente ocupate.</w:t>
      </w:r>
    </w:p>
    <w:p w14:paraId="7F406A04" w14:textId="77777777" w:rsidR="00FD566B" w:rsidRDefault="000D1FC2">
      <w:pPr>
        <w:jc w:val="both"/>
        <w:rPr>
          <w:rFonts w:ascii="Calibri" w:hAnsi="Calibri"/>
          <w:sz w:val="24"/>
          <w:szCs w:val="24"/>
        </w:rPr>
      </w:pPr>
      <w:r>
        <w:rPr>
          <w:b/>
          <w:bCs/>
          <w:i/>
          <w:sz w:val="24"/>
          <w:szCs w:val="24"/>
        </w:rPr>
        <w:t>g) Protecţia aşezărilor umane şi a altor obi</w:t>
      </w:r>
      <w:r>
        <w:rPr>
          <w:b/>
          <w:bCs/>
          <w:i/>
          <w:sz w:val="24"/>
          <w:szCs w:val="24"/>
        </w:rPr>
        <w:t xml:space="preserve">ective de interes public: </w:t>
      </w:r>
    </w:p>
    <w:p w14:paraId="65302625" w14:textId="77777777" w:rsidR="00FD566B" w:rsidRDefault="000D1FC2">
      <w:pPr>
        <w:jc w:val="both"/>
        <w:rPr>
          <w:rFonts w:ascii="Calibri" w:hAnsi="Calibri"/>
          <w:sz w:val="24"/>
          <w:szCs w:val="24"/>
        </w:rPr>
      </w:pPr>
      <w:r>
        <w:rPr>
          <w:sz w:val="24"/>
          <w:szCs w:val="24"/>
        </w:rPr>
        <w:t>Impactul asupra acestui factor de mediu se datorează, în principal, activității de transport a materialului brun la depozit sau beneficiar și secundar, datorită activității desfășurate în cadrul investiției.</w:t>
      </w:r>
    </w:p>
    <w:p w14:paraId="03343BAD" w14:textId="77777777" w:rsidR="00FD566B" w:rsidRDefault="000D1FC2">
      <w:pPr>
        <w:jc w:val="both"/>
        <w:rPr>
          <w:rFonts w:ascii="Calibri" w:hAnsi="Calibri"/>
          <w:sz w:val="24"/>
          <w:szCs w:val="24"/>
        </w:rPr>
      </w:pPr>
      <w:r>
        <w:rPr>
          <w:sz w:val="24"/>
          <w:szCs w:val="24"/>
        </w:rPr>
        <w:t>Agenții poluanți emiș</w:t>
      </w:r>
      <w:r>
        <w:rPr>
          <w:sz w:val="24"/>
          <w:szCs w:val="24"/>
        </w:rPr>
        <w:t>i de către aceste surse sunt reprezentați de către: pulberi sedimentabile, zgomote și vibrații. gaze de eșapament, rezultate în urma arderii combustibililor fosili.</w:t>
      </w:r>
    </w:p>
    <w:p w14:paraId="05E21459" w14:textId="77777777" w:rsidR="00FD566B" w:rsidRDefault="000D1FC2">
      <w:pPr>
        <w:jc w:val="both"/>
        <w:rPr>
          <w:rFonts w:ascii="Calibri" w:hAnsi="Calibri"/>
          <w:sz w:val="24"/>
          <w:szCs w:val="24"/>
        </w:rPr>
      </w:pPr>
      <w:r>
        <w:rPr>
          <w:sz w:val="24"/>
          <w:szCs w:val="24"/>
        </w:rPr>
        <w:t>Activitatea desfășurată în cadrul investiției are un impact nesemnificativ deoarece perimet</w:t>
      </w:r>
      <w:r>
        <w:rPr>
          <w:sz w:val="24"/>
          <w:szCs w:val="24"/>
        </w:rPr>
        <w:t xml:space="preserve">rul de exploatare este situat într-un areal nelocuit, la  o distanță </w:t>
      </w:r>
      <w:r>
        <w:rPr>
          <w:rFonts w:cstheme="minorHAnsi"/>
          <w:sz w:val="24"/>
          <w:szCs w:val="24"/>
        </w:rPr>
        <w:t xml:space="preserve"> &gt; 1 km.</w:t>
      </w:r>
    </w:p>
    <w:p w14:paraId="4D334C29" w14:textId="77777777" w:rsidR="00FD566B" w:rsidRDefault="000D1FC2">
      <w:pPr>
        <w:jc w:val="both"/>
        <w:rPr>
          <w:rFonts w:ascii="Calibri" w:hAnsi="Calibri"/>
          <w:sz w:val="24"/>
          <w:szCs w:val="24"/>
        </w:rPr>
      </w:pPr>
      <w:r>
        <w:rPr>
          <w:b/>
          <w:bCs/>
          <w:i/>
          <w:sz w:val="24"/>
          <w:szCs w:val="24"/>
        </w:rPr>
        <w:t xml:space="preserve">h) Prevenirea și gestionarea deșeurilor generate pe amplasament în timpul realizării proiectului/în timpul exploatării, inclusiv eliminarea: </w:t>
      </w:r>
    </w:p>
    <w:p w14:paraId="43FDA9B6" w14:textId="77777777" w:rsidR="00FD566B" w:rsidRDefault="000D1FC2">
      <w:pPr>
        <w:jc w:val="both"/>
        <w:rPr>
          <w:rFonts w:ascii="Calibri" w:hAnsi="Calibri"/>
          <w:sz w:val="24"/>
          <w:szCs w:val="24"/>
        </w:rPr>
      </w:pPr>
      <w:r>
        <w:rPr>
          <w:sz w:val="24"/>
          <w:szCs w:val="24"/>
        </w:rPr>
        <w:t xml:space="preserve">Categoriile de deșeuri generate din </w:t>
      </w:r>
      <w:r>
        <w:rPr>
          <w:sz w:val="24"/>
          <w:szCs w:val="24"/>
        </w:rPr>
        <w:t>activitatea de exploatare în perimetru Gelmar Est sunt</w:t>
      </w:r>
      <w:r>
        <w:rPr>
          <w:rFonts w:ascii="Liberation Serif" w:hAnsi="Liberation Serif"/>
          <w:sz w:val="24"/>
          <w:szCs w:val="24"/>
        </w:rPr>
        <w:t>:</w:t>
      </w:r>
    </w:p>
    <w:p w14:paraId="75647A17" w14:textId="77777777" w:rsidR="00FD566B" w:rsidRDefault="000D1FC2">
      <w:pPr>
        <w:numPr>
          <w:ilvl w:val="0"/>
          <w:numId w:val="6"/>
        </w:numPr>
        <w:jc w:val="both"/>
      </w:pPr>
      <w:r>
        <w:rPr>
          <w:sz w:val="24"/>
          <w:szCs w:val="24"/>
        </w:rPr>
        <w:t xml:space="preserve">Deșeuri industriale – cu potențial de reciclare  (piese metalice și uleiuri uzate) vor fi transportate și valorificate la unitățile specializate din zonă. Deșeurile industriale ce nu pot fi reciclate </w:t>
      </w:r>
      <w:r>
        <w:rPr>
          <w:sz w:val="24"/>
          <w:szCs w:val="24"/>
        </w:rPr>
        <w:t>(folii PVC utilizate pentru operația de alimentare cu carburanți a excavatorului și ambalaje) împreună cu deșeurile menajere vor fi transportate la groapa de gunoi a localității celei mai apropiate cu acordul autorităților locale.</w:t>
      </w:r>
    </w:p>
    <w:p w14:paraId="2AACAF6E" w14:textId="77777777" w:rsidR="00FD566B" w:rsidRDefault="000D1FC2">
      <w:pPr>
        <w:numPr>
          <w:ilvl w:val="0"/>
          <w:numId w:val="6"/>
        </w:numPr>
        <w:jc w:val="both"/>
      </w:pPr>
      <w:r>
        <w:rPr>
          <w:sz w:val="24"/>
          <w:szCs w:val="24"/>
        </w:rPr>
        <w:t>Deșeurile nereciclabile –</w:t>
      </w:r>
      <w:r>
        <w:rPr>
          <w:sz w:val="24"/>
          <w:szCs w:val="24"/>
        </w:rPr>
        <w:t xml:space="preserve"> rezultate în urma activității de exploatare (deșeuri menajere și tehnologice fără potențial de reciclare) nu sunt corozive sau toxice ele fiind încadrate în categoria deșeurilor nepericuloase, astfel că depozitarea lor la groapa de gunoi se va realiza făr</w:t>
      </w:r>
      <w:r>
        <w:rPr>
          <w:sz w:val="24"/>
          <w:szCs w:val="24"/>
        </w:rPr>
        <w:t>ă testare prealabilă (conform Hotărârii nr. 856/2002 privind evidența gestiunii deșeurilor și pentru aprobarea listei cuprinzând deșeurile, inclusiv deșeurile periculoase).</w:t>
      </w:r>
    </w:p>
    <w:p w14:paraId="3DD2D82B" w14:textId="77777777" w:rsidR="00FD566B" w:rsidRDefault="000D1FC2">
      <w:pPr>
        <w:jc w:val="both"/>
      </w:pPr>
      <w:r>
        <w:rPr>
          <w:sz w:val="24"/>
          <w:szCs w:val="24"/>
        </w:rPr>
        <w:t>Astfel, se poate estima că deșeurile tehnologice precum și cele menajere nu vor con</w:t>
      </w:r>
      <w:r>
        <w:rPr>
          <w:sz w:val="24"/>
          <w:szCs w:val="24"/>
        </w:rPr>
        <w:t>situi o sursă de poluare semnificativă pentru sol și subsol.</w:t>
      </w:r>
    </w:p>
    <w:p w14:paraId="5CBBAEDA" w14:textId="77777777" w:rsidR="00FD566B" w:rsidRDefault="000D1FC2">
      <w:pPr>
        <w:jc w:val="both"/>
        <w:rPr>
          <w:rFonts w:ascii="Calibri" w:hAnsi="Calibri"/>
          <w:sz w:val="24"/>
          <w:szCs w:val="24"/>
        </w:rPr>
      </w:pPr>
      <w:r>
        <w:rPr>
          <w:bCs/>
          <w:i/>
          <w:sz w:val="24"/>
          <w:szCs w:val="24"/>
        </w:rPr>
        <w:t>i)</w:t>
      </w:r>
      <w:r>
        <w:rPr>
          <w:i/>
          <w:sz w:val="24"/>
          <w:szCs w:val="24"/>
        </w:rPr>
        <w:t xml:space="preserve"> Gospodărirea substanţelor şi preparatelor chimice periculoase: </w:t>
      </w:r>
    </w:p>
    <w:p w14:paraId="272FDB1B" w14:textId="77777777" w:rsidR="00FD566B" w:rsidRDefault="000D1FC2">
      <w:pPr>
        <w:spacing w:after="0"/>
        <w:jc w:val="both"/>
        <w:rPr>
          <w:rFonts w:ascii="Calibri" w:hAnsi="Calibri"/>
          <w:sz w:val="24"/>
          <w:szCs w:val="24"/>
        </w:rPr>
      </w:pPr>
      <w:r>
        <w:rPr>
          <w:rFonts w:cstheme="minorHAnsi"/>
          <w:sz w:val="24"/>
          <w:szCs w:val="24"/>
        </w:rPr>
        <w:t>Pe amplasamentul de exploatare nu sunt stocate, utilizate/ manipulate sau produse substanţele şi preparatele chimice periculoase</w:t>
      </w:r>
      <w:r>
        <w:rPr>
          <w:rFonts w:cstheme="minorHAnsi"/>
          <w:sz w:val="24"/>
          <w:szCs w:val="24"/>
        </w:rPr>
        <w:t xml:space="preserve"> de catre personalul existent, cu exceptia carburantilor pentru alimetarea utilajelor in frontul de lucru.</w:t>
      </w:r>
    </w:p>
    <w:p w14:paraId="71F56296" w14:textId="77777777" w:rsidR="00FD566B" w:rsidRDefault="00FD566B">
      <w:pPr>
        <w:jc w:val="both"/>
        <w:rPr>
          <w:rFonts w:ascii="Calibri" w:hAnsi="Calibri"/>
          <w:sz w:val="24"/>
          <w:szCs w:val="24"/>
        </w:rPr>
      </w:pPr>
    </w:p>
    <w:p w14:paraId="7C3C01A2" w14:textId="24C8E084" w:rsidR="00FD566B" w:rsidRPr="00240393" w:rsidRDefault="000D1FC2" w:rsidP="00240393">
      <w:pPr>
        <w:pStyle w:val="Titlu2"/>
        <w:jc w:val="both"/>
      </w:pPr>
      <w:bookmarkStart w:id="15" w:name="_Toc3992733"/>
      <w:bookmarkStart w:id="16" w:name="_Toc41997007"/>
      <w:r>
        <w:rPr>
          <w:rFonts w:ascii="Calibri" w:hAnsi="Calibri"/>
          <w:sz w:val="24"/>
          <w:szCs w:val="24"/>
        </w:rPr>
        <w:lastRenderedPageBreak/>
        <w:t xml:space="preserve">B. Utilizarea resurselor naturale, în special a solului, a </w:t>
      </w:r>
      <w:r>
        <w:rPr>
          <w:rFonts w:ascii="Calibri" w:hAnsi="Calibri"/>
          <w:noProof/>
          <w:sz w:val="24"/>
          <w:szCs w:val="24"/>
        </w:rPr>
        <w:t>terenurilor, a apei și a biodiversității.</w:t>
      </w:r>
      <w:bookmarkEnd w:id="15"/>
      <w:bookmarkEnd w:id="16"/>
    </w:p>
    <w:p w14:paraId="251791EC" w14:textId="65E9E7AF" w:rsidR="00FD566B" w:rsidRDefault="000D1FC2" w:rsidP="007236A9">
      <w:pPr>
        <w:spacing w:after="0" w:line="240" w:lineRule="auto"/>
        <w:jc w:val="both"/>
        <w:rPr>
          <w:rFonts w:ascii="Calibri" w:hAnsi="Calibri"/>
          <w:sz w:val="24"/>
          <w:szCs w:val="24"/>
        </w:rPr>
      </w:pPr>
      <w:r>
        <w:rPr>
          <w:rFonts w:cstheme="minorHAnsi"/>
          <w:sz w:val="24"/>
          <w:szCs w:val="24"/>
        </w:rPr>
        <w:t>V</w:t>
      </w:r>
      <w:r>
        <w:rPr>
          <w:rFonts w:cstheme="minorHAnsi"/>
          <w:sz w:val="24"/>
          <w:szCs w:val="24"/>
        </w:rPr>
        <w:t xml:space="preserve">olumul de solul rezultat în urma descopertei amplasamentului este de </w:t>
      </w:r>
      <w:r w:rsidR="007236A9" w:rsidRPr="007236A9">
        <w:rPr>
          <w:rFonts w:ascii="Calibri" w:eastAsia="Times New Roman" w:hAnsi="Calibri" w:cs="Calibri"/>
          <w:color w:val="000000"/>
        </w:rPr>
        <w:t>39101.4</w:t>
      </w:r>
      <w:r w:rsidR="007236A9">
        <w:rPr>
          <w:rFonts w:ascii="Calibri" w:eastAsia="Times New Roman" w:hAnsi="Calibri" w:cs="Calibri"/>
          <w:color w:val="000000"/>
        </w:rPr>
        <w:t xml:space="preserve"> </w:t>
      </w:r>
      <w:r>
        <w:rPr>
          <w:rFonts w:cstheme="minorHAnsi"/>
          <w:sz w:val="24"/>
          <w:szCs w:val="24"/>
        </w:rPr>
        <w:t>m</w:t>
      </w:r>
      <w:r>
        <w:rPr>
          <w:rFonts w:cstheme="minorHAnsi"/>
          <w:sz w:val="24"/>
          <w:szCs w:val="24"/>
          <w:vertAlign w:val="superscript"/>
        </w:rPr>
        <w:t>3</w:t>
      </w:r>
      <w:r>
        <w:rPr>
          <w:rFonts w:cstheme="minorHAnsi"/>
          <w:sz w:val="24"/>
          <w:szCs w:val="24"/>
        </w:rPr>
        <w:t xml:space="preserve">, operațiunea de îndepărtare a </w:t>
      </w:r>
      <w:proofErr w:type="gramStart"/>
      <w:r>
        <w:rPr>
          <w:rFonts w:cstheme="minorHAnsi"/>
          <w:sz w:val="24"/>
          <w:szCs w:val="24"/>
        </w:rPr>
        <w:t>solului  vegetal</w:t>
      </w:r>
      <w:proofErr w:type="gramEnd"/>
      <w:r>
        <w:rPr>
          <w:rFonts w:cstheme="minorHAnsi"/>
          <w:sz w:val="24"/>
          <w:szCs w:val="24"/>
        </w:rPr>
        <w:t xml:space="preserve"> se va efectua cu ajutorul buldozerului și va fi depus temporar </w:t>
      </w:r>
      <w:r>
        <w:rPr>
          <w:rFonts w:cstheme="minorHAnsi"/>
          <w:sz w:val="24"/>
          <w:szCs w:val="24"/>
          <w:vertAlign w:val="superscript"/>
        </w:rPr>
        <w:t xml:space="preserve"> </w:t>
      </w:r>
      <w:r>
        <w:rPr>
          <w:rFonts w:cstheme="minorHAnsi"/>
          <w:sz w:val="24"/>
          <w:szCs w:val="24"/>
        </w:rPr>
        <w:t>în stive de maxim 3 m înălțime pentru a fi utilizat la închiderea și reabilitarea amplasamentului.</w:t>
      </w:r>
    </w:p>
    <w:p w14:paraId="1445DE22" w14:textId="77777777" w:rsidR="00FD566B" w:rsidRDefault="000D1FC2">
      <w:pPr>
        <w:pStyle w:val="Titlu1"/>
        <w:jc w:val="both"/>
        <w:rPr>
          <w:rFonts w:ascii="Calibri" w:hAnsi="Calibri"/>
          <w:sz w:val="24"/>
          <w:szCs w:val="24"/>
        </w:rPr>
      </w:pPr>
      <w:bookmarkStart w:id="17" w:name="_Toc3992734"/>
      <w:bookmarkStart w:id="18" w:name="_Toc41997008"/>
      <w:r>
        <w:rPr>
          <w:rFonts w:ascii="Calibri" w:hAnsi="Calibri"/>
          <w:sz w:val="24"/>
          <w:szCs w:val="24"/>
        </w:rPr>
        <w:t>VII. Descrierea aspectelor de mediu susceptib</w:t>
      </w:r>
      <w:r>
        <w:rPr>
          <w:rFonts w:ascii="Calibri" w:hAnsi="Calibri"/>
          <w:sz w:val="24"/>
          <w:szCs w:val="24"/>
        </w:rPr>
        <w:t>ile a fi afectate în mod semnificativ de proiect:</w:t>
      </w:r>
      <w:bookmarkEnd w:id="17"/>
      <w:bookmarkEnd w:id="18"/>
    </w:p>
    <w:p w14:paraId="57677832" w14:textId="77777777" w:rsidR="00FD566B" w:rsidRDefault="000D1FC2">
      <w:pPr>
        <w:jc w:val="both"/>
        <w:rPr>
          <w:rFonts w:ascii="Calibri" w:hAnsi="Calibri"/>
          <w:sz w:val="24"/>
          <w:szCs w:val="24"/>
        </w:rPr>
      </w:pPr>
      <w:r>
        <w:rPr>
          <w:sz w:val="24"/>
          <w:szCs w:val="24"/>
        </w:rPr>
        <w:t>În ceea ce priveste posibilitatea de poluare a aerului și a zgomotului a aerului și a zgomotului, aceasta va fi relativ redusă având în vedere amplitudinea lucrărilor în perimetrul de exploatare.</w:t>
      </w:r>
    </w:p>
    <w:p w14:paraId="377AF8B2" w14:textId="77777777" w:rsidR="00FD566B" w:rsidRDefault="000D1FC2">
      <w:pPr>
        <w:jc w:val="both"/>
        <w:rPr>
          <w:rFonts w:ascii="Calibri" w:hAnsi="Calibri"/>
          <w:sz w:val="24"/>
          <w:szCs w:val="24"/>
        </w:rPr>
      </w:pPr>
      <w:r>
        <w:rPr>
          <w:sz w:val="24"/>
          <w:szCs w:val="24"/>
        </w:rPr>
        <w:t>Impactul n</w:t>
      </w:r>
      <w:r>
        <w:rPr>
          <w:sz w:val="24"/>
          <w:szCs w:val="24"/>
        </w:rPr>
        <w:t>egativ generat în perioada de extragere a agregatelor minerale nu va avea o magnitudine seminificaivă. Impactul maxim se manifestă numai în zona execuției lucrărilor. Magnitudinea impactului negativ se reduce proporțional cu îndepărtarea de sursele generat</w:t>
      </w:r>
      <w:r>
        <w:rPr>
          <w:sz w:val="24"/>
          <w:szCs w:val="24"/>
        </w:rPr>
        <w:t>oare.</w:t>
      </w:r>
    </w:p>
    <w:p w14:paraId="03A3990A" w14:textId="77777777" w:rsidR="00FD566B" w:rsidRDefault="000D1FC2">
      <w:pPr>
        <w:jc w:val="both"/>
        <w:rPr>
          <w:rFonts w:ascii="Calibri" w:hAnsi="Calibri"/>
          <w:sz w:val="24"/>
          <w:szCs w:val="24"/>
        </w:rPr>
      </w:pPr>
      <w:r>
        <w:rPr>
          <w:rFonts w:cstheme="minorHAnsi"/>
          <w:sz w:val="24"/>
          <w:szCs w:val="24"/>
        </w:rPr>
        <w:t>În perioada execuției 8h/zi, 5/6 zile/sptămână impactului asupra mediului se va manifestala nivel local și va fi nesemnificativ. În principal sunt emisii de pulberi și zgomotul generat de activitățile de exploatare și transport a depozitului de pietr</w:t>
      </w:r>
      <w:r>
        <w:rPr>
          <w:rFonts w:cstheme="minorHAnsi"/>
          <w:sz w:val="24"/>
          <w:szCs w:val="24"/>
        </w:rPr>
        <w:t>iș și nisip.</w:t>
      </w:r>
    </w:p>
    <w:p w14:paraId="3632B5FA" w14:textId="77777777" w:rsidR="00FD566B" w:rsidRDefault="000D1FC2">
      <w:pPr>
        <w:pStyle w:val="Titlu1"/>
        <w:jc w:val="both"/>
        <w:rPr>
          <w:rFonts w:ascii="Calibri" w:hAnsi="Calibri"/>
          <w:sz w:val="24"/>
          <w:szCs w:val="24"/>
        </w:rPr>
      </w:pPr>
      <w:bookmarkStart w:id="19" w:name="_Toc3992735"/>
      <w:bookmarkStart w:id="20" w:name="_Toc41997009"/>
      <w:r>
        <w:rPr>
          <w:rFonts w:ascii="Calibri" w:hAnsi="Calibri"/>
          <w:sz w:val="24"/>
          <w:szCs w:val="24"/>
        </w:rPr>
        <w:t>VIII. Prevederi pentru monitorizarea mediului:</w:t>
      </w:r>
      <w:bookmarkEnd w:id="19"/>
      <w:bookmarkEnd w:id="20"/>
      <w:r>
        <w:rPr>
          <w:rFonts w:ascii="Calibri" w:hAnsi="Calibri"/>
          <w:sz w:val="24"/>
          <w:szCs w:val="24"/>
        </w:rPr>
        <w:t xml:space="preserve"> </w:t>
      </w:r>
    </w:p>
    <w:p w14:paraId="527C0B24" w14:textId="77777777" w:rsidR="00FD566B" w:rsidRDefault="000D1FC2">
      <w:pPr>
        <w:jc w:val="both"/>
        <w:rPr>
          <w:rFonts w:ascii="Calibri" w:hAnsi="Calibri"/>
          <w:sz w:val="24"/>
          <w:szCs w:val="24"/>
        </w:rPr>
      </w:pPr>
      <w:r>
        <w:rPr>
          <w:sz w:val="24"/>
          <w:szCs w:val="24"/>
        </w:rPr>
        <w:t>Utilizarea eficientă a utilajelor din perimetru de exploatare, verificarea periodică a stări  tehnice a utilajelor și vehiculelor utilizate, în vederea reducerii impactului și protecția calității</w:t>
      </w:r>
      <w:r>
        <w:rPr>
          <w:sz w:val="24"/>
          <w:szCs w:val="24"/>
        </w:rPr>
        <w:t xml:space="preserve"> aerului, reducând emisile de gaze de eșapament, emisii de pulberi și zgomot generate de activitatea de exploatare și transport a depozitului de nisip și pietriș.</w:t>
      </w:r>
    </w:p>
    <w:p w14:paraId="7BC43D50" w14:textId="77777777" w:rsidR="00FD566B" w:rsidRDefault="000D1FC2">
      <w:pPr>
        <w:pStyle w:val="Titlu1"/>
        <w:jc w:val="both"/>
        <w:rPr>
          <w:rFonts w:ascii="Calibri" w:hAnsi="Calibri"/>
          <w:sz w:val="24"/>
          <w:szCs w:val="24"/>
        </w:rPr>
      </w:pPr>
      <w:bookmarkStart w:id="21" w:name="_Toc3992736"/>
      <w:bookmarkStart w:id="22" w:name="_Toc41997010"/>
      <w:r>
        <w:rPr>
          <w:rFonts w:ascii="Calibri" w:hAnsi="Calibri"/>
          <w:sz w:val="24"/>
          <w:szCs w:val="24"/>
        </w:rPr>
        <w:t>IX. Legătura cu alte acte normative și/sau planuri/programe/strategii/documente de planificar</w:t>
      </w:r>
      <w:r>
        <w:rPr>
          <w:rFonts w:ascii="Calibri" w:hAnsi="Calibri"/>
          <w:sz w:val="24"/>
          <w:szCs w:val="24"/>
        </w:rPr>
        <w:t>e:</w:t>
      </w:r>
      <w:bookmarkEnd w:id="21"/>
      <w:bookmarkEnd w:id="22"/>
    </w:p>
    <w:p w14:paraId="3BC15A69" w14:textId="4959F667" w:rsidR="00FD566B" w:rsidRDefault="000D1FC2" w:rsidP="00240393">
      <w:pPr>
        <w:jc w:val="both"/>
        <w:rPr>
          <w:rFonts w:ascii="Calibri" w:hAnsi="Calibri"/>
          <w:sz w:val="24"/>
          <w:szCs w:val="24"/>
        </w:rPr>
      </w:pPr>
      <w:r>
        <w:rPr>
          <w:sz w:val="24"/>
          <w:szCs w:val="24"/>
        </w:rPr>
        <w:t>Proiectul se alinează prevederilor din Planul Urbanistic General aprobat de Consiliul Local Geoagiu nr.37/29.05.2002, cu valabilitate prelungită prin Hotărârea consiliului Local Geoagiu nr.154/2018, conform Certificatului de Urbanism nr.8 din 02.02.2020</w:t>
      </w:r>
      <w:r>
        <w:rPr>
          <w:sz w:val="24"/>
          <w:szCs w:val="24"/>
        </w:rPr>
        <w:t>.</w:t>
      </w:r>
      <w:bookmarkStart w:id="23" w:name="_Toc3992737"/>
      <w:bookmarkEnd w:id="23"/>
    </w:p>
    <w:p w14:paraId="03B64750" w14:textId="77777777" w:rsidR="00FD566B" w:rsidRDefault="00FD566B">
      <w:pPr>
        <w:jc w:val="both"/>
        <w:rPr>
          <w:rFonts w:ascii="Calibri" w:hAnsi="Calibri"/>
          <w:sz w:val="24"/>
          <w:szCs w:val="24"/>
        </w:rPr>
      </w:pPr>
    </w:p>
    <w:p w14:paraId="02DA8163" w14:textId="77777777" w:rsidR="00FD566B" w:rsidRDefault="000D1FC2">
      <w:pPr>
        <w:pStyle w:val="Titlu2"/>
        <w:jc w:val="both"/>
        <w:rPr>
          <w:rFonts w:ascii="Calibri" w:hAnsi="Calibri"/>
          <w:sz w:val="24"/>
          <w:szCs w:val="24"/>
        </w:rPr>
      </w:pPr>
      <w:bookmarkStart w:id="24" w:name="_Toc41997011"/>
      <w:r>
        <w:rPr>
          <w:rFonts w:ascii="Calibri" w:hAnsi="Calibri"/>
          <w:sz w:val="24"/>
          <w:szCs w:val="24"/>
        </w:rPr>
        <w:t>A</w:t>
      </w:r>
      <w:bookmarkStart w:id="25" w:name="_Toc3992738"/>
      <w:r>
        <w:rPr>
          <w:rFonts w:ascii="Calibri" w:hAnsi="Calibri"/>
          <w:sz w:val="24"/>
          <w:szCs w:val="24"/>
        </w:rPr>
        <w:t>. Se va menționa planul/programul/strategia/documentul de programare/planificare din care face proiectul, cu indicarea actului normativ prin care a fost aprobat.</w:t>
      </w:r>
      <w:bookmarkEnd w:id="24"/>
      <w:bookmarkEnd w:id="25"/>
    </w:p>
    <w:p w14:paraId="13A264B8" w14:textId="77777777" w:rsidR="00FD566B" w:rsidRDefault="000D1FC2">
      <w:pPr>
        <w:jc w:val="both"/>
      </w:pPr>
      <w:r>
        <w:rPr>
          <w:sz w:val="24"/>
          <w:szCs w:val="24"/>
        </w:rPr>
        <w:t>Conform PUG PUG apropbat, investiția propusă este amplasată în extravilanul comunei Gelma</w:t>
      </w:r>
      <w:r>
        <w:rPr>
          <w:sz w:val="24"/>
          <w:szCs w:val="24"/>
        </w:rPr>
        <w:t xml:space="preserve">r, oraș Geoagiu, Conform C.U, 8/ 02.04.2020, asupra terenului nu este instituit un regim urbanistic special, lucrările propuse a se realiza fiind cele de </w:t>
      </w:r>
      <w:r>
        <w:rPr>
          <w:rFonts w:ascii="Times New Roman" w:hAnsi="Times New Roman"/>
          <w:sz w:val="24"/>
          <w:szCs w:val="24"/>
        </w:rPr>
        <w:t>"</w:t>
      </w:r>
      <w:r>
        <w:rPr>
          <w:sz w:val="24"/>
          <w:szCs w:val="24"/>
        </w:rPr>
        <w:t>exploatare nisip și pietriș din terasă</w:t>
      </w:r>
      <w:r>
        <w:rPr>
          <w:rFonts w:ascii="Times New Roman" w:hAnsi="Times New Roman"/>
          <w:sz w:val="24"/>
          <w:szCs w:val="24"/>
        </w:rPr>
        <w:t>"</w:t>
      </w:r>
    </w:p>
    <w:p w14:paraId="57FEB1B3" w14:textId="77777777" w:rsidR="00FD566B" w:rsidRDefault="000D1FC2">
      <w:pPr>
        <w:jc w:val="both"/>
        <w:rPr>
          <w:rFonts w:ascii="Calibri" w:hAnsi="Calibri"/>
          <w:sz w:val="24"/>
          <w:szCs w:val="24"/>
        </w:rPr>
      </w:pPr>
      <w:r>
        <w:rPr>
          <w:sz w:val="24"/>
          <w:szCs w:val="24"/>
        </w:rPr>
        <w:lastRenderedPageBreak/>
        <w:t>Lucrările se vor realiza în zona drumului DJ710 și DC3969 Aur</w:t>
      </w:r>
      <w:r>
        <w:rPr>
          <w:sz w:val="24"/>
          <w:szCs w:val="24"/>
        </w:rPr>
        <w:t>el Vlaicu – Gelmar. După finalizarea lucrărilor terenul ocupat temporar se va aduce la starea inițială.</w:t>
      </w:r>
    </w:p>
    <w:p w14:paraId="60F3FC1D" w14:textId="77777777" w:rsidR="00FD566B" w:rsidRDefault="000D1FC2">
      <w:pPr>
        <w:pStyle w:val="Titlu1"/>
        <w:jc w:val="both"/>
      </w:pPr>
      <w:bookmarkStart w:id="26" w:name="_Toc3992739"/>
      <w:bookmarkStart w:id="27" w:name="_Toc41997012"/>
      <w:r>
        <w:rPr>
          <w:rFonts w:ascii="Calibri" w:hAnsi="Calibri"/>
          <w:sz w:val="24"/>
          <w:szCs w:val="24"/>
        </w:rPr>
        <w:t>X. Lucrări necesare organizării de şantier:</w:t>
      </w:r>
      <w:bookmarkEnd w:id="26"/>
      <w:bookmarkEnd w:id="27"/>
      <w:r>
        <w:rPr>
          <w:rFonts w:ascii="Calibri" w:hAnsi="Calibri"/>
          <w:sz w:val="24"/>
          <w:szCs w:val="24"/>
        </w:rPr>
        <w:t xml:space="preserve"> </w:t>
      </w:r>
    </w:p>
    <w:p w14:paraId="0B1BC772" w14:textId="77777777" w:rsidR="00FD566B" w:rsidRDefault="000D1FC2">
      <w:pPr>
        <w:jc w:val="both"/>
        <w:rPr>
          <w:rFonts w:ascii="Calibri" w:hAnsi="Calibri"/>
          <w:sz w:val="24"/>
          <w:szCs w:val="24"/>
        </w:rPr>
      </w:pPr>
      <w:r>
        <w:rPr>
          <w:rFonts w:cstheme="minorHAnsi"/>
          <w:sz w:val="24"/>
          <w:szCs w:val="24"/>
        </w:rPr>
        <w:t>Pentru asigurarea unei bune desfășurări a activitații de exploatare, infrastructura tehnologică se structur</w:t>
      </w:r>
      <w:r>
        <w:rPr>
          <w:rFonts w:cstheme="minorHAnsi"/>
          <w:sz w:val="24"/>
          <w:szCs w:val="24"/>
        </w:rPr>
        <w:t>ează astfel:</w:t>
      </w:r>
    </w:p>
    <w:p w14:paraId="43BF0AE6" w14:textId="77777777" w:rsidR="00FD566B" w:rsidRDefault="000D1FC2">
      <w:pPr>
        <w:spacing w:after="143"/>
        <w:jc w:val="both"/>
      </w:pPr>
      <w:r>
        <w:rPr>
          <w:rFonts w:cstheme="minorHAnsi"/>
          <w:sz w:val="24"/>
          <w:szCs w:val="24"/>
          <w:u w:val="single"/>
        </w:rPr>
        <w:t>Activitatea extractivă:</w:t>
      </w:r>
      <w:r>
        <w:rPr>
          <w:rFonts w:cstheme="minorHAnsi"/>
          <w:sz w:val="24"/>
          <w:szCs w:val="24"/>
        </w:rPr>
        <w:t xml:space="preserve"> extracție nisip și pietriș. Drumuri de acces și tehnologice în perimetru de exploatare.</w:t>
      </w:r>
    </w:p>
    <w:p w14:paraId="1311F306" w14:textId="77777777" w:rsidR="00FD566B" w:rsidRDefault="000D1FC2">
      <w:pPr>
        <w:spacing w:after="143"/>
        <w:jc w:val="both"/>
      </w:pPr>
      <w:r>
        <w:rPr>
          <w:rFonts w:cstheme="minorHAnsi"/>
          <w:sz w:val="24"/>
          <w:szCs w:val="24"/>
          <w:u w:val="single"/>
        </w:rPr>
        <w:t>Activitatea de prelucrare:</w:t>
      </w:r>
      <w:r>
        <w:rPr>
          <w:rFonts w:cstheme="minorHAnsi"/>
          <w:sz w:val="24"/>
          <w:szCs w:val="24"/>
        </w:rPr>
        <w:t xml:space="preserve"> resursa minerală exploatată este prelucrată în stația proprie.</w:t>
      </w:r>
    </w:p>
    <w:p w14:paraId="32A4DC03" w14:textId="77777777" w:rsidR="00FD566B" w:rsidRDefault="000D1FC2">
      <w:pPr>
        <w:spacing w:after="143"/>
        <w:jc w:val="both"/>
        <w:rPr>
          <w:rFonts w:ascii="Calibri" w:hAnsi="Calibri"/>
          <w:noProof/>
          <w:sz w:val="24"/>
          <w:szCs w:val="24"/>
        </w:rPr>
      </w:pPr>
      <w:r>
        <w:rPr>
          <w:rFonts w:cstheme="minorHAnsi"/>
          <w:sz w:val="24"/>
          <w:szCs w:val="24"/>
          <w:u w:val="single"/>
        </w:rPr>
        <w:t>Activitatea de întreținere și reparații:</w:t>
      </w:r>
      <w:r>
        <w:rPr>
          <w:rFonts w:cstheme="minorHAnsi"/>
          <w:sz w:val="24"/>
          <w:szCs w:val="24"/>
        </w:rPr>
        <w:t xml:space="preserve"> </w:t>
      </w:r>
      <w:r>
        <w:rPr>
          <w:rFonts w:cstheme="minorHAnsi"/>
          <w:sz w:val="24"/>
          <w:szCs w:val="24"/>
        </w:rPr>
        <w:t xml:space="preserve">se va executa în afara perimetrului, la unității </w:t>
      </w:r>
      <w:r>
        <w:rPr>
          <w:rFonts w:cstheme="minorHAnsi"/>
          <w:noProof/>
          <w:sz w:val="24"/>
          <w:szCs w:val="24"/>
        </w:rPr>
        <w:t>specializate.</w:t>
      </w:r>
    </w:p>
    <w:p w14:paraId="799926B8" w14:textId="77777777" w:rsidR="00FD566B" w:rsidRDefault="000D1FC2">
      <w:pPr>
        <w:spacing w:after="143"/>
        <w:jc w:val="both"/>
        <w:rPr>
          <w:noProof/>
        </w:rPr>
      </w:pPr>
      <w:r>
        <w:rPr>
          <w:rFonts w:cstheme="minorHAnsi"/>
          <w:noProof/>
          <w:sz w:val="24"/>
          <w:szCs w:val="24"/>
          <w:u w:val="single"/>
        </w:rPr>
        <w:t>Dotări și utilaje folosite pentru exploatare:</w:t>
      </w:r>
    </w:p>
    <w:p w14:paraId="036F5390" w14:textId="77777777" w:rsidR="00FD566B" w:rsidRDefault="000D1FC2">
      <w:pPr>
        <w:spacing w:after="143"/>
        <w:jc w:val="both"/>
        <w:rPr>
          <w:noProof/>
        </w:rPr>
      </w:pPr>
      <w:r>
        <w:rPr>
          <w:rFonts w:cstheme="minorHAnsi"/>
          <w:noProof/>
          <w:sz w:val="24"/>
          <w:szCs w:val="24"/>
        </w:rPr>
        <w:t>- excavator</w:t>
      </w:r>
    </w:p>
    <w:p w14:paraId="60E57262" w14:textId="77777777" w:rsidR="00FD566B" w:rsidRDefault="000D1FC2">
      <w:pPr>
        <w:spacing w:after="143"/>
        <w:jc w:val="both"/>
        <w:rPr>
          <w:noProof/>
        </w:rPr>
      </w:pPr>
      <w:r>
        <w:rPr>
          <w:rFonts w:cstheme="minorHAnsi"/>
          <w:noProof/>
          <w:sz w:val="24"/>
          <w:szCs w:val="24"/>
        </w:rPr>
        <w:t>- buldozer</w:t>
      </w:r>
    </w:p>
    <w:p w14:paraId="5D6206D8" w14:textId="77777777" w:rsidR="00FD566B" w:rsidRDefault="000D1FC2">
      <w:pPr>
        <w:spacing w:after="143"/>
        <w:jc w:val="both"/>
        <w:rPr>
          <w:noProof/>
        </w:rPr>
      </w:pPr>
      <w:r>
        <w:rPr>
          <w:rFonts w:cstheme="minorHAnsi"/>
          <w:noProof/>
          <w:sz w:val="24"/>
          <w:szCs w:val="24"/>
        </w:rPr>
        <w:t>- încărcător frontal</w:t>
      </w:r>
    </w:p>
    <w:p w14:paraId="14AD863B" w14:textId="77777777" w:rsidR="00FD566B" w:rsidRDefault="000D1FC2">
      <w:pPr>
        <w:spacing w:after="143"/>
        <w:jc w:val="both"/>
      </w:pPr>
      <w:r>
        <w:rPr>
          <w:rFonts w:cstheme="minorHAnsi"/>
          <w:sz w:val="24"/>
          <w:szCs w:val="24"/>
        </w:rPr>
        <w:t>- autobasculante</w:t>
      </w:r>
    </w:p>
    <w:p w14:paraId="60033F47" w14:textId="77777777" w:rsidR="00FD566B" w:rsidRDefault="000D1FC2">
      <w:pPr>
        <w:pStyle w:val="Titlu1"/>
        <w:jc w:val="both"/>
        <w:rPr>
          <w:rFonts w:ascii="Calibri" w:hAnsi="Calibri"/>
          <w:sz w:val="24"/>
          <w:szCs w:val="24"/>
        </w:rPr>
      </w:pPr>
      <w:bookmarkStart w:id="28" w:name="_Toc3992740"/>
      <w:bookmarkStart w:id="29" w:name="_Toc41997013"/>
      <w:r>
        <w:rPr>
          <w:rFonts w:ascii="Calibri" w:hAnsi="Calibri"/>
          <w:sz w:val="24"/>
          <w:szCs w:val="24"/>
        </w:rPr>
        <w:t xml:space="preserve">XI. Lucrări de refacere a amplasamentului la finalizarea investiţiei, în caz de </w:t>
      </w:r>
      <w:r>
        <w:rPr>
          <w:rFonts w:ascii="Calibri" w:hAnsi="Calibri"/>
          <w:sz w:val="24"/>
          <w:szCs w:val="24"/>
        </w:rPr>
        <w:t>accidente şi/sau la încetarea activităţii, în măsura în care aceste informaţii sunt disponibile:</w:t>
      </w:r>
      <w:bookmarkEnd w:id="28"/>
      <w:bookmarkEnd w:id="29"/>
      <w:r>
        <w:rPr>
          <w:rFonts w:ascii="Calibri" w:hAnsi="Calibri"/>
          <w:sz w:val="24"/>
          <w:szCs w:val="24"/>
        </w:rPr>
        <w:t xml:space="preserve"> </w:t>
      </w:r>
    </w:p>
    <w:p w14:paraId="779F6952" w14:textId="77777777" w:rsidR="00FD566B" w:rsidRDefault="000D1FC2">
      <w:pPr>
        <w:jc w:val="both"/>
        <w:rPr>
          <w:rFonts w:ascii="Calibri" w:hAnsi="Calibri"/>
          <w:sz w:val="24"/>
          <w:szCs w:val="24"/>
        </w:rPr>
      </w:pPr>
      <w:r>
        <w:rPr>
          <w:sz w:val="24"/>
          <w:szCs w:val="24"/>
        </w:rPr>
        <w:t>Pentru refacerea amplasamentului sunt prevăzute lucrări a golului format în urma activităților de exploatare ce va fi reambleiat cu materiale inerte, iar pe u</w:t>
      </w:r>
      <w:r>
        <w:rPr>
          <w:sz w:val="24"/>
          <w:szCs w:val="24"/>
        </w:rPr>
        <w:t xml:space="preserve">ltimul strat va fi depus solul din stivele temporare de sol, care  vor fi nivelate și tasate cu buldozerul.              În etapa finală se va împrăștia strate sucesive pe toată suprafața perimetrului de exploatare, solul vegetal stocat temporar în stive, </w:t>
      </w:r>
      <w:r>
        <w:rPr>
          <w:sz w:val="24"/>
          <w:szCs w:val="24"/>
        </w:rPr>
        <w:t>după imprăștiere solul va fi nivelat și tasat pentru redarea terenului în circuitul agricol.</w:t>
      </w:r>
    </w:p>
    <w:p w14:paraId="39986986" w14:textId="77777777" w:rsidR="00FD566B" w:rsidRDefault="000D1FC2">
      <w:pPr>
        <w:pStyle w:val="Titlu1"/>
        <w:jc w:val="both"/>
      </w:pPr>
      <w:bookmarkStart w:id="30" w:name="_Toc3992741"/>
      <w:bookmarkStart w:id="31" w:name="_Toc41997014"/>
      <w:r>
        <w:rPr>
          <w:rFonts w:ascii="Calibri" w:hAnsi="Calibri"/>
          <w:sz w:val="24"/>
          <w:szCs w:val="24"/>
        </w:rPr>
        <w:t>XII. Anexe - piese desenate</w:t>
      </w:r>
      <w:bookmarkEnd w:id="30"/>
      <w:bookmarkEnd w:id="31"/>
      <w:r>
        <w:rPr>
          <w:rFonts w:ascii="Calibri" w:hAnsi="Calibri"/>
          <w:sz w:val="24"/>
          <w:szCs w:val="24"/>
        </w:rPr>
        <w:t xml:space="preserve"> </w:t>
      </w:r>
    </w:p>
    <w:p w14:paraId="2715018A" w14:textId="77777777" w:rsidR="00FD566B" w:rsidRDefault="00FD566B">
      <w:pPr>
        <w:jc w:val="both"/>
        <w:rPr>
          <w:rFonts w:ascii="Calibri" w:hAnsi="Calibri"/>
          <w:bCs/>
          <w:noProof/>
          <w:sz w:val="24"/>
          <w:szCs w:val="24"/>
        </w:rPr>
      </w:pPr>
    </w:p>
    <w:p w14:paraId="6BE8C606" w14:textId="77777777" w:rsidR="00FD566B" w:rsidRDefault="000D1FC2">
      <w:pPr>
        <w:jc w:val="both"/>
        <w:rPr>
          <w:noProof/>
        </w:rPr>
      </w:pPr>
      <w:r>
        <w:rPr>
          <w:rFonts w:cstheme="minorHAnsi"/>
          <w:bCs/>
          <w:noProof/>
          <w:sz w:val="24"/>
          <w:szCs w:val="24"/>
        </w:rPr>
        <w:t>1. Planșe</w:t>
      </w:r>
    </w:p>
    <w:p w14:paraId="5C01CB8A" w14:textId="77777777" w:rsidR="00FD566B" w:rsidRDefault="000D1FC2">
      <w:pPr>
        <w:jc w:val="both"/>
        <w:rPr>
          <w:noProof/>
        </w:rPr>
      </w:pPr>
      <w:r>
        <w:rPr>
          <w:rFonts w:cstheme="minorHAnsi"/>
          <w:bCs/>
          <w:noProof/>
          <w:sz w:val="24"/>
          <w:szCs w:val="24"/>
        </w:rPr>
        <w:t xml:space="preserve">    a. Plan de încadrare în zonă- ROSPA0139- Piemonrul Munților Metaliferi-Vințu</w:t>
      </w:r>
    </w:p>
    <w:p w14:paraId="4BEA549C" w14:textId="3CDC9EEC" w:rsidR="00FD566B" w:rsidRDefault="000D1FC2">
      <w:pPr>
        <w:jc w:val="both"/>
        <w:rPr>
          <w:noProof/>
        </w:rPr>
      </w:pPr>
      <w:r>
        <w:rPr>
          <w:rFonts w:cstheme="minorHAnsi"/>
          <w:bCs/>
          <w:noProof/>
          <w:sz w:val="24"/>
          <w:szCs w:val="24"/>
        </w:rPr>
        <w:t xml:space="preserve">    b. Plan de încadrare în zonă – </w:t>
      </w:r>
      <w:r w:rsidR="00992DD8">
        <w:rPr>
          <w:rFonts w:cstheme="minorHAnsi"/>
          <w:bCs/>
          <w:noProof/>
          <w:sz w:val="24"/>
          <w:szCs w:val="24"/>
        </w:rPr>
        <w:t>Gelmar Est</w:t>
      </w:r>
    </w:p>
    <w:p w14:paraId="77BCB897" w14:textId="34ABD70A" w:rsidR="00FD566B" w:rsidRDefault="000D1FC2">
      <w:pPr>
        <w:jc w:val="both"/>
        <w:rPr>
          <w:noProof/>
        </w:rPr>
      </w:pPr>
      <w:r>
        <w:rPr>
          <w:rFonts w:cstheme="minorHAnsi"/>
          <w:bCs/>
          <w:noProof/>
          <w:sz w:val="24"/>
          <w:szCs w:val="24"/>
        </w:rPr>
        <w:t xml:space="preserve">    c. Plan de situație -Perimetru </w:t>
      </w:r>
      <w:r w:rsidR="00992DD8">
        <w:rPr>
          <w:rFonts w:cstheme="minorHAnsi"/>
          <w:bCs/>
          <w:noProof/>
          <w:sz w:val="24"/>
          <w:szCs w:val="24"/>
        </w:rPr>
        <w:t>Gelmar Est</w:t>
      </w:r>
    </w:p>
    <w:p w14:paraId="5CAF2B71" w14:textId="77777777" w:rsidR="00FD566B" w:rsidRDefault="000D1FC2">
      <w:pPr>
        <w:pStyle w:val="Titlu1"/>
        <w:jc w:val="both"/>
      </w:pPr>
      <w:bookmarkStart w:id="32" w:name="_Toc3992742"/>
      <w:bookmarkStart w:id="33" w:name="_Toc41997015"/>
      <w:r>
        <w:rPr>
          <w:rFonts w:ascii="Calibri" w:hAnsi="Calibri"/>
          <w:sz w:val="24"/>
          <w:szCs w:val="24"/>
        </w:rPr>
        <w:lastRenderedPageBreak/>
        <w:t>XII. Pentru proiectele care intră sub incidența prevederilor art. 28 din Ordonanța de urgență a Guvernului nr. 57/2007 privind regimul ariilor nat</w:t>
      </w:r>
      <w:r>
        <w:rPr>
          <w:rFonts w:ascii="Calibri" w:hAnsi="Calibri"/>
          <w:sz w:val="24"/>
          <w:szCs w:val="24"/>
        </w:rPr>
        <w:t>urale protejate, conservarea habitatelor naturale, a florei și faunei sălbatice, aprobată cu modificări și completări prin Legea nr. 49/2011, cu modificările și completările ulterioare, memoriul va fi completat cu următoarele:</w:t>
      </w:r>
      <w:bookmarkEnd w:id="32"/>
      <w:bookmarkEnd w:id="33"/>
    </w:p>
    <w:p w14:paraId="47226C03" w14:textId="77777777" w:rsidR="00FD566B" w:rsidRDefault="000D1FC2">
      <w:pPr>
        <w:jc w:val="both"/>
      </w:pPr>
      <w:r>
        <w:rPr>
          <w:rFonts w:cstheme="minorHAnsi"/>
          <w:sz w:val="24"/>
          <w:szCs w:val="24"/>
        </w:rPr>
        <w:t>Permietrul de exploatare Gelm</w:t>
      </w:r>
      <w:r>
        <w:rPr>
          <w:rFonts w:cstheme="minorHAnsi"/>
          <w:sz w:val="24"/>
          <w:szCs w:val="24"/>
        </w:rPr>
        <w:t>ar Est este situat pe raza administrativă a comunei Gelmar, în extravilanul localității, la o distanță de cca. 600 m sud față de râul Mureș, iar la 1km de limita sudică a ariei naturale protejate ROSPA0139 Piemontul Munților Metaliferi- Vințu.</w:t>
      </w:r>
    </w:p>
    <w:p w14:paraId="21549E35" w14:textId="605AB72E" w:rsidR="00FD566B" w:rsidRPr="00E63693" w:rsidRDefault="000D1FC2">
      <w:pPr>
        <w:jc w:val="both"/>
      </w:pPr>
      <w:r>
        <w:rPr>
          <w:rFonts w:cstheme="minorHAnsi"/>
          <w:i/>
          <w:sz w:val="24"/>
          <w:szCs w:val="24"/>
        </w:rPr>
        <w:t>Impactul aso</w:t>
      </w:r>
      <w:r>
        <w:rPr>
          <w:rFonts w:cstheme="minorHAnsi"/>
          <w:i/>
          <w:sz w:val="24"/>
          <w:szCs w:val="24"/>
        </w:rPr>
        <w:t xml:space="preserve">ciat activităților de pe amplasamentul de exploatare se va manifesta la nivel local fără </w:t>
      </w:r>
      <w:proofErr w:type="gramStart"/>
      <w:r>
        <w:rPr>
          <w:rFonts w:cstheme="minorHAnsi"/>
          <w:i/>
          <w:sz w:val="24"/>
          <w:szCs w:val="24"/>
        </w:rPr>
        <w:t>a  exista</w:t>
      </w:r>
      <w:proofErr w:type="gramEnd"/>
      <w:r>
        <w:rPr>
          <w:rFonts w:cstheme="minorHAnsi"/>
          <w:i/>
          <w:sz w:val="24"/>
          <w:szCs w:val="24"/>
        </w:rPr>
        <w:t xml:space="preserve"> posibilitatea de a genera un impact </w:t>
      </w:r>
      <w:r>
        <w:rPr>
          <w:rFonts w:cstheme="minorHAnsi"/>
          <w:i/>
          <w:noProof/>
          <w:sz w:val="24"/>
          <w:szCs w:val="24"/>
        </w:rPr>
        <w:t>negativ asupra sitului</w:t>
      </w:r>
      <w:r>
        <w:rPr>
          <w:rFonts w:cstheme="minorHAnsi"/>
          <w:i/>
          <w:sz w:val="24"/>
          <w:szCs w:val="24"/>
        </w:rPr>
        <w:t xml:space="preserve"> Natura 2000.</w:t>
      </w:r>
      <w:bookmarkStart w:id="34" w:name="_Toc3992744"/>
      <w:bookmarkEnd w:id="34"/>
    </w:p>
    <w:p w14:paraId="46462122" w14:textId="77777777" w:rsidR="00FD566B" w:rsidRDefault="00FD566B">
      <w:pPr>
        <w:spacing w:after="120" w:line="240" w:lineRule="auto"/>
        <w:jc w:val="both"/>
        <w:rPr>
          <w:rFonts w:ascii="Calibri" w:hAnsi="Calibri"/>
          <w:sz w:val="24"/>
          <w:szCs w:val="24"/>
        </w:rPr>
      </w:pPr>
    </w:p>
    <w:p w14:paraId="0B71F2F1" w14:textId="77777777" w:rsidR="00FD566B" w:rsidRDefault="00FD566B">
      <w:pPr>
        <w:spacing w:after="120" w:line="240" w:lineRule="auto"/>
        <w:jc w:val="center"/>
        <w:rPr>
          <w:rFonts w:ascii="Calibri" w:hAnsi="Calibri"/>
          <w:sz w:val="24"/>
          <w:szCs w:val="24"/>
        </w:rPr>
      </w:pPr>
    </w:p>
    <w:p w14:paraId="2D81B602" w14:textId="77777777" w:rsidR="00FD566B" w:rsidRDefault="000D1FC2">
      <w:pPr>
        <w:spacing w:after="120" w:line="240" w:lineRule="auto"/>
        <w:jc w:val="center"/>
      </w:pPr>
      <w:r>
        <w:rPr>
          <w:sz w:val="24"/>
          <w:szCs w:val="24"/>
        </w:rPr>
        <w:t>Semnătura și ștampila</w:t>
      </w:r>
    </w:p>
    <w:p w14:paraId="643035E1" w14:textId="77777777" w:rsidR="00FD566B" w:rsidRDefault="000D1FC2">
      <w:pPr>
        <w:spacing w:after="120" w:line="240" w:lineRule="auto"/>
        <w:jc w:val="center"/>
        <w:rPr>
          <w:rFonts w:ascii="Calibri" w:hAnsi="Calibri"/>
          <w:sz w:val="24"/>
          <w:szCs w:val="24"/>
        </w:rPr>
      </w:pPr>
      <w:r>
        <w:rPr>
          <w:sz w:val="24"/>
          <w:szCs w:val="24"/>
        </w:rPr>
        <w:t>titularului</w:t>
      </w:r>
    </w:p>
    <w:p w14:paraId="288FD9B2" w14:textId="77777777" w:rsidR="00FD566B" w:rsidRDefault="000D1FC2">
      <w:pPr>
        <w:spacing w:after="120" w:line="240" w:lineRule="auto"/>
        <w:jc w:val="center"/>
      </w:pPr>
      <w:r>
        <w:rPr>
          <w:sz w:val="24"/>
          <w:szCs w:val="24"/>
        </w:rPr>
        <w:t>……………………………….</w:t>
      </w:r>
    </w:p>
    <w:sectPr w:rsidR="00FD566B" w:rsidSect="00937243">
      <w:pgSz w:w="11906" w:h="16838"/>
      <w:pgMar w:top="1440" w:right="1440" w:bottom="1440" w:left="1440" w:header="0" w:footer="0" w:gutter="0"/>
      <w:pgNumType w:start="3"/>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409D9" w14:textId="77777777" w:rsidR="000D1FC2" w:rsidRDefault="000D1FC2" w:rsidP="00937243">
      <w:pPr>
        <w:spacing w:after="0" w:line="240" w:lineRule="auto"/>
      </w:pPr>
      <w:r>
        <w:separator/>
      </w:r>
    </w:p>
  </w:endnote>
  <w:endnote w:type="continuationSeparator" w:id="0">
    <w:p w14:paraId="3610A09A" w14:textId="77777777" w:rsidR="000D1FC2" w:rsidRDefault="000D1FC2" w:rsidP="0093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A5331" w14:textId="73C3E902" w:rsidR="00937243" w:rsidRDefault="00937243">
    <w:pPr>
      <w:pStyle w:val="Subsol"/>
      <w:jc w:val="center"/>
    </w:pPr>
    <w:r>
      <w:fldChar w:fldCharType="begin"/>
    </w:r>
    <w:r>
      <w:instrText>PAGE   \* MERGEFORMAT</w:instrText>
    </w:r>
    <w:r>
      <w:fldChar w:fldCharType="separate"/>
    </w:r>
    <w:r>
      <w:rPr>
        <w:lang w:val="ro-RO"/>
      </w:rPr>
      <w:t>1</w:t>
    </w:r>
    <w:r>
      <w:fldChar w:fldCharType="end"/>
    </w:r>
  </w:p>
  <w:p w14:paraId="7F6C1132" w14:textId="5127C0EF" w:rsidR="00937243" w:rsidRDefault="0093724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FE033" w14:textId="77777777" w:rsidR="000D1FC2" w:rsidRDefault="000D1FC2" w:rsidP="00937243">
      <w:pPr>
        <w:spacing w:after="0" w:line="240" w:lineRule="auto"/>
      </w:pPr>
      <w:r>
        <w:separator/>
      </w:r>
    </w:p>
  </w:footnote>
  <w:footnote w:type="continuationSeparator" w:id="0">
    <w:p w14:paraId="2CD7328D" w14:textId="77777777" w:rsidR="000D1FC2" w:rsidRDefault="000D1FC2" w:rsidP="00937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47190F"/>
    <w:multiLevelType w:val="multilevel"/>
    <w:tmpl w:val="14F6980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DF93BC3"/>
    <w:multiLevelType w:val="multilevel"/>
    <w:tmpl w:val="AC5A65E4"/>
    <w:lvl w:ilvl="0">
      <w:start w:val="1"/>
      <w:numFmt w:val="bullet"/>
      <w:lvlText w:val=""/>
      <w:lvlJc w:val="left"/>
      <w:pPr>
        <w:tabs>
          <w:tab w:val="num" w:pos="1440"/>
        </w:tabs>
        <w:ind w:left="1440" w:hanging="360"/>
      </w:pPr>
      <w:rPr>
        <w:rFonts w:ascii="Symbol" w:hAnsi="Symbol" w:cs="OpenSymbol" w:hint="default"/>
        <w:b w:val="0"/>
        <w:sz w:val="24"/>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15:restartNumberingAfterBreak="0">
    <w:nsid w:val="467651D6"/>
    <w:multiLevelType w:val="multilevel"/>
    <w:tmpl w:val="B0A6588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FB777BD"/>
    <w:multiLevelType w:val="multilevel"/>
    <w:tmpl w:val="9D8A3C3E"/>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5D624012"/>
    <w:multiLevelType w:val="multilevel"/>
    <w:tmpl w:val="8542D910"/>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1886A93"/>
    <w:multiLevelType w:val="multilevel"/>
    <w:tmpl w:val="AF2A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8E19BC"/>
    <w:multiLevelType w:val="multilevel"/>
    <w:tmpl w:val="02164F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9A20B64"/>
    <w:multiLevelType w:val="multilevel"/>
    <w:tmpl w:val="7160E8C0"/>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 w:numId="3">
    <w:abstractNumId w:val="4"/>
  </w:num>
  <w:num w:numId="4">
    <w:abstractNumId w:val="7"/>
  </w:num>
  <w:num w:numId="5">
    <w:abstractNumId w:val="3"/>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6B"/>
    <w:rsid w:val="000D1FC2"/>
    <w:rsid w:val="001842A0"/>
    <w:rsid w:val="00240393"/>
    <w:rsid w:val="004F0C2B"/>
    <w:rsid w:val="006812B5"/>
    <w:rsid w:val="007236A9"/>
    <w:rsid w:val="00916AD2"/>
    <w:rsid w:val="00937243"/>
    <w:rsid w:val="00992DD8"/>
    <w:rsid w:val="00C00822"/>
    <w:rsid w:val="00DD6684"/>
    <w:rsid w:val="00E63693"/>
    <w:rsid w:val="00EA7DBE"/>
    <w:rsid w:val="00FD566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85A4B"/>
  <w15:docId w15:val="{85F213F0-4050-4FAE-9C15-115040C2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Titlu1">
    <w:name w:val="heading 1"/>
    <w:basedOn w:val="Normal"/>
    <w:next w:val="Normal"/>
    <w:link w:val="Titlu1Caracter"/>
    <w:uiPriority w:val="9"/>
    <w:qFormat/>
    <w:rsid w:val="00D85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0378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InternetLink">
    <w:name w:val="Internet Link"/>
    <w:basedOn w:val="Fontdeparagrafimplicit"/>
    <w:uiPriority w:val="99"/>
    <w:unhideWhenUsed/>
    <w:rsid w:val="00D851FA"/>
    <w:rPr>
      <w:color w:val="0000FF" w:themeColor="hyperlink"/>
      <w:u w:val="single"/>
    </w:rPr>
  </w:style>
  <w:style w:type="character" w:customStyle="1" w:styleId="Titlu1Caracter">
    <w:name w:val="Titlu 1 Caracter"/>
    <w:basedOn w:val="Fontdeparagrafimplicit"/>
    <w:link w:val="Titlu1"/>
    <w:uiPriority w:val="9"/>
    <w:qFormat/>
    <w:rsid w:val="00D851FA"/>
    <w:rPr>
      <w:rFonts w:asciiTheme="majorHAnsi" w:eastAsiaTheme="majorEastAsia" w:hAnsiTheme="majorHAnsi" w:cstheme="majorBidi"/>
      <w:b/>
      <w:bCs/>
      <w:color w:val="365F91" w:themeColor="accent1" w:themeShade="BF"/>
      <w:sz w:val="28"/>
      <w:szCs w:val="28"/>
    </w:rPr>
  </w:style>
  <w:style w:type="character" w:styleId="Referincomentariu">
    <w:name w:val="annotation reference"/>
    <w:basedOn w:val="Fontdeparagrafimplicit"/>
    <w:uiPriority w:val="99"/>
    <w:semiHidden/>
    <w:unhideWhenUsed/>
    <w:qFormat/>
    <w:rsid w:val="00CB55EC"/>
    <w:rPr>
      <w:sz w:val="16"/>
      <w:szCs w:val="16"/>
    </w:rPr>
  </w:style>
  <w:style w:type="character" w:customStyle="1" w:styleId="TextcomentariuCaracter">
    <w:name w:val="Text comentariu Caracter"/>
    <w:basedOn w:val="Fontdeparagrafimplicit"/>
    <w:link w:val="Textcomentariu"/>
    <w:uiPriority w:val="99"/>
    <w:semiHidden/>
    <w:qFormat/>
    <w:rsid w:val="00CB55EC"/>
    <w:rPr>
      <w:sz w:val="20"/>
      <w:szCs w:val="20"/>
    </w:rPr>
  </w:style>
  <w:style w:type="character" w:customStyle="1" w:styleId="SubiectComentariuCaracter">
    <w:name w:val="Subiect Comentariu Caracter"/>
    <w:basedOn w:val="TextcomentariuCaracter"/>
    <w:link w:val="SubiectComentariu"/>
    <w:uiPriority w:val="99"/>
    <w:semiHidden/>
    <w:qFormat/>
    <w:rsid w:val="00CB55EC"/>
    <w:rPr>
      <w:b/>
      <w:bCs/>
      <w:sz w:val="20"/>
      <w:szCs w:val="20"/>
    </w:rPr>
  </w:style>
  <w:style w:type="character" w:customStyle="1" w:styleId="TextnBalonCaracter">
    <w:name w:val="Text în Balon Caracter"/>
    <w:basedOn w:val="Fontdeparagrafimplicit"/>
    <w:link w:val="TextnBalon"/>
    <w:uiPriority w:val="99"/>
    <w:semiHidden/>
    <w:qFormat/>
    <w:rsid w:val="00CB55EC"/>
    <w:rPr>
      <w:rFonts w:ascii="Tahoma" w:hAnsi="Tahoma" w:cs="Tahoma"/>
      <w:sz w:val="16"/>
      <w:szCs w:val="16"/>
    </w:rPr>
  </w:style>
  <w:style w:type="character" w:customStyle="1" w:styleId="TitluCaracter">
    <w:name w:val="Titlu Caracter"/>
    <w:basedOn w:val="Fontdeparagrafimplicit"/>
    <w:link w:val="Titlu"/>
    <w:uiPriority w:val="10"/>
    <w:qFormat/>
    <w:rsid w:val="00B7105E"/>
    <w:rPr>
      <w:rFonts w:asciiTheme="majorHAnsi" w:eastAsiaTheme="majorEastAsia" w:hAnsiTheme="majorHAnsi" w:cstheme="majorBidi"/>
      <w:color w:val="17365D" w:themeColor="text2" w:themeShade="BF"/>
      <w:spacing w:val="5"/>
      <w:kern w:val="2"/>
      <w:sz w:val="52"/>
      <w:szCs w:val="52"/>
    </w:rPr>
  </w:style>
  <w:style w:type="character" w:customStyle="1" w:styleId="Titlu2Caracter">
    <w:name w:val="Titlu 2 Caracter"/>
    <w:basedOn w:val="Fontdeparagrafimplicit"/>
    <w:link w:val="Titlu2"/>
    <w:uiPriority w:val="9"/>
    <w:qFormat/>
    <w:rsid w:val="000378FF"/>
    <w:rPr>
      <w:rFonts w:asciiTheme="majorHAnsi" w:eastAsiaTheme="majorEastAsia" w:hAnsiTheme="majorHAnsi" w:cstheme="majorBidi"/>
      <w:b/>
      <w:bCs/>
      <w:color w:val="4F81BD" w:themeColor="accent1"/>
      <w:sz w:val="26"/>
      <w:szCs w:val="2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Calibri" w:cs="Aria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alibri"/>
      <w:b/>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i/>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ListLabel30">
    <w:name w:val="ListLabel 30"/>
    <w:qFormat/>
    <w:rPr>
      <w:rFonts w:cs="Calibri"/>
      <w:b w:val="0"/>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OpenSymbol"/>
      <w:b w:val="0"/>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i/>
    </w:rPr>
  </w:style>
  <w:style w:type="character" w:customStyle="1" w:styleId="ListLabel49">
    <w:name w:val="ListLabel 49"/>
    <w:qFormat/>
    <w:rPr>
      <w:rFonts w:cs="Calibri"/>
      <w:b w:val="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OpenSymbol"/>
      <w:b w:val="0"/>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i/>
    </w:rPr>
  </w:style>
  <w:style w:type="character" w:customStyle="1" w:styleId="ListLabel1545">
    <w:name w:val="ListLabel 1545"/>
    <w:qFormat/>
    <w:rPr>
      <w:rFonts w:cs="OpenSymbol"/>
      <w:b w:val="0"/>
      <w:sz w:val="24"/>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b w:val="0"/>
      <w:sz w:val="24"/>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Calibri"/>
      <w:b w:val="0"/>
    </w:rPr>
  </w:style>
  <w:style w:type="character" w:customStyle="1" w:styleId="ListLabel1564">
    <w:name w:val="ListLabel 1564"/>
    <w:qFormat/>
    <w:rPr>
      <w:rFonts w:cs="Courier New"/>
    </w:rPr>
  </w:style>
  <w:style w:type="character" w:customStyle="1" w:styleId="ListLabel1565">
    <w:name w:val="ListLabel 1565"/>
    <w:qFormat/>
    <w:rPr>
      <w:rFonts w:cs="Wingdings"/>
    </w:rPr>
  </w:style>
  <w:style w:type="character" w:customStyle="1" w:styleId="ListLabel1566">
    <w:name w:val="ListLabel 1566"/>
    <w:qFormat/>
    <w:rPr>
      <w:rFonts w:cs="Symbol"/>
    </w:rPr>
  </w:style>
  <w:style w:type="character" w:customStyle="1" w:styleId="ListLabel1567">
    <w:name w:val="ListLabel 1567"/>
    <w:qFormat/>
    <w:rPr>
      <w:rFonts w:cs="Courier New"/>
    </w:rPr>
  </w:style>
  <w:style w:type="character" w:customStyle="1" w:styleId="ListLabel1568">
    <w:name w:val="ListLabel 1568"/>
    <w:qFormat/>
    <w:rPr>
      <w:rFonts w:cs="Wingdings"/>
    </w:rPr>
  </w:style>
  <w:style w:type="character" w:customStyle="1" w:styleId="ListLabel1569">
    <w:name w:val="ListLabel 1569"/>
    <w:qFormat/>
    <w:rPr>
      <w:rFonts w:cs="Symbol"/>
    </w:rPr>
  </w:style>
  <w:style w:type="character" w:customStyle="1" w:styleId="ListLabel1570">
    <w:name w:val="ListLabel 1570"/>
    <w:qFormat/>
    <w:rPr>
      <w:rFonts w:cs="Courier New"/>
    </w:rPr>
  </w:style>
  <w:style w:type="character" w:customStyle="1" w:styleId="ListLabel1571">
    <w:name w:val="ListLabel 1571"/>
    <w:qFormat/>
    <w:rPr>
      <w:rFonts w:cs="Wingdings"/>
    </w:rPr>
  </w:style>
  <w:style w:type="character" w:customStyle="1" w:styleId="ListLabel1572">
    <w:name w:val="ListLabel 1572"/>
    <w:qFormat/>
    <w:rPr>
      <w:rFonts w:ascii="Calibri" w:hAnsi="Calibri" w:cs="OpenSymbol"/>
      <w:b w:val="0"/>
      <w:sz w:val="24"/>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ascii="Calibri" w:hAnsi="Calibri" w:cs="OpenSymbol"/>
      <w:sz w:val="24"/>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ascii="Calibri" w:hAnsi="Calibri" w:cs="OpenSymbol"/>
      <w:sz w:val="24"/>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ascii="Calibri" w:hAnsi="Calibri" w:cs="OpenSymbol"/>
      <w:b w:val="0"/>
      <w:sz w:val="24"/>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ascii="Calibri" w:hAnsi="Calibri" w:cs="OpenSymbol"/>
      <w:sz w:val="24"/>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ascii="Calibri" w:hAnsi="Calibri" w:cs="OpenSymbol"/>
      <w:b w:val="0"/>
      <w:sz w:val="24"/>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ascii="Calibri" w:hAnsi="Calibri" w:cs="OpenSymbol"/>
      <w:sz w:val="24"/>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ascii="Calibri" w:hAnsi="Calibri" w:cs="OpenSymbol"/>
      <w:sz w:val="24"/>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ascii="Calibri" w:hAnsi="Calibri" w:cs="OpenSymbol"/>
      <w:b w:val="0"/>
      <w:sz w:val="24"/>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ascii="Calibri" w:hAnsi="Calibri" w:cs="OpenSymbol"/>
      <w:sz w:val="24"/>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cs="OpenSymbol"/>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ascii="Calibri" w:hAnsi="Calibri" w:cs="OpenSymbol"/>
      <w:b w:val="0"/>
      <w:sz w:val="24"/>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ascii="Calibri" w:hAnsi="Calibri" w:cs="OpenSymbol"/>
      <w:sz w:val="24"/>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ascii="Calibri" w:hAnsi="Calibri" w:cs="OpenSymbol"/>
      <w:sz w:val="24"/>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ascii="Calibri" w:hAnsi="Calibri" w:cs="OpenSymbol"/>
      <w:b w:val="0"/>
      <w:sz w:val="24"/>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ascii="Calibri" w:hAnsi="Calibri" w:cs="OpenSymbol"/>
      <w:sz w:val="24"/>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cs="OpenSymbol"/>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paragraph" w:customStyle="1" w:styleId="Heading">
    <w:name w:val="Heading"/>
    <w:basedOn w:val="Normal"/>
    <w:next w:val="Corptext"/>
    <w:qFormat/>
    <w:pPr>
      <w:keepNext/>
      <w:spacing w:before="240" w:after="120"/>
    </w:pPr>
    <w:rPr>
      <w:rFonts w:ascii="Liberation Sans" w:eastAsia="Microsoft YaHei" w:hAnsi="Liberation Sans" w:cs="Arial"/>
      <w:sz w:val="28"/>
      <w:szCs w:val="28"/>
    </w:rPr>
  </w:style>
  <w:style w:type="paragraph" w:styleId="Corptext">
    <w:name w:val="Body Text"/>
    <w:basedOn w:val="Normal"/>
    <w:pPr>
      <w:spacing w:after="140"/>
    </w:pPr>
  </w:style>
  <w:style w:type="paragraph" w:styleId="List">
    <w:name w:val="List"/>
    <w:basedOn w:val="Corptext"/>
    <w:rPr>
      <w:rFonts w:cs="Arial"/>
    </w:rPr>
  </w:style>
  <w:style w:type="paragraph" w:styleId="Legend">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f">
    <w:name w:val="List Paragraph"/>
    <w:basedOn w:val="Normal"/>
    <w:uiPriority w:val="34"/>
    <w:qFormat/>
    <w:rsid w:val="00D851FA"/>
    <w:pPr>
      <w:ind w:left="720"/>
      <w:contextualSpacing/>
    </w:pPr>
  </w:style>
  <w:style w:type="paragraph" w:styleId="Textcomentariu">
    <w:name w:val="annotation text"/>
    <w:basedOn w:val="Normal"/>
    <w:link w:val="TextcomentariuCaracter"/>
    <w:uiPriority w:val="99"/>
    <w:semiHidden/>
    <w:unhideWhenUsed/>
    <w:qFormat/>
    <w:rsid w:val="00CB55EC"/>
    <w:pPr>
      <w:spacing w:line="240" w:lineRule="auto"/>
    </w:pPr>
    <w:rPr>
      <w:sz w:val="20"/>
      <w:szCs w:val="20"/>
    </w:rPr>
  </w:style>
  <w:style w:type="paragraph" w:styleId="SubiectComentariu">
    <w:name w:val="annotation subject"/>
    <w:basedOn w:val="Textcomentariu"/>
    <w:next w:val="Textcomentariu"/>
    <w:link w:val="SubiectComentariuCaracter"/>
    <w:uiPriority w:val="99"/>
    <w:semiHidden/>
    <w:unhideWhenUsed/>
    <w:qFormat/>
    <w:rsid w:val="00CB55EC"/>
    <w:rPr>
      <w:b/>
      <w:bCs/>
    </w:rPr>
  </w:style>
  <w:style w:type="paragraph" w:styleId="TextnBalon">
    <w:name w:val="Balloon Text"/>
    <w:basedOn w:val="Normal"/>
    <w:link w:val="TextnBalonCaracter"/>
    <w:uiPriority w:val="99"/>
    <w:semiHidden/>
    <w:unhideWhenUsed/>
    <w:qFormat/>
    <w:rsid w:val="00CB55EC"/>
    <w:pPr>
      <w:spacing w:after="0" w:line="240" w:lineRule="auto"/>
    </w:pPr>
    <w:rPr>
      <w:rFonts w:ascii="Tahoma" w:hAnsi="Tahoma" w:cs="Tahoma"/>
      <w:sz w:val="16"/>
      <w:szCs w:val="16"/>
    </w:rPr>
  </w:style>
  <w:style w:type="paragraph" w:styleId="Titlucuprins">
    <w:name w:val="TOC Heading"/>
    <w:basedOn w:val="Titlu1"/>
    <w:next w:val="Normal"/>
    <w:uiPriority w:val="39"/>
    <w:semiHidden/>
    <w:unhideWhenUsed/>
    <w:qFormat/>
    <w:rsid w:val="00CB55EC"/>
  </w:style>
  <w:style w:type="paragraph" w:styleId="Cuprins1">
    <w:name w:val="toc 1"/>
    <w:basedOn w:val="Normal"/>
    <w:next w:val="Normal"/>
    <w:autoRedefine/>
    <w:uiPriority w:val="39"/>
    <w:unhideWhenUsed/>
    <w:rsid w:val="00CB55EC"/>
    <w:pPr>
      <w:spacing w:after="100"/>
    </w:pPr>
  </w:style>
  <w:style w:type="paragraph" w:styleId="Titlu">
    <w:name w:val="Title"/>
    <w:basedOn w:val="Normal"/>
    <w:next w:val="Normal"/>
    <w:link w:val="TitluCaracter"/>
    <w:uiPriority w:val="10"/>
    <w:qFormat/>
    <w:rsid w:val="00B7105E"/>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uprins2">
    <w:name w:val="toc 2"/>
    <w:basedOn w:val="Normal"/>
    <w:next w:val="Normal"/>
    <w:autoRedefine/>
    <w:uiPriority w:val="39"/>
    <w:unhideWhenUsed/>
    <w:rsid w:val="00A716B2"/>
    <w:pPr>
      <w:spacing w:after="100"/>
      <w:ind w:left="220"/>
    </w:pPr>
  </w:style>
  <w:style w:type="paragraph" w:customStyle="1" w:styleId="TableContents">
    <w:name w:val="Table Contents"/>
    <w:basedOn w:val="Normal"/>
    <w:qFormat/>
    <w:pPr>
      <w:suppressLineNumbers/>
    </w:pPr>
  </w:style>
  <w:style w:type="paragraph" w:customStyle="1" w:styleId="Default">
    <w:name w:val="Default"/>
    <w:qFormat/>
    <w:pPr>
      <w:overflowPunct w:val="0"/>
      <w:spacing w:after="200" w:line="276" w:lineRule="auto"/>
    </w:pPr>
    <w:rPr>
      <w:rFonts w:ascii="Calibri" w:hAnsi="Calibri"/>
      <w:color w:val="000000"/>
      <w:sz w:val="24"/>
    </w:rPr>
  </w:style>
  <w:style w:type="paragraph" w:styleId="TitluTOA">
    <w:name w:val="toa heading"/>
    <w:basedOn w:val="Heading"/>
    <w:qFormat/>
    <w:pPr>
      <w:suppressLineNumbers/>
    </w:pPr>
    <w:rPr>
      <w:b/>
      <w:bCs/>
      <w:sz w:val="32"/>
      <w:szCs w:val="32"/>
    </w:rPr>
  </w:style>
  <w:style w:type="character" w:styleId="Hyperlink">
    <w:name w:val="Hyperlink"/>
    <w:basedOn w:val="Fontdeparagrafimplicit"/>
    <w:uiPriority w:val="99"/>
    <w:unhideWhenUsed/>
    <w:rsid w:val="00E63693"/>
    <w:rPr>
      <w:color w:val="0000FF" w:themeColor="hyperlink"/>
      <w:u w:val="single"/>
    </w:rPr>
  </w:style>
  <w:style w:type="paragraph" w:styleId="Antet">
    <w:name w:val="header"/>
    <w:basedOn w:val="Normal"/>
    <w:link w:val="AntetCaracter"/>
    <w:uiPriority w:val="99"/>
    <w:unhideWhenUsed/>
    <w:rsid w:val="0093724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37243"/>
    <w:rPr>
      <w:sz w:val="22"/>
    </w:rPr>
  </w:style>
  <w:style w:type="paragraph" w:styleId="Subsol">
    <w:name w:val="footer"/>
    <w:basedOn w:val="Normal"/>
    <w:link w:val="SubsolCaracter"/>
    <w:uiPriority w:val="99"/>
    <w:unhideWhenUsed/>
    <w:rsid w:val="0093724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3724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376176">
      <w:bodyDiv w:val="1"/>
      <w:marLeft w:val="0"/>
      <w:marRight w:val="0"/>
      <w:marTop w:val="0"/>
      <w:marBottom w:val="0"/>
      <w:divBdr>
        <w:top w:val="none" w:sz="0" w:space="0" w:color="auto"/>
        <w:left w:val="none" w:sz="0" w:space="0" w:color="auto"/>
        <w:bottom w:val="none" w:sz="0" w:space="0" w:color="auto"/>
        <w:right w:val="none" w:sz="0" w:space="0" w:color="auto"/>
      </w:divBdr>
    </w:div>
    <w:div w:id="414669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B67EB-92CA-4B1F-993A-227D184F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3675</Words>
  <Characters>20948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Hadrian Bobar</dc:creator>
  <dc:description/>
  <cp:lastModifiedBy>Vintan Andreea Cosmina</cp:lastModifiedBy>
  <cp:revision>9</cp:revision>
  <cp:lastPrinted>2020-06-02T09:24:00Z</cp:lastPrinted>
  <dcterms:created xsi:type="dcterms:W3CDTF">2020-06-02T08:43:00Z</dcterms:created>
  <dcterms:modified xsi:type="dcterms:W3CDTF">2020-06-02T10:29:00Z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