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653E632F" w:rsidR="00B51D96"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9103F0">
        <w:rPr>
          <w:rFonts w:ascii="Trebuchet MS" w:hAnsi="Trebuchet MS"/>
        </w:rPr>
        <w:t>13891/..............</w:t>
      </w:r>
      <w:r w:rsidR="00331754">
        <w:rPr>
          <w:rFonts w:ascii="Trebuchet MS" w:hAnsi="Trebuchet MS"/>
        </w:rPr>
        <w:t>.</w:t>
      </w:r>
      <w:r w:rsidR="00F1759D" w:rsidRPr="0023789F">
        <w:rPr>
          <w:rFonts w:ascii="Trebuchet MS" w:hAnsi="Trebuchet MS"/>
        </w:rPr>
        <w:t>2024</w:t>
      </w:r>
    </w:p>
    <w:p w14:paraId="2990AE1C" w14:textId="77777777" w:rsidR="00216E81" w:rsidRDefault="00216E81" w:rsidP="0023789F">
      <w:pPr>
        <w:keepNext/>
        <w:widowControl w:val="0"/>
        <w:spacing w:after="0" w:line="360" w:lineRule="auto"/>
        <w:rPr>
          <w:rFonts w:ascii="Trebuchet MS" w:hAnsi="Trebuchet MS"/>
        </w:rPr>
      </w:pPr>
    </w:p>
    <w:p w14:paraId="2E743B45" w14:textId="77777777" w:rsidR="00216E81" w:rsidRPr="0023789F" w:rsidRDefault="00216E81" w:rsidP="0023789F">
      <w:pPr>
        <w:keepNext/>
        <w:widowControl w:val="0"/>
        <w:spacing w:after="0" w:line="360" w:lineRule="auto"/>
        <w:rPr>
          <w:rFonts w:ascii="Trebuchet MS" w:hAnsi="Trebuchet MS"/>
        </w:rPr>
      </w:pP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2895BB68" w:rsidR="0023789F" w:rsidRPr="0023789F" w:rsidRDefault="0023789F" w:rsidP="0023789F">
      <w:pPr>
        <w:keepNext/>
        <w:widowControl w:val="0"/>
        <w:spacing w:after="0" w:line="360" w:lineRule="auto"/>
        <w:jc w:val="center"/>
        <w:rPr>
          <w:rFonts w:ascii="Trebuchet MS" w:eastAsia="Times New Roman" w:hAnsi="Trebuchet MS" w:cs="Arial"/>
          <w:b/>
          <w14:ligatures w14:val="none"/>
        </w:rPr>
      </w:pPr>
      <w:r w:rsidRPr="0023789F">
        <w:rPr>
          <w:rFonts w:ascii="Trebuchet MS" w:eastAsia="Times New Roman" w:hAnsi="Trebuchet MS" w:cs="Arial"/>
          <w:b/>
          <w14:ligatures w14:val="none"/>
        </w:rPr>
        <w:t xml:space="preserve">Nr. </w:t>
      </w:r>
      <w:r w:rsidR="009103F0">
        <w:rPr>
          <w:rFonts w:ascii="Trebuchet MS" w:eastAsia="Times New Roman" w:hAnsi="Trebuchet MS" w:cs="Arial"/>
          <w:b/>
          <w14:ligatures w14:val="none"/>
        </w:rPr>
        <w:t>DRAFT</w:t>
      </w:r>
      <w:r w:rsidRPr="0023789F">
        <w:rPr>
          <w:rFonts w:ascii="Trebuchet MS" w:eastAsia="Times New Roman" w:hAnsi="Trebuchet MS" w:cs="Arial"/>
          <w:b/>
          <w14:ligatures w14:val="none"/>
        </w:rPr>
        <w:t xml:space="preserve"> din </w:t>
      </w:r>
      <w:r w:rsidR="002F4727">
        <w:rPr>
          <w:rFonts w:ascii="Trebuchet MS" w:eastAsia="Times New Roman" w:hAnsi="Trebuchet MS" w:cs="Arial"/>
          <w:b/>
          <w14:ligatures w14:val="none"/>
        </w:rPr>
        <w:t>01</w:t>
      </w:r>
      <w:r w:rsidR="009103F0">
        <w:rPr>
          <w:rFonts w:ascii="Trebuchet MS" w:eastAsia="Times New Roman" w:hAnsi="Trebuchet MS" w:cs="Arial"/>
          <w:b/>
          <w14:ligatures w14:val="none"/>
        </w:rPr>
        <w:t>.07</w:t>
      </w:r>
      <w:r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5BAF4900"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9103F0" w:rsidRPr="009103F0">
        <w:rPr>
          <w:rFonts w:ascii="Trebuchet MS" w:eastAsia="Times New Roman" w:hAnsi="Trebuchet MS" w:cs="Arial"/>
          <w:b/>
          <w:lang w:val="en-US" w:eastAsia="ro-RO"/>
          <w14:ligatures w14:val="none"/>
        </w:rPr>
        <w:t>S.C. CTPARK KAPPA S.R.L.</w:t>
      </w:r>
      <w:r w:rsidR="009103F0" w:rsidRPr="009103F0">
        <w:rPr>
          <w:rFonts w:ascii="Trebuchet MS" w:eastAsia="Times New Roman" w:hAnsi="Trebuchet MS" w:cs="Arial"/>
          <w:lang w:val="en-US" w:eastAsia="ro-RO"/>
          <w14:ligatures w14:val="none"/>
        </w:rPr>
        <w:t xml:space="preserve"> prin BUTUCEA ROXANA</w:t>
      </w:r>
      <w:r w:rsidR="006C2334" w:rsidRPr="006C2334">
        <w:rPr>
          <w:rFonts w:ascii="Trebuchet MS" w:eastAsia="Times New Roman" w:hAnsi="Trebuchet MS" w:cs="Arial"/>
          <w:lang w:val="en-US" w:eastAsia="ro-RO"/>
          <w14:ligatures w14:val="none"/>
        </w:rPr>
        <w:t xml:space="preserve">, cu sediul in </w:t>
      </w:r>
      <w:r w:rsidR="00684F75">
        <w:rPr>
          <w:rFonts w:ascii="Trebuchet MS" w:eastAsia="Times New Roman" w:hAnsi="Trebuchet MS" w:cs="Arial"/>
          <w:lang w:val="en-US" w:eastAsia="ro-RO"/>
          <w14:ligatures w14:val="none"/>
        </w:rPr>
        <w:t>comuna Dragomiresti Vale, sat Dragomiresti Deal, str. Gabriela nr. 1, judet Ilfov</w:t>
      </w:r>
      <w:r w:rsidR="009613A0" w:rsidRPr="009613A0">
        <w:rPr>
          <w:rFonts w:ascii="Trebuchet MS" w:eastAsia="Times New Roman" w:hAnsi="Trebuchet MS" w:cs="Arial"/>
          <w:lang w:val="en-US" w:eastAsia="ro-RO"/>
          <w14:ligatures w14:val="none"/>
        </w:rPr>
        <w:t xml:space="preserve">, </w:t>
      </w:r>
      <w:r w:rsidRPr="0023789F">
        <w:rPr>
          <w:rFonts w:ascii="Trebuchet MS" w:eastAsia="Times New Roman" w:hAnsi="Trebuchet MS" w:cs="Arial"/>
          <w:lang w:val="en-US"/>
          <w14:ligatures w14:val="none"/>
        </w:rPr>
        <w:t xml:space="preserve">înregistrată la A.P.M. Ilfov cu nr. </w:t>
      </w:r>
      <w:r w:rsidR="00684F75">
        <w:rPr>
          <w:rFonts w:ascii="Trebuchet MS" w:eastAsia="Times New Roman" w:hAnsi="Trebuchet MS" w:cs="Arial"/>
          <w:lang w:val="en-US"/>
          <w14:ligatures w14:val="none"/>
        </w:rPr>
        <w:t>13891/16.08.2023</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206185A0"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684F75">
        <w:rPr>
          <w:rFonts w:ascii="Trebuchet MS" w:eastAsia="Times New Roman" w:hAnsi="Trebuchet MS" w:cs="Arial"/>
          <w:lang w:val="it-IT"/>
          <w14:ligatures w14:val="none"/>
        </w:rPr>
        <w:t>12.06</w:t>
      </w:r>
      <w:r w:rsidR="009613A0">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684F75">
        <w:rPr>
          <w:rFonts w:ascii="Trebuchet MS" w:eastAsia="Times New Roman" w:hAnsi="Trebuchet MS" w:cs="Arial"/>
          <w:b/>
          <w:lang w:val="it-IT"/>
          <w14:ligatures w14:val="none"/>
        </w:rPr>
        <w:t>C</w:t>
      </w:r>
      <w:r w:rsidR="00684F75" w:rsidRPr="00684F75">
        <w:rPr>
          <w:rFonts w:ascii="Trebuchet MS" w:eastAsia="Times New Roman" w:hAnsi="Trebuchet MS" w:cs="Arial"/>
          <w:b/>
          <w:lang w:val="it-IT"/>
          <w14:ligatures w14:val="none"/>
        </w:rPr>
        <w:t xml:space="preserve">onstruire  hala depozitare, cabina poarta, anexe tehnice, imprejmuire, poarta de acces, parcari si circulatii de incinta, amenajari exterioare, bazin de retentie, bazin vidanjabil, organizare de santier, bransamente utilitati si alipire terenuri”, </w:t>
      </w:r>
      <w:r w:rsidR="00684F75" w:rsidRPr="00684F75">
        <w:rPr>
          <w:rFonts w:ascii="Trebuchet MS" w:eastAsia="Times New Roman" w:hAnsi="Trebuchet MS" w:cs="Arial"/>
          <w:lang w:val="it-IT"/>
          <w14:ligatures w14:val="none"/>
        </w:rPr>
        <w:t>propus a fi amplasat în oras Chitila, T 23, P 87/5, 87/6, 87/7, nr. cadastral 56185, 53304, 55182</w:t>
      </w:r>
      <w:r w:rsidRPr="006C2334">
        <w:rPr>
          <w:rFonts w:ascii="Trebuchet MS" w:eastAsia="Calibri" w:hAnsi="Trebuchet MS" w:cs="Times New Roman"/>
          <w:lang w:val="en-US"/>
          <w14:ligatures w14:val="none"/>
        </w:rPr>
        <w:t>,</w:t>
      </w:r>
      <w:r w:rsidRPr="009613A0">
        <w:rPr>
          <w:rFonts w:ascii="Trebuchet MS" w:eastAsia="Calibri" w:hAnsi="Trebuchet MS" w:cs="Times New Roman"/>
          <w:lang w:val="en-US"/>
          <w14:ligatures w14:val="none"/>
        </w:rPr>
        <w:t xml:space="preserve"> </w:t>
      </w:r>
      <w:r w:rsidR="00684F75">
        <w:rPr>
          <w:rFonts w:ascii="Trebuchet MS" w:eastAsia="Calibri" w:hAnsi="Trebuchet MS" w:cs="Times New Roman"/>
          <w:lang w:val="en-US"/>
          <w14:ligatures w14:val="none"/>
        </w:rPr>
        <w:t xml:space="preserve">judet Ilfov,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Pr="0023789F">
        <w:rPr>
          <w:rFonts w:ascii="Trebuchet MS" w:eastAsia="Calibri" w:hAnsi="Trebuchet MS" w:cs="Arial"/>
          <w:lang w:val="pl-PL" w:eastAsia="en-GB"/>
          <w14:ligatures w14:val="none"/>
        </w:rPr>
        <w:t>10a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lastRenderedPageBreak/>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383E42D4" w14:textId="1F01F996" w:rsidR="009613A0" w:rsidRPr="0023789F" w:rsidRDefault="0023789F" w:rsidP="009613A0">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completarile ulterioare, </w:t>
      </w:r>
      <w:r w:rsidR="00C05584" w:rsidRPr="00C05584">
        <w:rPr>
          <w:rFonts w:ascii="Trebuchet MS" w:eastAsia="Times New Roman" w:hAnsi="Trebuchet MS" w:cs="Arial"/>
          <w:lang w:val="it-IT"/>
          <w14:ligatures w14:val="none"/>
        </w:rPr>
        <w:t>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056F7075"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Conform </w:t>
      </w:r>
      <w:r w:rsidR="00984B5E">
        <w:rPr>
          <w:rFonts w:ascii="Trebuchet MS" w:eastAsia="Times New Roman" w:hAnsi="Trebuchet MS" w:cs="Arial"/>
          <w:lang w:eastAsia="ro-RO"/>
          <w14:ligatures w14:val="none"/>
        </w:rPr>
        <w:t>Adresei</w:t>
      </w:r>
      <w:r w:rsidRPr="0023789F">
        <w:rPr>
          <w:rFonts w:ascii="Trebuchet MS" w:eastAsia="Times New Roman" w:hAnsi="Trebuchet MS" w:cs="Arial"/>
          <w:lang w:eastAsia="ro-RO"/>
          <w14:ligatures w14:val="none"/>
        </w:rPr>
        <w:t xml:space="preserve"> nr. </w:t>
      </w:r>
      <w:r w:rsidR="00984B5E" w:rsidRPr="00984B5E">
        <w:rPr>
          <w:rFonts w:ascii="Trebuchet MS" w:eastAsia="Times New Roman" w:hAnsi="Trebuchet MS" w:cs="Arial"/>
          <w:lang w:eastAsia="ro-RO"/>
          <w14:ligatures w14:val="none"/>
        </w:rPr>
        <w:t>4804/07.05.2024</w:t>
      </w:r>
      <w:r w:rsidR="00984B5E">
        <w:rPr>
          <w:rFonts w:ascii="Trebuchet MS" w:eastAsia="Times New Roman" w:hAnsi="Trebuchet MS" w:cs="Arial"/>
          <w:lang w:eastAsia="ro-RO"/>
          <w14:ligatures w14:val="none"/>
        </w:rPr>
        <w:t>, emisa</w:t>
      </w:r>
      <w:r w:rsidRPr="0023789F">
        <w:rPr>
          <w:rFonts w:ascii="Trebuchet MS" w:eastAsia="Times New Roman" w:hAnsi="Trebuchet MS" w:cs="Arial"/>
          <w:lang w:eastAsia="ro-RO"/>
          <w14:ligatures w14:val="none"/>
        </w:rPr>
        <w:t xml:space="preserve"> de A.N.”Apele Romane” </w:t>
      </w:r>
      <w:r w:rsidR="00984B5E">
        <w:rPr>
          <w:rFonts w:ascii="Trebuchet MS" w:eastAsia="Times New Roman" w:hAnsi="Trebuchet MS" w:cs="Arial"/>
          <w:lang w:eastAsia="ro-RO"/>
          <w14:ligatures w14:val="none"/>
        </w:rPr>
        <w:t xml:space="preserve"> si inregistrata la A.P.M. Ilfov cu nr. 9834/09.05.2024 </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1.Caracteristicile proiectului:</w:t>
      </w:r>
    </w:p>
    <w:p w14:paraId="541FD9D4" w14:textId="71D30A0F" w:rsidR="00984B5E" w:rsidRDefault="0023789F" w:rsidP="0022152B">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1.1Descrierea proiectului: </w:t>
      </w:r>
      <w:r w:rsidRPr="0023789F">
        <w:rPr>
          <w:rFonts w:ascii="Trebuchet MS" w:eastAsia="Times New Roman" w:hAnsi="Trebuchet MS" w:cs="Arial"/>
          <w14:ligatures w14:val="none"/>
        </w:rPr>
        <w:t xml:space="preserve">Proiectul se implementeaza pe un teren intravilan cu suprafaţa de </w:t>
      </w:r>
      <w:r w:rsidR="00984B5E">
        <w:rPr>
          <w:rFonts w:ascii="Trebuchet MS" w:eastAsia="Times New Roman" w:hAnsi="Trebuchet MS" w:cs="Arial"/>
          <w:lang w:val="it-IT"/>
          <w14:ligatures w14:val="none"/>
        </w:rPr>
        <w:t>50517,5</w:t>
      </w:r>
      <w:r w:rsidRPr="0023789F">
        <w:rPr>
          <w:rFonts w:ascii="Trebuchet MS" w:eastAsia="Times New Roman" w:hAnsi="Trebuchet MS" w:cs="Arial"/>
          <w:lang w:val="it-IT"/>
          <w14:ligatures w14:val="none"/>
        </w:rPr>
        <w:t xml:space="preserve"> mp</w:t>
      </w:r>
      <w:r w:rsidRPr="0023789F">
        <w:rPr>
          <w:rFonts w:ascii="Trebuchet MS" w:eastAsia="Times New Roman" w:hAnsi="Trebuchet MS" w:cs="Arial"/>
          <w14:ligatures w14:val="none"/>
        </w:rPr>
        <w:t xml:space="preserve"> si va consta in</w:t>
      </w:r>
      <w:r w:rsidRPr="0023789F">
        <w:rPr>
          <w:rFonts w:ascii="Trebuchet MS" w:eastAsia="Times New Roman" w:hAnsi="Trebuchet MS" w:cs="Arial"/>
          <w:lang w:val="it-IT"/>
          <w14:ligatures w14:val="none"/>
        </w:rPr>
        <w:t xml:space="preserve"> </w:t>
      </w:r>
      <w:r w:rsidR="00984B5E">
        <w:rPr>
          <w:rFonts w:ascii="Trebuchet MS" w:eastAsia="Times New Roman" w:hAnsi="Trebuchet MS" w:cs="Arial"/>
          <w:lang w:val="it-IT"/>
          <w14:ligatures w14:val="none"/>
        </w:rPr>
        <w:t xml:space="preserve">construire </w:t>
      </w:r>
      <w:r w:rsidR="00984B5E" w:rsidRPr="00984B5E">
        <w:rPr>
          <w:rFonts w:ascii="Trebuchet MS" w:eastAsia="Times New Roman" w:hAnsi="Trebuchet MS" w:cs="Arial"/>
          <w:lang w:val="it-IT"/>
          <w14:ligatures w14:val="none"/>
        </w:rPr>
        <w:t>hala depozitare, cabina poarta, anexe tehnice, imprejmuire, poarta de acces, parcari si circulatii de incinta, amenajari exterioare, bazin de retentie, bazin vidanjabil, organizare de santier, bransamente utilitati si alipire terenuri</w:t>
      </w:r>
      <w:r w:rsidR="00984B5E">
        <w:rPr>
          <w:rFonts w:ascii="Trebuchet MS" w:eastAsia="Times New Roman" w:hAnsi="Trebuchet MS" w:cs="Arial"/>
          <w:lang w:val="it-IT"/>
          <w14:ligatures w14:val="none"/>
        </w:rPr>
        <w:t>.</w:t>
      </w:r>
    </w:p>
    <w:p w14:paraId="129178C6" w14:textId="4896D47A" w:rsidR="00984B5E" w:rsidRDefault="00D26154" w:rsidP="00D26154">
      <w:pPr>
        <w:keepNext/>
        <w:widowControl w:val="0"/>
        <w:spacing w:after="0" w:line="360" w:lineRule="auto"/>
        <w:ind w:firstLine="708"/>
        <w:jc w:val="both"/>
        <w:rPr>
          <w:rFonts w:ascii="Trebuchet MS" w:eastAsia="Times New Roman" w:hAnsi="Trebuchet MS" w:cs="Arial"/>
          <w:lang w:val="it-IT"/>
          <w14:ligatures w14:val="none"/>
        </w:rPr>
      </w:pPr>
      <w:r w:rsidRPr="00D26154">
        <w:rPr>
          <w:rFonts w:ascii="Trebuchet MS" w:eastAsia="Times New Roman" w:hAnsi="Trebuchet MS" w:cs="Arial"/>
          <w:lang w:val="it-IT"/>
          <w14:ligatures w14:val="none"/>
        </w:rPr>
        <w:t>Societatea S.C. CTPARK KAPPA S.R.L. S.R.L doreste extinderea capacitatii de depozitare, manipulare, expediere, si alte servicii legate de logistica marfurilor</w:t>
      </w:r>
      <w:r>
        <w:rPr>
          <w:rFonts w:ascii="Trebuchet MS" w:eastAsia="Times New Roman" w:hAnsi="Trebuchet MS" w:cs="Arial"/>
          <w:lang w:val="it-IT"/>
          <w14:ligatures w14:val="none"/>
        </w:rPr>
        <w:t>. Nu se vor depozita substante chimice periculoase.</w:t>
      </w:r>
    </w:p>
    <w:p w14:paraId="5F9DECEB" w14:textId="77777777" w:rsidR="00D26154" w:rsidRDefault="00D26154" w:rsidP="0022152B">
      <w:pPr>
        <w:keepNext/>
        <w:widowControl w:val="0"/>
        <w:spacing w:after="0" w:line="360" w:lineRule="auto"/>
        <w:jc w:val="both"/>
        <w:rPr>
          <w:rFonts w:ascii="Trebuchet MS" w:eastAsia="Times New Roman" w:hAnsi="Trebuchet MS" w:cs="Arial"/>
          <w:lang w:val="it-IT"/>
          <w14:ligatures w14:val="none"/>
        </w:rPr>
      </w:pPr>
    </w:p>
    <w:p w14:paraId="3A31F1AF" w14:textId="64F47DF8" w:rsidR="0022152B" w:rsidRPr="0022152B" w:rsidRDefault="0022152B" w:rsidP="0022152B">
      <w:pPr>
        <w:keepNext/>
        <w:widowControl w:val="0"/>
        <w:spacing w:after="0" w:line="360" w:lineRule="auto"/>
        <w:jc w:val="both"/>
        <w:rPr>
          <w:rFonts w:ascii="Trebuchet MS" w:eastAsia="Times New Roman" w:hAnsi="Trebuchet MS" w:cs="Arial"/>
          <w:b/>
          <w:color w:val="000000"/>
          <w:lang w:eastAsia="ro-RO"/>
          <w14:ligatures w14:val="none"/>
        </w:rPr>
      </w:pPr>
      <w:r w:rsidRPr="0022152B">
        <w:rPr>
          <w:rFonts w:ascii="Trebuchet MS" w:eastAsia="Times New Roman" w:hAnsi="Trebuchet MS" w:cs="Arial"/>
          <w:b/>
          <w:color w:val="000000"/>
          <w:lang w:eastAsia="ro-RO"/>
          <w14:ligatures w14:val="none"/>
        </w:rPr>
        <w:t>Bilant teritorial propus:</w:t>
      </w:r>
    </w:p>
    <w:p w14:paraId="0F9ED44A"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 xml:space="preserve">S teren = 50517.05 mp </w:t>
      </w:r>
    </w:p>
    <w:p w14:paraId="5B42C4C4"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c totala = 25323.46 mp</w:t>
      </w:r>
    </w:p>
    <w:p w14:paraId="2B8381A6"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drum carosabil = 2316.05 mp</w:t>
      </w:r>
    </w:p>
    <w:p w14:paraId="6F118D1A"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locuri parcare = 551.27 mp</w:t>
      </w:r>
    </w:p>
    <w:p w14:paraId="0F5F0972"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pietonal = 2133.4 mp</w:t>
      </w:r>
    </w:p>
    <w:p w14:paraId="4BFA1C93"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rampe andocari = 4184.65 mp</w:t>
      </w:r>
    </w:p>
    <w:p w14:paraId="55271C27"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S post trafo = 13 mp</w:t>
      </w:r>
    </w:p>
    <w:p w14:paraId="586FDB75" w14:textId="77777777" w:rsidR="00984B5E" w:rsidRPr="00984B5E" w:rsidRDefault="00984B5E" w:rsidP="00984B5E">
      <w:pPr>
        <w:keepNext/>
        <w:widowControl w:val="0"/>
        <w:spacing w:after="0" w:line="360" w:lineRule="auto"/>
        <w:jc w:val="both"/>
        <w:rPr>
          <w:rFonts w:ascii="Trebuchet MS" w:eastAsia="Times New Roman" w:hAnsi="Trebuchet MS" w:cs="Arial"/>
          <w:color w:val="000000"/>
          <w:lang w:eastAsia="ro-RO"/>
          <w14:ligatures w14:val="none"/>
        </w:rPr>
      </w:pPr>
      <w:r w:rsidRPr="00984B5E">
        <w:rPr>
          <w:rFonts w:ascii="Trebuchet MS" w:eastAsia="Times New Roman" w:hAnsi="Trebuchet MS" w:cs="Arial"/>
          <w:color w:val="000000"/>
          <w:lang w:eastAsia="ro-RO"/>
          <w14:ligatures w14:val="none"/>
        </w:rPr>
        <w:t xml:space="preserve">S spatii verzi = 15995.22 mp (31.66%) </w:t>
      </w:r>
    </w:p>
    <w:p w14:paraId="564308CB" w14:textId="77777777" w:rsidR="00984B5E" w:rsidRDefault="00984B5E" w:rsidP="0042667D">
      <w:pPr>
        <w:keepNext/>
        <w:widowControl w:val="0"/>
        <w:spacing w:after="0" w:line="360" w:lineRule="auto"/>
        <w:jc w:val="both"/>
        <w:rPr>
          <w:rFonts w:ascii="Trebuchet MS" w:eastAsia="Times New Roman" w:hAnsi="Trebuchet MS" w:cs="Arial"/>
          <w:b/>
          <w:lang w:val="en-US"/>
          <w14:ligatures w14:val="none"/>
        </w:rPr>
      </w:pPr>
    </w:p>
    <w:p w14:paraId="009441C8" w14:textId="694F071A" w:rsidR="0042667D" w:rsidRPr="00DD180C" w:rsidRDefault="0023789F" w:rsidP="0042667D">
      <w:pPr>
        <w:keepNext/>
        <w:widowControl w:val="0"/>
        <w:spacing w:after="0" w:line="360" w:lineRule="auto"/>
        <w:jc w:val="both"/>
        <w:rPr>
          <w:rFonts w:ascii="Trebuchet MS" w:hAnsi="Trebuchet MS" w:cs="Arial"/>
        </w:rPr>
      </w:pPr>
      <w:r w:rsidRPr="0023789F">
        <w:rPr>
          <w:rFonts w:ascii="Trebuchet MS" w:eastAsia="Times New Roman" w:hAnsi="Trebuchet MS" w:cs="Arial"/>
          <w:b/>
          <w:lang w:val="en-US"/>
          <w14:ligatures w14:val="none"/>
        </w:rPr>
        <w:t xml:space="preserve">Utilități: </w:t>
      </w:r>
      <w:r w:rsidR="0022152B" w:rsidRPr="00DD180C">
        <w:rPr>
          <w:rFonts w:ascii="Trebuchet MS" w:eastAsia="Times New Roman" w:hAnsi="Trebuchet MS" w:cs="Arial"/>
          <w:lang w:val="en-US"/>
          <w14:ligatures w14:val="none"/>
        </w:rPr>
        <w:t>Conform</w:t>
      </w:r>
      <w:r w:rsidR="0022152B" w:rsidRPr="00DD180C">
        <w:rPr>
          <w:rFonts w:ascii="Trebuchet MS" w:eastAsia="Times New Roman" w:hAnsi="Trebuchet MS" w:cs="Arial"/>
          <w:b/>
          <w:lang w:val="en-US"/>
          <w14:ligatures w14:val="none"/>
        </w:rPr>
        <w:t xml:space="preserve"> </w:t>
      </w:r>
      <w:r w:rsidR="0042667D" w:rsidRPr="00DD180C">
        <w:rPr>
          <w:rFonts w:ascii="Trebuchet MS" w:hAnsi="Trebuchet MS" w:cs="Arial"/>
        </w:rPr>
        <w:t xml:space="preserve">Proiect Aviz gospodarire a apelor nr. </w:t>
      </w:r>
      <w:r w:rsidR="00DD180C">
        <w:rPr>
          <w:rFonts w:ascii="Trebuchet MS" w:hAnsi="Trebuchet MS" w:cs="Arial"/>
        </w:rPr>
        <w:t>6653/26.06.2024,</w:t>
      </w:r>
      <w:r w:rsidR="0042667D" w:rsidRPr="00DD180C">
        <w:rPr>
          <w:rFonts w:ascii="Trebuchet MS" w:hAnsi="Trebuchet MS" w:cs="Arial"/>
        </w:rPr>
        <w:t xml:space="preserve"> emis de A.N.”Apele Romane”, utilitatile apa – canal se vor asigura astfel:</w:t>
      </w:r>
    </w:p>
    <w:p w14:paraId="5BE807B7" w14:textId="77777777" w:rsidR="00DD180C" w:rsidRDefault="00DD180C" w:rsidP="00DD180C">
      <w:pPr>
        <w:keepNext/>
        <w:widowControl w:val="0"/>
        <w:spacing w:after="0" w:line="360" w:lineRule="auto"/>
        <w:jc w:val="both"/>
        <w:rPr>
          <w:rFonts w:ascii="Trebuchet MS" w:hAnsi="Trebuchet MS" w:cs="Arial"/>
        </w:rPr>
      </w:pPr>
      <w:r w:rsidRPr="00DD180C">
        <w:rPr>
          <w:rFonts w:ascii="Trebuchet MS" w:hAnsi="Trebuchet MS" w:cs="Arial"/>
        </w:rPr>
        <w:t>S</w:t>
      </w:r>
      <w:r w:rsidRPr="00DD180C">
        <w:rPr>
          <w:rFonts w:ascii="Trebuchet MS" w:hAnsi="Trebuchet MS" w:cs="Arial"/>
        </w:rPr>
        <w:t>ursa de apă va fi constituită din cinci foraje de alimentare cu apă, F1-F5</w:t>
      </w:r>
      <w:r>
        <w:rPr>
          <w:rFonts w:ascii="Trebuchet MS" w:hAnsi="Trebuchet MS" w:cs="Arial"/>
        </w:rPr>
        <w:t>, proiectate cu H=25 m fiecare.</w:t>
      </w:r>
    </w:p>
    <w:p w14:paraId="0B65CEFB" w14:textId="517A2418" w:rsidR="00DD180C" w:rsidRPr="00DD180C" w:rsidRDefault="00DD180C" w:rsidP="00DD180C">
      <w:pPr>
        <w:keepNext/>
        <w:widowControl w:val="0"/>
        <w:spacing w:after="0" w:line="360" w:lineRule="auto"/>
        <w:jc w:val="both"/>
        <w:rPr>
          <w:rFonts w:ascii="Trebuchet MS" w:hAnsi="Trebuchet MS" w:cs="Arial"/>
        </w:rPr>
      </w:pPr>
      <w:r w:rsidRPr="00DD180C">
        <w:rPr>
          <w:rFonts w:ascii="Trebuchet MS" w:hAnsi="Trebuchet MS" w:cs="Arial"/>
        </w:rPr>
        <w:t>Apele uzate menajere vor fi colectate într-un bazin vidanjabil, etanș, proiectat cu V=75</w:t>
      </w:r>
      <w:r>
        <w:rPr>
          <w:rFonts w:ascii="Trebuchet MS" w:hAnsi="Trebuchet MS" w:cs="Arial"/>
        </w:rPr>
        <w:t xml:space="preserve"> </w:t>
      </w:r>
      <w:r w:rsidRPr="00DD180C">
        <w:rPr>
          <w:rFonts w:ascii="Trebuchet MS" w:hAnsi="Trebuchet MS" w:cs="Arial"/>
        </w:rPr>
        <w:t>m</w:t>
      </w:r>
      <w:r>
        <w:rPr>
          <w:rFonts w:ascii="Trebuchet MS" w:hAnsi="Trebuchet MS" w:cs="Arial"/>
        </w:rPr>
        <w:t>c</w:t>
      </w:r>
      <w:r w:rsidRPr="00DD180C">
        <w:rPr>
          <w:rFonts w:ascii="Trebuchet MS" w:hAnsi="Trebuchet MS" w:cs="Arial"/>
        </w:rPr>
        <w:t xml:space="preserve">. </w:t>
      </w:r>
    </w:p>
    <w:p w14:paraId="1053938D" w14:textId="55C7807D" w:rsidR="0023789F" w:rsidRPr="00DD180C" w:rsidRDefault="00DD180C" w:rsidP="00DD180C">
      <w:pPr>
        <w:keepNext/>
        <w:widowControl w:val="0"/>
        <w:spacing w:after="0" w:line="360" w:lineRule="auto"/>
        <w:jc w:val="both"/>
        <w:rPr>
          <w:rFonts w:ascii="Trebuchet MS" w:hAnsi="Trebuchet MS" w:cs="Arial"/>
        </w:rPr>
      </w:pPr>
      <w:r w:rsidRPr="00DD180C">
        <w:rPr>
          <w:rFonts w:ascii="Trebuchet MS" w:hAnsi="Trebuchet MS" w:cs="Arial"/>
        </w:rPr>
        <w:t>Apele pluviale provenite de pe platformele betonate vor fi trecute printr-un separator de hidrocarburi propus (Qexpl=200 l/s), după care, împreună cu apele pluviale provenite de pe acoperișuri, vor fi colectate într-un bazin de retenție cu drenaj în sol, proiectat cu V=1432</w:t>
      </w:r>
      <w:r>
        <w:rPr>
          <w:rFonts w:ascii="Trebuchet MS" w:hAnsi="Trebuchet MS" w:cs="Arial"/>
        </w:rPr>
        <w:t xml:space="preserve"> </w:t>
      </w:r>
      <w:r w:rsidRPr="00DD180C">
        <w:rPr>
          <w:rFonts w:ascii="Trebuchet MS" w:hAnsi="Trebuchet MS" w:cs="Arial"/>
        </w:rPr>
        <w:t xml:space="preserve">mc. </w:t>
      </w:r>
      <w:r w:rsidR="0042667D" w:rsidRPr="00DD180C">
        <w:rPr>
          <w:rFonts w:ascii="Trebuchet MS" w:hAnsi="Trebuchet MS" w:cs="Arial"/>
        </w:rPr>
        <w:lastRenderedPageBreak/>
        <w:t>Apele pluviale</w:t>
      </w:r>
      <w:r w:rsidR="0005104A" w:rsidRPr="00DD180C">
        <w:rPr>
          <w:rFonts w:ascii="Trebuchet MS" w:hAnsi="Trebuchet MS" w:cs="Arial"/>
        </w:rPr>
        <w:t xml:space="preserve"> </w:t>
      </w:r>
      <w:r w:rsidR="0042667D" w:rsidRPr="00DD180C">
        <w:rPr>
          <w:rFonts w:ascii="Trebuchet MS" w:hAnsi="Trebuchet MS" w:cs="Arial"/>
        </w:rPr>
        <w:t>de pe acoperișuri vor fi evacuate direct în bazinul de retenție menționat mai sus</w:t>
      </w:r>
      <w:r w:rsidR="0005104A" w:rsidRPr="00DD180C">
        <w:rPr>
          <w:rFonts w:ascii="Trebuchet MS" w:hAnsi="Trebuchet MS" w:cs="Arial"/>
        </w:rPr>
        <w:t>.</w:t>
      </w:r>
    </w:p>
    <w:p w14:paraId="44F0EF7B" w14:textId="77777777" w:rsidR="0005104A" w:rsidRDefault="0005104A" w:rsidP="0005104A">
      <w:pPr>
        <w:keepNext/>
        <w:widowControl w:val="0"/>
        <w:spacing w:after="0" w:line="360" w:lineRule="auto"/>
        <w:jc w:val="both"/>
        <w:rPr>
          <w:rFonts w:ascii="Trebuchet MS" w:eastAsia="Times New Roman" w:hAnsi="Trebuchet MS" w:cs="Arial"/>
          <w:lang w:eastAsia="ro-RO"/>
          <w14:ligatures w14:val="none"/>
        </w:rPr>
      </w:pPr>
    </w:p>
    <w:p w14:paraId="3C128A67" w14:textId="77777777" w:rsidR="00216E81" w:rsidRPr="0023789F" w:rsidRDefault="00216E81" w:rsidP="0005104A">
      <w:pPr>
        <w:keepNext/>
        <w:widowControl w:val="0"/>
        <w:spacing w:after="0" w:line="360" w:lineRule="auto"/>
        <w:jc w:val="both"/>
        <w:rPr>
          <w:rFonts w:ascii="Trebuchet MS" w:eastAsia="Times New Roman" w:hAnsi="Trebuchet MS" w:cs="Arial"/>
          <w:lang w:eastAsia="ro-RO"/>
          <w14:ligatures w14:val="none"/>
        </w:rPr>
      </w:pPr>
    </w:p>
    <w:p w14:paraId="7150315B" w14:textId="77777777" w:rsid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2E545E12" w14:textId="77777777" w:rsidR="00216E81" w:rsidRPr="0023789F" w:rsidRDefault="00216E81"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p>
    <w:p w14:paraId="70CE000C" w14:textId="77777777" w:rsidR="0005104A"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xml:space="preserve">: </w:t>
      </w:r>
      <w:r w:rsidR="0005104A" w:rsidRPr="0005104A">
        <w:rPr>
          <w:rFonts w:ascii="Trebuchet MS" w:eastAsia="Times New Roman" w:hAnsi="Trebuchet MS" w:cs="Arial"/>
          <w:lang w:val="it-IT"/>
          <w14:ligatures w14:val="none"/>
        </w:rPr>
        <w:t>apa din subteran, ca sursa de alimentare cu apa a investitiei.</w:t>
      </w:r>
    </w:p>
    <w:p w14:paraId="68854556" w14:textId="77777777" w:rsidR="00216E81" w:rsidRDefault="00216E81" w:rsidP="0023789F">
      <w:pPr>
        <w:keepNext/>
        <w:widowControl w:val="0"/>
        <w:spacing w:after="0" w:line="360" w:lineRule="auto"/>
        <w:jc w:val="both"/>
        <w:rPr>
          <w:rFonts w:ascii="Trebuchet MS" w:eastAsia="Times New Roman" w:hAnsi="Trebuchet MS" w:cs="Arial"/>
          <w:lang w:val="it-IT"/>
          <w14:ligatures w14:val="none"/>
        </w:rPr>
      </w:pPr>
    </w:p>
    <w:p w14:paraId="217E7E82" w14:textId="29E4D10F"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0CC8021E"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Deseurile generate pe perioada de construire vor fi colectate selectiv intr-un spatiu  </w:t>
      </w:r>
    </w:p>
    <w:p w14:paraId="7005F7E9"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 si eliminate sau valorificate, dupa caz.</w:t>
      </w:r>
    </w:p>
    <w:p w14:paraId="30049CA2" w14:textId="77777777" w:rsidR="0023789F" w:rsidRPr="0023789F" w:rsidRDefault="0023789F" w:rsidP="0023789F">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In perioada de functionare, deseurile vor fi colectate selectiv intr-un spatiu special </w:t>
      </w:r>
    </w:p>
    <w:p w14:paraId="3BF9B769"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75FE18B3"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0332898D" w14:textId="68E0BAA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0D31A2D9"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2F4727">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414AF2F"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utilajele utilizate sa fie corespunzatoare din punct de vedere tehnic și sa nu genereze noxe peste limitele admise. Substantele poluante pentru atmosfera se vor încadra în valorile limita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 462/1993 cu modificările și completările ulterioare</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 nr.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va încadra în limitele impuse de SR 10009/2017. </w:t>
      </w:r>
    </w:p>
    <w:p w14:paraId="2738E4DB"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Se vor respecta de asemenea prevederile Ord. MS nr. 119/2014 privind aprobarea Normelor </w:t>
      </w:r>
    </w:p>
    <w:p w14:paraId="0B0A0F5A" w14:textId="40AA63ED" w:rsidR="0023789F" w:rsidRPr="002F4727"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 igienă și sănătate publică privind mediul de viata al populatiei, cu modificarile și completarile ulterioare.</w:t>
      </w:r>
    </w:p>
    <w:p w14:paraId="5A30E889" w14:textId="77777777" w:rsidR="00BB6D3A" w:rsidRPr="0023789F" w:rsidRDefault="00BB6D3A" w:rsidP="0023789F">
      <w:pPr>
        <w:keepNext/>
        <w:widowControl w:val="0"/>
        <w:spacing w:after="0" w:line="360" w:lineRule="auto"/>
        <w:jc w:val="both"/>
        <w:rPr>
          <w:rFonts w:ascii="Trebuchet MS" w:eastAsia="Times New Roman" w:hAnsi="Trebuchet MS" w:cs="Arial"/>
          <w:lang w:val="it-IT"/>
          <w14:ligatures w14:val="none"/>
        </w:rPr>
      </w:pP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78183E69" w14:textId="77777777" w:rsidR="002F4727" w:rsidRDefault="0023789F" w:rsidP="0023789F">
      <w:pPr>
        <w:keepNext/>
        <w:widowControl w:val="0"/>
        <w:spacing w:after="0" w:line="360" w:lineRule="auto"/>
        <w:jc w:val="both"/>
        <w:rPr>
          <w:rFonts w:ascii="Trebuchet MS" w:eastAsia="Times New Roman" w:hAnsi="Trebuchet MS" w:cs="Arial"/>
          <w:lang w:eastAsia="ro-RO"/>
          <w14:ligatures w14:val="none"/>
        </w:rPr>
      </w:pPr>
      <w:r w:rsidRPr="0023789F">
        <w:rPr>
          <w:rFonts w:ascii="Trebuchet MS" w:eastAsia="Times New Roman" w:hAnsi="Trebuchet MS" w:cs="Arial"/>
          <w:lang w:val="pt-BR"/>
          <w14:ligatures w14:val="none"/>
        </w:rPr>
        <w:t xml:space="preserve">2.1. </w:t>
      </w:r>
      <w:r w:rsidRPr="0023789F">
        <w:rPr>
          <w:rFonts w:ascii="Trebuchet MS" w:eastAsia="Times New Roman" w:hAnsi="Trebuchet MS" w:cs="Arial"/>
          <w:lang w:val="en-US"/>
          <w14:ligatures w14:val="none"/>
        </w:rPr>
        <w:t xml:space="preserve">utilizarea existentă a terenului: teren situat in intravilanul </w:t>
      </w:r>
      <w:r w:rsidR="002F4727">
        <w:rPr>
          <w:rFonts w:ascii="Trebuchet MS" w:eastAsia="Times New Roman" w:hAnsi="Trebuchet MS" w:cs="Arial"/>
          <w:lang w:val="en-US"/>
          <w14:ligatures w14:val="none"/>
        </w:rPr>
        <w:t>orasului Chitila,</w:t>
      </w:r>
      <w:r w:rsidRPr="0023789F">
        <w:rPr>
          <w:rFonts w:ascii="Trebuchet MS" w:eastAsia="Times New Roman" w:hAnsi="Trebuchet MS" w:cs="Arial"/>
          <w:lang w:val="en-US"/>
          <w14:ligatures w14:val="none"/>
        </w:rPr>
        <w:t xml:space="preserve"> in </w:t>
      </w:r>
      <w:r w:rsidR="00BB6D3A" w:rsidRPr="00BB6D3A">
        <w:rPr>
          <w:rFonts w:ascii="Trebuchet MS" w:eastAsia="Times New Roman" w:hAnsi="Trebuchet MS" w:cs="Arial"/>
          <w:lang w:eastAsia="ro-RO"/>
          <w14:ligatures w14:val="none"/>
        </w:rPr>
        <w:t xml:space="preserve">zona </w:t>
      </w:r>
      <w:r w:rsidR="002F4727" w:rsidRPr="002F4727">
        <w:rPr>
          <w:rFonts w:ascii="Trebuchet MS" w:eastAsia="Times New Roman" w:hAnsi="Trebuchet MS" w:cs="Arial"/>
          <w:lang w:eastAsia="ro-RO"/>
          <w14:ligatures w14:val="none"/>
        </w:rPr>
        <w:t>A1 – zona de activitati productive, subzona unitatilor predominant industriale, conform PUG aprobat cu HCL Chitila nr. 21/14.02.2019</w:t>
      </w:r>
    </w:p>
    <w:p w14:paraId="3342B456" w14:textId="551F35AF"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2.3. capacitatea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 zonele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b) zonele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c) zonele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 parcurile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g) ariile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h) ariile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 peisajele cu semnificaţie istorică, culturală şi arheologică: nu este cazul.</w:t>
      </w:r>
    </w:p>
    <w:p w14:paraId="23B24AA8"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iau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-extinderea impactului: aria geografică şi numărul persoanelor afectate – nu este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-natura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-mărimea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va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desfăşurării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5D19D340"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2F4727">
        <w:rPr>
          <w:rFonts w:ascii="Trebuchet MS" w:eastAsia="Times New Roman" w:hAnsi="Trebuchet MS" w:cs="Arial"/>
          <w:lang w:val="en-US"/>
          <w14:ligatures w14:val="none"/>
        </w:rPr>
        <w:t>206/14.07.2022</w:t>
      </w:r>
      <w:r w:rsidRPr="0023789F">
        <w:rPr>
          <w:rFonts w:ascii="Trebuchet MS" w:eastAsia="Times New Roman" w:hAnsi="Trebuchet MS" w:cs="Arial"/>
          <w:lang w:val="en-US"/>
          <w14:ligatures w14:val="none"/>
        </w:rPr>
        <w:t xml:space="preserve">, emis de Primaria </w:t>
      </w:r>
      <w:r w:rsidR="002F4727">
        <w:rPr>
          <w:rFonts w:ascii="Trebuchet MS" w:eastAsia="Times New Roman" w:hAnsi="Trebuchet MS" w:cs="Arial"/>
          <w:lang w:val="en-US"/>
          <w14:ligatures w14:val="none"/>
        </w:rPr>
        <w:t>orasului Chitila</w:t>
      </w:r>
      <w:r w:rsidRPr="0023789F">
        <w:rPr>
          <w:rFonts w:ascii="Trebuchet MS" w:eastAsia="Times New Roman" w:hAnsi="Trebuchet MS" w:cs="Arial"/>
          <w:lang w:val="en-US"/>
          <w14:ligatures w14:val="none"/>
        </w:rPr>
        <w:t>, 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61784CFD" w14:textId="639DBDE4" w:rsid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Indicatorii de calitate ai apelor uzate menajere, evacuate </w:t>
      </w:r>
      <w:r w:rsidR="00BB6D3A">
        <w:rPr>
          <w:rFonts w:ascii="Trebuchet MS" w:eastAsia="Times New Roman" w:hAnsi="Trebuchet MS" w:cs="Arial"/>
          <w:lang w:val="en-US"/>
          <w14:ligatures w14:val="none"/>
        </w:rPr>
        <w:t>prin vidanjare</w:t>
      </w:r>
      <w:r w:rsidRPr="0023789F">
        <w:rPr>
          <w:rFonts w:ascii="Trebuchet MS" w:eastAsia="Times New Roman" w:hAnsi="Trebuchet MS" w:cs="Arial"/>
          <w:lang w:val="en-US"/>
          <w14:ligatures w14:val="none"/>
        </w:rPr>
        <w:t xml:space="preserve">, se vor incadra in limitele </w:t>
      </w:r>
      <w:r w:rsidR="00BB6D3A">
        <w:rPr>
          <w:rFonts w:ascii="Trebuchet MS" w:eastAsia="Times New Roman" w:hAnsi="Trebuchet MS" w:cs="Arial"/>
          <w:lang w:val="en-US"/>
          <w14:ligatures w14:val="none"/>
        </w:rPr>
        <w:t xml:space="preserve">maxime </w:t>
      </w:r>
      <w:r w:rsidRPr="0023789F">
        <w:rPr>
          <w:rFonts w:ascii="Trebuchet MS" w:eastAsia="Times New Roman" w:hAnsi="Trebuchet MS" w:cs="Arial"/>
          <w:lang w:val="en-US"/>
          <w14:ligatures w14:val="none"/>
        </w:rPr>
        <w:t>impuse de H.G. nr. 188/2002, Anexa 2 - NTPA 002/2002, modificata si completata de H.G. nr. 352/2005.</w:t>
      </w:r>
    </w:p>
    <w:p w14:paraId="16E508C9" w14:textId="10F3C5BB" w:rsidR="00BB6D3A" w:rsidRPr="00BB6D3A" w:rsidRDefault="00BB6D3A" w:rsidP="00BB6D3A">
      <w:pPr>
        <w:keepNext/>
        <w:widowControl w:val="0"/>
        <w:spacing w:after="0" w:line="360" w:lineRule="auto"/>
        <w:jc w:val="both"/>
        <w:rPr>
          <w:rFonts w:ascii="Trebuchet MS" w:eastAsia="Times New Roman" w:hAnsi="Trebuchet MS" w:cs="Arial"/>
          <w14:ligatures w14:val="none"/>
        </w:rPr>
      </w:pPr>
      <w:r>
        <w:rPr>
          <w:rFonts w:ascii="Trebuchet MS" w:eastAsia="Times New Roman" w:hAnsi="Trebuchet MS" w:cs="Arial"/>
          <w14:ligatures w14:val="none"/>
        </w:rPr>
        <w:t>-</w:t>
      </w:r>
      <w:r w:rsidRPr="00BB6D3A">
        <w:rPr>
          <w:rFonts w:ascii="Trebuchet MS" w:eastAsia="Times New Roman" w:hAnsi="Trebuchet MS" w:cs="Arial"/>
          <w14:ligatures w14:val="none"/>
        </w:rPr>
        <w:t xml:space="preserve"> Indicatorii de calitate ai apelor pluviale evacuate se vor încadra în prevederile impuse de HG 188/2002 –Anexa 3 –Normativul NTPA-001/2002, modificată și completată prin HG 352/2005, cu mențiunea că indicatorii specifici ce urmează a fi monitorizați vor trebui să se încadreze în următoarele limite maxime admisibile: </w:t>
      </w:r>
    </w:p>
    <w:p w14:paraId="6B8ECE33" w14:textId="192098A5"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-pH</w:t>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Pr="00BB6D3A">
        <w:rPr>
          <w:rFonts w:ascii="Trebuchet MS" w:eastAsia="Times New Roman" w:hAnsi="Trebuchet MS" w:cs="Arial"/>
          <w14:ligatures w14:val="none"/>
        </w:rPr>
        <w:t>6,5-8,5</w:t>
      </w:r>
    </w:p>
    <w:p w14:paraId="608969CB" w14:textId="1C2EB04E"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-Materii totale în suspensie</w:t>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Pr="00BB6D3A">
        <w:rPr>
          <w:rFonts w:ascii="Trebuchet MS" w:eastAsia="Times New Roman" w:hAnsi="Trebuchet MS" w:cs="Arial"/>
          <w14:ligatures w14:val="none"/>
        </w:rPr>
        <w:t>35 mg/l</w:t>
      </w:r>
    </w:p>
    <w:p w14:paraId="12AC86E9" w14:textId="7F450F44"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-Reziduu fix</w:t>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Pr="00BB6D3A">
        <w:rPr>
          <w:rFonts w:ascii="Trebuchet MS" w:eastAsia="Times New Roman" w:hAnsi="Trebuchet MS" w:cs="Arial"/>
          <w14:ligatures w14:val="none"/>
        </w:rPr>
        <w:t>2000 mg/l</w:t>
      </w:r>
    </w:p>
    <w:p w14:paraId="26FB4ADA" w14:textId="38B4136E" w:rsidR="00BB6D3A" w:rsidRPr="0023789F" w:rsidRDefault="00BB6D3A" w:rsidP="00BB6D3A">
      <w:pPr>
        <w:keepNext/>
        <w:widowControl w:val="0"/>
        <w:spacing w:after="0" w:line="360" w:lineRule="auto"/>
        <w:ind w:left="1416" w:firstLine="708"/>
        <w:jc w:val="both"/>
        <w:rPr>
          <w:rFonts w:ascii="Trebuchet MS" w:eastAsia="Times New Roman" w:hAnsi="Trebuchet MS" w:cs="Arial"/>
          <w:lang w:val="en-US"/>
          <w14:ligatures w14:val="none"/>
        </w:rPr>
      </w:pPr>
      <w:r w:rsidRPr="00BB6D3A">
        <w:rPr>
          <w:rFonts w:ascii="Trebuchet MS" w:eastAsia="Times New Roman" w:hAnsi="Trebuchet MS" w:cs="Arial"/>
          <w14:ligatures w14:val="none"/>
        </w:rPr>
        <w:lastRenderedPageBreak/>
        <w:t>-Produse petroliere</w:t>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009F733F">
        <w:rPr>
          <w:rFonts w:ascii="Trebuchet MS" w:eastAsia="Times New Roman" w:hAnsi="Trebuchet MS" w:cs="Arial"/>
          <w14:ligatures w14:val="none"/>
        </w:rPr>
        <w:tab/>
      </w:r>
      <w:r w:rsidRPr="00BB6D3A">
        <w:rPr>
          <w:rFonts w:ascii="Trebuchet MS" w:eastAsia="Times New Roman" w:hAnsi="Trebuchet MS" w:cs="Arial"/>
          <w14:ligatures w14:val="none"/>
        </w:rPr>
        <w:t>5 mg/l</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652C6231" w14:textId="32876C89"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mediului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nr.1756/2006 privind limitarea nivelului emisiilor de zgomot în mediu produs de echipamentele 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Ordinului nr. 119/2014 emis de Ministerul Sănătăţii cu modificarile si completarile ulterioare.</w:t>
      </w:r>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2CB9E5A1" w14:textId="77777777"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28C7486D" w14:textId="17D7877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r w:rsidR="00216E81">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 xml:space="preserve">spaţiului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2E5508FA" w14:textId="0F89E2D4" w:rsidR="00D21B89" w:rsidRPr="0023789F" w:rsidRDefault="00D21B89" w:rsidP="0023789F">
      <w:pPr>
        <w:keepNext/>
        <w:widowControl w:val="0"/>
        <w:spacing w:after="0" w:line="360" w:lineRule="auto"/>
        <w:contextualSpacing/>
        <w:jc w:val="both"/>
        <w:rPr>
          <w:rFonts w:ascii="Trebuchet MS" w:eastAsia="Times New Roman" w:hAnsi="Trebuchet MS" w:cs="Arial"/>
          <w:lang w:val="pt-BR"/>
          <w14:ligatures w14:val="none"/>
        </w:rPr>
      </w:pPr>
      <w:r>
        <w:rPr>
          <w:rFonts w:ascii="Trebuchet MS" w:eastAsia="Times New Roman" w:hAnsi="Trebuchet MS" w:cs="Arial"/>
          <w:lang w:val="pt-BR"/>
          <w14:ligatures w14:val="none"/>
        </w:rPr>
        <w:t xml:space="preserve">- </w:t>
      </w:r>
      <w:r w:rsidRPr="00D21B89">
        <w:rPr>
          <w:rFonts w:ascii="Trebuchet MS" w:eastAsia="Times New Roman" w:hAnsi="Trebuchet MS" w:cs="Arial"/>
          <w:lang w:val="pt-BR"/>
          <w14:ligatures w14:val="none"/>
        </w:rPr>
        <w:t xml:space="preserve">Se vor respecta prevederile </w:t>
      </w:r>
      <w:r>
        <w:rPr>
          <w:rFonts w:ascii="Trebuchet MS" w:eastAsia="Times New Roman" w:hAnsi="Trebuchet MS" w:cs="Arial"/>
          <w:lang w:val="pt-BR"/>
          <w14:ligatures w14:val="none"/>
        </w:rPr>
        <w:t>Legii nr.</w:t>
      </w:r>
      <w:r w:rsidRPr="00D21B89">
        <w:rPr>
          <w:rFonts w:ascii="Trebuchet MS" w:eastAsia="Times New Roman" w:hAnsi="Trebuchet MS" w:cs="Arial"/>
          <w:lang w:val="pt-BR"/>
          <w14:ligatures w14:val="none"/>
        </w:rPr>
        <w:t xml:space="preserve"> 121/2020 pentru modificarea art. 11 alin. (3) din Legea nr. 50/1991 privind autorizarea executării lu</w:t>
      </w:r>
      <w:r>
        <w:rPr>
          <w:rFonts w:ascii="Trebuchet MS" w:eastAsia="Times New Roman" w:hAnsi="Trebuchet MS" w:cs="Arial"/>
          <w:lang w:val="pt-BR"/>
          <w14:ligatures w14:val="none"/>
        </w:rPr>
        <w:t>crărilor de construcţii si Legii nr.</w:t>
      </w:r>
      <w:r w:rsidRPr="00D21B89">
        <w:rPr>
          <w:rFonts w:ascii="Trebuchet MS" w:eastAsia="Times New Roman" w:hAnsi="Trebuchet MS" w:cs="Arial"/>
          <w:lang w:val="pt-BR"/>
          <w14:ligatures w14:val="none"/>
        </w:rPr>
        <w:t>123/2020 pentru modificarea și completarea Ordonanței de urgență a Guvernului nr. 195/2005 privind protecția mediului.</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4D2BBF9" w14:textId="4274EC6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w:t>
      </w:r>
      <w:r w:rsidRPr="0023789F">
        <w:rPr>
          <w:rFonts w:ascii="Trebuchet MS" w:eastAsia="Times New Roman" w:hAnsi="Trebuchet MS" w:cs="Arial"/>
          <w:lang w:val="en-US"/>
          <w14:ligatures w14:val="none"/>
        </w:rPr>
        <w:lastRenderedPageBreak/>
        <w:t>afectată, vor fi refăcute şi vor fi redate folosinţelor iniţiale; Răspunderea pentru refacerea amplasamentului, drumurilor de acces și tehnologice, etc. revine în totalitate titularului de proiect;</w:t>
      </w:r>
    </w:p>
    <w:p w14:paraId="21114A49" w14:textId="1A9EBF4E"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va asigura salubrizarea zonei și mentinerea curateniei pe traseul drumurilor de acces, pe toata perioada;</w:t>
      </w:r>
    </w:p>
    <w:p w14:paraId="651F1A15" w14:textId="571DE588"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vibratiilor în limitele admisibile stabilite de SR 12025-2/94 realizarii lucrărilor;</w:t>
      </w:r>
    </w:p>
    <w:p w14:paraId="1509305E" w14:textId="30FB763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Pentru evitarea poluarii accidentale cu materiale periculoase (scurgeri accidentale de combustibili, de ulei de motor), reparatiile mijloaceor de transport/utilajelor se vor executa doar la societati autorizate</w:t>
      </w:r>
    </w:p>
    <w:p w14:paraId="0B707463" w14:textId="39F2CD5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În vederea menținerii calității aerului, în parametri optimi, în zona amplasamentului, se vor respecta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minimizarea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38282E34" w14:textId="1A3A3BCD"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25ACDF3" w14:textId="4714EB35"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Transportul materialelor și transportul utilajelor grele se va realiza pe traseele stabilite, astfel încat sa nu creeze disconfort locuitorilor din zona;</w:t>
      </w:r>
    </w:p>
    <w:p w14:paraId="2CF5F026" w14:textId="089031E4"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Organizarea de șantier va respecta obligatoriu măsurile specifice pentru reducerea şi/sau eliminarea efectelor generate de acestea asupra sănătăţii umane și mediului înconjurător.</w:t>
      </w:r>
    </w:p>
    <w:p w14:paraId="1CE5279F" w14:textId="0336DC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In caz de sesizari/reclamatii referitoare la disconfortul creat de activitatea desfasurata, activitatea va fi sistata pana la remedierea acestora.</w:t>
      </w:r>
    </w:p>
    <w:p w14:paraId="1E2DC0A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Proiectantul si beneficiarul se vor asigura ca investitia propusa nu va afecta circulatia de pe 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Operatorul are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noProof/>
          <w:color w:val="000000"/>
          <w14:ligatures w14:val="none"/>
        </w:rPr>
      </w:pPr>
      <w:r w:rsidRPr="0023789F">
        <w:rPr>
          <w:rFonts w:ascii="Trebuchet MS" w:eastAsia="Times New Roman" w:hAnsi="Trebuchet MS" w:cs="Arial"/>
          <w:noProof/>
          <w:color w:val="000000"/>
          <w14:ligatures w14:val="none"/>
        </w:rPr>
        <w:lastRenderedPageBreak/>
        <w:t>-In situatia in care se vor semnala disconforturi create vecinatatilor, activitatea va fi sistata pana la remedierea acestora.</w:t>
      </w:r>
    </w:p>
    <w:p w14:paraId="1ED69EF1" w14:textId="4D6C9217" w:rsidR="00216E81" w:rsidRPr="0023789F" w:rsidRDefault="00216E81"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Pr>
          <w:rFonts w:ascii="Trebuchet MS" w:eastAsia="Times New Roman" w:hAnsi="Trebuchet MS" w:cs="Arial"/>
          <w:noProof/>
          <w:color w:val="000000"/>
          <w14:ligatures w14:val="none"/>
        </w:rPr>
        <w:t>- Se vor respecta conditiile impuse prin</w:t>
      </w:r>
      <w:bookmarkStart w:id="0" w:name="_GoBack"/>
      <w:bookmarkEnd w:id="0"/>
      <w:r>
        <w:rPr>
          <w:rFonts w:ascii="Trebuchet MS" w:eastAsia="Times New Roman" w:hAnsi="Trebuchet MS" w:cs="Arial"/>
          <w:noProof/>
          <w:color w:val="000000"/>
          <w14:ligatures w14:val="none"/>
        </w:rPr>
        <w:t xml:space="preserve"> Avizul TRANSGAZ S.A., Avizul TRANSELECTRICA S.A. si Adresa C.N.A.I.R nr. 19D/66221/29.06.2018.</w:t>
      </w:r>
    </w:p>
    <w:p w14:paraId="5E9C5425" w14:textId="77777777" w:rsidR="00D21B89" w:rsidRDefault="00D21B89"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70CADF9" w14:textId="592D663A" w:rsidR="0023789F" w:rsidRPr="0023789F" w:rsidRDefault="0023789F" w:rsidP="00216E81">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Conform prevederilor Legii nr. 292/2018:</w:t>
      </w:r>
    </w:p>
    <w:p w14:paraId="47C34A15" w14:textId="3DB7B22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(4) procesul - verbal intocmit in situatia prevazuta la alin. (3) se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Nerespectarea prevederilor prezentei decizii a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Proiectul propus nu necesita parcurgerea celorlalte etape ale procesului de evaluare a impactului asupra mediului de evaluare adecvata si de evaluare asupra corpurilor de apa.</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Proiectul deciziei etapei de încadrare a fost afişat pe site-ul http://apmif.anpm.ro. </w:t>
      </w:r>
    </w:p>
    <w:p w14:paraId="368B59BB" w14:textId="4B3AA8BC" w:rsidR="0023789F" w:rsidRPr="0023789F" w:rsidRDefault="0023789F" w:rsidP="00216E81">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857140B" w14:textId="246805F9" w:rsidR="0023789F" w:rsidRDefault="0023789F" w:rsidP="00216E81">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Conform prevederilor Legii nr. 292/2018: </w:t>
      </w:r>
    </w:p>
    <w:p w14:paraId="47A315C2" w14:textId="025C3B0E"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34, alin. (1) titularul de proiect are obligația de a notifica în scris autoritatea competentă pentru protecţia mediului despre orice modificare sau extindere a proiectului</w:t>
      </w:r>
      <w:r w:rsidR="00216E81">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7FC25206" w14:textId="6A78D0C4"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-anexa 5, art. 34, alin (2) notificarea prevazuta la alin. (1), insotita de raportul de verificare intocmit in conformitate cu prevederile art. 20 alin. (2) lit. a) din Legea nr. 292/2018 de catre </w:t>
      </w:r>
      <w:r w:rsidRPr="0023789F">
        <w:rPr>
          <w:rFonts w:ascii="Trebuchet MS" w:eastAsia="Times New Roman" w:hAnsi="Trebuchet MS" w:cs="Arial"/>
          <w:lang w:val="en-US"/>
          <w14:ligatures w14:val="none"/>
        </w:rPr>
        <w:lastRenderedPageBreak/>
        <w:t>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5DAE945B" w14:textId="3E2B98C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12D9150D" w14:textId="77777777" w:rsidR="00940A87" w:rsidRPr="0023789F" w:rsidRDefault="00940A87" w:rsidP="0023789F">
      <w:pPr>
        <w:keepNext/>
        <w:widowControl w:val="0"/>
        <w:spacing w:after="0" w:line="360" w:lineRule="auto"/>
        <w:contextualSpacing/>
        <w:jc w:val="both"/>
        <w:rPr>
          <w:rFonts w:ascii="Trebuchet MS" w:eastAsia="Times New Roman" w:hAnsi="Trebuchet MS" w:cs="Arial"/>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w:t>
      </w:r>
      <w:r w:rsidRPr="0023789F">
        <w:rPr>
          <w:rFonts w:ascii="Trebuchet MS" w:eastAsia="Calibri" w:hAnsi="Trebuchet MS" w:cs="Arial"/>
          <w:i/>
          <w:color w:val="000000"/>
          <w:lang w:val="it-IT"/>
          <w14:ligatures w14:val="none"/>
        </w:rPr>
        <w:t> </w:t>
      </w:r>
    </w:p>
    <w:p w14:paraId="3ACC4752" w14:textId="49F059B4" w:rsid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In cazul in care proiectul nu se incadreaza in functiunea zonei, decizia de emitere/respingere a aprobarii de dezvoltare revine autoritatii administratiei publice locale.</w:t>
      </w:r>
    </w:p>
    <w:p w14:paraId="49844DA7" w14:textId="77777777" w:rsidR="00940A87" w:rsidRPr="0023789F" w:rsidRDefault="00940A87" w:rsidP="0023789F">
      <w:pPr>
        <w:keepNext/>
        <w:widowControl w:val="0"/>
        <w:spacing w:after="0" w:line="360" w:lineRule="auto"/>
        <w:ind w:firstLine="567"/>
        <w:jc w:val="both"/>
        <w:rPr>
          <w:rFonts w:ascii="Trebuchet MS" w:eastAsia="Times New Roman" w:hAnsi="Trebuchet MS" w:cs="Arial"/>
          <w:i/>
          <w:lang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omisiunile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4FF7C14"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847FE9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prevăzute la art. 21 alin. (3) sau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respectivei decizii. Solicitarea trebuie înregistrată în termen de 30 de zile de la data aducerii la </w:t>
      </w:r>
    </w:p>
    <w:p w14:paraId="248A2162" w14:textId="24AE387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cunoștința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publică emitentă are obligația de a răspunde la plângerea prealabilă prevăzută la art. 22 alin. (1) în termen de 30 de zile de la data înregistrării acesteia la acea autoritate.</w:t>
      </w:r>
    </w:p>
    <w:p w14:paraId="4357B58A" w14:textId="5AFA7478"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Procedura de soluționare a plângerii prealabile prevăzută la art. 22 alin. (1) este gratuită și trebuie să fie echitabilă, rapidă și corectă.</w:t>
      </w:r>
    </w:p>
    <w:p w14:paraId="73A3D575" w14:textId="77777777" w:rsidR="00940A87" w:rsidRDefault="00940A87"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131D8E44" w14:textId="77777777" w:rsidR="00216E81" w:rsidRDefault="00216E81"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E4E2DF4" w14:textId="6FE972EF" w:rsidR="004B1865"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poate fi contestată în conformitate cu prevederile Legii nr. nr. 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7A8112F0" w14:textId="77777777" w:rsidR="004363DF" w:rsidRDefault="004363DF" w:rsidP="0023789F">
      <w:pPr>
        <w:keepNext/>
        <w:widowControl w:val="0"/>
        <w:spacing w:after="0" w:line="360" w:lineRule="auto"/>
        <w:ind w:left="3528" w:right="-41" w:firstLine="720"/>
        <w:jc w:val="both"/>
        <w:rPr>
          <w:rFonts w:ascii="Trebuchet MS" w:eastAsia="Calibri" w:hAnsi="Trebuchet MS" w:cs="Times New Roman"/>
          <w14:ligatures w14:val="none"/>
        </w:rPr>
      </w:pPr>
    </w:p>
    <w:p w14:paraId="6FE78617" w14:textId="77777777" w:rsidR="00216E81" w:rsidRDefault="00216E81" w:rsidP="0023789F">
      <w:pPr>
        <w:keepNext/>
        <w:widowControl w:val="0"/>
        <w:spacing w:after="0" w:line="360" w:lineRule="auto"/>
        <w:ind w:left="3528" w:right="-41" w:firstLine="720"/>
        <w:jc w:val="both"/>
        <w:rPr>
          <w:rFonts w:ascii="Trebuchet MS" w:eastAsia="Calibri" w:hAnsi="Trebuchet MS" w:cs="Times New Roman"/>
          <w14:ligatures w14:val="none"/>
        </w:rPr>
      </w:pPr>
    </w:p>
    <w:p w14:paraId="3D7BF306" w14:textId="77777777" w:rsidR="00227D6D" w:rsidRPr="0023789F" w:rsidRDefault="00227D6D" w:rsidP="0023789F">
      <w:pPr>
        <w:keepNext/>
        <w:widowControl w:val="0"/>
        <w:spacing w:after="0" w:line="360" w:lineRule="auto"/>
        <w:ind w:left="3528" w:right="-41" w:firstLine="720"/>
        <w:jc w:val="both"/>
        <w:rPr>
          <w:rFonts w:ascii="Trebuchet MS" w:eastAsia="Calibri" w:hAnsi="Trebuchet MS" w:cs="Times New Roman"/>
          <w14:ligatures w14:val="none"/>
        </w:rPr>
      </w:pPr>
      <w:r w:rsidRPr="0023789F">
        <w:rPr>
          <w:rFonts w:ascii="Trebuchet MS" w:eastAsia="Calibri" w:hAnsi="Trebuchet MS" w:cs="Times New Roman"/>
          <w14:ligatures w14:val="none"/>
        </w:rPr>
        <w:t>DIRECTOR EXECUTIV,</w:t>
      </w:r>
    </w:p>
    <w:p w14:paraId="280C0D8D" w14:textId="0C46070F" w:rsidR="0023789F" w:rsidRDefault="00227D6D" w:rsidP="0023789F">
      <w:pPr>
        <w:keepNext/>
        <w:widowControl w:val="0"/>
        <w:spacing w:after="0" w:line="360" w:lineRule="auto"/>
        <w:jc w:val="center"/>
        <w:outlineLvl w:val="0"/>
        <w:rPr>
          <w:rFonts w:ascii="Trebuchet MS" w:eastAsia="Calibri" w:hAnsi="Trebuchet MS" w:cs="Times New Roman"/>
          <w14:ligatures w14:val="none"/>
        </w:rPr>
      </w:pPr>
      <w:r w:rsidRPr="0023789F">
        <w:rPr>
          <w:rFonts w:ascii="Trebuchet MS" w:eastAsia="Calibri" w:hAnsi="Trebuchet MS" w:cs="Times New Roman"/>
          <w14:ligatures w14:val="none"/>
        </w:rPr>
        <w:t xml:space="preserve">       </w:t>
      </w:r>
      <w:r w:rsidR="00940A87" w:rsidRPr="00940A87">
        <w:rPr>
          <w:rFonts w:ascii="Trebuchet MS" w:eastAsia="Calibri" w:hAnsi="Trebuchet MS" w:cs="Times New Roman"/>
          <w14:ligatures w14:val="none"/>
        </w:rPr>
        <w:t>Corina Ecaterina NECULA CIOCHINA</w:t>
      </w:r>
    </w:p>
    <w:p w14:paraId="69EB3E52" w14:textId="77777777" w:rsidR="0023789F" w:rsidRDefault="0023789F" w:rsidP="0023789F">
      <w:pPr>
        <w:keepNext/>
        <w:widowControl w:val="0"/>
        <w:spacing w:after="0" w:line="360" w:lineRule="auto"/>
        <w:jc w:val="center"/>
        <w:outlineLvl w:val="0"/>
        <w:rPr>
          <w:rFonts w:ascii="Trebuchet MS" w:eastAsia="Calibri" w:hAnsi="Trebuchet MS" w:cs="Times New Roman"/>
          <w14:ligatures w14:val="none"/>
        </w:rPr>
      </w:pPr>
    </w:p>
    <w:p w14:paraId="069291DF" w14:textId="77777777" w:rsidR="007C5E2F" w:rsidRDefault="007C5E2F" w:rsidP="00331754">
      <w:pPr>
        <w:keepNext/>
        <w:widowControl w:val="0"/>
        <w:spacing w:after="0" w:line="360" w:lineRule="auto"/>
        <w:outlineLvl w:val="0"/>
        <w:rPr>
          <w:rFonts w:ascii="Trebuchet MS" w:eastAsia="Calibri" w:hAnsi="Trebuchet MS" w:cs="Times New Roma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7C5E2F" w:rsidRPr="007C5E2F" w14:paraId="318F1379"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672638F7"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40644BC0"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62BACD6E"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3367D625"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Semnătura</w:t>
            </w:r>
          </w:p>
        </w:tc>
      </w:tr>
      <w:tr w:rsidR="007C5E2F" w:rsidRPr="007C5E2F" w14:paraId="736F5966"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58EACE1D"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2F2217A"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5DFB1139" w14:textId="23D535AF" w:rsidR="007C5E2F" w:rsidRPr="007C5E2F" w:rsidRDefault="00216E81"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01.07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D091A0"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r w:rsidR="007C5E2F" w:rsidRPr="007C5E2F" w14:paraId="30DC5F7B"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11C599B1"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64A5C3AF"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46510D1B" w14:textId="5763BDD0" w:rsidR="007C5E2F" w:rsidRPr="007C5E2F" w:rsidRDefault="00216E81"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01.07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2E709A4E"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bl>
    <w:p w14:paraId="2832F7DA" w14:textId="77777777" w:rsidR="00940A87"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465B2044" w14:textId="77777777" w:rsidR="00940A87"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30F1A1C7" w14:textId="77777777" w:rsidR="00940A87"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40D8174D" w14:textId="77777777" w:rsidR="00940A87" w:rsidRPr="0023789F"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03902913" w14:textId="306675A9" w:rsidR="00D447FB" w:rsidRPr="0023789F" w:rsidRDefault="00D447FB" w:rsidP="0023789F">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1AB01" w14:textId="77777777" w:rsidR="006A5C8D" w:rsidRDefault="006A5C8D" w:rsidP="00143ACD">
      <w:pPr>
        <w:spacing w:after="0" w:line="240" w:lineRule="auto"/>
      </w:pPr>
      <w:r>
        <w:separator/>
      </w:r>
    </w:p>
  </w:endnote>
  <w:endnote w:type="continuationSeparator" w:id="0">
    <w:p w14:paraId="5B375064" w14:textId="77777777" w:rsidR="006A5C8D" w:rsidRDefault="006A5C8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F7033">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F7033">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6A5C8D"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F703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F7033">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E7F27" w14:textId="77777777" w:rsidR="006A5C8D" w:rsidRDefault="006A5C8D" w:rsidP="00143ACD">
      <w:pPr>
        <w:spacing w:after="0" w:line="240" w:lineRule="auto"/>
      </w:pPr>
      <w:r>
        <w:separator/>
      </w:r>
    </w:p>
  </w:footnote>
  <w:footnote w:type="continuationSeparator" w:id="0">
    <w:p w14:paraId="448DF286" w14:textId="77777777" w:rsidR="006A5C8D" w:rsidRDefault="006A5C8D"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C2CFD"/>
    <w:multiLevelType w:val="hybridMultilevel"/>
    <w:tmpl w:val="57A24D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1">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2">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8"/>
  </w:num>
  <w:num w:numId="7">
    <w:abstractNumId w:val="6"/>
  </w:num>
  <w:num w:numId="8">
    <w:abstractNumId w:val="7"/>
  </w:num>
  <w:num w:numId="9">
    <w:abstractNumId w:val="9"/>
  </w:num>
  <w:num w:numId="10">
    <w:abstractNumId w:val="4"/>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5104A"/>
    <w:rsid w:val="00061A8E"/>
    <w:rsid w:val="00081D68"/>
    <w:rsid w:val="000821FC"/>
    <w:rsid w:val="000B5E43"/>
    <w:rsid w:val="000C0E50"/>
    <w:rsid w:val="000D75D6"/>
    <w:rsid w:val="000E1DC5"/>
    <w:rsid w:val="001106DF"/>
    <w:rsid w:val="00142EC5"/>
    <w:rsid w:val="00143ACD"/>
    <w:rsid w:val="00161428"/>
    <w:rsid w:val="001827C2"/>
    <w:rsid w:val="001A03DB"/>
    <w:rsid w:val="001B47C8"/>
    <w:rsid w:val="001C39BF"/>
    <w:rsid w:val="002109CA"/>
    <w:rsid w:val="00216E81"/>
    <w:rsid w:val="0022152B"/>
    <w:rsid w:val="00227138"/>
    <w:rsid w:val="00227D6D"/>
    <w:rsid w:val="0023144B"/>
    <w:rsid w:val="0023789F"/>
    <w:rsid w:val="002639F0"/>
    <w:rsid w:val="002670FF"/>
    <w:rsid w:val="0027234A"/>
    <w:rsid w:val="002B1C00"/>
    <w:rsid w:val="002C6480"/>
    <w:rsid w:val="002E6FFE"/>
    <w:rsid w:val="002F4727"/>
    <w:rsid w:val="0030098B"/>
    <w:rsid w:val="00321B86"/>
    <w:rsid w:val="00331754"/>
    <w:rsid w:val="00354326"/>
    <w:rsid w:val="003B77D4"/>
    <w:rsid w:val="003F0B52"/>
    <w:rsid w:val="004223CD"/>
    <w:rsid w:val="0042667D"/>
    <w:rsid w:val="004363DF"/>
    <w:rsid w:val="004432AF"/>
    <w:rsid w:val="00482EF6"/>
    <w:rsid w:val="0049222F"/>
    <w:rsid w:val="004A0031"/>
    <w:rsid w:val="004A5C08"/>
    <w:rsid w:val="004B1865"/>
    <w:rsid w:val="004B7417"/>
    <w:rsid w:val="004C0CE7"/>
    <w:rsid w:val="004C7186"/>
    <w:rsid w:val="004F0F51"/>
    <w:rsid w:val="0051560F"/>
    <w:rsid w:val="00523B08"/>
    <w:rsid w:val="005269A2"/>
    <w:rsid w:val="0053065D"/>
    <w:rsid w:val="00567989"/>
    <w:rsid w:val="00606A68"/>
    <w:rsid w:val="0061264B"/>
    <w:rsid w:val="00646474"/>
    <w:rsid w:val="00667B7F"/>
    <w:rsid w:val="0068172C"/>
    <w:rsid w:val="00683727"/>
    <w:rsid w:val="00684F75"/>
    <w:rsid w:val="006A1242"/>
    <w:rsid w:val="006A1311"/>
    <w:rsid w:val="006A261F"/>
    <w:rsid w:val="006A5C8D"/>
    <w:rsid w:val="006C2334"/>
    <w:rsid w:val="006D65DB"/>
    <w:rsid w:val="006F6F43"/>
    <w:rsid w:val="007213A9"/>
    <w:rsid w:val="00753CCD"/>
    <w:rsid w:val="00767CB5"/>
    <w:rsid w:val="0078424E"/>
    <w:rsid w:val="0079481C"/>
    <w:rsid w:val="007B37CA"/>
    <w:rsid w:val="007B69C4"/>
    <w:rsid w:val="007C5E2F"/>
    <w:rsid w:val="007D4A5C"/>
    <w:rsid w:val="007E6483"/>
    <w:rsid w:val="0081504B"/>
    <w:rsid w:val="00827DA7"/>
    <w:rsid w:val="008507D9"/>
    <w:rsid w:val="008631FB"/>
    <w:rsid w:val="00863E2A"/>
    <w:rsid w:val="00885967"/>
    <w:rsid w:val="008B681F"/>
    <w:rsid w:val="008C7811"/>
    <w:rsid w:val="008D246C"/>
    <w:rsid w:val="008E19DC"/>
    <w:rsid w:val="008F4687"/>
    <w:rsid w:val="0090061B"/>
    <w:rsid w:val="009103F0"/>
    <w:rsid w:val="009142A5"/>
    <w:rsid w:val="00923C50"/>
    <w:rsid w:val="00940A87"/>
    <w:rsid w:val="009524DE"/>
    <w:rsid w:val="009613A0"/>
    <w:rsid w:val="0096214D"/>
    <w:rsid w:val="00984B5E"/>
    <w:rsid w:val="009909C5"/>
    <w:rsid w:val="009A3973"/>
    <w:rsid w:val="009B480A"/>
    <w:rsid w:val="009B5F83"/>
    <w:rsid w:val="009D0807"/>
    <w:rsid w:val="009D3575"/>
    <w:rsid w:val="009F733F"/>
    <w:rsid w:val="00A0719A"/>
    <w:rsid w:val="00A41C0B"/>
    <w:rsid w:val="00A555F9"/>
    <w:rsid w:val="00A80F6E"/>
    <w:rsid w:val="00A906B5"/>
    <w:rsid w:val="00AB7312"/>
    <w:rsid w:val="00AE388C"/>
    <w:rsid w:val="00B3218C"/>
    <w:rsid w:val="00B51D96"/>
    <w:rsid w:val="00B66053"/>
    <w:rsid w:val="00BB6D3A"/>
    <w:rsid w:val="00BE0746"/>
    <w:rsid w:val="00C02DFA"/>
    <w:rsid w:val="00C04BF2"/>
    <w:rsid w:val="00C05584"/>
    <w:rsid w:val="00C32324"/>
    <w:rsid w:val="00C545F6"/>
    <w:rsid w:val="00C61733"/>
    <w:rsid w:val="00C70515"/>
    <w:rsid w:val="00C808CC"/>
    <w:rsid w:val="00CF7033"/>
    <w:rsid w:val="00D0698C"/>
    <w:rsid w:val="00D1499F"/>
    <w:rsid w:val="00D21B89"/>
    <w:rsid w:val="00D26154"/>
    <w:rsid w:val="00D26874"/>
    <w:rsid w:val="00D356FA"/>
    <w:rsid w:val="00D41783"/>
    <w:rsid w:val="00D447FB"/>
    <w:rsid w:val="00D62259"/>
    <w:rsid w:val="00D8381D"/>
    <w:rsid w:val="00DD180C"/>
    <w:rsid w:val="00DE792C"/>
    <w:rsid w:val="00E21865"/>
    <w:rsid w:val="00E263C9"/>
    <w:rsid w:val="00E35AD6"/>
    <w:rsid w:val="00E55B80"/>
    <w:rsid w:val="00E82CD9"/>
    <w:rsid w:val="00E84F3C"/>
    <w:rsid w:val="00EB7453"/>
    <w:rsid w:val="00EC5E27"/>
    <w:rsid w:val="00ED25D0"/>
    <w:rsid w:val="00EE55C7"/>
    <w:rsid w:val="00F1090C"/>
    <w:rsid w:val="00F1759D"/>
    <w:rsid w:val="00F45574"/>
    <w:rsid w:val="00F73431"/>
    <w:rsid w:val="00F83364"/>
    <w:rsid w:val="00F92D1E"/>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22E0-0AC4-4B39-9303-0C7840E0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3392</Words>
  <Characters>19680</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8</cp:revision>
  <cp:lastPrinted>2024-07-17T11:34:00Z</cp:lastPrinted>
  <dcterms:created xsi:type="dcterms:W3CDTF">2024-07-17T11:07:00Z</dcterms:created>
  <dcterms:modified xsi:type="dcterms:W3CDTF">2024-07-17T11:34:00Z</dcterms:modified>
</cp:coreProperties>
</file>