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662041">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10757119" w:rsidR="004F2B32" w:rsidRPr="00936699" w:rsidRDefault="00DE792C" w:rsidP="00662041">
      <w:pPr>
        <w:keepNext/>
        <w:spacing w:after="0" w:line="360" w:lineRule="auto"/>
        <w:rPr>
          <w:rFonts w:ascii="Trebuchet MS" w:hAnsi="Trebuchet MS"/>
          <w:b/>
        </w:rPr>
      </w:pPr>
      <w:r w:rsidRPr="00936699">
        <w:rPr>
          <w:rFonts w:ascii="Trebuchet MS" w:hAnsi="Trebuchet MS"/>
          <w:b/>
        </w:rPr>
        <w:t xml:space="preserve">Nr. </w:t>
      </w:r>
      <w:r w:rsidR="00726D39">
        <w:rPr>
          <w:rFonts w:ascii="Trebuchet MS" w:hAnsi="Trebuchet MS"/>
          <w:b/>
          <w:bCs/>
          <w:lang w:val="en-US"/>
        </w:rPr>
        <w:t>4616</w:t>
      </w:r>
      <w:r w:rsidR="00C04BF2" w:rsidRPr="00936699">
        <w:rPr>
          <w:rFonts w:ascii="Trebuchet MS" w:hAnsi="Trebuchet MS"/>
          <w:b/>
        </w:rPr>
        <w:t>/</w:t>
      </w:r>
    </w:p>
    <w:p w14:paraId="39AA4A31" w14:textId="460FE6AF" w:rsidR="00B8788B" w:rsidRDefault="004F2B32" w:rsidP="00662041">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6B11ABC0" w14:textId="77777777" w:rsidR="00726D39" w:rsidRDefault="00726D39" w:rsidP="00662041">
      <w:pPr>
        <w:keepNext/>
        <w:spacing w:after="0" w:line="240" w:lineRule="auto"/>
        <w:jc w:val="center"/>
        <w:rPr>
          <w:rFonts w:ascii="Trebuchet MS" w:eastAsia="Calibri" w:hAnsi="Trebuchet MS" w:cs="Arial"/>
          <w:b/>
          <w14:ligatures w14:val="none"/>
        </w:rPr>
      </w:pPr>
    </w:p>
    <w:p w14:paraId="74B02717" w14:textId="77777777" w:rsidR="00BF19A0" w:rsidRDefault="00BF19A0" w:rsidP="00662041">
      <w:pPr>
        <w:keepNext/>
        <w:spacing w:after="0" w:line="240" w:lineRule="auto"/>
        <w:jc w:val="center"/>
        <w:rPr>
          <w:rFonts w:ascii="Trebuchet MS" w:eastAsia="Calibri" w:hAnsi="Trebuchet MS" w:cs="Arial"/>
          <w:b/>
          <w14:ligatures w14:val="none"/>
        </w:rPr>
      </w:pPr>
    </w:p>
    <w:p w14:paraId="515996A1" w14:textId="60FDE3D2" w:rsidR="004F2B32" w:rsidRPr="004F2B32" w:rsidRDefault="004F2B32" w:rsidP="00662041">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726D39" w:rsidRPr="00726D39">
        <w:rPr>
          <w:rFonts w:ascii="Trebuchet MS" w:eastAsia="Calibri" w:hAnsi="Trebuchet MS" w:cs="Arial"/>
          <w:b/>
          <w:lang w:val="en-US"/>
          <w14:ligatures w14:val="none"/>
        </w:rPr>
        <w:t>AMICII 3 CONSTRUCTIMOB SRL</w:t>
      </w:r>
      <w:r w:rsidR="00E90D0D" w:rsidRPr="00E90D0D">
        <w:rPr>
          <w:rFonts w:ascii="Trebuchet MS" w:eastAsia="Calibri" w:hAnsi="Trebuchet MS" w:cs="Arial"/>
          <w:b/>
          <w:lang w:val="en-US"/>
          <w14:ligatures w14:val="none"/>
        </w:rPr>
        <w:t xml:space="preserve">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ED281F" w:rsidRPr="00ED281F">
        <w:rPr>
          <w:rFonts w:ascii="Trebuchet MS" w:eastAsia="Calibri" w:hAnsi="Trebuchet MS" w:cs="Arial"/>
          <w14:ligatures w14:val="none"/>
        </w:rPr>
        <w:t xml:space="preserve">sediul </w:t>
      </w:r>
      <w:r w:rsidR="00ED281F" w:rsidRPr="00ED281F">
        <w:rPr>
          <w:rFonts w:ascii="Trebuchet MS" w:eastAsia="Calibri" w:hAnsi="Trebuchet MS" w:cs="Arial"/>
          <w:lang w:val="en-US"/>
          <w14:ligatures w14:val="none"/>
        </w:rPr>
        <w:t xml:space="preserve">in </w:t>
      </w:r>
      <w:r w:rsidR="00E90D0D" w:rsidRPr="00E90D0D">
        <w:rPr>
          <w:rFonts w:ascii="Trebuchet MS" w:eastAsia="Calibri" w:hAnsi="Trebuchet MS" w:cs="Arial"/>
          <w:lang w:val="en-US"/>
          <w14:ligatures w14:val="none"/>
        </w:rPr>
        <w:t>judetul Ilfov</w:t>
      </w:r>
      <w:r w:rsidR="006754A9">
        <w:rPr>
          <w:rFonts w:ascii="Trebuchet MS" w:eastAsia="Calibri" w:hAnsi="Trebuchet MS" w:cs="Arial"/>
          <w14:ligatures w14:val="none"/>
        </w:rPr>
        <w:t>, oras Magurele, str. Codrului</w:t>
      </w:r>
      <w:r w:rsidR="00E90D0D" w:rsidRPr="00E90D0D">
        <w:rPr>
          <w:rFonts w:ascii="Trebuchet MS" w:eastAsia="Calibri" w:hAnsi="Trebuchet MS" w:cs="Arial"/>
          <w14:ligatures w14:val="none"/>
        </w:rPr>
        <w:t xml:space="preserve">, nr. </w:t>
      </w:r>
      <w:r w:rsidR="006754A9">
        <w:rPr>
          <w:rFonts w:ascii="Trebuchet MS" w:eastAsia="Calibri" w:hAnsi="Trebuchet MS" w:cs="Arial"/>
          <w14:ligatures w14:val="none"/>
        </w:rPr>
        <w:t>27</w:t>
      </w:r>
      <w:r w:rsidR="00881F43" w:rsidRPr="00881F43">
        <w:rPr>
          <w:rFonts w:ascii="Trebuchet MS" w:eastAsia="Calibri" w:hAnsi="Trebuchet MS" w:cs="Arial"/>
          <w:lang w:val="en-US"/>
          <w14:ligatures w14:val="none"/>
        </w:rPr>
        <w:t>,</w:t>
      </w:r>
      <w:r w:rsidR="006754A9">
        <w:rPr>
          <w:rFonts w:ascii="Trebuchet MS" w:eastAsia="Calibri" w:hAnsi="Trebuchet MS" w:cs="Arial"/>
          <w:lang w:val="en-US"/>
          <w14:ligatures w14:val="none"/>
        </w:rPr>
        <w:t xml:space="preserve"> bl. C7,et. 1, ap. 9,</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726D39">
        <w:rPr>
          <w:rFonts w:ascii="Trebuchet MS" w:eastAsia="Calibri" w:hAnsi="Trebuchet MS" w:cs="Arial"/>
          <w:bCs/>
          <w:lang w:val="en-US"/>
          <w14:ligatures w14:val="none"/>
        </w:rPr>
        <w:t>4616</w:t>
      </w:r>
      <w:r w:rsidR="00726D39">
        <w:rPr>
          <w:rFonts w:ascii="Trebuchet MS" w:eastAsia="Calibri" w:hAnsi="Trebuchet MS" w:cs="Arial"/>
          <w:bCs/>
          <w14:ligatures w14:val="none"/>
        </w:rPr>
        <w:t>/07.03.2023</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662041">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662041">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662041">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580AE35C" w:rsidR="004F2B32" w:rsidRPr="006754A9" w:rsidRDefault="004F2B32" w:rsidP="00662041">
      <w:pPr>
        <w:keepNext/>
        <w:spacing w:after="0" w:line="240" w:lineRule="auto"/>
        <w:jc w:val="both"/>
        <w:outlineLvl w:val="0"/>
        <w:rPr>
          <w:rFonts w:ascii="Trebuchet MS" w:eastAsia="Calibri" w:hAnsi="Trebuchet MS" w:cs="Arial"/>
          <w:b/>
          <w:color w:val="000000"/>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6754A9">
        <w:rPr>
          <w:rFonts w:ascii="Trebuchet MS" w:eastAsia="Calibri" w:hAnsi="Trebuchet MS" w:cs="Arial"/>
          <w14:ligatures w14:val="none"/>
        </w:rPr>
        <w:t>e Analiză Tehnică din data de 24.07</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6754A9" w:rsidRPr="006754A9">
        <w:rPr>
          <w:rFonts w:ascii="Trebuchet MS" w:eastAsia="Calibri" w:hAnsi="Trebuchet MS" w:cs="Arial"/>
          <w:b/>
          <w:i/>
          <w:color w:val="000000"/>
          <w:lang w:val="en-US"/>
          <w14:ligatures w14:val="none"/>
        </w:rPr>
        <w:t>Actualizare C.U. nr. 57/26.01.2023 – construire imobil corp C1 (5 apartamente) si corp C2 (5 apartamente), imprejmuire, bransamente, utilitati”</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6754A9" w:rsidRPr="006754A9">
        <w:rPr>
          <w:rFonts w:ascii="Trebuchet MS" w:eastAsia="Calibri" w:hAnsi="Trebuchet MS" w:cs="Arial"/>
          <w:b/>
          <w:color w:val="000000"/>
          <w14:ligatures w14:val="none"/>
        </w:rPr>
        <w:t xml:space="preserve">oras </w:t>
      </w:r>
      <w:r w:rsidR="006754A9" w:rsidRPr="006754A9">
        <w:rPr>
          <w:rFonts w:ascii="Trebuchet MS" w:eastAsia="Calibri" w:hAnsi="Trebuchet MS" w:cs="Arial"/>
          <w:b/>
          <w:color w:val="000000"/>
          <w:lang w:val="en-US"/>
          <w14:ligatures w14:val="none"/>
        </w:rPr>
        <w:t>Magurele, T 90, P 334/4, 337/3, 337/20, L 2, nr. cad. 72558</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26781F9C" w:rsidR="004F2B32" w:rsidRPr="004F2B32" w:rsidRDefault="004F2B32" w:rsidP="00662041">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 xml:space="preserve">pct. 10 </w:t>
      </w:r>
      <w:r w:rsidR="006754A9">
        <w:rPr>
          <w:rFonts w:ascii="Trebuchet MS" w:eastAsia="Calibri" w:hAnsi="Trebuchet MS" w:cs="Arial"/>
          <w:lang w:val="en-US"/>
          <w14:ligatures w14:val="none"/>
        </w:rPr>
        <w:t>b</w:t>
      </w:r>
      <w:r w:rsidRPr="004F2B32">
        <w:rPr>
          <w:rFonts w:ascii="Trebuchet MS" w:eastAsia="Calibri" w:hAnsi="Trebuchet MS" w:cs="Arial"/>
          <w:lang w:val="en-US"/>
          <w14:ligatures w14:val="none"/>
        </w:rPr>
        <w:t xml:space="preserve"> – </w:t>
      </w:r>
      <w:r w:rsidR="006754A9" w:rsidRPr="006754A9">
        <w:rPr>
          <w:rFonts w:ascii="Trebuchet MS" w:eastAsia="Calibri" w:hAnsi="Trebuchet MS" w:cs="Arial"/>
          <w:lang w:val="en-US"/>
          <w14:ligatures w14:val="none"/>
        </w:rPr>
        <w:t>proiecte de dezvoltare urbană, inclusiv construcția centrelor comerciale și a parcărilor auto publice</w:t>
      </w:r>
      <w:r w:rsidRPr="004F2B32">
        <w:rPr>
          <w:rFonts w:ascii="Trebuchet MS" w:eastAsia="Calibri" w:hAnsi="Trebuchet MS" w:cs="Arial"/>
          <w:color w:val="000000"/>
          <w:lang w:val="en-US"/>
          <w14:ligatures w14:val="none"/>
        </w:rPr>
        <w:t>;</w:t>
      </w:r>
    </w:p>
    <w:p w14:paraId="1ACFE8BF"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662041">
      <w:pPr>
        <w:keepNext/>
        <w:spacing w:after="0" w:line="276"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662041">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231E27E4" w:rsidR="004F2B32" w:rsidRPr="004F2B32" w:rsidRDefault="004F2B32" w:rsidP="00662041">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662041">
        <w:rPr>
          <w:rFonts w:ascii="Trebuchet MS" w:eastAsia="Times New Roman" w:hAnsi="Trebuchet MS" w:cs="Arial"/>
          <w:lang w:eastAsia="ro-RO"/>
          <w14:ligatures w14:val="none"/>
        </w:rPr>
        <w:t>6190/26.06</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662041">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662041">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1D28EFEC" w:rsidR="00131453" w:rsidRDefault="004F2B32" w:rsidP="00662041">
      <w:pPr>
        <w:keepNext/>
        <w:spacing w:after="0" w:line="240" w:lineRule="auto"/>
        <w:jc w:val="both"/>
        <w:rPr>
          <w:rFonts w:ascii="Arial" w:eastAsiaTheme="minorEastAsia" w:hAnsi="Arial" w:cs="Arial"/>
          <w:sz w:val="24"/>
          <w:szCs w:val="24"/>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662041" w:rsidRPr="00662041">
        <w:rPr>
          <w:rFonts w:ascii="Trebuchet MS" w:eastAsia="Times New Roman" w:hAnsi="Trebuchet MS" w:cs="Arial"/>
          <w:bCs/>
          <w:lang w:eastAsia="ro-RO"/>
          <w14:ligatures w14:val="none"/>
        </w:rPr>
        <w:t>3400</w:t>
      </w:r>
      <w:r w:rsidR="00662041" w:rsidRPr="00662041">
        <w:rPr>
          <w:rFonts w:ascii="Trebuchet MS" w:eastAsia="Times New Roman" w:hAnsi="Trebuchet MS" w:cs="Arial"/>
          <w:b/>
          <w:bCs/>
          <w:lang w:eastAsia="ro-RO"/>
          <w14:ligatures w14:val="none"/>
        </w:rPr>
        <w:t xml:space="preserve"> </w:t>
      </w:r>
      <w:r w:rsidR="00662041" w:rsidRPr="00662041">
        <w:rPr>
          <w:rFonts w:ascii="Trebuchet MS" w:eastAsia="Times New Roman" w:hAnsi="Trebuchet MS" w:cs="Arial"/>
          <w:bCs/>
          <w:lang w:eastAsia="ro-RO"/>
          <w14:ligatures w14:val="none"/>
        </w:rPr>
        <w:t xml:space="preserve">mp </w:t>
      </w:r>
      <w:r w:rsidRPr="004F2B32">
        <w:rPr>
          <w:rFonts w:ascii="Trebuchet MS" w:eastAsia="Calibri" w:hAnsi="Trebuchet MS" w:cs="Arial"/>
          <w14:ligatures w14:val="none"/>
        </w:rPr>
        <w:t xml:space="preserve">si va consta in </w:t>
      </w:r>
      <w:r w:rsidR="00662041">
        <w:rPr>
          <w:rFonts w:ascii="Trebuchet MS" w:eastAsia="Calibri" w:hAnsi="Trebuchet MS" w:cs="Arial"/>
          <w14:ligatures w14:val="none"/>
        </w:rPr>
        <w:t>a</w:t>
      </w:r>
      <w:r w:rsidR="00662041" w:rsidRPr="00662041">
        <w:rPr>
          <w:rFonts w:ascii="Trebuchet MS" w:eastAsia="Calibri" w:hAnsi="Trebuchet MS" w:cs="Arial"/>
          <w:b/>
          <w:lang w:val="en-US"/>
          <w14:ligatures w14:val="none"/>
        </w:rPr>
        <w:t>ctualizare C.U. nr. 57/26.01.2023 – construire imobil corp C1 (5 apartamente) si corp C2 (5 apartamente), imprejmuire, bransamente, utilitati</w:t>
      </w:r>
      <w:r w:rsidR="00556C4A" w:rsidRPr="00E90D0D">
        <w:rPr>
          <w:rFonts w:ascii="Trebuchet MS" w:eastAsia="Times New Roman" w:hAnsi="Trebuchet MS" w:cs="Arial"/>
          <w:lang w:val="en-US" w:eastAsia="ro-RO"/>
          <w14:ligatures w14:val="none"/>
        </w:rPr>
        <w:t>.</w:t>
      </w:r>
      <w:r w:rsidR="00131453" w:rsidRPr="00E90D0D">
        <w:rPr>
          <w:rFonts w:ascii="Arial" w:eastAsiaTheme="minorEastAsia" w:hAnsi="Arial" w:cs="Arial"/>
          <w:sz w:val="24"/>
          <w:szCs w:val="24"/>
          <w:lang w:val="en-US" w:eastAsia="ro-RO"/>
          <w14:ligatures w14:val="none"/>
        </w:rPr>
        <w:t xml:space="preserve"> </w:t>
      </w:r>
    </w:p>
    <w:p w14:paraId="5B8CEDFC" w14:textId="5C527FA6" w:rsidR="00662041" w:rsidRPr="00662041" w:rsidRDefault="00662041" w:rsidP="00662041">
      <w:pPr>
        <w:keepNext/>
        <w:spacing w:after="0" w:line="240" w:lineRule="auto"/>
        <w:ind w:left="720"/>
        <w:jc w:val="both"/>
        <w:rPr>
          <w:rFonts w:ascii="Trebuchet MS" w:eastAsiaTheme="minorEastAsia" w:hAnsi="Trebuchet MS" w:cs="Arial"/>
          <w:b/>
          <w:lang w:eastAsia="ro-RO"/>
          <w14:ligatures w14:val="none"/>
        </w:rPr>
      </w:pPr>
      <w:r w:rsidRPr="00662041">
        <w:rPr>
          <w:rFonts w:ascii="Trebuchet MS" w:eastAsiaTheme="minorEastAsia" w:hAnsi="Trebuchet MS" w:cs="Arial"/>
          <w:b/>
          <w:lang w:val="en-US" w:eastAsia="ro-RO"/>
          <w14:ligatures w14:val="none"/>
        </w:rPr>
        <w:t>Bilant teritorial:</w:t>
      </w:r>
    </w:p>
    <w:p w14:paraId="15D24390" w14:textId="53BB8292" w:rsidR="00662041" w:rsidRPr="00662041" w:rsidRDefault="00662041" w:rsidP="00662041">
      <w:pPr>
        <w:keepNext/>
        <w:numPr>
          <w:ilvl w:val="0"/>
          <w:numId w:val="15"/>
        </w:numPr>
        <w:spacing w:after="0" w:line="240" w:lineRule="auto"/>
        <w:jc w:val="both"/>
        <w:rPr>
          <w:rFonts w:ascii="Trebuchet MS" w:eastAsiaTheme="minorEastAsia" w:hAnsi="Trebuchet MS" w:cs="Arial"/>
          <w:b/>
          <w:lang w:eastAsia="ro-RO"/>
          <w14:ligatures w14:val="none"/>
        </w:rPr>
      </w:pPr>
      <w:r w:rsidRPr="00662041">
        <w:rPr>
          <w:rFonts w:ascii="Trebuchet MS" w:eastAsiaTheme="minorEastAsia" w:hAnsi="Trebuchet MS" w:cs="Arial"/>
          <w:lang w:eastAsia="ro-RO"/>
          <w14:ligatures w14:val="none"/>
        </w:rPr>
        <w:t>Suprafata teren</w:t>
      </w:r>
      <w:r w:rsidRPr="00662041">
        <w:rPr>
          <w:rFonts w:ascii="Trebuchet MS" w:eastAsiaTheme="minorEastAsia" w:hAnsi="Trebuchet MS" w:cs="Arial"/>
          <w:lang w:eastAsia="ro-RO"/>
          <w14:ligatures w14:val="none"/>
        </w:rPr>
        <w:tab/>
      </w:r>
      <w:r w:rsidRPr="00662041">
        <w:rPr>
          <w:rFonts w:ascii="Trebuchet MS" w:eastAsiaTheme="minorEastAsia" w:hAnsi="Trebuchet MS" w:cs="Arial"/>
          <w:lang w:eastAsia="ro-RO"/>
          <w14:ligatures w14:val="none"/>
        </w:rPr>
        <w:tab/>
      </w:r>
      <w:r w:rsidRPr="00662041">
        <w:rPr>
          <w:rFonts w:ascii="Trebuchet MS" w:eastAsiaTheme="minorEastAsia" w:hAnsi="Trebuchet MS" w:cs="Arial"/>
          <w:lang w:eastAsia="ro-RO"/>
          <w14:ligatures w14:val="none"/>
        </w:rPr>
        <w:tab/>
        <w:t>=</w:t>
      </w:r>
      <w:r w:rsidRPr="00662041">
        <w:rPr>
          <w:rFonts w:ascii="Trebuchet MS" w:eastAsiaTheme="minorEastAsia" w:hAnsi="Trebuchet MS" w:cs="Arial"/>
          <w:lang w:eastAsia="ro-RO"/>
          <w14:ligatures w14:val="none"/>
        </w:rPr>
        <w:tab/>
      </w:r>
      <w:r w:rsidRPr="00662041">
        <w:rPr>
          <w:rFonts w:ascii="Trebuchet MS" w:eastAsiaTheme="minorEastAsia" w:hAnsi="Trebuchet MS" w:cs="Arial"/>
          <w:lang w:eastAsia="ro-RO"/>
          <w14:ligatures w14:val="none"/>
        </w:rPr>
        <w:tab/>
        <w:t>3400</w:t>
      </w:r>
      <w:r w:rsidRPr="00662041">
        <w:rPr>
          <w:rFonts w:ascii="Trebuchet MS" w:eastAsiaTheme="minorEastAsia" w:hAnsi="Trebuchet MS" w:cs="Arial"/>
          <w:b/>
          <w:lang w:eastAsia="ro-RO"/>
          <w14:ligatures w14:val="none"/>
        </w:rPr>
        <w:t xml:space="preserve"> </w:t>
      </w:r>
      <w:r w:rsidRPr="00662041">
        <w:rPr>
          <w:rFonts w:ascii="Trebuchet MS" w:eastAsiaTheme="minorEastAsia" w:hAnsi="Trebuchet MS" w:cs="Arial"/>
          <w:lang w:eastAsia="ro-RO"/>
          <w14:ligatures w14:val="none"/>
        </w:rPr>
        <w:t>mp</w:t>
      </w:r>
    </w:p>
    <w:p w14:paraId="3E76A9A7"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lastRenderedPageBreak/>
        <w:t xml:space="preserve">Arie construita C1 -414.3mp </w:t>
      </w:r>
    </w:p>
    <w:p w14:paraId="69574A4D"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 xml:space="preserve">Arie construita C2 -414.3mp </w:t>
      </w:r>
    </w:p>
    <w:p w14:paraId="54CA559F"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 xml:space="preserve">Arie construita desfasurata C1 -693.15 mp </w:t>
      </w:r>
    </w:p>
    <w:p w14:paraId="714392F2"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 xml:space="preserve">Arie construita desfasurata C2 -693.15mp </w:t>
      </w:r>
    </w:p>
    <w:p w14:paraId="4869341E"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 xml:space="preserve">Arie construita (C1+C2)- 828.6mp </w:t>
      </w:r>
    </w:p>
    <w:p w14:paraId="07013373"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 xml:space="preserve">Arie construita desfasurata (C1+C2) -1386.3mp </w:t>
      </w:r>
    </w:p>
    <w:p w14:paraId="541F805E"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Aria betonata (include circulația carosabilă, locurile de</w:t>
      </w:r>
    </w:p>
    <w:p w14:paraId="578C7BD3"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 xml:space="preserve">parcare și alei pietonale) -1551.4 mp </w:t>
      </w:r>
    </w:p>
    <w:p w14:paraId="43773A26" w14:textId="77777777" w:rsidR="00662041" w:rsidRPr="00662041" w:rsidRDefault="00662041" w:rsidP="00662041">
      <w:pPr>
        <w:keepNext/>
        <w:spacing w:after="0" w:line="240" w:lineRule="auto"/>
        <w:jc w:val="both"/>
        <w:rPr>
          <w:rFonts w:ascii="Trebuchet MS" w:eastAsiaTheme="minorEastAsia" w:hAnsi="Trebuchet MS" w:cs="Arial"/>
          <w:lang w:eastAsia="ro-RO"/>
          <w14:ligatures w14:val="none"/>
        </w:rPr>
      </w:pPr>
      <w:r w:rsidRPr="00662041">
        <w:rPr>
          <w:rFonts w:ascii="Trebuchet MS" w:eastAsiaTheme="minorEastAsia" w:hAnsi="Trebuchet MS" w:cs="Arial"/>
          <w:lang w:eastAsia="ro-RO"/>
          <w14:ligatures w14:val="none"/>
        </w:rPr>
        <w:t>Aria spații verzi- 1020 mp 30,00%</w:t>
      </w:r>
    </w:p>
    <w:p w14:paraId="335CCCAF" w14:textId="5ACC234D" w:rsidR="004F2B32" w:rsidRPr="004F2B32" w:rsidRDefault="004F2B32" w:rsidP="00662041">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3C2D464D" w14:textId="77777777" w:rsidR="0090417C" w:rsidRPr="0090417C" w:rsidRDefault="0090417C" w:rsidP="0090417C">
      <w:pPr>
        <w:keepNext/>
        <w:spacing w:after="0" w:line="240" w:lineRule="auto"/>
        <w:jc w:val="both"/>
        <w:rPr>
          <w:rFonts w:ascii="Trebuchet MS" w:eastAsia="Times New Roman" w:hAnsi="Trebuchet MS" w:cs="Century Gothic"/>
          <w:b/>
          <w:bCs/>
          <w:color w:val="000000"/>
          <w:lang w:val="en-US" w:eastAsia="ro-RO"/>
          <w14:ligatures w14:val="none"/>
        </w:rPr>
      </w:pPr>
      <w:r w:rsidRPr="0090417C">
        <w:rPr>
          <w:rFonts w:ascii="Trebuchet MS" w:eastAsia="Times New Roman" w:hAnsi="Trebuchet MS" w:cs="Century Gothic"/>
          <w:b/>
          <w:bCs/>
          <w:color w:val="000000"/>
          <w:lang w:val="en-US" w:eastAsia="ro-RO"/>
          <w14:ligatures w14:val="none"/>
        </w:rPr>
        <w:t>ALIMENTARE CU APĂ:</w:t>
      </w:r>
    </w:p>
    <w:p w14:paraId="2FEEC8BF" w14:textId="77777777" w:rsidR="0090417C" w:rsidRPr="0090417C" w:rsidRDefault="0090417C" w:rsidP="0090417C">
      <w:pPr>
        <w:keepNext/>
        <w:spacing w:after="0" w:line="240" w:lineRule="auto"/>
        <w:jc w:val="both"/>
        <w:rPr>
          <w:rFonts w:ascii="Trebuchet MS" w:eastAsia="Times New Roman" w:hAnsi="Trebuchet MS" w:cs="Century Gothic"/>
          <w:b/>
          <w:bCs/>
          <w:color w:val="000000"/>
          <w:lang w:val="en-US" w:eastAsia="ro-RO"/>
          <w14:ligatures w14:val="none"/>
        </w:rPr>
      </w:pPr>
      <w:r w:rsidRPr="0090417C">
        <w:rPr>
          <w:rFonts w:ascii="Trebuchet MS" w:eastAsia="Times New Roman" w:hAnsi="Trebuchet MS" w:cs="Century Gothic"/>
          <w:b/>
          <w:bCs/>
          <w:color w:val="000000"/>
          <w:lang w:val="en-US" w:eastAsia="ro-RO"/>
          <w14:ligatures w14:val="none"/>
        </w:rPr>
        <w:t xml:space="preserve"> Surse de alimentare cu apă:</w:t>
      </w:r>
    </w:p>
    <w:p w14:paraId="769819E1" w14:textId="77777777" w:rsidR="0090417C" w:rsidRPr="0090417C" w:rsidRDefault="0090417C" w:rsidP="0090417C">
      <w:pPr>
        <w:keepNext/>
        <w:spacing w:after="0" w:line="240" w:lineRule="auto"/>
        <w:jc w:val="both"/>
        <w:rPr>
          <w:rFonts w:ascii="Trebuchet MS" w:eastAsia="Times New Roman" w:hAnsi="Trebuchet MS" w:cs="Century Gothic"/>
          <w:bCs/>
          <w:color w:val="000000"/>
          <w:lang w:val="en-US" w:eastAsia="ro-RO"/>
          <w14:ligatures w14:val="none"/>
        </w:rPr>
      </w:pPr>
      <w:r w:rsidRPr="0090417C">
        <w:rPr>
          <w:rFonts w:ascii="Segoe UI Symbol" w:eastAsia="Times New Roman" w:hAnsi="Segoe UI Symbol" w:cs="Segoe UI Symbol"/>
          <w:b/>
          <w:bCs/>
          <w:color w:val="000000"/>
          <w:lang w:val="en-US" w:eastAsia="ro-RO"/>
          <w14:ligatures w14:val="none"/>
        </w:rPr>
        <w:t>➢</w:t>
      </w:r>
      <w:r w:rsidRPr="0090417C">
        <w:rPr>
          <w:rFonts w:ascii="Trebuchet MS" w:eastAsia="Times New Roman" w:hAnsi="Trebuchet MS" w:cs="Century Gothic"/>
          <w:bCs/>
          <w:color w:val="000000"/>
          <w:lang w:val="en-US" w:eastAsia="ro-RO"/>
          <w14:ligatures w14:val="none"/>
        </w:rPr>
        <w:t>rețeaua publică de alimentare cu apă, în momentul extinderii acesteia în zona amplasamentului, ce va fi folosită în scop igienico-sanitar,</w:t>
      </w:r>
    </w:p>
    <w:p w14:paraId="4425CC6B" w14:textId="3506FF8B" w:rsidR="0090417C" w:rsidRPr="0090417C" w:rsidRDefault="0090417C" w:rsidP="0090417C">
      <w:pPr>
        <w:keepNext/>
        <w:spacing w:after="0" w:line="240" w:lineRule="auto"/>
        <w:jc w:val="both"/>
        <w:rPr>
          <w:rFonts w:ascii="Trebuchet MS" w:eastAsia="Times New Roman" w:hAnsi="Trebuchet MS" w:cs="Century Gothic"/>
          <w:bCs/>
          <w:color w:val="000000"/>
          <w:lang w:val="en-US" w:eastAsia="ro-RO"/>
          <w14:ligatures w14:val="none"/>
        </w:rPr>
      </w:pPr>
      <w:r w:rsidRPr="0090417C">
        <w:rPr>
          <w:rFonts w:ascii="Segoe UI Symbol" w:eastAsia="Times New Roman" w:hAnsi="Segoe UI Symbol" w:cs="Segoe UI Symbol"/>
          <w:bCs/>
          <w:color w:val="000000"/>
          <w:lang w:val="en-US" w:eastAsia="ro-RO"/>
          <w14:ligatures w14:val="none"/>
        </w:rPr>
        <w:t>➢</w:t>
      </w:r>
      <w:r w:rsidRPr="0090417C">
        <w:rPr>
          <w:rFonts w:ascii="Trebuchet MS" w:eastAsia="Times New Roman" w:hAnsi="Trebuchet MS" w:cs="Century Gothic"/>
          <w:bCs/>
          <w:color w:val="000000"/>
          <w:lang w:val="en-US" w:eastAsia="ro-RO"/>
          <w14:ligatures w14:val="none"/>
        </w:rPr>
        <w:t>subteran, prin intermediul unui foraj proiectat cu H=25m, ce va fi folosit pentru organizarea de șantier și întreținerea spațiilor verzi din incintă</w:t>
      </w:r>
      <w:r>
        <w:rPr>
          <w:rFonts w:ascii="Trebuchet MS" w:eastAsia="Times New Roman" w:hAnsi="Trebuchet MS" w:cs="Century Gothic"/>
          <w:bCs/>
          <w:color w:val="000000"/>
          <w:lang w:val="en-US" w:eastAsia="ro-RO"/>
          <w14:ligatures w14:val="none"/>
        </w:rPr>
        <w:t>.</w:t>
      </w:r>
    </w:p>
    <w:p w14:paraId="791FEC20" w14:textId="77777777" w:rsidR="0090417C" w:rsidRPr="0090417C" w:rsidRDefault="0090417C" w:rsidP="0090417C">
      <w:pPr>
        <w:keepNext/>
        <w:spacing w:after="0" w:line="240" w:lineRule="auto"/>
        <w:jc w:val="both"/>
        <w:rPr>
          <w:rFonts w:ascii="Trebuchet MS" w:eastAsia="Times New Roman" w:hAnsi="Trebuchet MS" w:cs="Century Gothic"/>
          <w:b/>
          <w:bCs/>
          <w:color w:val="000000"/>
          <w:lang w:val="en-US" w:eastAsia="ro-RO"/>
          <w14:ligatures w14:val="none"/>
        </w:rPr>
      </w:pPr>
      <w:r w:rsidRPr="0090417C">
        <w:rPr>
          <w:rFonts w:ascii="Trebuchet MS" w:eastAsia="Times New Roman" w:hAnsi="Trebuchet MS" w:cs="Century Gothic"/>
          <w:b/>
          <w:bCs/>
          <w:color w:val="000000"/>
          <w:lang w:val="en-US" w:eastAsia="ro-RO"/>
          <w14:ligatures w14:val="none"/>
        </w:rPr>
        <w:t>Captarea apei:</w:t>
      </w:r>
    </w:p>
    <w:p w14:paraId="58B27DDC" w14:textId="77777777" w:rsidR="0090417C" w:rsidRPr="0090417C" w:rsidRDefault="0090417C" w:rsidP="0090417C">
      <w:pPr>
        <w:keepNext/>
        <w:spacing w:after="0" w:line="240" w:lineRule="auto"/>
        <w:jc w:val="both"/>
        <w:rPr>
          <w:rFonts w:ascii="Trebuchet MS" w:eastAsia="Times New Roman" w:hAnsi="Trebuchet MS" w:cs="Arial"/>
          <w:lang w:eastAsia="ro-RO"/>
          <w14:ligatures w14:val="none"/>
        </w:rPr>
      </w:pPr>
      <w:r w:rsidRPr="0090417C">
        <w:rPr>
          <w:rFonts w:ascii="Trebuchet MS" w:eastAsia="Times New Roman" w:hAnsi="Trebuchet MS" w:cs="Century Gothic"/>
          <w:bCs/>
          <w:color w:val="000000"/>
          <w:lang w:val="en-US" w:eastAsia="ro-RO"/>
          <w14:ligatures w14:val="none"/>
        </w:rPr>
        <w:t>- branșament la rețeaua publică de alimentare cu apă, ce va fi folosit pentru consum igienico-sanitar</w:t>
      </w:r>
      <w:r w:rsidRPr="0090417C">
        <w:rPr>
          <w:rFonts w:ascii="Trebuchet MS" w:eastAsia="Times New Roman" w:hAnsi="Trebuchet MS" w:cs="Arial"/>
          <w:lang w:eastAsia="ro-RO"/>
          <w14:ligatures w14:val="none"/>
        </w:rPr>
        <w:t>.</w:t>
      </w:r>
    </w:p>
    <w:p w14:paraId="52935309" w14:textId="00730E24" w:rsidR="0090417C" w:rsidRPr="0090417C" w:rsidRDefault="0090417C" w:rsidP="0090417C">
      <w:pPr>
        <w:keepNext/>
        <w:spacing w:after="0" w:line="240" w:lineRule="auto"/>
        <w:jc w:val="both"/>
        <w:rPr>
          <w:rFonts w:ascii="Trebuchet MS" w:eastAsia="Times New Roman" w:hAnsi="Trebuchet MS" w:cs="Arial"/>
          <w:lang w:eastAsia="ro-RO"/>
          <w14:ligatures w14:val="none"/>
        </w:rPr>
      </w:pPr>
      <w:r w:rsidRPr="0090417C">
        <w:rPr>
          <w:rFonts w:ascii="Trebuchet MS" w:eastAsia="Times New Roman" w:hAnsi="Trebuchet MS" w:cs="Arial"/>
          <w:lang w:eastAsia="ro-RO"/>
          <w14:ligatures w14:val="none"/>
        </w:rPr>
        <w:t>- foraj de alimentare cu apă F1 proiectat cu H=25m ce va fi folosit pentru organizarea de șantier și întreținerea spațiilor verzi din incintă</w:t>
      </w:r>
      <w:r>
        <w:rPr>
          <w:rFonts w:ascii="Trebuchet MS" w:eastAsia="Times New Roman" w:hAnsi="Trebuchet MS" w:cs="Arial"/>
          <w:lang w:eastAsia="ro-RO"/>
          <w14:ligatures w14:val="none"/>
        </w:rPr>
        <w:t>.</w:t>
      </w:r>
    </w:p>
    <w:p w14:paraId="78E5729B" w14:textId="77777777" w:rsidR="0090417C" w:rsidRPr="0090417C" w:rsidRDefault="0090417C" w:rsidP="0090417C">
      <w:pPr>
        <w:keepNext/>
        <w:spacing w:after="0" w:line="240" w:lineRule="auto"/>
        <w:jc w:val="both"/>
        <w:rPr>
          <w:rFonts w:ascii="Trebuchet MS" w:eastAsia="Times New Roman" w:hAnsi="Trebuchet MS" w:cs="Arial"/>
          <w:b/>
          <w:lang w:eastAsia="ro-RO"/>
          <w14:ligatures w14:val="none"/>
        </w:rPr>
      </w:pPr>
      <w:r w:rsidRPr="0090417C">
        <w:rPr>
          <w:rFonts w:ascii="Trebuchet MS" w:eastAsia="Times New Roman" w:hAnsi="Trebuchet MS" w:cs="Arial"/>
          <w:lang w:eastAsia="ro-RO"/>
          <w14:ligatures w14:val="none"/>
        </w:rPr>
        <w:t xml:space="preserve"> </w:t>
      </w:r>
      <w:r w:rsidRPr="0090417C">
        <w:rPr>
          <w:rFonts w:ascii="Trebuchet MS" w:eastAsia="Times New Roman" w:hAnsi="Trebuchet MS" w:cs="Arial"/>
          <w:b/>
          <w:lang w:eastAsia="ro-RO"/>
          <w14:ligatures w14:val="none"/>
        </w:rPr>
        <w:t>Distribuția apei:</w:t>
      </w:r>
    </w:p>
    <w:p w14:paraId="156AAB8F" w14:textId="77777777" w:rsidR="0090417C" w:rsidRPr="0090417C" w:rsidRDefault="0090417C" w:rsidP="0090417C">
      <w:pPr>
        <w:keepNext/>
        <w:spacing w:after="0" w:line="240" w:lineRule="auto"/>
        <w:jc w:val="both"/>
        <w:rPr>
          <w:rFonts w:ascii="Trebuchet MS" w:eastAsia="Times New Roman" w:hAnsi="Trebuchet MS" w:cs="Arial"/>
          <w:lang w:eastAsia="ro-RO"/>
          <w14:ligatures w14:val="none"/>
        </w:rPr>
      </w:pPr>
      <w:r w:rsidRPr="0090417C">
        <w:rPr>
          <w:rFonts w:ascii="Trebuchet MS" w:eastAsia="Times New Roman" w:hAnsi="Trebuchet MS" w:cs="Arial"/>
          <w:lang w:eastAsia="ro-RO"/>
          <w14:ligatures w14:val="none"/>
        </w:rPr>
        <w:t>Rețeaua de distribuție a apei preluată din subteran, va fi realizată din conducte de PEHD cu Dn=32mm și L=140m.</w:t>
      </w:r>
    </w:p>
    <w:p w14:paraId="38443B2E" w14:textId="77777777" w:rsidR="0090417C" w:rsidRPr="0090417C" w:rsidRDefault="0090417C" w:rsidP="0090417C">
      <w:pPr>
        <w:keepNext/>
        <w:spacing w:after="0" w:line="240" w:lineRule="auto"/>
        <w:jc w:val="both"/>
        <w:rPr>
          <w:rFonts w:ascii="Trebuchet MS" w:eastAsia="Times New Roman" w:hAnsi="Trebuchet MS" w:cs="Arial"/>
          <w:b/>
          <w:lang w:eastAsia="ro-RO"/>
          <w14:ligatures w14:val="none"/>
        </w:rPr>
      </w:pPr>
      <w:r w:rsidRPr="0090417C">
        <w:rPr>
          <w:rFonts w:ascii="Trebuchet MS" w:eastAsia="Times New Roman" w:hAnsi="Trebuchet MS" w:cs="Arial"/>
          <w:b/>
          <w:lang w:eastAsia="ro-RO"/>
          <w14:ligatures w14:val="none"/>
        </w:rPr>
        <w:t>EVACUAREA APELOR UZATE:</w:t>
      </w:r>
    </w:p>
    <w:p w14:paraId="2C9F3053" w14:textId="77777777" w:rsidR="0090417C" w:rsidRPr="0090417C" w:rsidRDefault="0090417C" w:rsidP="0090417C">
      <w:pPr>
        <w:keepNext/>
        <w:spacing w:after="0" w:line="240" w:lineRule="auto"/>
        <w:jc w:val="both"/>
        <w:rPr>
          <w:rFonts w:ascii="Trebuchet MS" w:eastAsia="Times New Roman" w:hAnsi="Trebuchet MS" w:cs="Arial"/>
          <w:lang w:eastAsia="ro-RO"/>
          <w14:ligatures w14:val="none"/>
        </w:rPr>
      </w:pPr>
      <w:r w:rsidRPr="0090417C">
        <w:rPr>
          <w:rFonts w:ascii="Trebuchet MS" w:eastAsia="Times New Roman" w:hAnsi="Trebuchet MS" w:cs="Arial"/>
          <w:b/>
          <w:lang w:eastAsia="ro-RO"/>
          <w14:ligatures w14:val="none"/>
        </w:rPr>
        <w:t>Apele uzate menajere</w:t>
      </w:r>
      <w:r w:rsidRPr="0090417C">
        <w:rPr>
          <w:rFonts w:ascii="Trebuchet MS" w:eastAsia="Times New Roman" w:hAnsi="Trebuchet MS" w:cs="Arial"/>
          <w:lang w:eastAsia="ro-RO"/>
          <w14:ligatures w14:val="none"/>
        </w:rPr>
        <w:t xml:space="preserve"> vor fi evacuate în două bazine vidanjabile etanșe, din beton armat, proiectate cu V1=V2=20m3 fiecare, ce vor fi amplasate în incinta obiectivului.</w:t>
      </w:r>
    </w:p>
    <w:p w14:paraId="720DA71B" w14:textId="77777777" w:rsidR="0090417C" w:rsidRPr="0090417C" w:rsidRDefault="0090417C" w:rsidP="0090417C">
      <w:pPr>
        <w:keepNext/>
        <w:spacing w:after="0" w:line="240" w:lineRule="auto"/>
        <w:jc w:val="both"/>
        <w:rPr>
          <w:rFonts w:ascii="Trebuchet MS" w:eastAsia="Times New Roman" w:hAnsi="Trebuchet MS" w:cs="Arial"/>
          <w:lang w:eastAsia="ro-RO"/>
          <w14:ligatures w14:val="none"/>
        </w:rPr>
      </w:pPr>
      <w:r w:rsidRPr="0090417C">
        <w:rPr>
          <w:rFonts w:ascii="Trebuchet MS" w:eastAsia="Times New Roman" w:hAnsi="Trebuchet MS" w:cs="Arial"/>
          <w:lang w:eastAsia="ro-RO"/>
          <w14:ligatures w14:val="none"/>
        </w:rPr>
        <w:t xml:space="preserve"> </w:t>
      </w:r>
      <w:r w:rsidRPr="0090417C">
        <w:rPr>
          <w:rFonts w:ascii="Trebuchet MS" w:eastAsia="Times New Roman" w:hAnsi="Trebuchet MS" w:cs="Arial"/>
          <w:b/>
          <w:lang w:eastAsia="ro-RO"/>
          <w14:ligatures w14:val="none"/>
        </w:rPr>
        <w:t>Apele pluviale</w:t>
      </w:r>
      <w:r w:rsidRPr="0090417C">
        <w:rPr>
          <w:rFonts w:ascii="Trebuchet MS" w:eastAsia="Times New Roman" w:hAnsi="Trebuchet MS" w:cs="Arial"/>
          <w:lang w:eastAsia="ro-RO"/>
          <w14:ligatures w14:val="none"/>
        </w:rPr>
        <w:t xml:space="preserve"> vor fi evacuate la teren.</w:t>
      </w:r>
    </w:p>
    <w:p w14:paraId="10D0B78A" w14:textId="77777777" w:rsidR="0090417C" w:rsidRPr="0090417C" w:rsidRDefault="0090417C" w:rsidP="0090417C">
      <w:pPr>
        <w:keepNext/>
        <w:spacing w:after="0" w:line="240" w:lineRule="auto"/>
        <w:jc w:val="both"/>
        <w:rPr>
          <w:rFonts w:ascii="Trebuchet MS" w:eastAsia="Times New Roman" w:hAnsi="Trebuchet MS" w:cs="Arial"/>
          <w:b/>
          <w:lang w:eastAsia="ro-RO"/>
          <w14:ligatures w14:val="none"/>
        </w:rPr>
      </w:pPr>
      <w:r w:rsidRPr="0090417C">
        <w:rPr>
          <w:rFonts w:ascii="Trebuchet MS" w:eastAsia="Times New Roman" w:hAnsi="Trebuchet MS" w:cs="Arial"/>
          <w:b/>
          <w:lang w:eastAsia="ro-RO"/>
          <w14:ligatures w14:val="none"/>
        </w:rPr>
        <w:t>Rețeaua de canalizare:</w:t>
      </w:r>
    </w:p>
    <w:p w14:paraId="321DDF02" w14:textId="77777777" w:rsidR="0090417C" w:rsidRPr="0090417C" w:rsidRDefault="0090417C" w:rsidP="0090417C">
      <w:pPr>
        <w:keepNext/>
        <w:spacing w:after="0" w:line="240" w:lineRule="auto"/>
        <w:jc w:val="both"/>
        <w:rPr>
          <w:rFonts w:ascii="Trebuchet MS" w:eastAsia="Times New Roman" w:hAnsi="Trebuchet MS" w:cs="Arial"/>
          <w:lang w:eastAsia="ro-RO"/>
          <w14:ligatures w14:val="none"/>
        </w:rPr>
      </w:pPr>
      <w:r w:rsidRPr="0090417C">
        <w:rPr>
          <w:rFonts w:ascii="Trebuchet MS" w:eastAsia="Times New Roman" w:hAnsi="Trebuchet MS" w:cs="Arial"/>
          <w:lang w:eastAsia="ro-RO"/>
          <w14:ligatures w14:val="none"/>
        </w:rPr>
        <w:t>Rețeaua de canalizare ape uzate menajere va fi realizată din conducte de PVC-KG cu Dn=160mm și L=130m.</w:t>
      </w:r>
    </w:p>
    <w:p w14:paraId="310D3BC0" w14:textId="6070754A"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662041">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662041">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662041">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3BFD8EEF" w:rsidR="004F2B32" w:rsidRPr="00D678B6" w:rsidRDefault="004F2B32" w:rsidP="00662041">
      <w:pPr>
        <w:keepNext/>
        <w:spacing w:after="0" w:line="240" w:lineRule="auto"/>
        <w:jc w:val="both"/>
        <w:rPr>
          <w:rFonts w:ascii="Trebuchet MS" w:eastAsia="Times New Roman" w:hAnsi="Trebuchet MS" w:cs="Arial"/>
          <w:lang w:val="en-US" w:eastAsia="ro-RO"/>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D678B6" w:rsidRPr="00D678B6">
        <w:rPr>
          <w:rFonts w:ascii="Trebuchet MS" w:eastAsia="Times New Roman" w:hAnsi="Trebuchet MS" w:cs="Arial"/>
          <w:lang w:eastAsia="ro-RO"/>
          <w14:ligatures w14:val="none"/>
        </w:rPr>
        <w:t xml:space="preserve">270 din 11.04.2024, emis de Primaria </w:t>
      </w:r>
      <w:r w:rsidR="00D678B6" w:rsidRPr="00D678B6">
        <w:rPr>
          <w:rFonts w:ascii="Trebuchet MS" w:eastAsia="Times New Roman" w:hAnsi="Trebuchet MS" w:cs="Arial"/>
          <w:lang w:val="en-US" w:eastAsia="ro-RO"/>
          <w14:ligatures w14:val="none"/>
        </w:rPr>
        <w:t>orasului Magurele</w:t>
      </w:r>
      <w:r w:rsidR="002B454C" w:rsidRPr="002B454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orasului </w:t>
      </w:r>
      <w:r w:rsidR="00D678B6" w:rsidRPr="00D678B6">
        <w:rPr>
          <w:rFonts w:ascii="Trebuchet MS" w:eastAsia="Calibri" w:hAnsi="Trebuchet MS" w:cs="Arial"/>
          <w:lang w:val="en-US"/>
          <w14:ligatures w14:val="none"/>
        </w:rPr>
        <w:t>Magurele</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D678B6" w:rsidRPr="00D678B6">
        <w:rPr>
          <w:rFonts w:ascii="Trebuchet MS" w:eastAsia="Times New Roman" w:hAnsi="Trebuchet MS" w:cs="Arial"/>
          <w:lang w:eastAsia="ro-RO"/>
          <w14:ligatures w14:val="none"/>
        </w:rPr>
        <w:t xml:space="preserve">2 Lp – zona de locuit, subzona locuintelor individuale si (semi) colective mici cu P-P+2 niveluri situate in noile extinderi sau in eclavele neconstruite, anexe gospodaresti, care nu produc murdarie (garaje, magazii), </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D678B6" w:rsidRPr="00D678B6">
        <w:rPr>
          <w:rFonts w:ascii="Trebuchet MS" w:eastAsia="Times New Roman" w:hAnsi="Trebuchet MS" w:cs="Arial"/>
          <w:lang w:val="en-US" w:eastAsia="ro-RO"/>
          <w14:ligatures w14:val="none"/>
        </w:rPr>
        <w:t>Magurele,</w:t>
      </w:r>
      <w:r w:rsidR="002B454C">
        <w:rPr>
          <w:rFonts w:ascii="Trebuchet MS" w:eastAsia="Times New Roman" w:hAnsi="Trebuchet MS" w:cs="Arial"/>
          <w:lang w:eastAsia="ro-RO"/>
          <w14:ligatures w14:val="none"/>
        </w:rPr>
        <w:t xml:space="preserve"> aprobat cu H.C.L. nr. </w:t>
      </w:r>
      <w:r w:rsidR="00D678B6" w:rsidRPr="00D678B6">
        <w:rPr>
          <w:rFonts w:ascii="Trebuchet MS" w:eastAsia="Times New Roman" w:hAnsi="Trebuchet MS" w:cs="Arial"/>
          <w:lang w:eastAsia="ro-RO"/>
          <w14:ligatures w14:val="none"/>
        </w:rPr>
        <w:t>21/27.05.2008, prelungit prin HCL nr. 34/30.03.2018 si HCL nr. 207/20.12.2018</w:t>
      </w:r>
      <w:r w:rsidRPr="004F2B32">
        <w:rPr>
          <w:rFonts w:ascii="Trebuchet MS" w:eastAsia="Times New Roman" w:hAnsi="Trebuchet MS" w:cs="Arial"/>
          <w:lang w:eastAsia="ro-RO"/>
          <w14:ligatures w14:val="none"/>
        </w:rPr>
        <w:t>.</w:t>
      </w:r>
    </w:p>
    <w:p w14:paraId="4B57663C"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662041">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662041">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662041">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662041">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662041">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662041">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662041">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14EFE26E" w:rsidR="004F2B32" w:rsidRPr="004F2B32" w:rsidRDefault="004F2B32" w:rsidP="00662041">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90417C" w:rsidRPr="0090417C">
        <w:rPr>
          <w:rFonts w:ascii="Trebuchet MS" w:eastAsia="Times New Roman" w:hAnsi="Trebuchet MS" w:cs="Arial"/>
          <w:bCs/>
          <w14:ligatures w14:val="none"/>
        </w:rPr>
        <w:t xml:space="preserve">270 din 11.04.2024, emis de Primaria </w:t>
      </w:r>
      <w:r w:rsidR="0090417C" w:rsidRPr="0090417C">
        <w:rPr>
          <w:rFonts w:ascii="Trebuchet MS" w:eastAsia="Times New Roman" w:hAnsi="Trebuchet MS" w:cs="Arial"/>
          <w:bCs/>
          <w:lang w:val="en-US"/>
          <w14:ligatures w14:val="none"/>
        </w:rPr>
        <w:t>orasului Magurele</w:t>
      </w:r>
      <w:r w:rsidR="00875045" w:rsidRPr="00875045">
        <w:rPr>
          <w:rFonts w:ascii="Trebuchet MS" w:eastAsia="Times New Roman" w:hAnsi="Trebuchet MS" w:cs="Arial"/>
          <w:bCs/>
          <w14:ligatures w14:val="none"/>
        </w:rPr>
        <w:t xml:space="preserve">, emis de Primaria </w:t>
      </w:r>
      <w:r w:rsidR="00DB79D9">
        <w:rPr>
          <w:rFonts w:ascii="Trebuchet MS" w:eastAsia="Times New Roman" w:hAnsi="Trebuchet MS" w:cs="Arial"/>
          <w:bCs/>
          <w14:ligatures w14:val="none"/>
        </w:rPr>
        <w:t xml:space="preserve">orasului </w:t>
      </w:r>
      <w:r w:rsidR="0090417C" w:rsidRPr="0090417C">
        <w:rPr>
          <w:rFonts w:ascii="Trebuchet MS" w:eastAsia="Times New Roman" w:hAnsi="Trebuchet MS" w:cs="Arial"/>
          <w:bCs/>
          <w:lang w:val="en-US"/>
          <w14:ligatures w14:val="none"/>
        </w:rPr>
        <w:t>Magurele</w:t>
      </w:r>
      <w:r w:rsidR="0090417C" w:rsidRPr="0090417C">
        <w:rPr>
          <w:rFonts w:ascii="Trebuchet MS" w:eastAsia="Times New Roman" w:hAnsi="Trebuchet MS" w:cs="Arial"/>
          <w:bCs/>
          <w14:ligatures w14:val="none"/>
        </w:rPr>
        <w:t>,</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41506083"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0B5786" w:rsidRPr="000B5786">
        <w:rPr>
          <w:rFonts w:ascii="Trebuchet MS" w:eastAsia="Times New Roman" w:hAnsi="Trebuchet MS" w:cs="Arial"/>
          <w:bCs/>
          <w:lang w:val="en-US" w:eastAsia="ro-RO"/>
          <w14:ligatures w14:val="none"/>
        </w:rPr>
        <w:t>Magurele</w:t>
      </w:r>
      <w:r w:rsidR="00282603" w:rsidRPr="00282603">
        <w:rPr>
          <w:rFonts w:ascii="Trebuchet MS" w:eastAsia="Times New Roman" w:hAnsi="Trebuchet MS" w:cs="Arial"/>
          <w:lang w:val="pt-BR"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0B5786" w:rsidRPr="000B5786">
        <w:rPr>
          <w:rFonts w:ascii="Trebuchet MS" w:eastAsia="Calibri" w:hAnsi="Trebuchet MS" w:cs="Arial"/>
          <w:bCs/>
          <w:color w:val="000000"/>
          <w:lang w:val="en-US"/>
          <w14:ligatures w14:val="none"/>
        </w:rPr>
        <w:t>Magurele</w:t>
      </w:r>
      <w:r w:rsidRPr="004F2B32">
        <w:rPr>
          <w:rFonts w:ascii="Trebuchet MS" w:eastAsia="Calibri" w:hAnsi="Trebuchet MS" w:cs="Arial"/>
          <w:lang w:val="en-US"/>
          <w14:ligatures w14:val="none"/>
        </w:rPr>
        <w:t xml:space="preserve"> nr. </w:t>
      </w:r>
      <w:r w:rsidR="00E364E6">
        <w:rPr>
          <w:rFonts w:ascii="Trebuchet MS" w:eastAsia="Calibri" w:hAnsi="Trebuchet MS" w:cs="Arial"/>
          <w14:ligatures w14:val="none"/>
        </w:rPr>
        <w:t>21</w:t>
      </w:r>
      <w:r w:rsidR="00F92195" w:rsidRPr="00F92195">
        <w:rPr>
          <w:rFonts w:ascii="Trebuchet MS" w:eastAsia="Calibri" w:hAnsi="Trebuchet MS" w:cs="Arial"/>
          <w14:ligatures w14:val="none"/>
        </w:rPr>
        <w:t>/</w:t>
      </w:r>
      <w:r w:rsidR="000B5786">
        <w:rPr>
          <w:rFonts w:ascii="Trebuchet MS" w:eastAsia="Calibri" w:hAnsi="Trebuchet MS" w:cs="Arial"/>
          <w14:ligatures w14:val="none"/>
        </w:rPr>
        <w:t>27.05</w:t>
      </w:r>
      <w:r w:rsidR="008A005D">
        <w:rPr>
          <w:rFonts w:ascii="Trebuchet MS" w:eastAsia="Calibri" w:hAnsi="Trebuchet MS" w:cs="Arial"/>
          <w14:ligatures w14:val="none"/>
        </w:rPr>
        <w:t>.</w:t>
      </w:r>
      <w:r w:rsidR="000B5786">
        <w:rPr>
          <w:rFonts w:ascii="Trebuchet MS" w:eastAsia="Calibri" w:hAnsi="Trebuchet MS" w:cs="Arial"/>
          <w14:ligatures w14:val="none"/>
        </w:rPr>
        <w:t>2008, prelungit prin HCL nr. 34/30.03.2018 si HCL nr. 207/20.12.2018</w:t>
      </w:r>
      <w:r w:rsidRPr="004F2B32">
        <w:rPr>
          <w:rFonts w:ascii="Trebuchet MS" w:eastAsia="Calibri" w:hAnsi="Trebuchet MS" w:cs="Arial"/>
          <w:lang w:val="it-IT"/>
          <w14:ligatures w14:val="none"/>
        </w:rPr>
        <w:t xml:space="preserve">.  </w:t>
      </w:r>
    </w:p>
    <w:p w14:paraId="6426273E" w14:textId="77777777" w:rsidR="004F2B32" w:rsidRPr="004F2B32" w:rsidRDefault="004F2B32" w:rsidP="00662041">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662041">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662041">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D485781" w:rsidR="004F2B32" w:rsidRPr="004F2B32" w:rsidRDefault="004F2B32" w:rsidP="00662041">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662041">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Se vor lua măsuri de protecţie antifonică în zona de lucru a şantierului.</w:t>
      </w:r>
    </w:p>
    <w:p w14:paraId="5B332800" w14:textId="77777777" w:rsidR="004F2B32" w:rsidRPr="004F2B32" w:rsidRDefault="004F2B32" w:rsidP="00662041">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662041">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662041">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662041">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662041">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662041">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662041">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E171ED" w:rsidRDefault="004F2B32" w:rsidP="00662041">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E171ED" w:rsidRDefault="00E171ED" w:rsidP="00662041">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662041">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662041">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662041">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662041">
      <w:pPr>
        <w:keepNext/>
        <w:spacing w:after="0" w:line="24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793BBC75" w14:textId="07E42C3A" w:rsidR="008526B3" w:rsidRDefault="00CD773C" w:rsidP="00662041">
      <w:pPr>
        <w:keepNext/>
        <w:spacing w:after="0" w:line="240" w:lineRule="auto"/>
        <w:jc w:val="both"/>
        <w:rPr>
          <w:rFonts w:ascii="Trebuchet MS" w:eastAsia="Calibri" w:hAnsi="Trebuchet MS" w:cs="Arial"/>
          <w:color w:val="000000"/>
          <w:lang w:eastAsia="x-none"/>
          <w14:ligatures w14:val="none"/>
        </w:rPr>
      </w:pPr>
      <w:r w:rsidRPr="00CD773C">
        <w:rPr>
          <w:rFonts w:ascii="Trebuchet MS" w:eastAsia="Calibri" w:hAnsi="Trebuchet MS" w:cs="Arial"/>
          <w:color w:val="000000"/>
          <w:lang w:eastAsia="x-none"/>
          <w14:ligatures w14:val="none"/>
        </w:rPr>
        <w:t xml:space="preserve">- </w:t>
      </w:r>
      <w:r w:rsidR="008526B3">
        <w:rPr>
          <w:rFonts w:ascii="Trebuchet MS" w:eastAsia="Calibri" w:hAnsi="Trebuchet MS" w:cs="Arial"/>
          <w:color w:val="000000"/>
          <w:lang w:val="pt-BR" w:eastAsia="x-none"/>
          <w14:ligatures w14:val="none"/>
        </w:rPr>
        <w:t>Se va</w:t>
      </w:r>
      <w:r w:rsidRPr="00CD773C">
        <w:rPr>
          <w:rFonts w:ascii="Trebuchet MS" w:eastAsia="Calibri" w:hAnsi="Trebuchet MS" w:cs="Arial"/>
          <w:color w:val="000000"/>
          <w:lang w:val="pt-BR" w:eastAsia="x-none"/>
          <w14:ligatures w14:val="none"/>
        </w:rPr>
        <w:t xml:space="preserve"> respecta</w:t>
      </w:r>
      <w:r w:rsidR="008526B3" w:rsidRPr="008526B3">
        <w:rPr>
          <w:rFonts w:ascii="Trebuchet MS" w:eastAsiaTheme="minorEastAsia" w:hAnsi="Trebuchet MS" w:cs="Arial"/>
          <w:lang w:eastAsia="ro-RO"/>
          <w14:ligatures w14:val="none"/>
        </w:rPr>
        <w:t xml:space="preserve"> </w:t>
      </w:r>
      <w:r w:rsidR="008526B3" w:rsidRPr="008526B3">
        <w:rPr>
          <w:rFonts w:ascii="Trebuchet MS" w:eastAsia="Calibri" w:hAnsi="Trebuchet MS" w:cs="Arial"/>
          <w:color w:val="000000"/>
          <w:lang w:eastAsia="x-none"/>
          <w14:ligatures w14:val="none"/>
        </w:rPr>
        <w:t>Aviz</w:t>
      </w:r>
      <w:r w:rsidR="008526B3">
        <w:rPr>
          <w:rFonts w:ascii="Trebuchet MS" w:eastAsia="Calibri" w:hAnsi="Trebuchet MS" w:cs="Arial"/>
          <w:color w:val="000000"/>
          <w:lang w:eastAsia="x-none"/>
          <w14:ligatures w14:val="none"/>
        </w:rPr>
        <w:t>ul</w:t>
      </w:r>
      <w:r w:rsidR="00D678B6">
        <w:rPr>
          <w:rFonts w:ascii="Trebuchet MS" w:eastAsia="Calibri" w:hAnsi="Trebuchet MS" w:cs="Arial"/>
          <w:color w:val="000000"/>
          <w:lang w:eastAsia="x-none"/>
          <w14:ligatures w14:val="none"/>
        </w:rPr>
        <w:t xml:space="preserve"> de amplasament nr. 8734/01.03.2023</w:t>
      </w:r>
      <w:r w:rsidR="008526B3" w:rsidRPr="008526B3">
        <w:rPr>
          <w:rFonts w:ascii="Trebuchet MS" w:eastAsia="Calibri" w:hAnsi="Trebuchet MS" w:cs="Arial"/>
          <w:color w:val="000000"/>
          <w:lang w:eastAsia="x-none"/>
          <w14:ligatures w14:val="none"/>
        </w:rPr>
        <w:t xml:space="preserve"> emis de </w:t>
      </w:r>
      <w:r w:rsidR="00D678B6">
        <w:rPr>
          <w:rFonts w:ascii="Trebuchet MS" w:eastAsia="Calibri" w:hAnsi="Trebuchet MS" w:cs="Arial"/>
          <w:color w:val="000000"/>
          <w:lang w:eastAsia="x-none"/>
          <w14:ligatures w14:val="none"/>
        </w:rPr>
        <w:t>SC APA - CANAL</w:t>
      </w:r>
      <w:r w:rsidR="008526B3" w:rsidRPr="008526B3">
        <w:rPr>
          <w:rFonts w:ascii="Trebuchet MS" w:eastAsia="Calibri" w:hAnsi="Trebuchet MS" w:cs="Arial"/>
          <w:color w:val="000000"/>
          <w:lang w:eastAsia="x-none"/>
          <w14:ligatures w14:val="none"/>
        </w:rPr>
        <w:t xml:space="preserve"> SA</w:t>
      </w:r>
      <w:r w:rsidR="008526B3">
        <w:rPr>
          <w:rFonts w:ascii="Trebuchet MS" w:eastAsia="Calibri" w:hAnsi="Trebuchet MS" w:cs="Arial"/>
          <w:color w:val="000000"/>
          <w:lang w:eastAsia="x-none"/>
          <w14:ligatures w14:val="none"/>
        </w:rPr>
        <w:t>.</w:t>
      </w:r>
    </w:p>
    <w:p w14:paraId="4DBC19C8" w14:textId="634B99C2" w:rsidR="008526B3" w:rsidRDefault="008526B3" w:rsidP="00662041">
      <w:pPr>
        <w:keepNext/>
        <w:spacing w:after="0" w:line="240" w:lineRule="auto"/>
        <w:jc w:val="both"/>
        <w:rPr>
          <w:rFonts w:ascii="Trebuchet MS" w:eastAsia="Calibri" w:hAnsi="Trebuchet MS" w:cs="Arial"/>
          <w:color w:val="000000"/>
          <w:lang w:val="pt-BR" w:eastAsia="x-none"/>
          <w14:ligatures w14:val="none"/>
        </w:rPr>
      </w:pPr>
      <w:r>
        <w:rPr>
          <w:rFonts w:ascii="Trebuchet MS" w:eastAsia="Calibri" w:hAnsi="Trebuchet MS" w:cs="Arial"/>
          <w:color w:val="000000"/>
          <w:lang w:eastAsia="x-none"/>
          <w14:ligatures w14:val="none"/>
        </w:rPr>
        <w:t xml:space="preserve">- Se va respecta </w:t>
      </w:r>
      <w:r w:rsidR="00D678B6">
        <w:rPr>
          <w:rFonts w:ascii="Trebuchet MS" w:eastAsia="Calibri" w:hAnsi="Trebuchet MS" w:cs="Arial"/>
          <w:color w:val="000000"/>
          <w:lang w:eastAsia="x-none"/>
          <w14:ligatures w14:val="none"/>
        </w:rPr>
        <w:t xml:space="preserve">Avizul </w:t>
      </w:r>
      <w:r>
        <w:rPr>
          <w:rFonts w:ascii="Trebuchet MS" w:eastAsia="Calibri" w:hAnsi="Trebuchet MS" w:cs="Arial"/>
          <w:color w:val="000000"/>
          <w:lang w:eastAsia="x-none"/>
          <w14:ligatures w14:val="none"/>
        </w:rPr>
        <w:t>nr. 1</w:t>
      </w:r>
      <w:r w:rsidR="00D678B6">
        <w:rPr>
          <w:rFonts w:ascii="Trebuchet MS" w:eastAsia="Calibri" w:hAnsi="Trebuchet MS" w:cs="Arial"/>
          <w:color w:val="000000"/>
          <w:lang w:eastAsia="x-none"/>
          <w14:ligatures w14:val="none"/>
        </w:rPr>
        <w:t>3</w:t>
      </w:r>
      <w:r>
        <w:rPr>
          <w:rFonts w:ascii="Trebuchet MS" w:eastAsia="Calibri" w:hAnsi="Trebuchet MS" w:cs="Arial"/>
          <w:color w:val="000000"/>
          <w:lang w:eastAsia="x-none"/>
          <w14:ligatures w14:val="none"/>
        </w:rPr>
        <w:t>3</w:t>
      </w:r>
      <w:r w:rsidR="00D678B6">
        <w:rPr>
          <w:rFonts w:ascii="Trebuchet MS" w:eastAsia="Calibri" w:hAnsi="Trebuchet MS" w:cs="Arial"/>
          <w:color w:val="000000"/>
          <w:lang w:eastAsia="x-none"/>
          <w14:ligatures w14:val="none"/>
        </w:rPr>
        <w:t>/ARH/</w:t>
      </w:r>
      <w:r>
        <w:rPr>
          <w:rFonts w:ascii="Trebuchet MS" w:eastAsia="Calibri" w:hAnsi="Trebuchet MS" w:cs="Arial"/>
          <w:color w:val="000000"/>
          <w:lang w:eastAsia="x-none"/>
          <w14:ligatures w14:val="none"/>
        </w:rPr>
        <w:t>3</w:t>
      </w:r>
      <w:r w:rsidR="00D678B6">
        <w:rPr>
          <w:rFonts w:ascii="Trebuchet MS" w:eastAsia="Calibri" w:hAnsi="Trebuchet MS" w:cs="Arial"/>
          <w:color w:val="000000"/>
          <w:lang w:eastAsia="x-none"/>
          <w14:ligatures w14:val="none"/>
        </w:rPr>
        <w:t>0.05.2024 emis de Directia Judeteana pentru Cultura</w:t>
      </w:r>
      <w:r>
        <w:rPr>
          <w:rFonts w:ascii="Trebuchet MS" w:eastAsia="Calibri" w:hAnsi="Trebuchet MS" w:cs="Arial"/>
          <w:color w:val="000000"/>
          <w:lang w:eastAsia="x-none"/>
          <w14:ligatures w14:val="none"/>
        </w:rPr>
        <w:t xml:space="preserve"> Ilfov.</w:t>
      </w:r>
    </w:p>
    <w:p w14:paraId="58564D5C" w14:textId="77777777" w:rsidR="00E171ED" w:rsidRPr="00E171ED" w:rsidRDefault="00E171ED" w:rsidP="00662041">
      <w:pPr>
        <w:keepNext/>
        <w:spacing w:after="0" w:line="240" w:lineRule="auto"/>
        <w:jc w:val="both"/>
        <w:rPr>
          <w:rFonts w:ascii="Trebuchet MS" w:eastAsia="Calibri" w:hAnsi="Trebuchet MS" w:cs="Arial"/>
          <w:color w:val="000000"/>
          <w:lang w:eastAsia="x-none"/>
          <w14:ligatures w14:val="none"/>
        </w:rPr>
      </w:pPr>
      <w:r w:rsidRPr="00E171ED">
        <w:rPr>
          <w:rFonts w:ascii="Trebuchet MS" w:eastAsia="Calibri" w:hAnsi="Trebuchet MS" w:cs="Arial"/>
          <w:color w:val="000000"/>
          <w:lang w:eastAsia="x-none"/>
          <w14:ligatures w14:val="none"/>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662041">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662041">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662041">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 xml:space="preserve">Pentru legalitatea si autenticitatea documentelor depuse la dosar se face raspunzator titularul proiectului. Conform art. 21, alin.(4) din OUG. 195/2005 privind protectia </w:t>
      </w:r>
      <w:r w:rsidRPr="004F2B32">
        <w:rPr>
          <w:rFonts w:ascii="Trebuchet MS" w:eastAsia="Calibri" w:hAnsi="Trebuchet MS" w:cs="Arial"/>
          <w:color w:val="000000"/>
          <w:lang w:val="en-US"/>
          <w14:ligatures w14:val="none"/>
        </w:rPr>
        <w:lastRenderedPageBreak/>
        <w:t>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662041">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662041">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662041">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522C5EA5" w14:textId="77777777" w:rsidR="00C456A8" w:rsidRDefault="00C456A8" w:rsidP="00662041">
      <w:pPr>
        <w:keepNext/>
        <w:spacing w:after="0" w:line="360" w:lineRule="auto"/>
        <w:jc w:val="center"/>
        <w:rPr>
          <w:rFonts w:ascii="Trebuchet MS" w:eastAsia="Calibri" w:hAnsi="Trebuchet MS" w:cs="Arial"/>
          <w:b/>
          <w:bCs/>
          <w14:ligatures w14:val="none"/>
        </w:rPr>
      </w:pPr>
    </w:p>
    <w:p w14:paraId="29695E81" w14:textId="77777777" w:rsidR="008526B3" w:rsidRDefault="008526B3" w:rsidP="00662041">
      <w:pPr>
        <w:keepNext/>
        <w:spacing w:after="0" w:line="360" w:lineRule="auto"/>
        <w:jc w:val="center"/>
        <w:rPr>
          <w:rFonts w:ascii="Trebuchet MS" w:eastAsia="Calibri" w:hAnsi="Trebuchet MS" w:cs="Arial"/>
          <w:b/>
          <w:bCs/>
          <w14:ligatures w14:val="none"/>
        </w:rPr>
      </w:pPr>
    </w:p>
    <w:p w14:paraId="74173C3C" w14:textId="77777777" w:rsidR="008526B3" w:rsidRDefault="008526B3" w:rsidP="00662041">
      <w:pPr>
        <w:keepNext/>
        <w:spacing w:after="0" w:line="360" w:lineRule="auto"/>
        <w:jc w:val="center"/>
        <w:rPr>
          <w:rFonts w:ascii="Trebuchet MS" w:eastAsia="Calibri" w:hAnsi="Trebuchet MS" w:cs="Arial"/>
          <w:b/>
          <w:bCs/>
          <w14:ligatures w14:val="none"/>
        </w:rPr>
      </w:pPr>
    </w:p>
    <w:p w14:paraId="4512CBFB" w14:textId="77777777" w:rsidR="008526B3" w:rsidRDefault="008526B3" w:rsidP="00662041">
      <w:pPr>
        <w:keepNext/>
        <w:spacing w:after="0" w:line="360" w:lineRule="auto"/>
        <w:jc w:val="center"/>
        <w:rPr>
          <w:rFonts w:ascii="Trebuchet MS" w:eastAsia="Calibri" w:hAnsi="Trebuchet MS" w:cs="Arial"/>
          <w:b/>
          <w:bCs/>
          <w14:ligatures w14:val="none"/>
        </w:rPr>
      </w:pPr>
    </w:p>
    <w:p w14:paraId="46AC32E5" w14:textId="6F3AFD42" w:rsidR="00E00029" w:rsidRPr="00E00029" w:rsidRDefault="00E00029" w:rsidP="00662041">
      <w:pPr>
        <w:keepNext/>
        <w:spacing w:after="0" w:line="36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662041">
      <w:pPr>
        <w:keepNext/>
        <w:spacing w:after="0" w:line="36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6D56F68" w14:textId="4FE0FA4A" w:rsidR="00E00029" w:rsidRDefault="00E00029" w:rsidP="00662041">
      <w:pPr>
        <w:keepNext/>
        <w:spacing w:after="0" w:line="360" w:lineRule="auto"/>
        <w:rPr>
          <w:rFonts w:ascii="Trebuchet MS" w:eastAsia="Calibri" w:hAnsi="Trebuchet MS" w:cs="Arial"/>
          <w:b/>
          <w:bCs/>
          <w:lang w:val="pl-PL"/>
          <w14:ligatures w14:val="none"/>
        </w:rPr>
      </w:pPr>
    </w:p>
    <w:p w14:paraId="04EECD71" w14:textId="181234BD" w:rsidR="00E171ED" w:rsidRDefault="00E171ED" w:rsidP="00662041">
      <w:pPr>
        <w:keepNext/>
        <w:spacing w:after="0" w:line="360" w:lineRule="auto"/>
        <w:rPr>
          <w:rFonts w:ascii="Trebuchet MS" w:eastAsia="Calibri" w:hAnsi="Trebuchet MS" w:cs="Arial"/>
          <w:b/>
          <w:bCs/>
          <w:lang w:val="pl-PL"/>
          <w14:ligatures w14:val="none"/>
        </w:rPr>
      </w:pPr>
    </w:p>
    <w:p w14:paraId="0D7DFCCC" w14:textId="30267B79" w:rsidR="008526B3" w:rsidRDefault="008526B3" w:rsidP="00662041">
      <w:pPr>
        <w:keepNext/>
        <w:spacing w:after="0" w:line="360" w:lineRule="auto"/>
        <w:rPr>
          <w:rFonts w:ascii="Trebuchet MS" w:eastAsia="Calibri" w:hAnsi="Trebuchet MS" w:cs="Arial"/>
          <w:b/>
          <w:bCs/>
          <w:lang w:val="pl-PL"/>
          <w14:ligatures w14:val="none"/>
        </w:rPr>
      </w:pPr>
    </w:p>
    <w:p w14:paraId="4F5BAB2C" w14:textId="77777777" w:rsidR="008526B3" w:rsidRDefault="008526B3" w:rsidP="00662041">
      <w:pPr>
        <w:keepNext/>
        <w:spacing w:after="0" w:line="360" w:lineRule="auto"/>
        <w:rPr>
          <w:rFonts w:ascii="Trebuchet MS" w:eastAsia="Calibri" w:hAnsi="Trebuchet MS" w:cs="Arial"/>
          <w:b/>
          <w:bCs/>
          <w:lang w:val="pl-PL"/>
          <w14:ligatures w14:val="none"/>
        </w:rPr>
      </w:pPr>
    </w:p>
    <w:p w14:paraId="15780D8E" w14:textId="5BD14505" w:rsidR="00E171ED" w:rsidRDefault="00E171ED" w:rsidP="00662041">
      <w:pPr>
        <w:keepNext/>
        <w:spacing w:after="0" w:line="360" w:lineRule="auto"/>
        <w:rPr>
          <w:rFonts w:ascii="Trebuchet MS" w:eastAsia="Calibri" w:hAnsi="Trebuchet MS" w:cs="Arial"/>
          <w:b/>
          <w:bCs/>
          <w:lang w:val="pl-PL"/>
          <w14:ligatures w14:val="none"/>
        </w:rPr>
      </w:pPr>
    </w:p>
    <w:p w14:paraId="0651C82E" w14:textId="77777777" w:rsidR="00E171ED" w:rsidRDefault="00E171ED" w:rsidP="00662041">
      <w:pPr>
        <w:keepNext/>
        <w:spacing w:after="0" w:line="36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02678451" w:rsidR="00E171ED" w:rsidRPr="00E171ED" w:rsidRDefault="00E171ED" w:rsidP="00D678B6">
            <w:pPr>
              <w:keepNext/>
              <w:spacing w:after="0" w:line="360" w:lineRule="auto"/>
              <w:rPr>
                <w:rFonts w:ascii="Trebuchet MS" w:eastAsia="Calibri" w:hAnsi="Trebuchet MS" w:cs="Arial"/>
                <w:b/>
                <w:bCs/>
                <w:i/>
                <w14:ligatures w14:val="none"/>
              </w:rPr>
            </w:pPr>
            <w:bookmarkStart w:id="0" w:name="_GoBack"/>
            <w:bookmarkEnd w:id="0"/>
          </w:p>
        </w:tc>
        <w:tc>
          <w:tcPr>
            <w:tcW w:w="1661" w:type="dxa"/>
            <w:shd w:val="clear" w:color="auto" w:fill="auto"/>
          </w:tcPr>
          <w:p w14:paraId="2A5D3B60" w14:textId="77777777" w:rsidR="00E171ED" w:rsidRPr="00E171ED" w:rsidRDefault="00E171ED" w:rsidP="00662041">
            <w:pPr>
              <w:keepNext/>
              <w:spacing w:after="0" w:line="360" w:lineRule="auto"/>
              <w:rPr>
                <w:rFonts w:ascii="Trebuchet MS" w:eastAsia="Calibri" w:hAnsi="Trebuchet MS" w:cs="Arial"/>
                <w:b/>
                <w:bCs/>
                <w:i/>
                <w14:ligatures w14:val="none"/>
              </w:rPr>
            </w:pPr>
          </w:p>
          <w:p w14:paraId="55BBAC9D" w14:textId="77777777" w:rsidR="00E171ED" w:rsidRPr="00E171ED" w:rsidRDefault="00E171ED" w:rsidP="00662041">
            <w:pPr>
              <w:keepNext/>
              <w:spacing w:after="0" w:line="36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662041">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081B2E3D" w:rsidR="00E171ED" w:rsidRPr="00E171ED" w:rsidRDefault="00E171ED" w:rsidP="00662041">
            <w:pPr>
              <w:keepNext/>
              <w:spacing w:after="0" w:line="360" w:lineRule="auto"/>
              <w:rPr>
                <w:rFonts w:ascii="Trebuchet MS" w:eastAsia="Calibri" w:hAnsi="Trebuchet MS" w:cs="Arial"/>
                <w:b/>
                <w:bCs/>
                <w:i/>
                <w14:ligatures w14:val="none"/>
              </w:rPr>
            </w:pPr>
          </w:p>
        </w:tc>
        <w:tc>
          <w:tcPr>
            <w:tcW w:w="1661" w:type="dxa"/>
            <w:shd w:val="clear" w:color="auto" w:fill="auto"/>
          </w:tcPr>
          <w:p w14:paraId="2061744D" w14:textId="77777777" w:rsidR="00E171ED" w:rsidRPr="00E171ED" w:rsidRDefault="00E171ED" w:rsidP="00662041">
            <w:pPr>
              <w:keepNext/>
              <w:spacing w:after="0" w:line="360" w:lineRule="auto"/>
              <w:rPr>
                <w:rFonts w:ascii="Trebuchet MS" w:eastAsia="Calibri" w:hAnsi="Trebuchet MS" w:cs="Arial"/>
                <w:b/>
                <w:bCs/>
                <w:i/>
                <w14:ligatures w14:val="none"/>
              </w:rPr>
            </w:pPr>
          </w:p>
          <w:p w14:paraId="55B77EF8" w14:textId="77777777" w:rsidR="00E171ED" w:rsidRPr="00E171ED" w:rsidRDefault="00E171ED" w:rsidP="00662041">
            <w:pPr>
              <w:keepNext/>
              <w:spacing w:after="0" w:line="360" w:lineRule="auto"/>
              <w:rPr>
                <w:rFonts w:ascii="Trebuchet MS" w:eastAsia="Calibri" w:hAnsi="Trebuchet MS" w:cs="Arial"/>
                <w:b/>
                <w:bCs/>
                <w:i/>
                <w14:ligatures w14:val="none"/>
              </w:rPr>
            </w:pPr>
          </w:p>
        </w:tc>
      </w:tr>
    </w:tbl>
    <w:p w14:paraId="621A724D" w14:textId="77777777" w:rsidR="004F2B32" w:rsidRDefault="004F2B32" w:rsidP="00662041">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6A493" w14:textId="77777777" w:rsidR="00194107" w:rsidRDefault="00194107" w:rsidP="00143ACD">
      <w:pPr>
        <w:spacing w:after="0" w:line="240" w:lineRule="auto"/>
      </w:pPr>
      <w:r>
        <w:separator/>
      </w:r>
    </w:p>
  </w:endnote>
  <w:endnote w:type="continuationSeparator" w:id="0">
    <w:p w14:paraId="756EFEE1" w14:textId="77777777" w:rsidR="00194107" w:rsidRDefault="0019410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FC6718B"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B2284E">
              <w:rPr>
                <w:rFonts w:ascii="Trebuchet MS" w:hAnsi="Trebuchet MS"/>
                <w:b/>
                <w:bCs/>
                <w:noProof/>
                <w:sz w:val="16"/>
                <w:szCs w:val="16"/>
              </w:rPr>
              <w:t>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B2284E">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19410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C5FEE58"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2284E">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B2284E">
      <w:rPr>
        <w:b/>
        <w:bCs/>
        <w:noProof/>
        <w:sz w:val="16"/>
        <w:szCs w:val="16"/>
      </w:rPr>
      <w:t>6</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6B2DE" w14:textId="77777777" w:rsidR="00194107" w:rsidRDefault="00194107" w:rsidP="00143ACD">
      <w:pPr>
        <w:spacing w:after="0" w:line="240" w:lineRule="auto"/>
      </w:pPr>
      <w:r>
        <w:separator/>
      </w:r>
    </w:p>
  </w:footnote>
  <w:footnote w:type="continuationSeparator" w:id="0">
    <w:p w14:paraId="335EC446" w14:textId="77777777" w:rsidR="00194107" w:rsidRDefault="0019410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FB7553B"/>
    <w:multiLevelType w:val="hybridMultilevel"/>
    <w:tmpl w:val="78C23BCC"/>
    <w:lvl w:ilvl="0" w:tplc="88E647A8">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1"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3"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1"/>
  </w:num>
  <w:num w:numId="7">
    <w:abstractNumId w:val="8"/>
  </w:num>
  <w:num w:numId="8">
    <w:abstractNumId w:val="6"/>
  </w:num>
  <w:num w:numId="9">
    <w:abstractNumId w:val="9"/>
  </w:num>
  <w:num w:numId="10">
    <w:abstractNumId w:val="5"/>
  </w:num>
  <w:num w:numId="11">
    <w:abstractNumId w:val="0"/>
  </w:num>
  <w:num w:numId="12">
    <w:abstractNumId w:val="10"/>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786"/>
    <w:rsid w:val="000B5E43"/>
    <w:rsid w:val="000C0E50"/>
    <w:rsid w:val="000C580A"/>
    <w:rsid w:val="000D75D6"/>
    <w:rsid w:val="000E1DC5"/>
    <w:rsid w:val="001106DF"/>
    <w:rsid w:val="00131453"/>
    <w:rsid w:val="00142EC5"/>
    <w:rsid w:val="00143ACD"/>
    <w:rsid w:val="00161428"/>
    <w:rsid w:val="00194107"/>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6480"/>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3544"/>
    <w:rsid w:val="004A5C08"/>
    <w:rsid w:val="004B7417"/>
    <w:rsid w:val="004C0CE7"/>
    <w:rsid w:val="004C50B2"/>
    <w:rsid w:val="004C7186"/>
    <w:rsid w:val="004F0F51"/>
    <w:rsid w:val="004F2703"/>
    <w:rsid w:val="004F2B32"/>
    <w:rsid w:val="0051560F"/>
    <w:rsid w:val="00516DEA"/>
    <w:rsid w:val="0053065D"/>
    <w:rsid w:val="00532F65"/>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2041"/>
    <w:rsid w:val="006671EC"/>
    <w:rsid w:val="006733B1"/>
    <w:rsid w:val="0067408F"/>
    <w:rsid w:val="006754A9"/>
    <w:rsid w:val="0068172C"/>
    <w:rsid w:val="006A1242"/>
    <w:rsid w:val="006A1311"/>
    <w:rsid w:val="006A261F"/>
    <w:rsid w:val="006A7875"/>
    <w:rsid w:val="006C7AE3"/>
    <w:rsid w:val="006D65DB"/>
    <w:rsid w:val="006E0665"/>
    <w:rsid w:val="00705C40"/>
    <w:rsid w:val="0071157B"/>
    <w:rsid w:val="007213A9"/>
    <w:rsid w:val="0072427B"/>
    <w:rsid w:val="00726D39"/>
    <w:rsid w:val="0073045B"/>
    <w:rsid w:val="00732F27"/>
    <w:rsid w:val="0074144A"/>
    <w:rsid w:val="00750904"/>
    <w:rsid w:val="00753CCD"/>
    <w:rsid w:val="00782CC1"/>
    <w:rsid w:val="00786298"/>
    <w:rsid w:val="0079481C"/>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0417C"/>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2284E"/>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43786"/>
    <w:rsid w:val="00C456A8"/>
    <w:rsid w:val="00C545F6"/>
    <w:rsid w:val="00C61733"/>
    <w:rsid w:val="00C70515"/>
    <w:rsid w:val="00C808CC"/>
    <w:rsid w:val="00C95CE6"/>
    <w:rsid w:val="00CB0964"/>
    <w:rsid w:val="00CC5BD1"/>
    <w:rsid w:val="00CD773C"/>
    <w:rsid w:val="00CE56B2"/>
    <w:rsid w:val="00CF0C8C"/>
    <w:rsid w:val="00CF2C24"/>
    <w:rsid w:val="00CF5C9F"/>
    <w:rsid w:val="00D0698C"/>
    <w:rsid w:val="00D11783"/>
    <w:rsid w:val="00D1499F"/>
    <w:rsid w:val="00D26874"/>
    <w:rsid w:val="00D2740E"/>
    <w:rsid w:val="00D356FA"/>
    <w:rsid w:val="00D41783"/>
    <w:rsid w:val="00D447FB"/>
    <w:rsid w:val="00D62259"/>
    <w:rsid w:val="00D678B6"/>
    <w:rsid w:val="00D82C76"/>
    <w:rsid w:val="00D8381D"/>
    <w:rsid w:val="00D91E57"/>
    <w:rsid w:val="00DB2F53"/>
    <w:rsid w:val="00DB79D9"/>
    <w:rsid w:val="00DC0B9E"/>
    <w:rsid w:val="00DC45B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2B23"/>
    <w:rsid w:val="00EC5E27"/>
    <w:rsid w:val="00ED25D0"/>
    <w:rsid w:val="00ED281F"/>
    <w:rsid w:val="00EE465C"/>
    <w:rsid w:val="00EE55C7"/>
    <w:rsid w:val="00EF37CC"/>
    <w:rsid w:val="00F1090C"/>
    <w:rsid w:val="00F1759D"/>
    <w:rsid w:val="00F42830"/>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DD18-D313-4D53-A5BB-4B7D4152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2980</Words>
  <Characters>16992</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100</cp:revision>
  <cp:lastPrinted>2024-08-13T09:36:00Z</cp:lastPrinted>
  <dcterms:created xsi:type="dcterms:W3CDTF">2023-12-08T11:08:00Z</dcterms:created>
  <dcterms:modified xsi:type="dcterms:W3CDTF">2024-08-13T09:36:00Z</dcterms:modified>
</cp:coreProperties>
</file>