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750904">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48361BFE" w:rsidR="004F2B32" w:rsidRPr="00936699" w:rsidRDefault="00DE792C" w:rsidP="00750904">
      <w:pPr>
        <w:keepNext/>
        <w:spacing w:after="0" w:line="360" w:lineRule="auto"/>
        <w:rPr>
          <w:rFonts w:ascii="Trebuchet MS" w:hAnsi="Trebuchet MS"/>
          <w:b/>
        </w:rPr>
      </w:pPr>
      <w:r w:rsidRPr="00936699">
        <w:rPr>
          <w:rFonts w:ascii="Trebuchet MS" w:hAnsi="Trebuchet MS"/>
          <w:b/>
        </w:rPr>
        <w:t xml:space="preserve">Nr. </w:t>
      </w:r>
      <w:r w:rsidR="006733B1">
        <w:rPr>
          <w:rFonts w:ascii="Trebuchet MS" w:hAnsi="Trebuchet MS"/>
          <w:b/>
          <w:bCs/>
          <w:lang w:val="en-US"/>
        </w:rPr>
        <w:t>7963</w:t>
      </w:r>
      <w:r w:rsidR="00C04BF2" w:rsidRPr="00936699">
        <w:rPr>
          <w:rFonts w:ascii="Trebuchet MS" w:hAnsi="Trebuchet MS"/>
          <w:b/>
        </w:rPr>
        <w:t>/</w:t>
      </w:r>
    </w:p>
    <w:p w14:paraId="725D9512" w14:textId="46A1FF83" w:rsidR="004F2B32" w:rsidRDefault="004F2B32" w:rsidP="00750904">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BB556C">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750904">
      <w:pPr>
        <w:keepNext/>
        <w:spacing w:after="0" w:line="240" w:lineRule="auto"/>
        <w:jc w:val="center"/>
        <w:rPr>
          <w:rFonts w:ascii="Trebuchet MS" w:eastAsia="Calibri" w:hAnsi="Trebuchet MS" w:cs="Arial"/>
          <w:b/>
          <w14:ligatures w14:val="none"/>
        </w:rPr>
      </w:pPr>
    </w:p>
    <w:p w14:paraId="74B02717" w14:textId="77777777" w:rsidR="00BF19A0" w:rsidRDefault="00BF19A0" w:rsidP="00750904">
      <w:pPr>
        <w:keepNext/>
        <w:spacing w:after="0" w:line="240" w:lineRule="auto"/>
        <w:jc w:val="center"/>
        <w:rPr>
          <w:rFonts w:ascii="Trebuchet MS" w:eastAsia="Calibri" w:hAnsi="Trebuchet MS" w:cs="Arial"/>
          <w:b/>
          <w14:ligatures w14:val="none"/>
        </w:rPr>
      </w:pPr>
    </w:p>
    <w:p w14:paraId="515996A1" w14:textId="6BB7BCF5" w:rsidR="004F2B32" w:rsidRPr="004F2B32" w:rsidRDefault="004F2B32" w:rsidP="00BF1FE5">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E90D0D" w:rsidRPr="00E90D0D">
        <w:rPr>
          <w:rFonts w:ascii="Trebuchet MS" w:eastAsia="Calibri" w:hAnsi="Trebuchet MS" w:cs="Arial"/>
          <w:b/>
          <w:lang w:val="en-US"/>
          <w14:ligatures w14:val="none"/>
        </w:rPr>
        <w:t xml:space="preserve">SC OXO GRUP SRL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ED281F" w:rsidRPr="00ED281F">
        <w:rPr>
          <w:rFonts w:ascii="Trebuchet MS" w:eastAsia="Calibri" w:hAnsi="Trebuchet MS" w:cs="Arial"/>
          <w14:ligatures w14:val="none"/>
        </w:rPr>
        <w:t xml:space="preserve">sediul </w:t>
      </w:r>
      <w:r w:rsidR="00ED281F" w:rsidRPr="00ED281F">
        <w:rPr>
          <w:rFonts w:ascii="Trebuchet MS" w:eastAsia="Calibri" w:hAnsi="Trebuchet MS" w:cs="Arial"/>
          <w:lang w:val="en-US"/>
          <w14:ligatures w14:val="none"/>
        </w:rPr>
        <w:t xml:space="preserve">in </w:t>
      </w:r>
      <w:r w:rsidR="00E90D0D" w:rsidRPr="00E90D0D">
        <w:rPr>
          <w:rFonts w:ascii="Trebuchet MS" w:eastAsia="Calibri" w:hAnsi="Trebuchet MS" w:cs="Arial"/>
          <w:lang w:val="en-US"/>
          <w14:ligatures w14:val="none"/>
        </w:rPr>
        <w:t>judetul Ilfov</w:t>
      </w:r>
      <w:r w:rsidR="00E90D0D" w:rsidRPr="00E90D0D">
        <w:rPr>
          <w:rFonts w:ascii="Trebuchet MS" w:eastAsia="Calibri" w:hAnsi="Trebuchet MS" w:cs="Arial"/>
          <w14:ligatures w14:val="none"/>
        </w:rPr>
        <w:t>, oras Chitila, Sos. Banatului, nr. 109A</w:t>
      </w:r>
      <w:r w:rsidR="00E90D0D" w:rsidRPr="00E90D0D">
        <w:rPr>
          <w:rFonts w:ascii="Trebuchet MS" w:eastAsia="Calibri" w:hAnsi="Trebuchet MS" w:cs="Arial"/>
          <w:lang w:val="en-US"/>
          <w14:ligatures w14:val="none"/>
        </w:rPr>
        <w:t>,</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E90D0D" w:rsidRPr="00E90D0D">
        <w:rPr>
          <w:rFonts w:ascii="Trebuchet MS" w:eastAsia="Calibri" w:hAnsi="Trebuchet MS" w:cs="Arial"/>
          <w:bCs/>
          <w:lang w:val="en-US"/>
          <w14:ligatures w14:val="none"/>
        </w:rPr>
        <w:t>7963</w:t>
      </w:r>
      <w:r w:rsidR="00E90D0D" w:rsidRPr="00E90D0D">
        <w:rPr>
          <w:rFonts w:ascii="Trebuchet MS" w:eastAsia="Calibri" w:hAnsi="Trebuchet MS" w:cs="Arial"/>
          <w:bCs/>
          <w14:ligatures w14:val="none"/>
        </w:rPr>
        <w:t>/05.04.2024</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750904">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2AC19EC9" w:rsidR="004F2B32" w:rsidRPr="004F2B32" w:rsidRDefault="004F2B32" w:rsidP="00750904">
      <w:pPr>
        <w:keepNext/>
        <w:spacing w:after="0" w:line="24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E90D0D">
        <w:rPr>
          <w:rFonts w:ascii="Trebuchet MS" w:eastAsia="Calibri" w:hAnsi="Trebuchet MS" w:cs="Arial"/>
          <w14:ligatures w14:val="none"/>
        </w:rPr>
        <w:t>e Analiză Tehnică din data de 29</w:t>
      </w:r>
      <w:r w:rsidR="00BF19A0">
        <w:rPr>
          <w:rFonts w:ascii="Trebuchet MS" w:eastAsia="Calibri" w:hAnsi="Trebuchet MS" w:cs="Arial"/>
          <w14:ligatures w14:val="none"/>
        </w:rPr>
        <w:t>.05</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E90D0D" w:rsidRPr="00E90D0D">
        <w:rPr>
          <w:rFonts w:ascii="Trebuchet MS" w:eastAsia="Calibri" w:hAnsi="Trebuchet MS" w:cs="Arial"/>
          <w:b/>
          <w:i/>
          <w:color w:val="000000"/>
          <w:lang w:val="en-US"/>
          <w14:ligatures w14:val="none"/>
        </w:rPr>
        <w:t>Construire imobile depozitare parter si imobile birouri P+2E, imprejmuire teren si amenajare incinta cu preluare avize valabile de la CU nr. 221 din 19.07.2023 – cu conditia intocmirii unei documentatii tip P.U.D</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E90D0D" w:rsidRPr="00E90D0D">
        <w:rPr>
          <w:rFonts w:ascii="Trebuchet MS" w:eastAsia="Calibri" w:hAnsi="Trebuchet MS" w:cs="Arial"/>
          <w:color w:val="000000"/>
          <w:lang w:val="en-US"/>
          <w14:ligatures w14:val="none"/>
        </w:rPr>
        <w:t>Chitila, str. DNCB</w:t>
      </w:r>
      <w:r w:rsidR="00E90D0D" w:rsidRPr="00E90D0D">
        <w:rPr>
          <w:rFonts w:ascii="Trebuchet MS" w:eastAsia="Calibri" w:hAnsi="Trebuchet MS" w:cs="Arial"/>
          <w:color w:val="000000"/>
          <w14:ligatures w14:val="none"/>
        </w:rPr>
        <w:t>, T 38, P 175/34, nr. cad. 57118</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750904">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750904">
      <w:pPr>
        <w:keepNext/>
        <w:spacing w:after="0" w:line="276"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750904">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02376740" w:rsidR="004F2B32" w:rsidRPr="004F2B32" w:rsidRDefault="004F2B32" w:rsidP="00750904">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E90D0D" w:rsidRPr="00E90D0D">
        <w:rPr>
          <w:rFonts w:ascii="Trebuchet MS" w:eastAsia="Times New Roman" w:hAnsi="Trebuchet MS" w:cs="Arial"/>
          <w:lang w:eastAsia="ro-RO"/>
          <w14:ligatures w14:val="none"/>
        </w:rPr>
        <w:t xml:space="preserve">4348/15.05.2024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750904">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6151520C" w:rsidR="00131453" w:rsidRPr="00E90D0D" w:rsidRDefault="004F2B32" w:rsidP="00131453">
      <w:pPr>
        <w:keepNext/>
        <w:spacing w:after="0" w:line="240" w:lineRule="auto"/>
        <w:jc w:val="both"/>
        <w:rPr>
          <w:rFonts w:ascii="Trebuchet MS" w:eastAsia="Times New Roman" w:hAnsi="Trebuchet MS" w:cs="Arial"/>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E90D0D" w:rsidRPr="00E90D0D">
        <w:rPr>
          <w:rFonts w:ascii="Trebuchet MS" w:eastAsia="Times New Roman" w:hAnsi="Trebuchet MS" w:cs="Arial"/>
          <w:bCs/>
          <w:lang w:val="en-US" w:eastAsia="ro-RO"/>
          <w14:ligatures w14:val="none"/>
        </w:rPr>
        <w:t xml:space="preserve">15.241,00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onstruire imobile depozitare parter</w:t>
      </w:r>
      <w:r w:rsidR="002B454C">
        <w:rPr>
          <w:rFonts w:ascii="Trebuchet MS" w:eastAsia="Times New Roman" w:hAnsi="Trebuchet MS" w:cs="Arial"/>
          <w:lang w:val="en-US" w:eastAsia="ro-RO"/>
          <w14:ligatures w14:val="none"/>
        </w:rPr>
        <w:t>(</w:t>
      </w:r>
      <w:r w:rsidR="002B454C" w:rsidRPr="002B454C">
        <w:rPr>
          <w:rFonts w:ascii="Trebuchet MS" w:eastAsia="Times New Roman" w:hAnsi="Trebuchet MS" w:cs="Arial"/>
          <w:lang w:val="en-US" w:eastAsia="ro-RO"/>
          <w14:ligatures w14:val="none"/>
        </w:rPr>
        <w:t>marfuri generale fara substante chimice periculoase</w:t>
      </w:r>
      <w:r w:rsidR="002B454C">
        <w:rPr>
          <w:rFonts w:ascii="Trebuchet MS" w:eastAsia="Times New Roman" w:hAnsi="Trebuchet MS" w:cs="Arial"/>
          <w:lang w:val="en-US" w:eastAsia="ro-RO"/>
          <w14:ligatures w14:val="none"/>
        </w:rPr>
        <w:t xml:space="preserve">) </w:t>
      </w:r>
      <w:r w:rsidR="00E90D0D" w:rsidRPr="00E90D0D">
        <w:rPr>
          <w:rFonts w:ascii="Trebuchet MS" w:eastAsia="Times New Roman" w:hAnsi="Trebuchet MS" w:cs="Arial"/>
          <w:lang w:val="en-US" w:eastAsia="ro-RO"/>
          <w14:ligatures w14:val="none"/>
        </w:rPr>
        <w:t>si imobile birouri P+2E, imprejmuire teren si amenajare incinta</w:t>
      </w:r>
      <w:r w:rsidR="00556C4A" w:rsidRPr="00E90D0D">
        <w:rPr>
          <w:rFonts w:ascii="Trebuchet MS" w:eastAsia="Times New Roman" w:hAnsi="Trebuchet MS" w:cs="Arial"/>
          <w:lang w:val="en-US" w:eastAsia="ro-RO"/>
          <w14:ligatures w14:val="none"/>
        </w:rPr>
        <w:t>.</w:t>
      </w:r>
      <w:r w:rsidR="00131453" w:rsidRPr="00E90D0D">
        <w:rPr>
          <w:rFonts w:ascii="Arial" w:eastAsiaTheme="minorEastAsia" w:hAnsi="Arial" w:cs="Arial"/>
          <w:sz w:val="24"/>
          <w:szCs w:val="24"/>
          <w:lang w:val="en-US" w:eastAsia="ro-RO"/>
          <w14:ligatures w14:val="none"/>
        </w:rPr>
        <w:t xml:space="preserve"> </w:t>
      </w:r>
    </w:p>
    <w:p w14:paraId="0BE0B6D1" w14:textId="3441ADE5"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Bilant teritorial:</w:t>
      </w:r>
    </w:p>
    <w:tbl>
      <w:tblPr>
        <w:tblW w:w="0" w:type="auto"/>
        <w:tblBorders>
          <w:top w:val="nil"/>
          <w:left w:val="nil"/>
          <w:bottom w:val="nil"/>
          <w:right w:val="nil"/>
        </w:tblBorders>
        <w:tblLayout w:type="fixed"/>
        <w:tblLook w:val="0000" w:firstRow="0" w:lastRow="0" w:firstColumn="0" w:lastColumn="0" w:noHBand="0" w:noVBand="0"/>
      </w:tblPr>
      <w:tblGrid>
        <w:gridCol w:w="2840"/>
        <w:gridCol w:w="1421"/>
        <w:gridCol w:w="1419"/>
        <w:gridCol w:w="2842"/>
      </w:tblGrid>
      <w:tr w:rsidR="002B454C" w:rsidRPr="002B454C" w14:paraId="7D9A1FBA" w14:textId="77777777" w:rsidTr="001729EF">
        <w:trPr>
          <w:trHeight w:val="95"/>
        </w:trPr>
        <w:tc>
          <w:tcPr>
            <w:tcW w:w="2840" w:type="dxa"/>
          </w:tcPr>
          <w:p w14:paraId="401AA21C" w14:textId="50F84186"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teren    </w:t>
            </w:r>
          </w:p>
        </w:tc>
        <w:tc>
          <w:tcPr>
            <w:tcW w:w="2840" w:type="dxa"/>
            <w:gridSpan w:val="2"/>
          </w:tcPr>
          <w:p w14:paraId="58C9E39D"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 15.241,00 mp </w:t>
            </w:r>
          </w:p>
        </w:tc>
        <w:tc>
          <w:tcPr>
            <w:tcW w:w="2842" w:type="dxa"/>
          </w:tcPr>
          <w:p w14:paraId="542DD6E6"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p>
        </w:tc>
      </w:tr>
      <w:tr w:rsidR="002B454C" w:rsidRPr="002B454C" w14:paraId="6363E998" w14:textId="77777777" w:rsidTr="001729EF">
        <w:trPr>
          <w:trHeight w:val="95"/>
        </w:trPr>
        <w:tc>
          <w:tcPr>
            <w:tcW w:w="2840" w:type="dxa"/>
          </w:tcPr>
          <w:p w14:paraId="1CC00B2C" w14:textId="6F10ED6E"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lastRenderedPageBreak/>
              <w:t xml:space="preserve">Suprafata construita P                    </w:t>
            </w:r>
          </w:p>
        </w:tc>
        <w:tc>
          <w:tcPr>
            <w:tcW w:w="2840" w:type="dxa"/>
            <w:gridSpan w:val="2"/>
          </w:tcPr>
          <w:p w14:paraId="0E796058"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 4.559,00 mp </w:t>
            </w:r>
          </w:p>
        </w:tc>
        <w:tc>
          <w:tcPr>
            <w:tcW w:w="2842" w:type="dxa"/>
          </w:tcPr>
          <w:p w14:paraId="6171BCC6"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 </w:t>
            </w:r>
          </w:p>
        </w:tc>
      </w:tr>
      <w:tr w:rsidR="002B454C" w:rsidRPr="002B454C" w14:paraId="7D2CDCED" w14:textId="77777777" w:rsidTr="001729EF">
        <w:trPr>
          <w:trHeight w:val="95"/>
        </w:trPr>
        <w:tc>
          <w:tcPr>
            <w:tcW w:w="4261" w:type="dxa"/>
            <w:gridSpan w:val="2"/>
          </w:tcPr>
          <w:p w14:paraId="0B055B1E"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construita etaj 1 </w:t>
            </w:r>
          </w:p>
        </w:tc>
        <w:tc>
          <w:tcPr>
            <w:tcW w:w="4261" w:type="dxa"/>
            <w:gridSpan w:val="2"/>
          </w:tcPr>
          <w:p w14:paraId="67853AC7"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=280,00 mp </w:t>
            </w:r>
          </w:p>
        </w:tc>
      </w:tr>
      <w:tr w:rsidR="002B454C" w:rsidRPr="002B454C" w14:paraId="56252579" w14:textId="77777777" w:rsidTr="001729EF">
        <w:trPr>
          <w:trHeight w:val="95"/>
        </w:trPr>
        <w:tc>
          <w:tcPr>
            <w:tcW w:w="4261" w:type="dxa"/>
            <w:gridSpan w:val="2"/>
          </w:tcPr>
          <w:p w14:paraId="3D245ADF"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construita etaj 2 </w:t>
            </w:r>
          </w:p>
        </w:tc>
        <w:tc>
          <w:tcPr>
            <w:tcW w:w="4261" w:type="dxa"/>
            <w:gridSpan w:val="2"/>
          </w:tcPr>
          <w:p w14:paraId="36BEF0B5"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=280,00 mp </w:t>
            </w:r>
          </w:p>
        </w:tc>
      </w:tr>
      <w:tr w:rsidR="002B454C" w:rsidRPr="002B454C" w14:paraId="3AD9267F" w14:textId="77777777" w:rsidTr="001729EF">
        <w:trPr>
          <w:trHeight w:val="95"/>
        </w:trPr>
        <w:tc>
          <w:tcPr>
            <w:tcW w:w="2840" w:type="dxa"/>
          </w:tcPr>
          <w:p w14:paraId="6A1B6500"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alei pietonale </w:t>
            </w:r>
          </w:p>
        </w:tc>
        <w:tc>
          <w:tcPr>
            <w:tcW w:w="2840" w:type="dxa"/>
            <w:gridSpan w:val="2"/>
          </w:tcPr>
          <w:p w14:paraId="37FEAD3B"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=156,40 mp </w:t>
            </w:r>
          </w:p>
        </w:tc>
        <w:tc>
          <w:tcPr>
            <w:tcW w:w="2842" w:type="dxa"/>
          </w:tcPr>
          <w:p w14:paraId="4048906B"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p>
        </w:tc>
      </w:tr>
      <w:tr w:rsidR="002B454C" w:rsidRPr="002B454C" w14:paraId="1864CE24" w14:textId="77777777" w:rsidTr="001729EF">
        <w:trPr>
          <w:trHeight w:val="95"/>
        </w:trPr>
        <w:tc>
          <w:tcPr>
            <w:tcW w:w="2840" w:type="dxa"/>
          </w:tcPr>
          <w:p w14:paraId="37A6B6DF"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circulatii carosabile </w:t>
            </w:r>
          </w:p>
        </w:tc>
        <w:tc>
          <w:tcPr>
            <w:tcW w:w="2840" w:type="dxa"/>
            <w:gridSpan w:val="2"/>
          </w:tcPr>
          <w:p w14:paraId="11C24F99"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=6.416,30 mp </w:t>
            </w:r>
          </w:p>
        </w:tc>
        <w:tc>
          <w:tcPr>
            <w:tcW w:w="2842" w:type="dxa"/>
          </w:tcPr>
          <w:p w14:paraId="6674581A"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 </w:t>
            </w:r>
          </w:p>
        </w:tc>
      </w:tr>
      <w:tr w:rsidR="002B454C" w:rsidRPr="002B454C" w14:paraId="5B92A794" w14:textId="77777777" w:rsidTr="001729EF">
        <w:trPr>
          <w:trHeight w:val="95"/>
        </w:trPr>
        <w:tc>
          <w:tcPr>
            <w:tcW w:w="2840" w:type="dxa"/>
          </w:tcPr>
          <w:p w14:paraId="6E44F5BF"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parcari </w:t>
            </w:r>
          </w:p>
        </w:tc>
        <w:tc>
          <w:tcPr>
            <w:tcW w:w="2840" w:type="dxa"/>
            <w:gridSpan w:val="2"/>
          </w:tcPr>
          <w:p w14:paraId="669482D7"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=1.037,50 mp </w:t>
            </w:r>
          </w:p>
        </w:tc>
        <w:tc>
          <w:tcPr>
            <w:tcW w:w="2842" w:type="dxa"/>
          </w:tcPr>
          <w:p w14:paraId="6A6C6604"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 </w:t>
            </w:r>
          </w:p>
        </w:tc>
      </w:tr>
      <w:tr w:rsidR="002B454C" w:rsidRPr="002B454C" w14:paraId="66E2EF8F" w14:textId="77777777" w:rsidTr="001729EF">
        <w:trPr>
          <w:trHeight w:val="95"/>
        </w:trPr>
        <w:tc>
          <w:tcPr>
            <w:tcW w:w="2840" w:type="dxa"/>
          </w:tcPr>
          <w:p w14:paraId="2433C9D6" w14:textId="023E5AB6"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Suprafata spatii verzi  </w:t>
            </w:r>
          </w:p>
        </w:tc>
        <w:tc>
          <w:tcPr>
            <w:tcW w:w="2840" w:type="dxa"/>
            <w:gridSpan w:val="2"/>
          </w:tcPr>
          <w:p w14:paraId="71D2CDE3"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=3.071,80 mp </w:t>
            </w:r>
          </w:p>
        </w:tc>
        <w:tc>
          <w:tcPr>
            <w:tcW w:w="2842" w:type="dxa"/>
          </w:tcPr>
          <w:p w14:paraId="3F3171AE" w14:textId="77777777" w:rsidR="002B454C" w:rsidRPr="00E171ED" w:rsidRDefault="002B454C" w:rsidP="002B454C">
            <w:pPr>
              <w:keepNext/>
              <w:spacing w:after="0" w:line="240" w:lineRule="auto"/>
              <w:rPr>
                <w:rFonts w:ascii="Trebuchet MS" w:eastAsia="Times New Roman" w:hAnsi="Trebuchet MS" w:cs="Arial"/>
                <w:bCs/>
                <w:color w:val="000000"/>
                <w:lang w:val="en-US" w:eastAsia="ro-RO"/>
                <w14:ligatures w14:val="none"/>
              </w:rPr>
            </w:pPr>
            <w:r w:rsidRPr="00E171ED">
              <w:rPr>
                <w:rFonts w:ascii="Trebuchet MS" w:eastAsia="Times New Roman" w:hAnsi="Trebuchet MS" w:cs="Arial"/>
                <w:bCs/>
                <w:color w:val="000000"/>
                <w:lang w:val="en-US" w:eastAsia="ro-RO"/>
                <w14:ligatures w14:val="none"/>
              </w:rPr>
              <w:t xml:space="preserve">20.18% </w:t>
            </w:r>
          </w:p>
        </w:tc>
      </w:tr>
      <w:tr w:rsidR="002B454C" w:rsidRPr="002B454C" w14:paraId="12F16978" w14:textId="77777777" w:rsidTr="001729EF">
        <w:trPr>
          <w:trHeight w:val="95"/>
        </w:trPr>
        <w:tc>
          <w:tcPr>
            <w:tcW w:w="4261" w:type="dxa"/>
            <w:gridSpan w:val="2"/>
          </w:tcPr>
          <w:p w14:paraId="2B0D2880" w14:textId="77777777" w:rsidR="002B454C" w:rsidRPr="002B454C" w:rsidRDefault="002B454C" w:rsidP="002B454C">
            <w:pPr>
              <w:keepNext/>
              <w:spacing w:after="0" w:line="240" w:lineRule="auto"/>
              <w:rPr>
                <w:rFonts w:ascii="Arial" w:eastAsia="Times New Roman" w:hAnsi="Arial" w:cs="Arial"/>
                <w:bCs/>
                <w:color w:val="000000"/>
                <w:sz w:val="24"/>
                <w:szCs w:val="24"/>
                <w:lang w:val="en-US" w:eastAsia="ro-RO"/>
                <w14:ligatures w14:val="none"/>
              </w:rPr>
            </w:pPr>
            <w:r w:rsidRPr="002B454C">
              <w:rPr>
                <w:rFonts w:ascii="Arial" w:eastAsia="Times New Roman" w:hAnsi="Arial" w:cs="Arial"/>
                <w:b/>
                <w:bCs/>
                <w:color w:val="000000"/>
                <w:sz w:val="24"/>
                <w:szCs w:val="24"/>
                <w:lang w:val="en-US" w:eastAsia="ro-RO"/>
                <w14:ligatures w14:val="none"/>
              </w:rPr>
              <w:t xml:space="preserve">Suprafata construita desfasurata </w:t>
            </w:r>
          </w:p>
        </w:tc>
        <w:tc>
          <w:tcPr>
            <w:tcW w:w="4261" w:type="dxa"/>
            <w:gridSpan w:val="2"/>
          </w:tcPr>
          <w:p w14:paraId="32D79164" w14:textId="77777777" w:rsidR="002B454C" w:rsidRPr="002B454C" w:rsidRDefault="002B454C" w:rsidP="002B454C">
            <w:pPr>
              <w:keepNext/>
              <w:spacing w:after="0" w:line="240" w:lineRule="auto"/>
              <w:rPr>
                <w:rFonts w:ascii="Arial" w:eastAsia="Times New Roman" w:hAnsi="Arial" w:cs="Arial"/>
                <w:bCs/>
                <w:color w:val="000000"/>
                <w:sz w:val="24"/>
                <w:szCs w:val="24"/>
                <w:lang w:val="en-US" w:eastAsia="ro-RO"/>
                <w14:ligatures w14:val="none"/>
              </w:rPr>
            </w:pPr>
            <w:r w:rsidRPr="002B454C">
              <w:rPr>
                <w:rFonts w:ascii="Arial" w:eastAsia="Times New Roman" w:hAnsi="Arial" w:cs="Arial"/>
                <w:bCs/>
                <w:color w:val="000000"/>
                <w:sz w:val="24"/>
                <w:szCs w:val="24"/>
                <w:lang w:val="en-US" w:eastAsia="ro-RO"/>
                <w14:ligatures w14:val="none"/>
              </w:rPr>
              <w:t xml:space="preserve">=5.119,00 mp </w:t>
            </w:r>
          </w:p>
        </w:tc>
      </w:tr>
    </w:tbl>
    <w:p w14:paraId="335CCCAF" w14:textId="5ACC234D"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572BD0A7" w14:textId="15EAC0C1" w:rsidR="00AB1667" w:rsidRPr="00AB1667" w:rsidRDefault="002B454C" w:rsidP="00AB1667">
      <w:pPr>
        <w:keepNext/>
        <w:jc w:val="both"/>
        <w:rPr>
          <w:rFonts w:ascii="Trebuchet MS" w:eastAsia="Times New Roman" w:hAnsi="Trebuchet MS" w:cs="Arial"/>
          <w:lang w:eastAsia="ro-RO"/>
          <w14:ligatures w14:val="none"/>
        </w:rPr>
      </w:pPr>
      <w:r w:rsidRPr="00AB1667">
        <w:rPr>
          <w:rFonts w:ascii="Trebuchet MS" w:eastAsia="Times New Roman" w:hAnsi="Trebuchet MS" w:cs="Arial"/>
          <w:b/>
          <w:bCs/>
          <w:lang w:val="en-US" w:eastAsia="ro-RO"/>
          <w14:ligatures w14:val="none"/>
        </w:rPr>
        <w:t>Alimentarea cu apă</w:t>
      </w:r>
      <w:r w:rsidRPr="00AB1667">
        <w:rPr>
          <w:rFonts w:ascii="Trebuchet MS" w:eastAsia="Times New Roman" w:hAnsi="Trebuchet MS" w:cs="Arial"/>
          <w:lang w:val="en-US" w:eastAsia="ro-RO"/>
          <w14:ligatures w14:val="none"/>
        </w:rPr>
        <w:t>:</w:t>
      </w:r>
      <w:r w:rsidR="00AB1667" w:rsidRPr="00AB1667">
        <w:rPr>
          <w:rFonts w:ascii="Trebuchet MS" w:hAnsi="Trebuchet MS" w:cs="Arial"/>
          <w14:ligatures w14:val="none"/>
        </w:rPr>
        <w:t xml:space="preserve"> </w:t>
      </w:r>
      <w:r w:rsidR="00AB1667" w:rsidRPr="00AB1667">
        <w:rPr>
          <w:rFonts w:ascii="Trebuchet MS" w:eastAsia="Times New Roman" w:hAnsi="Trebuchet MS" w:cs="Arial"/>
          <w:lang w:eastAsia="ro-RO"/>
          <w14:ligatures w14:val="none"/>
        </w:rPr>
        <w:t xml:space="preserve">Conform Studiului hidrogeologic </w:t>
      </w:r>
      <w:r w:rsidR="00AB1667" w:rsidRPr="00AB1667">
        <w:rPr>
          <w:rFonts w:ascii="Trebuchet MS" w:eastAsia="Times New Roman" w:hAnsi="Trebuchet MS" w:cs="Arial"/>
          <w:lang w:val="en-US" w:eastAsia="ro-RO"/>
          <w14:ligatures w14:val="none"/>
        </w:rPr>
        <w:t xml:space="preserve">preliminar pentru execuţie foraj alimentare cu apă la obiectivul </w:t>
      </w:r>
      <w:r w:rsidR="00AB1667" w:rsidRPr="00AB1667">
        <w:rPr>
          <w:rFonts w:ascii="Trebuchet MS" w:eastAsia="Times New Roman" w:hAnsi="Trebuchet MS" w:cs="Arial"/>
          <w:bCs/>
          <w:lang w:eastAsia="ro-RO"/>
          <w14:ligatures w14:val="none"/>
        </w:rPr>
        <w:t>”Construire imobile depozitare parter cu birouri anexe, împrejmuire teren şi amenajare incintă”</w:t>
      </w:r>
      <w:r w:rsidR="00AB1667" w:rsidRPr="00AB1667">
        <w:rPr>
          <w:rFonts w:ascii="Trebuchet MS" w:eastAsia="Times New Roman" w:hAnsi="Trebuchet MS" w:cs="Arial"/>
          <w:lang w:val="en-US" w:eastAsia="ro-RO"/>
          <w14:ligatures w14:val="none"/>
        </w:rPr>
        <w:t xml:space="preserve"> şi a Referatului de expertiză a acestuia emis de INHGA, sursa de apă va fi constituită dintr-un foraj de alimentare cu apă, F</w:t>
      </w:r>
      <w:r w:rsidR="00AB1667" w:rsidRPr="00AB1667">
        <w:rPr>
          <w:rFonts w:ascii="Trebuchet MS" w:eastAsia="Times New Roman" w:hAnsi="Trebuchet MS" w:cs="Arial"/>
          <w:vertAlign w:val="subscript"/>
          <w:lang w:val="en-US" w:eastAsia="ro-RO"/>
          <w14:ligatures w14:val="none"/>
        </w:rPr>
        <w:t>1</w:t>
      </w:r>
      <w:r w:rsidR="00AB1667" w:rsidRPr="00AB1667">
        <w:rPr>
          <w:rFonts w:ascii="Trebuchet MS" w:eastAsia="Times New Roman" w:hAnsi="Trebuchet MS" w:cs="Arial"/>
          <w:lang w:val="en-US" w:eastAsia="ro-RO"/>
          <w14:ligatures w14:val="none"/>
        </w:rPr>
        <w:t>, proiectat cu H=25 m</w:t>
      </w:r>
      <w:r w:rsidR="00AB1667" w:rsidRPr="00AB1667">
        <w:rPr>
          <w:rFonts w:ascii="Trebuchet MS" w:eastAsia="Times New Roman" w:hAnsi="Trebuchet MS" w:cs="Arial"/>
          <w:lang w:eastAsia="ro-RO"/>
          <w14:ligatures w14:val="none"/>
        </w:rPr>
        <w:t>.</w:t>
      </w:r>
    </w:p>
    <w:p w14:paraId="412C1ACB" w14:textId="47D324BA" w:rsidR="00AB1667" w:rsidRPr="00AB1667" w:rsidRDefault="002B454C" w:rsidP="00AB1667">
      <w:pPr>
        <w:keepNext/>
        <w:jc w:val="both"/>
        <w:rPr>
          <w:rFonts w:ascii="Trebuchet MS" w:eastAsia="Times New Roman" w:hAnsi="Trebuchet MS" w:cs="Arial"/>
          <w:lang w:eastAsia="ro-RO"/>
          <w14:ligatures w14:val="none"/>
        </w:rPr>
      </w:pPr>
      <w:r w:rsidRPr="00AB1667">
        <w:rPr>
          <w:rFonts w:ascii="Trebuchet MS" w:eastAsia="Times New Roman" w:hAnsi="Trebuchet MS" w:cs="Arial"/>
          <w:lang w:val="en-US" w:eastAsia="ro-RO"/>
          <w14:ligatures w14:val="none"/>
        </w:rPr>
        <w:t xml:space="preserve"> </w:t>
      </w:r>
      <w:r w:rsidR="00AB1667" w:rsidRPr="00AB1667">
        <w:rPr>
          <w:rFonts w:ascii="Trebuchet MS" w:eastAsia="Times New Roman" w:hAnsi="Trebuchet MS" w:cs="Arial"/>
          <w:lang w:eastAsia="ro-RO"/>
          <w14:ligatures w14:val="none"/>
        </w:rPr>
        <w:t>Captarea apei:</w:t>
      </w:r>
    </w:p>
    <w:p w14:paraId="540CAAFF" w14:textId="77777777"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 un foraj de alimentare cu apă, F</w:t>
      </w:r>
      <w:r w:rsidRPr="00AB1667">
        <w:rPr>
          <w:rFonts w:ascii="Trebuchet MS" w:eastAsia="Times New Roman" w:hAnsi="Trebuchet MS" w:cs="Arial"/>
          <w:vertAlign w:val="subscript"/>
          <w:lang w:eastAsia="ro-RO"/>
          <w14:ligatures w14:val="none"/>
        </w:rPr>
        <w:t>1</w:t>
      </w:r>
      <w:r w:rsidRPr="00AB1667">
        <w:rPr>
          <w:rFonts w:ascii="Trebuchet MS" w:eastAsia="Times New Roman" w:hAnsi="Trebuchet MS" w:cs="Arial"/>
          <w:lang w:eastAsia="ro-RO"/>
          <w14:ligatures w14:val="none"/>
        </w:rPr>
        <w:t xml:space="preserve"> proiectat cu H=25 m.</w:t>
      </w:r>
    </w:p>
    <w:p w14:paraId="5ECC2A97" w14:textId="2698F0D3"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Distribuţia apei:</w:t>
      </w:r>
    </w:p>
    <w:p w14:paraId="598ABBF2" w14:textId="77777777"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Reţeaua de distribuţie a apei va fi realizată din conducte PEHD, cu D</w:t>
      </w:r>
      <w:r w:rsidRPr="00AB1667">
        <w:rPr>
          <w:rFonts w:ascii="Trebuchet MS" w:eastAsia="Times New Roman" w:hAnsi="Trebuchet MS" w:cs="Arial"/>
          <w:vertAlign w:val="subscript"/>
          <w:lang w:eastAsia="ro-RO"/>
          <w14:ligatures w14:val="none"/>
        </w:rPr>
        <w:t>n</w:t>
      </w:r>
      <w:r w:rsidRPr="00AB1667">
        <w:rPr>
          <w:rFonts w:ascii="Trebuchet MS" w:eastAsia="Times New Roman" w:hAnsi="Trebuchet MS" w:cs="Arial"/>
          <w:lang w:eastAsia="ro-RO"/>
          <w14:ligatures w14:val="none"/>
        </w:rPr>
        <w:t>=32mm şi L=500m</w:t>
      </w:r>
    </w:p>
    <w:p w14:paraId="3A590BA1" w14:textId="77777777" w:rsidR="00AB1667" w:rsidRPr="00AB1667" w:rsidRDefault="00AB1667" w:rsidP="00AB1667">
      <w:pPr>
        <w:keepNext/>
        <w:spacing w:after="0" w:line="240" w:lineRule="auto"/>
        <w:jc w:val="both"/>
        <w:rPr>
          <w:rFonts w:ascii="Trebuchet MS" w:eastAsia="Times New Roman" w:hAnsi="Trebuchet MS" w:cs="Arial"/>
          <w:b/>
          <w:lang w:eastAsia="ro-RO"/>
          <w14:ligatures w14:val="none"/>
        </w:rPr>
      </w:pPr>
    </w:p>
    <w:p w14:paraId="051FFBBB" w14:textId="29103432" w:rsidR="00AB1667" w:rsidRPr="00AB1667" w:rsidRDefault="00AB1667" w:rsidP="00AB1667">
      <w:pPr>
        <w:keepNext/>
        <w:spacing w:after="0" w:line="240" w:lineRule="auto"/>
        <w:jc w:val="both"/>
        <w:rPr>
          <w:rFonts w:ascii="Trebuchet MS" w:eastAsia="Times New Roman" w:hAnsi="Trebuchet MS" w:cs="Arial"/>
          <w:b/>
          <w:lang w:eastAsia="ro-RO"/>
          <w14:ligatures w14:val="none"/>
        </w:rPr>
      </w:pPr>
      <w:r w:rsidRPr="00AB1667">
        <w:rPr>
          <w:rFonts w:ascii="Trebuchet MS" w:eastAsia="Times New Roman" w:hAnsi="Trebuchet MS" w:cs="Arial"/>
          <w:b/>
          <w:lang w:eastAsia="ro-RO"/>
          <w14:ligatures w14:val="none"/>
        </w:rPr>
        <w:t xml:space="preserve"> EVACUAREA APELOR UZATE</w:t>
      </w:r>
    </w:p>
    <w:p w14:paraId="3708D90D" w14:textId="3A0964EC"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Tipuri de ape uzate</w:t>
      </w:r>
    </w:p>
    <w:p w14:paraId="697B9053" w14:textId="7552726A"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Apele uzate menajere vor fi colectate în şase bazine vidanjabile, etanşe, proiectate cu V=7m</w:t>
      </w:r>
      <w:r w:rsidRPr="00AB1667">
        <w:rPr>
          <w:rFonts w:ascii="Trebuchet MS" w:eastAsia="Times New Roman" w:hAnsi="Trebuchet MS" w:cs="Arial"/>
          <w:vertAlign w:val="superscript"/>
          <w:lang w:eastAsia="ro-RO"/>
          <w14:ligatures w14:val="none"/>
        </w:rPr>
        <w:t xml:space="preserve">3 </w:t>
      </w:r>
      <w:r w:rsidRPr="00AB1667">
        <w:rPr>
          <w:rFonts w:ascii="Trebuchet MS" w:eastAsia="Times New Roman" w:hAnsi="Trebuchet MS" w:cs="Arial"/>
          <w:lang w:eastAsia="ro-RO"/>
          <w14:ligatures w14:val="none"/>
        </w:rPr>
        <w:t>fiecare.</w:t>
      </w:r>
    </w:p>
    <w:p w14:paraId="445CC0BB" w14:textId="37B1D9DF"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Apele pluviale provenite de pe platformele betonate vor fi trecute prin două separatoare de hidrocarburi propuse, de unde vor fi colectate în două bazine de retenţie etanşe, proiectate cu V=20mc fiecare şi apoi utilizate la întreţinerea spaţiilor verzi.</w:t>
      </w:r>
    </w:p>
    <w:p w14:paraId="355A9416" w14:textId="6706A0B0"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Reţea de canalizare ape uzate.</w:t>
      </w:r>
    </w:p>
    <w:p w14:paraId="6EEFD4C6" w14:textId="60859BB6"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Reţeaua de canalizare ape uzate menajere va fi realizată din conducte PVC, D</w:t>
      </w:r>
      <w:r w:rsidRPr="00AB1667">
        <w:rPr>
          <w:rFonts w:ascii="Trebuchet MS" w:eastAsia="Times New Roman" w:hAnsi="Trebuchet MS" w:cs="Arial"/>
          <w:vertAlign w:val="subscript"/>
          <w:lang w:eastAsia="ro-RO"/>
          <w14:ligatures w14:val="none"/>
        </w:rPr>
        <w:t>n</w:t>
      </w:r>
      <w:r w:rsidRPr="00AB1667">
        <w:rPr>
          <w:rFonts w:ascii="Trebuchet MS" w:eastAsia="Times New Roman" w:hAnsi="Trebuchet MS" w:cs="Arial"/>
          <w:lang w:eastAsia="ro-RO"/>
          <w14:ligatures w14:val="none"/>
        </w:rPr>
        <w:t>=160mm şi L=100m.</w:t>
      </w:r>
    </w:p>
    <w:p w14:paraId="01C2A665" w14:textId="16B4EF0A"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Reţeaua de canalizare ape pluviale va fi realizată din conducte PVC, D</w:t>
      </w:r>
      <w:r w:rsidRPr="00AB1667">
        <w:rPr>
          <w:rFonts w:ascii="Trebuchet MS" w:eastAsia="Times New Roman" w:hAnsi="Trebuchet MS" w:cs="Arial"/>
          <w:vertAlign w:val="subscript"/>
          <w:lang w:eastAsia="ro-RO"/>
          <w14:ligatures w14:val="none"/>
        </w:rPr>
        <w:t>n</w:t>
      </w:r>
      <w:r w:rsidRPr="00AB1667">
        <w:rPr>
          <w:rFonts w:ascii="Trebuchet MS" w:eastAsia="Times New Roman" w:hAnsi="Trebuchet MS" w:cs="Arial"/>
          <w:lang w:eastAsia="ro-RO"/>
          <w14:ligatures w14:val="none"/>
        </w:rPr>
        <w:t>=160-250mm şi L=400m.</w:t>
      </w:r>
    </w:p>
    <w:p w14:paraId="07590BA9" w14:textId="14DC7A23"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Instalaţii de epurare</w:t>
      </w:r>
    </w:p>
    <w:p w14:paraId="7E2102CB" w14:textId="77777777" w:rsidR="00AB1667" w:rsidRPr="00AB1667" w:rsidRDefault="00AB1667" w:rsidP="00AB1667">
      <w:pPr>
        <w:keepNext/>
        <w:spacing w:after="0" w:line="240" w:lineRule="auto"/>
        <w:jc w:val="both"/>
        <w:rPr>
          <w:rFonts w:ascii="Trebuchet MS" w:eastAsia="Times New Roman" w:hAnsi="Trebuchet MS" w:cs="Arial"/>
          <w:lang w:eastAsia="ro-RO"/>
          <w14:ligatures w14:val="none"/>
        </w:rPr>
      </w:pPr>
      <w:r w:rsidRPr="00AB1667">
        <w:rPr>
          <w:rFonts w:ascii="Trebuchet MS" w:eastAsia="Times New Roman" w:hAnsi="Trebuchet MS" w:cs="Arial"/>
          <w:lang w:eastAsia="ro-RO"/>
          <w14:ligatures w14:val="none"/>
        </w:rPr>
        <w:t>- două separatoare de hidrocarburi</w:t>
      </w:r>
    </w:p>
    <w:p w14:paraId="310D3BC0" w14:textId="6070754A"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750904">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750904">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750904">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Nivelul de zgomot rezultat in perioada de functionare se va incadra in limitele admise pentru functiunea existenta  in zona, conform SR 10009/2017.</w:t>
      </w:r>
    </w:p>
    <w:p w14:paraId="64012BB3"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740E3518"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DB79D9">
        <w:rPr>
          <w:rFonts w:ascii="Trebuchet MS" w:eastAsia="Times New Roman" w:hAnsi="Trebuchet MS" w:cs="Arial"/>
          <w:lang w:val="en-US" w:eastAsia="ro-RO"/>
          <w14:ligatures w14:val="none"/>
        </w:rPr>
        <w:t>322</w:t>
      </w:r>
      <w:r w:rsidR="002B454C" w:rsidRPr="002B454C">
        <w:rPr>
          <w:rFonts w:ascii="Trebuchet MS" w:eastAsia="Times New Roman" w:hAnsi="Trebuchet MS" w:cs="Arial"/>
          <w:lang w:val="en-US" w:eastAsia="ro-RO"/>
          <w14:ligatures w14:val="none"/>
        </w:rPr>
        <w:t xml:space="preserve"> din 1</w:t>
      </w:r>
      <w:r w:rsidR="00DB79D9">
        <w:rPr>
          <w:rFonts w:ascii="Trebuchet MS" w:eastAsia="Times New Roman" w:hAnsi="Trebuchet MS" w:cs="Arial"/>
          <w:lang w:val="en-US" w:eastAsia="ro-RO"/>
          <w14:ligatures w14:val="none"/>
        </w:rPr>
        <w:t>3.11</w:t>
      </w:r>
      <w:r w:rsidR="002B454C" w:rsidRPr="002B454C">
        <w:rPr>
          <w:rFonts w:ascii="Trebuchet MS" w:eastAsia="Times New Roman" w:hAnsi="Trebuchet MS" w:cs="Arial"/>
          <w:lang w:val="en-US" w:eastAsia="ro-RO"/>
          <w14:ligatures w14:val="none"/>
        </w:rPr>
        <w:t>.2023</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2B454C">
        <w:rPr>
          <w:rFonts w:ascii="Trebuchet MS" w:eastAsia="Times New Roman" w:hAnsi="Trebuchet MS" w:cs="Arial"/>
          <w:lang w:eastAsia="ro-RO"/>
          <w14:ligatures w14:val="none"/>
        </w:rPr>
        <w:t xml:space="preserve"> orasului</w:t>
      </w:r>
      <w:r w:rsidR="002B454C" w:rsidRPr="002B454C">
        <w:rPr>
          <w:rFonts w:ascii="Trebuchet MS" w:eastAsia="Calibri" w:hAnsi="Trebuchet MS" w:cs="Arial"/>
          <w:b/>
          <w:lang w:val="en-US"/>
          <w14:ligatures w14:val="none"/>
        </w:rPr>
        <w:t xml:space="preserve"> </w:t>
      </w:r>
      <w:r w:rsidR="002B454C" w:rsidRPr="002B454C">
        <w:rPr>
          <w:rFonts w:ascii="Trebuchet MS" w:eastAsia="Times New Roman" w:hAnsi="Trebuchet MS" w:cs="Arial"/>
          <w:lang w:val="en-US" w:eastAsia="ro-RO"/>
          <w14:ligatures w14:val="none"/>
        </w:rPr>
        <w:t>Chitila,</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orasului Chitila</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2B454C" w:rsidRPr="002B454C">
        <w:rPr>
          <w:rFonts w:ascii="Trebuchet MS" w:eastAsia="Times New Roman" w:hAnsi="Trebuchet MS" w:cs="Arial"/>
          <w:lang w:eastAsia="ro-RO"/>
          <w14:ligatures w14:val="none"/>
        </w:rPr>
        <w:t>UTR M1b – subzona mixta cu potential de centralitate cuprinzand servicii, birouri, dotari si locuinte</w:t>
      </w:r>
      <w:r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3F21D9" w:rsidRPr="003F21D9">
        <w:rPr>
          <w:rFonts w:ascii="Trebuchet MS" w:eastAsia="Times New Roman" w:hAnsi="Trebuchet MS" w:cs="Arial"/>
          <w:lang w:val="en-US" w:eastAsia="ro-RO"/>
          <w14:ligatures w14:val="none"/>
        </w:rPr>
        <w:t>C</w:t>
      </w:r>
      <w:r w:rsidR="002B454C">
        <w:rPr>
          <w:rFonts w:ascii="Trebuchet MS" w:eastAsia="Times New Roman" w:hAnsi="Trebuchet MS" w:cs="Arial"/>
          <w:lang w:val="en-US" w:eastAsia="ro-RO"/>
          <w14:ligatures w14:val="none"/>
        </w:rPr>
        <w:t>hitila</w:t>
      </w:r>
      <w:r w:rsidR="002B454C">
        <w:rPr>
          <w:rFonts w:ascii="Trebuchet MS" w:eastAsia="Times New Roman" w:hAnsi="Trebuchet MS" w:cs="Arial"/>
          <w:lang w:eastAsia="ro-RO"/>
          <w14:ligatures w14:val="none"/>
        </w:rPr>
        <w:t>, aprobat cu H.C.L. nr. 21</w:t>
      </w:r>
      <w:r w:rsidR="008663E4">
        <w:rPr>
          <w:rFonts w:ascii="Trebuchet MS" w:eastAsia="Times New Roman" w:hAnsi="Trebuchet MS" w:cs="Arial"/>
          <w:lang w:eastAsia="ro-RO"/>
          <w14:ligatures w14:val="none"/>
        </w:rPr>
        <w:t>/</w:t>
      </w:r>
      <w:r w:rsidR="002B454C">
        <w:rPr>
          <w:rFonts w:ascii="Trebuchet MS" w:eastAsia="Times New Roman" w:hAnsi="Trebuchet MS" w:cs="Arial"/>
          <w:lang w:eastAsia="ro-RO"/>
          <w14:ligatures w14:val="none"/>
        </w:rPr>
        <w:t>14</w:t>
      </w:r>
      <w:r w:rsidR="003F21D9">
        <w:rPr>
          <w:rFonts w:ascii="Trebuchet MS" w:eastAsia="Times New Roman" w:hAnsi="Trebuchet MS" w:cs="Arial"/>
          <w:lang w:eastAsia="ro-RO"/>
          <w14:ligatures w14:val="none"/>
        </w:rPr>
        <w:t>.02.</w:t>
      </w:r>
      <w:r w:rsidRPr="004F2B32">
        <w:rPr>
          <w:rFonts w:ascii="Trebuchet MS" w:eastAsia="Times New Roman" w:hAnsi="Trebuchet MS" w:cs="Arial"/>
          <w:lang w:eastAsia="ro-RO"/>
          <w14:ligatures w14:val="none"/>
        </w:rPr>
        <w:t>201</w:t>
      </w:r>
      <w:r w:rsidR="003F21D9">
        <w:rPr>
          <w:rFonts w:ascii="Trebuchet MS" w:eastAsia="Times New Roman" w:hAnsi="Trebuchet MS" w:cs="Arial"/>
          <w:lang w:eastAsia="ro-RO"/>
          <w14:ligatures w14:val="none"/>
        </w:rPr>
        <w:t>9</w:t>
      </w:r>
      <w:r w:rsidRPr="004F2B32">
        <w:rPr>
          <w:rFonts w:ascii="Trebuchet MS" w:eastAsia="Times New Roman" w:hAnsi="Trebuchet MS" w:cs="Arial"/>
          <w:lang w:eastAsia="ro-RO"/>
          <w14:ligatures w14:val="none"/>
        </w:rPr>
        <w:t>.</w:t>
      </w:r>
    </w:p>
    <w:p w14:paraId="4B57663C"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37C5FB7B"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DB79D9">
        <w:rPr>
          <w:rFonts w:ascii="Trebuchet MS" w:eastAsia="Times New Roman" w:hAnsi="Trebuchet MS" w:cs="Arial"/>
          <w:bCs/>
          <w14:ligatures w14:val="none"/>
        </w:rPr>
        <w:t>322</w:t>
      </w:r>
      <w:r w:rsidR="00DB2F53" w:rsidRPr="00DB2F53">
        <w:rPr>
          <w:rFonts w:ascii="Trebuchet MS" w:eastAsia="Times New Roman" w:hAnsi="Trebuchet MS" w:cs="Arial"/>
          <w:bCs/>
          <w14:ligatures w14:val="none"/>
        </w:rPr>
        <w:t xml:space="preserve"> din 1</w:t>
      </w:r>
      <w:r w:rsidR="00DB79D9">
        <w:rPr>
          <w:rFonts w:ascii="Trebuchet MS" w:eastAsia="Times New Roman" w:hAnsi="Trebuchet MS" w:cs="Arial"/>
          <w:bCs/>
          <w14:ligatures w14:val="none"/>
        </w:rPr>
        <w:t>3.11</w:t>
      </w:r>
      <w:r w:rsidR="00DB2F53" w:rsidRPr="00DB2F53">
        <w:rPr>
          <w:rFonts w:ascii="Trebuchet MS" w:eastAsia="Times New Roman" w:hAnsi="Trebuchet MS" w:cs="Arial"/>
          <w:bCs/>
          <w14:ligatures w14:val="none"/>
        </w:rPr>
        <w:t xml:space="preserve">.2023, emis de Primaria </w:t>
      </w:r>
      <w:r w:rsidR="00DB79D9">
        <w:rPr>
          <w:rFonts w:ascii="Trebuchet MS" w:eastAsia="Times New Roman" w:hAnsi="Trebuchet MS" w:cs="Arial"/>
          <w:bCs/>
          <w14:ligatures w14:val="none"/>
        </w:rPr>
        <w:t>orasului Chitila</w:t>
      </w:r>
      <w:r w:rsidR="00875045" w:rsidRPr="00875045">
        <w:rPr>
          <w:rFonts w:ascii="Trebuchet MS" w:eastAsia="Times New Roman" w:hAnsi="Trebuchet MS" w:cs="Arial"/>
          <w:bCs/>
          <w14:ligatures w14:val="none"/>
        </w:rPr>
        <w:t xml:space="preserve">, emis de Primaria </w:t>
      </w:r>
      <w:r w:rsidR="00DB79D9">
        <w:rPr>
          <w:rFonts w:ascii="Trebuchet MS" w:eastAsia="Times New Roman" w:hAnsi="Trebuchet MS" w:cs="Arial"/>
          <w:bCs/>
          <w14:ligatures w14:val="none"/>
        </w:rPr>
        <w:t>orasului Chitila</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330A69F3"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DB79D9">
        <w:rPr>
          <w:rFonts w:ascii="Trebuchet MS" w:eastAsia="Times New Roman" w:hAnsi="Trebuchet MS" w:cs="Arial"/>
          <w:bCs/>
          <w:lang w:val="en-US" w:eastAsia="ro-RO"/>
          <w14:ligatures w14:val="none"/>
        </w:rPr>
        <w:t>Chitila</w:t>
      </w:r>
      <w:r w:rsidR="00282603" w:rsidRPr="00282603">
        <w:rPr>
          <w:rFonts w:ascii="Trebuchet MS" w:eastAsia="Times New Roman" w:hAnsi="Trebuchet MS" w:cs="Arial"/>
          <w:lang w:val="pt-BR"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DB79D9">
        <w:rPr>
          <w:rFonts w:ascii="Trebuchet MS" w:eastAsia="Calibri" w:hAnsi="Trebuchet MS" w:cs="Arial"/>
          <w:bCs/>
          <w:color w:val="000000"/>
          <w:lang w:val="en-US"/>
          <w14:ligatures w14:val="none"/>
        </w:rPr>
        <w:t>Chitila</w:t>
      </w:r>
      <w:r w:rsidRPr="004F2B32">
        <w:rPr>
          <w:rFonts w:ascii="Trebuchet MS" w:eastAsia="Calibri" w:hAnsi="Trebuchet MS" w:cs="Arial"/>
          <w:lang w:val="en-US"/>
          <w14:ligatures w14:val="none"/>
        </w:rPr>
        <w:t xml:space="preserve"> nr. </w:t>
      </w:r>
      <w:r w:rsidR="00E364E6">
        <w:rPr>
          <w:rFonts w:ascii="Trebuchet MS" w:eastAsia="Calibri" w:hAnsi="Trebuchet MS" w:cs="Arial"/>
          <w14:ligatures w14:val="none"/>
        </w:rPr>
        <w:t>21</w:t>
      </w:r>
      <w:r w:rsidR="00F92195" w:rsidRPr="00F92195">
        <w:rPr>
          <w:rFonts w:ascii="Trebuchet MS" w:eastAsia="Calibri" w:hAnsi="Trebuchet MS" w:cs="Arial"/>
          <w14:ligatures w14:val="none"/>
        </w:rPr>
        <w:t>/</w:t>
      </w:r>
      <w:r w:rsidR="00E364E6">
        <w:rPr>
          <w:rFonts w:ascii="Trebuchet MS" w:eastAsia="Calibri" w:hAnsi="Trebuchet MS" w:cs="Arial"/>
          <w14:ligatures w14:val="none"/>
        </w:rPr>
        <w:t>13.11</w:t>
      </w:r>
      <w:r w:rsidR="008A005D">
        <w:rPr>
          <w:rFonts w:ascii="Trebuchet MS" w:eastAsia="Calibri" w:hAnsi="Trebuchet MS" w:cs="Arial"/>
          <w14:ligatures w14:val="none"/>
        </w:rPr>
        <w:t>.</w:t>
      </w:r>
      <w:r w:rsidR="00E364E6">
        <w:rPr>
          <w:rFonts w:ascii="Trebuchet MS" w:eastAsia="Calibri" w:hAnsi="Trebuchet MS" w:cs="Arial"/>
          <w14:ligatures w14:val="none"/>
        </w:rPr>
        <w:t>2023</w:t>
      </w:r>
      <w:r w:rsidRPr="004F2B32">
        <w:rPr>
          <w:rFonts w:ascii="Trebuchet MS" w:eastAsia="Calibri" w:hAnsi="Trebuchet MS" w:cs="Arial"/>
          <w:lang w:val="it-IT"/>
          <w14:ligatures w14:val="none"/>
        </w:rPr>
        <w:t xml:space="preserve">.  </w:t>
      </w:r>
    </w:p>
    <w:p w14:paraId="6426273E"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750904">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lastRenderedPageBreak/>
        <w:t>-    Se vor respecta prevederile O.U.G. nr. 92/2021 privind regimul deseurilor, modificat si completat.</w:t>
      </w:r>
    </w:p>
    <w:p w14:paraId="22881FA8"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750904">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E171ED" w:rsidRDefault="004F2B32" w:rsidP="00E171ED">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E171ED">
      <w:pPr>
        <w:keepNext/>
        <w:spacing w:after="0" w:line="24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2C316C1B" w14:textId="3E464180" w:rsidR="00E171ED" w:rsidRPr="00E171ED" w:rsidRDefault="00CD773C" w:rsidP="00E171ED">
      <w:pPr>
        <w:keepNext/>
        <w:spacing w:after="0" w:line="240" w:lineRule="auto"/>
        <w:jc w:val="both"/>
        <w:rPr>
          <w:rFonts w:ascii="Trebuchet MS" w:eastAsia="Calibri" w:hAnsi="Trebuchet MS" w:cs="Arial"/>
          <w:color w:val="000000"/>
          <w:lang w:eastAsia="x-none"/>
          <w14:ligatures w14:val="none"/>
        </w:rPr>
      </w:pPr>
      <w:r w:rsidRPr="00CD773C">
        <w:rPr>
          <w:rFonts w:ascii="Trebuchet MS" w:eastAsia="Calibri" w:hAnsi="Trebuchet MS" w:cs="Arial"/>
          <w:color w:val="000000"/>
          <w:lang w:eastAsia="x-none"/>
          <w14:ligatures w14:val="none"/>
        </w:rPr>
        <w:t xml:space="preserve">- </w:t>
      </w:r>
      <w:r w:rsidRPr="00CD773C">
        <w:rPr>
          <w:rFonts w:ascii="Trebuchet MS" w:eastAsia="Calibri" w:hAnsi="Trebuchet MS" w:cs="Arial"/>
          <w:color w:val="000000"/>
          <w:lang w:val="pt-BR" w:eastAsia="x-none"/>
          <w14:ligatures w14:val="none"/>
        </w:rPr>
        <w:t xml:space="preserve">Se vor respecta </w:t>
      </w:r>
      <w:r w:rsidR="00E171ED">
        <w:rPr>
          <w:rFonts w:ascii="Trebuchet MS" w:eastAsia="Calibri" w:hAnsi="Trebuchet MS" w:cs="Arial"/>
          <w:color w:val="000000"/>
          <w:lang w:val="pt-BR" w:eastAsia="x-none"/>
          <w14:ligatures w14:val="none"/>
        </w:rPr>
        <w:t xml:space="preserve">Avizul </w:t>
      </w:r>
      <w:r w:rsidR="00E171ED" w:rsidRPr="00E171ED">
        <w:rPr>
          <w:rFonts w:ascii="Trebuchet MS" w:eastAsia="Calibri" w:hAnsi="Trebuchet MS" w:cs="Arial"/>
          <w:color w:val="000000"/>
          <w:lang w:eastAsia="x-none"/>
          <w14:ligatures w14:val="none"/>
        </w:rPr>
        <w:t>ANIF nr. 96/04.03.2024 emis de Agentia Nationala de Imbunatatiri Funciare.</w:t>
      </w:r>
    </w:p>
    <w:p w14:paraId="5927D89C" w14:textId="6A80BBBD" w:rsidR="00E171ED" w:rsidRDefault="00E171ED" w:rsidP="00CD773C">
      <w:pPr>
        <w:keepNext/>
        <w:spacing w:after="0" w:line="240" w:lineRule="auto"/>
        <w:jc w:val="both"/>
        <w:rPr>
          <w:rFonts w:ascii="Trebuchet MS" w:eastAsia="Calibri" w:hAnsi="Trebuchet MS" w:cs="Arial"/>
          <w:color w:val="000000"/>
          <w:lang w:eastAsia="x-none"/>
          <w14:ligatures w14:val="none"/>
        </w:rPr>
      </w:pPr>
      <w:r>
        <w:rPr>
          <w:rFonts w:ascii="Trebuchet MS" w:eastAsia="Calibri" w:hAnsi="Trebuchet MS" w:cs="Arial"/>
          <w:color w:val="000000"/>
          <w:lang w:val="pt-BR" w:eastAsia="x-none"/>
          <w14:ligatures w14:val="none"/>
        </w:rPr>
        <w:t>- Se va</w:t>
      </w:r>
      <w:r w:rsidRPr="00E171ED">
        <w:rPr>
          <w:rFonts w:ascii="Trebuchet MS" w:eastAsia="Calibri" w:hAnsi="Trebuchet MS" w:cs="Arial"/>
          <w:color w:val="000000"/>
          <w:lang w:val="pt-BR" w:eastAsia="x-none"/>
          <w14:ligatures w14:val="none"/>
        </w:rPr>
        <w:t xml:space="preserve"> respecta </w:t>
      </w:r>
      <w:r w:rsidRPr="00E171ED">
        <w:rPr>
          <w:rFonts w:ascii="Trebuchet MS" w:eastAsia="Calibri" w:hAnsi="Trebuchet MS" w:cs="Arial"/>
          <w:color w:val="000000"/>
          <w:lang w:eastAsia="x-none"/>
          <w14:ligatures w14:val="none"/>
        </w:rPr>
        <w:t>Hotarare</w:t>
      </w:r>
      <w:r>
        <w:rPr>
          <w:rFonts w:ascii="Trebuchet MS" w:eastAsia="Calibri" w:hAnsi="Trebuchet MS" w:cs="Arial"/>
          <w:color w:val="000000"/>
          <w:lang w:eastAsia="x-none"/>
          <w14:ligatures w14:val="none"/>
        </w:rPr>
        <w:t>a</w:t>
      </w:r>
      <w:r w:rsidRPr="00E171ED">
        <w:rPr>
          <w:rFonts w:ascii="Trebuchet MS" w:eastAsia="Calibri" w:hAnsi="Trebuchet MS" w:cs="Arial"/>
          <w:color w:val="000000"/>
          <w:lang w:eastAsia="x-none"/>
          <w14:ligatures w14:val="none"/>
        </w:rPr>
        <w:t xml:space="preserve"> PUD nr. 57/27.03/2024 emisa de Primaria orasului Chitila</w:t>
      </w:r>
    </w:p>
    <w:p w14:paraId="58564D5C" w14:textId="77777777" w:rsidR="00E171ED" w:rsidRPr="00E171ED" w:rsidRDefault="00E171ED" w:rsidP="00E171ED">
      <w:pPr>
        <w:keepNext/>
        <w:spacing w:after="0" w:line="240" w:lineRule="auto"/>
        <w:jc w:val="both"/>
        <w:rPr>
          <w:rFonts w:ascii="Trebuchet MS" w:eastAsia="Calibri" w:hAnsi="Trebuchet MS" w:cs="Arial"/>
          <w:color w:val="000000"/>
          <w:lang w:eastAsia="x-none"/>
          <w14:ligatures w14:val="none"/>
        </w:rPr>
      </w:pPr>
      <w:r w:rsidRPr="00E171ED">
        <w:rPr>
          <w:rFonts w:ascii="Trebuchet MS" w:eastAsia="Calibri" w:hAnsi="Trebuchet MS" w:cs="Arial"/>
          <w:color w:val="000000"/>
          <w:lang w:eastAsia="x-none"/>
          <w14:ligatures w14:val="none"/>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E97A45">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750904">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lastRenderedPageBreak/>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w:t>
      </w:r>
      <w:r w:rsidRPr="004F2B32">
        <w:rPr>
          <w:rFonts w:ascii="Trebuchet MS" w:eastAsia="Calibri" w:hAnsi="Trebuchet MS" w:cs="Arial"/>
          <w:lang w:val="en-US"/>
          <w14:ligatures w14:val="none"/>
        </w:rPr>
        <w:lastRenderedPageBreak/>
        <w:t>Solicitarea trebuie înregistrată în termen de 30 de zile de la data aducerii la cunoștința publicului a deciziei.</w:t>
      </w:r>
    </w:p>
    <w:p w14:paraId="7B4681C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522C5EA5" w14:textId="77777777" w:rsidR="00C456A8" w:rsidRDefault="00C456A8" w:rsidP="00E00029">
      <w:pPr>
        <w:keepNext/>
        <w:spacing w:after="0" w:line="360" w:lineRule="auto"/>
        <w:jc w:val="center"/>
        <w:rPr>
          <w:rFonts w:ascii="Trebuchet MS" w:eastAsia="Calibri" w:hAnsi="Trebuchet MS" w:cs="Arial"/>
          <w:b/>
          <w:bCs/>
          <w14:ligatures w14:val="none"/>
        </w:rPr>
      </w:pPr>
    </w:p>
    <w:p w14:paraId="46AC32E5" w14:textId="77777777" w:rsidR="00E00029" w:rsidRPr="00E00029" w:rsidRDefault="00E00029" w:rsidP="00E00029">
      <w:pPr>
        <w:keepNext/>
        <w:spacing w:after="0" w:line="36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E00029">
      <w:pPr>
        <w:keepNext/>
        <w:spacing w:after="0" w:line="36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6D56F68" w14:textId="4FE0FA4A" w:rsidR="00E00029" w:rsidRDefault="00E00029" w:rsidP="00E00029">
      <w:pPr>
        <w:keepNext/>
        <w:spacing w:after="0" w:line="360" w:lineRule="auto"/>
        <w:rPr>
          <w:rFonts w:ascii="Trebuchet MS" w:eastAsia="Calibri" w:hAnsi="Trebuchet MS" w:cs="Arial"/>
          <w:b/>
          <w:bCs/>
          <w:lang w:val="pl-PL"/>
          <w14:ligatures w14:val="none"/>
        </w:rPr>
      </w:pPr>
    </w:p>
    <w:p w14:paraId="04EECD71" w14:textId="4DB78BB9" w:rsidR="00E171ED" w:rsidRDefault="00E171ED" w:rsidP="00E00029">
      <w:pPr>
        <w:keepNext/>
        <w:spacing w:after="0" w:line="360" w:lineRule="auto"/>
        <w:rPr>
          <w:rFonts w:ascii="Trebuchet MS" w:eastAsia="Calibri" w:hAnsi="Trebuchet MS" w:cs="Arial"/>
          <w:b/>
          <w:bCs/>
          <w:lang w:val="pl-PL"/>
          <w14:ligatures w14:val="none"/>
        </w:rPr>
      </w:pPr>
    </w:p>
    <w:p w14:paraId="15780D8E" w14:textId="5BD14505" w:rsidR="00E171ED" w:rsidRDefault="00E171ED" w:rsidP="00E00029">
      <w:pPr>
        <w:keepNext/>
        <w:spacing w:after="0" w:line="360" w:lineRule="auto"/>
        <w:rPr>
          <w:rFonts w:ascii="Trebuchet MS" w:eastAsia="Calibri" w:hAnsi="Trebuchet MS" w:cs="Arial"/>
          <w:b/>
          <w:bCs/>
          <w:lang w:val="pl-PL"/>
          <w14:ligatures w14:val="none"/>
        </w:rPr>
      </w:pPr>
    </w:p>
    <w:p w14:paraId="0651C82E" w14:textId="77777777" w:rsidR="00E171ED" w:rsidRDefault="00E171ED" w:rsidP="00E00029">
      <w:pPr>
        <w:keepNext/>
        <w:spacing w:after="0" w:line="36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2F895C85" w:rsidR="00E171ED" w:rsidRPr="00E171ED" w:rsidRDefault="00E171ED" w:rsidP="00E171ED">
            <w:pPr>
              <w:keepNext/>
              <w:spacing w:after="0" w:line="360" w:lineRule="auto"/>
              <w:rPr>
                <w:rFonts w:ascii="Trebuchet MS" w:eastAsia="Calibri" w:hAnsi="Trebuchet MS" w:cs="Arial"/>
                <w:b/>
                <w:bCs/>
                <w:i/>
                <w14:ligatures w14:val="none"/>
              </w:rPr>
            </w:pPr>
          </w:p>
        </w:tc>
        <w:tc>
          <w:tcPr>
            <w:tcW w:w="1661" w:type="dxa"/>
            <w:shd w:val="clear" w:color="auto" w:fill="auto"/>
          </w:tcPr>
          <w:p w14:paraId="2A5D3B60" w14:textId="77777777" w:rsidR="00E171ED" w:rsidRPr="00E171ED" w:rsidRDefault="00E171ED" w:rsidP="00E171ED">
            <w:pPr>
              <w:keepNext/>
              <w:spacing w:after="0" w:line="360" w:lineRule="auto"/>
              <w:rPr>
                <w:rFonts w:ascii="Trebuchet MS" w:eastAsia="Calibri" w:hAnsi="Trebuchet MS" w:cs="Arial"/>
                <w:b/>
                <w:bCs/>
                <w:i/>
                <w14:ligatures w14:val="none"/>
              </w:rPr>
            </w:pPr>
          </w:p>
          <w:p w14:paraId="55BBAC9D" w14:textId="77777777" w:rsidR="00E171ED" w:rsidRPr="00E171ED" w:rsidRDefault="00E171ED" w:rsidP="00E171ED">
            <w:pPr>
              <w:keepNext/>
              <w:spacing w:after="0" w:line="36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E171ED">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57FB8F60" w:rsidR="00E171ED" w:rsidRPr="00E171ED" w:rsidRDefault="00E171ED" w:rsidP="00E171ED">
            <w:pPr>
              <w:keepNext/>
              <w:spacing w:after="0" w:line="360" w:lineRule="auto"/>
              <w:rPr>
                <w:rFonts w:ascii="Trebuchet MS" w:eastAsia="Calibri" w:hAnsi="Trebuchet MS" w:cs="Arial"/>
                <w:b/>
                <w:bCs/>
                <w:i/>
                <w14:ligatures w14:val="none"/>
              </w:rPr>
            </w:pPr>
            <w:bookmarkStart w:id="0" w:name="_GoBack"/>
            <w:bookmarkEnd w:id="0"/>
          </w:p>
        </w:tc>
        <w:tc>
          <w:tcPr>
            <w:tcW w:w="1661" w:type="dxa"/>
            <w:shd w:val="clear" w:color="auto" w:fill="auto"/>
          </w:tcPr>
          <w:p w14:paraId="2061744D" w14:textId="77777777" w:rsidR="00E171ED" w:rsidRPr="00E171ED" w:rsidRDefault="00E171ED" w:rsidP="00E171ED">
            <w:pPr>
              <w:keepNext/>
              <w:spacing w:after="0" w:line="360" w:lineRule="auto"/>
              <w:rPr>
                <w:rFonts w:ascii="Trebuchet MS" w:eastAsia="Calibri" w:hAnsi="Trebuchet MS" w:cs="Arial"/>
                <w:b/>
                <w:bCs/>
                <w:i/>
                <w14:ligatures w14:val="none"/>
              </w:rPr>
            </w:pPr>
          </w:p>
          <w:p w14:paraId="55B77EF8" w14:textId="77777777" w:rsidR="00E171ED" w:rsidRPr="00E171ED" w:rsidRDefault="00E171ED" w:rsidP="00E171ED">
            <w:pPr>
              <w:keepNext/>
              <w:spacing w:after="0" w:line="360" w:lineRule="auto"/>
              <w:rPr>
                <w:rFonts w:ascii="Trebuchet MS" w:eastAsia="Calibri" w:hAnsi="Trebuchet MS" w:cs="Arial"/>
                <w:b/>
                <w:bCs/>
                <w:i/>
                <w14:ligatures w14:val="none"/>
              </w:rPr>
            </w:pPr>
          </w:p>
        </w:tc>
      </w:tr>
    </w:tbl>
    <w:p w14:paraId="621A724D" w14:textId="77777777" w:rsidR="004F2B32" w:rsidRDefault="004F2B32" w:rsidP="00E97A45">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26EB" w14:textId="77777777" w:rsidR="00085A4D" w:rsidRDefault="00085A4D" w:rsidP="00143ACD">
      <w:pPr>
        <w:spacing w:after="0" w:line="240" w:lineRule="auto"/>
      </w:pPr>
      <w:r>
        <w:separator/>
      </w:r>
    </w:p>
  </w:endnote>
  <w:endnote w:type="continuationSeparator" w:id="0">
    <w:p w14:paraId="0DAB052E" w14:textId="77777777" w:rsidR="00085A4D" w:rsidRDefault="00085A4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39D6D6E"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07423D">
              <w:rPr>
                <w:rFonts w:ascii="Trebuchet MS" w:hAnsi="Trebuchet MS"/>
                <w:b/>
                <w:bCs/>
                <w:noProof/>
                <w:sz w:val="16"/>
                <w:szCs w:val="16"/>
              </w:rPr>
              <w:t>5</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07423D">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085A4D"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BF23A3A"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7423D">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7423D">
      <w:rPr>
        <w:b/>
        <w:bCs/>
        <w:noProof/>
        <w:sz w:val="16"/>
        <w:szCs w:val="16"/>
      </w:rPr>
      <w:t>6</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8523" w14:textId="77777777" w:rsidR="00085A4D" w:rsidRDefault="00085A4D" w:rsidP="00143ACD">
      <w:pPr>
        <w:spacing w:after="0" w:line="240" w:lineRule="auto"/>
      </w:pPr>
      <w:r>
        <w:separator/>
      </w:r>
    </w:p>
  </w:footnote>
  <w:footnote w:type="continuationSeparator" w:id="0">
    <w:p w14:paraId="7DE21C52" w14:textId="77777777" w:rsidR="00085A4D" w:rsidRDefault="00085A4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7"/>
  </w:num>
  <w:num w:numId="8">
    <w:abstractNumId w:val="6"/>
  </w:num>
  <w:num w:numId="9">
    <w:abstractNumId w:val="8"/>
  </w:num>
  <w:num w:numId="10">
    <w:abstractNumId w:val="5"/>
  </w:num>
  <w:num w:numId="11">
    <w:abstractNumId w:val="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6480"/>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560F"/>
    <w:rsid w:val="0053065D"/>
    <w:rsid w:val="00532F65"/>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B69C4"/>
    <w:rsid w:val="007D4A5C"/>
    <w:rsid w:val="007E6483"/>
    <w:rsid w:val="007F554B"/>
    <w:rsid w:val="00803503"/>
    <w:rsid w:val="0081504B"/>
    <w:rsid w:val="00824166"/>
    <w:rsid w:val="00824200"/>
    <w:rsid w:val="00827DA7"/>
    <w:rsid w:val="008507D9"/>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43786"/>
    <w:rsid w:val="00C456A8"/>
    <w:rsid w:val="00C545F6"/>
    <w:rsid w:val="00C61733"/>
    <w:rsid w:val="00C70515"/>
    <w:rsid w:val="00C808CC"/>
    <w:rsid w:val="00C95CE6"/>
    <w:rsid w:val="00CB0964"/>
    <w:rsid w:val="00CC5BD1"/>
    <w:rsid w:val="00CD773C"/>
    <w:rsid w:val="00CE56B2"/>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2B23"/>
    <w:rsid w:val="00EC5E27"/>
    <w:rsid w:val="00ED25D0"/>
    <w:rsid w:val="00ED281F"/>
    <w:rsid w:val="00EE465C"/>
    <w:rsid w:val="00EE55C7"/>
    <w:rsid w:val="00F1090C"/>
    <w:rsid w:val="00F1759D"/>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B9D3-4EFC-41F7-A1FC-1131F0B0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2965</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87</cp:revision>
  <cp:lastPrinted>2024-06-12T07:43:00Z</cp:lastPrinted>
  <dcterms:created xsi:type="dcterms:W3CDTF">2023-12-08T11:08:00Z</dcterms:created>
  <dcterms:modified xsi:type="dcterms:W3CDTF">2024-07-16T11:35:00Z</dcterms:modified>
</cp:coreProperties>
</file>