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773FC3" w:rsidRDefault="00F44580" w:rsidP="00773FC3">
      <w:pPr>
        <w:pStyle w:val="NormalWeb"/>
        <w:rPr>
          <w:rFonts w:ascii="Arial" w:hAnsi="Arial" w:cs="Arial"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773FC3" w:rsidRPr="003154B5">
        <w:rPr>
          <w:rFonts w:ascii="Trebuchet MS" w:hAnsi="Trebuchet MS"/>
          <w:b/>
          <w:color w:val="000000" w:themeColor="text1"/>
        </w:rPr>
        <w:t xml:space="preserve">‘‘Construire hale pe structura metalica sau beton, cu functiunea de productie si depozitare productie, spatii de birouri, imprejmuire, bransamente utilitati si organizare de santier‘‘, in Mogosoaia, str. Ciobanului fn, </w:t>
      </w:r>
      <w:r w:rsidR="00773FC3">
        <w:rPr>
          <w:rFonts w:ascii="Trebuchet MS" w:hAnsi="Trebuchet MS"/>
          <w:b/>
          <w:color w:val="000000" w:themeColor="text1"/>
        </w:rPr>
        <w:t xml:space="preserve">T. 65, P, 605, </w:t>
      </w:r>
      <w:r w:rsidR="00773FC3" w:rsidRPr="003154B5">
        <w:rPr>
          <w:rFonts w:ascii="Trebuchet MS" w:hAnsi="Trebuchet MS"/>
          <w:b/>
          <w:color w:val="000000" w:themeColor="text1"/>
        </w:rPr>
        <w:t>n.c. 68287, judetul Ilfov</w:t>
      </w:r>
    </w:p>
    <w:p w:rsidR="00FB4055" w:rsidRPr="009C540D" w:rsidRDefault="00FB4055" w:rsidP="000B3319">
      <w:pPr>
        <w:pStyle w:val="NormalWeb"/>
        <w:rPr>
          <w:rFonts w:ascii="Arial" w:hAnsi="Arial" w:cs="Arial"/>
          <w:b/>
        </w:rPr>
      </w:pP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773FC3" w:rsidRPr="00382351">
        <w:rPr>
          <w:rFonts w:ascii="Trebuchet MS" w:hAnsi="Trebuchet MS"/>
          <w:color w:val="000000" w:themeColor="text1"/>
        </w:rPr>
        <w:t>INFINITY DIVISIONS S.R.</w:t>
      </w:r>
      <w:r w:rsidR="00773FC3" w:rsidRPr="003154B5">
        <w:rPr>
          <w:rFonts w:ascii="Trebuchet MS" w:hAnsi="Trebuchet MS"/>
          <w:b/>
          <w:color w:val="000000" w:themeColor="text1"/>
        </w:rPr>
        <w:t>L</w:t>
      </w:r>
      <w:r w:rsidR="00773FC3">
        <w:rPr>
          <w:rFonts w:ascii="Trebuchet MS" w:hAnsi="Trebuchet MS"/>
          <w:b/>
          <w:color w:val="000000" w:themeColor="text1"/>
        </w:rPr>
        <w:t xml:space="preserve"> -</w:t>
      </w:r>
      <w:r w:rsidR="00773FC3" w:rsidRPr="00C73ADA">
        <w:rPr>
          <w:rFonts w:ascii="Trebuchet MS" w:hAnsi="Trebuchet MS"/>
          <w:bCs/>
        </w:rPr>
        <w:t xml:space="preserve"> </w:t>
      </w:r>
      <w:r w:rsidR="00B817C1" w:rsidRPr="00D75368">
        <w:rPr>
          <w:rFonts w:ascii="Arial" w:hAnsi="Arial" w:cs="Arial"/>
          <w:b/>
        </w:rPr>
        <w:t xml:space="preserve"> </w:t>
      </w:r>
      <w:r w:rsidR="00773FC3">
        <w:rPr>
          <w:rFonts w:ascii="Arial" w:hAnsi="Arial" w:cs="Arial"/>
        </w:rPr>
        <w:t>Bucuresti, sector 6, Splaiul Independentei nr 202B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773F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773F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773FC3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21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817C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2A0317"/>
    <w:rsid w:val="003204AB"/>
    <w:rsid w:val="004157DB"/>
    <w:rsid w:val="00545122"/>
    <w:rsid w:val="00561ED5"/>
    <w:rsid w:val="00594172"/>
    <w:rsid w:val="00641491"/>
    <w:rsid w:val="00773FC3"/>
    <w:rsid w:val="008603BB"/>
    <w:rsid w:val="00972FD5"/>
    <w:rsid w:val="009A0337"/>
    <w:rsid w:val="00A10A0D"/>
    <w:rsid w:val="00AD36DD"/>
    <w:rsid w:val="00B817C1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13</cp:revision>
  <cp:lastPrinted>2019-06-12T08:10:00Z</cp:lastPrinted>
  <dcterms:created xsi:type="dcterms:W3CDTF">2019-06-26T12:16:00Z</dcterms:created>
  <dcterms:modified xsi:type="dcterms:W3CDTF">2024-08-22T09:52:00Z</dcterms:modified>
</cp:coreProperties>
</file>