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8B982" w14:textId="2D55A6F7" w:rsidR="00D92B1D" w:rsidRDefault="00D92B1D">
      <w:pPr>
        <w:rPr>
          <w:szCs w:val="24"/>
        </w:rPr>
      </w:pPr>
      <w:bookmarkStart w:id="0" w:name="_GoBack"/>
      <w:bookmarkEnd w:id="0"/>
    </w:p>
    <w:p w14:paraId="49F320DB" w14:textId="12573023" w:rsidR="00F501AE" w:rsidRPr="00EB0CD8" w:rsidRDefault="00F501AE" w:rsidP="00F501AE">
      <w:pPr>
        <w:jc w:val="center"/>
        <w:rPr>
          <w:szCs w:val="24"/>
        </w:rPr>
      </w:pPr>
      <w:r>
        <w:rPr>
          <w:szCs w:val="24"/>
        </w:rPr>
        <w:t>Memoriu de prezentare conform anexa 5E din legea 292/2018</w:t>
      </w:r>
    </w:p>
    <w:p w14:paraId="2FD1A6C4" w14:textId="77777777" w:rsidR="00D92B1D" w:rsidRPr="00EB0CD8" w:rsidRDefault="00D92B1D">
      <w:pPr>
        <w:rPr>
          <w:szCs w:val="24"/>
        </w:rPr>
      </w:pPr>
    </w:p>
    <w:p w14:paraId="18F76E52" w14:textId="1600B05C" w:rsidR="00D92B1D" w:rsidRPr="00EB0CD8" w:rsidRDefault="007A0325" w:rsidP="001C683A">
      <w:pPr>
        <w:ind w:left="360"/>
        <w:jc w:val="both"/>
        <w:rPr>
          <w:i/>
          <w:iCs/>
        </w:rPr>
      </w:pPr>
      <w:r w:rsidRPr="00EB0CD8">
        <w:rPr>
          <w:i/>
          <w:iCs/>
        </w:rPr>
        <w:t xml:space="preserve">I.Denumirea proiectului: </w:t>
      </w:r>
      <w:r w:rsidR="00965058" w:rsidRPr="00EB0CD8">
        <w:rPr>
          <w:i/>
          <w:iCs/>
        </w:rPr>
        <w:t>CONSTRUIRE RESTAURANT CU REGIM DE INALTIME PARTER</w:t>
      </w:r>
    </w:p>
    <w:p w14:paraId="344E7674" w14:textId="77777777" w:rsidR="00965058" w:rsidRPr="00EB0CD8" w:rsidRDefault="007A0325" w:rsidP="001C683A">
      <w:pPr>
        <w:ind w:firstLine="360"/>
        <w:jc w:val="both"/>
        <w:rPr>
          <w:i/>
          <w:iCs/>
        </w:rPr>
      </w:pPr>
      <w:r w:rsidRPr="00EB0CD8">
        <w:rPr>
          <w:i/>
          <w:iCs/>
        </w:rPr>
        <w:t>II.Titular:</w:t>
      </w:r>
    </w:p>
    <w:p w14:paraId="720A70E5" w14:textId="77777777" w:rsidR="00965058" w:rsidRPr="00EB0CD8" w:rsidRDefault="007A0325" w:rsidP="00BC3F28">
      <w:pPr>
        <w:pStyle w:val="ListParagraph"/>
        <w:numPr>
          <w:ilvl w:val="0"/>
          <w:numId w:val="14"/>
        </w:numPr>
        <w:jc w:val="both"/>
      </w:pPr>
      <w:r w:rsidRPr="00EB0CD8">
        <w:t xml:space="preserve">numele: </w:t>
      </w:r>
      <w:r w:rsidR="00965058" w:rsidRPr="00EB0CD8">
        <w:rPr>
          <w:b/>
          <w:bCs/>
        </w:rPr>
        <w:t>Iulian Lepa</w:t>
      </w:r>
    </w:p>
    <w:p w14:paraId="60BD745A" w14:textId="4A587DC9" w:rsidR="00965058" w:rsidRPr="00EB0CD8" w:rsidRDefault="007A0325" w:rsidP="00BC3F28">
      <w:pPr>
        <w:pStyle w:val="ListParagraph"/>
        <w:numPr>
          <w:ilvl w:val="0"/>
          <w:numId w:val="14"/>
        </w:numPr>
        <w:jc w:val="both"/>
      </w:pPr>
      <w:r w:rsidRPr="00EB0CD8">
        <w:t xml:space="preserve">adresa postala: </w:t>
      </w:r>
      <w:r w:rsidR="007145BA">
        <w:rPr>
          <w:b/>
          <w:bCs/>
        </w:rPr>
        <w:t>Mun. București, Sec. 2, Șos. Pantelimon, Nr. 312, Bl. 6, Sc. C, Et. 8, Ap. 110</w:t>
      </w:r>
    </w:p>
    <w:p w14:paraId="1F70306B" w14:textId="7C1D1DD7" w:rsidR="00965058" w:rsidRPr="00EB0CD8" w:rsidRDefault="007A0325" w:rsidP="00BC3F28">
      <w:pPr>
        <w:pStyle w:val="ListParagraph"/>
        <w:numPr>
          <w:ilvl w:val="0"/>
          <w:numId w:val="14"/>
        </w:numPr>
        <w:jc w:val="both"/>
      </w:pPr>
      <w:r w:rsidRPr="00EB0CD8">
        <w:t>numar de telefon:</w:t>
      </w:r>
      <w:r w:rsidRPr="00EB0CD8">
        <w:rPr>
          <w:b/>
          <w:bCs/>
          <w:sz w:val="28"/>
          <w:szCs w:val="28"/>
        </w:rPr>
        <w:t xml:space="preserve"> </w:t>
      </w:r>
      <w:r w:rsidR="007145BA" w:rsidRPr="007145BA">
        <w:rPr>
          <w:sz w:val="28"/>
          <w:szCs w:val="28"/>
        </w:rPr>
        <w:t>0734956325</w:t>
      </w:r>
    </w:p>
    <w:p w14:paraId="718F707F" w14:textId="1DA5A0C4" w:rsidR="00965058" w:rsidRPr="00EB0CD8" w:rsidRDefault="007A0325" w:rsidP="00BC3F28">
      <w:pPr>
        <w:pStyle w:val="ListParagraph"/>
        <w:numPr>
          <w:ilvl w:val="0"/>
          <w:numId w:val="14"/>
        </w:numPr>
        <w:jc w:val="both"/>
      </w:pPr>
      <w:r w:rsidRPr="00EB0CD8">
        <w:t xml:space="preserve">numele personelor de contact: </w:t>
      </w:r>
      <w:r w:rsidRPr="00EB0CD8">
        <w:rPr>
          <w:b/>
          <w:bCs/>
        </w:rPr>
        <w:t>Ciocan Robert</w:t>
      </w:r>
      <w:r w:rsidR="00D079BA">
        <w:rPr>
          <w:b/>
          <w:bCs/>
        </w:rPr>
        <w:t>-Adrian</w:t>
      </w:r>
    </w:p>
    <w:p w14:paraId="7FD75C84" w14:textId="26DBAD2D" w:rsidR="00D92B1D" w:rsidRPr="00CD59DC" w:rsidRDefault="007A0325" w:rsidP="00BC3F28">
      <w:pPr>
        <w:pStyle w:val="ListParagraph"/>
        <w:numPr>
          <w:ilvl w:val="0"/>
          <w:numId w:val="14"/>
        </w:numPr>
        <w:jc w:val="both"/>
      </w:pPr>
      <w:r w:rsidRPr="00CD59DC">
        <w:t>responsabil pentru protectia mediului:</w:t>
      </w:r>
    </w:p>
    <w:p w14:paraId="040528B3" w14:textId="77777777" w:rsidR="00D92B1D" w:rsidRPr="00EB0CD8" w:rsidRDefault="007A0325" w:rsidP="001C683A">
      <w:pPr>
        <w:ind w:firstLine="360"/>
        <w:jc w:val="both"/>
        <w:rPr>
          <w:i/>
          <w:iCs/>
        </w:rPr>
      </w:pPr>
      <w:r w:rsidRPr="00EB0CD8">
        <w:rPr>
          <w:i/>
          <w:iCs/>
        </w:rPr>
        <w:t>III.Descrierea caracteristicilor fizice ale întregului proiect:</w:t>
      </w:r>
    </w:p>
    <w:p w14:paraId="54F6FF11" w14:textId="55964967" w:rsidR="00D92B1D" w:rsidRPr="00EB0CD8" w:rsidRDefault="007A0325">
      <w:pPr>
        <w:pStyle w:val="ListParagraph"/>
        <w:numPr>
          <w:ilvl w:val="0"/>
          <w:numId w:val="13"/>
        </w:numPr>
        <w:jc w:val="both"/>
      </w:pPr>
      <w:r w:rsidRPr="00EB0CD8">
        <w:t xml:space="preserve">un rezumat al proiectului </w:t>
      </w:r>
      <w:r w:rsidR="00965058" w:rsidRPr="00EB0CD8">
        <w:rPr>
          <w:b/>
          <w:bCs/>
        </w:rPr>
        <w:t>Restaurant</w:t>
      </w:r>
    </w:p>
    <w:p w14:paraId="22A4172E" w14:textId="161FB246" w:rsidR="00D92B1D" w:rsidRPr="00EB0CD8" w:rsidRDefault="007A0325">
      <w:pPr>
        <w:ind w:left="360"/>
        <w:jc w:val="both"/>
      </w:pPr>
      <w:r w:rsidRPr="00EB0CD8">
        <w:t xml:space="preserve">- </w:t>
      </w:r>
      <w:r w:rsidR="00965058" w:rsidRPr="00EB0CD8">
        <w:rPr>
          <w:b/>
          <w:bCs/>
        </w:rPr>
        <w:t>Restaurant cu regim de inaltime parter</w:t>
      </w:r>
      <w:r w:rsidRPr="00EB0CD8">
        <w:t xml:space="preserve"> </w:t>
      </w:r>
    </w:p>
    <w:p w14:paraId="0C19F7B0" w14:textId="5DF36491" w:rsidR="00D92B1D" w:rsidRPr="00EB0CD8" w:rsidRDefault="007A0325">
      <w:pPr>
        <w:ind w:left="360"/>
        <w:jc w:val="both"/>
      </w:pPr>
      <w:r w:rsidRPr="00EB0CD8">
        <w:t xml:space="preserve">- Amplasament: </w:t>
      </w:r>
      <w:r w:rsidR="00965058" w:rsidRPr="00EB0CD8">
        <w:rPr>
          <w:b/>
          <w:bCs/>
        </w:rPr>
        <w:t>j</w:t>
      </w:r>
      <w:r w:rsidRPr="00EB0CD8">
        <w:rPr>
          <w:b/>
          <w:bCs/>
        </w:rPr>
        <w:t>u</w:t>
      </w:r>
      <w:r w:rsidR="00965058" w:rsidRPr="00EB0CD8">
        <w:rPr>
          <w:b/>
          <w:bCs/>
        </w:rPr>
        <w:t>d. Ilfov, oras Otopeni, T. 20, P. 293/35, nr. cad. 111951</w:t>
      </w:r>
    </w:p>
    <w:p w14:paraId="5B3FC259" w14:textId="79D554DC" w:rsidR="00D92B1D" w:rsidRPr="00EB0CD8" w:rsidRDefault="007A0325">
      <w:pPr>
        <w:ind w:left="360"/>
        <w:jc w:val="both"/>
      </w:pPr>
      <w:r w:rsidRPr="00EB0CD8">
        <w:t>b) justificarea necesității proiectului:</w:t>
      </w:r>
      <w:r w:rsidR="00965058" w:rsidRPr="00EB0CD8">
        <w:t xml:space="preserve"> </w:t>
      </w:r>
      <w:r w:rsidRPr="00EB0CD8">
        <w:rPr>
          <w:b/>
          <w:bCs/>
        </w:rPr>
        <w:t xml:space="preserve">Investitia propusa vine in sustinerea necesitatii realizarii </w:t>
      </w:r>
      <w:r w:rsidR="006A52A0" w:rsidRPr="00EB0CD8">
        <w:rPr>
          <w:b/>
          <w:bCs/>
        </w:rPr>
        <w:t xml:space="preserve">unui </w:t>
      </w:r>
      <w:r w:rsidR="00965058" w:rsidRPr="00EB0CD8">
        <w:rPr>
          <w:b/>
          <w:bCs/>
        </w:rPr>
        <w:t>restaurant</w:t>
      </w:r>
      <w:r w:rsidRPr="00EB0CD8">
        <w:rPr>
          <w:b/>
          <w:bCs/>
        </w:rPr>
        <w:t xml:space="preserve"> in zona </w:t>
      </w:r>
    </w:p>
    <w:p w14:paraId="380FBF00" w14:textId="40392297" w:rsidR="00D92B1D" w:rsidRPr="00EB0CD8" w:rsidRDefault="007A0325">
      <w:pPr>
        <w:jc w:val="both"/>
      </w:pPr>
      <w:r w:rsidRPr="00EB0CD8">
        <w:t xml:space="preserve">c) valoarea investiției: </w:t>
      </w:r>
      <w:r w:rsidR="00C26EE2">
        <w:rPr>
          <w:b/>
          <w:bCs/>
        </w:rPr>
        <w:t>422000</w:t>
      </w:r>
      <w:r w:rsidR="00F501AE">
        <w:rPr>
          <w:b/>
          <w:bCs/>
        </w:rPr>
        <w:t>,00</w:t>
      </w:r>
      <w:r w:rsidRPr="00EB0CD8">
        <w:rPr>
          <w:b/>
          <w:bCs/>
        </w:rPr>
        <w:t xml:space="preserve"> lei</w:t>
      </w:r>
    </w:p>
    <w:p w14:paraId="4F1F47B4" w14:textId="77777777" w:rsidR="00D92B1D" w:rsidRPr="00EB0CD8" w:rsidRDefault="007A0325">
      <w:pPr>
        <w:jc w:val="both"/>
      </w:pPr>
      <w:r w:rsidRPr="00EB0CD8">
        <w:t>d) perioada de implementare propusă</w:t>
      </w:r>
      <w:r w:rsidRPr="00C26EE2">
        <w:t xml:space="preserve">: </w:t>
      </w:r>
      <w:r w:rsidRPr="00C26EE2">
        <w:rPr>
          <w:b/>
          <w:bCs/>
        </w:rPr>
        <w:t>24</w:t>
      </w:r>
      <w:r w:rsidRPr="00EB0CD8">
        <w:rPr>
          <w:b/>
          <w:bCs/>
        </w:rPr>
        <w:t xml:space="preserve"> de luni</w:t>
      </w:r>
    </w:p>
    <w:p w14:paraId="7E0EA306" w14:textId="5FF6F753" w:rsidR="00D92B1D" w:rsidRPr="00EB0CD8" w:rsidRDefault="007A0325">
      <w:pPr>
        <w:jc w:val="both"/>
      </w:pPr>
      <w:r w:rsidRPr="00EB0CD8">
        <w:t xml:space="preserve">e) planșe reprezentând limitele amplasamentului proiectului, inclusiv orice suprafață de teren solicitată pentru a fi folosită temporar (planuri de situație și amplasamente): </w:t>
      </w:r>
      <w:r w:rsidRPr="00EB0CD8">
        <w:rPr>
          <w:b/>
          <w:bCs/>
        </w:rPr>
        <w:t>datele se regasesc in planul de</w:t>
      </w:r>
      <w:r w:rsidR="00F501AE">
        <w:rPr>
          <w:b/>
          <w:bCs/>
        </w:rPr>
        <w:t xml:space="preserve"> incadrare A01 si in planul de</w:t>
      </w:r>
      <w:r w:rsidRPr="00EB0CD8">
        <w:rPr>
          <w:b/>
          <w:bCs/>
        </w:rPr>
        <w:t xml:space="preserve"> situatie</w:t>
      </w:r>
      <w:r w:rsidR="00F501AE">
        <w:rPr>
          <w:b/>
          <w:bCs/>
        </w:rPr>
        <w:t xml:space="preserve"> A02, anexate prezentului memoriu.</w:t>
      </w:r>
      <w:r w:rsidRPr="00EB0CD8">
        <w:rPr>
          <w:b/>
          <w:bCs/>
        </w:rPr>
        <w:t xml:space="preserve"> </w:t>
      </w:r>
    </w:p>
    <w:p w14:paraId="01C7E424" w14:textId="77777777" w:rsidR="006A52A0" w:rsidRPr="00EB0CD8" w:rsidRDefault="007A0325">
      <w:pPr>
        <w:jc w:val="both"/>
      </w:pPr>
      <w:r w:rsidRPr="00EB0CD8">
        <w:t>f) o descriere a caracteristicilor fizice ale întregului proiect, formele fizice ale proiectului (planuri, clădiri, alte structuri, materiale de construcție și altele)</w:t>
      </w:r>
      <w:r w:rsidR="006A52A0" w:rsidRPr="00EB0CD8">
        <w:t>:</w:t>
      </w:r>
    </w:p>
    <w:p w14:paraId="281F9466" w14:textId="77777777" w:rsidR="00EB0CD8" w:rsidRPr="00D079BA" w:rsidRDefault="007A0325" w:rsidP="00EB0CD8">
      <w:pPr>
        <w:jc w:val="both"/>
        <w:rPr>
          <w:b/>
        </w:rPr>
      </w:pPr>
      <w:r w:rsidRPr="00D079BA">
        <w:rPr>
          <w:b/>
        </w:rPr>
        <w:t xml:space="preserve">Sistem constructiv </w:t>
      </w:r>
      <w:r w:rsidR="006A52A0" w:rsidRPr="00D079BA">
        <w:rPr>
          <w:b/>
        </w:rPr>
        <w:t>restaurant</w:t>
      </w:r>
      <w:r w:rsidRPr="00D079BA">
        <w:rPr>
          <w:b/>
        </w:rPr>
        <w:t xml:space="preserve">: </w:t>
      </w:r>
      <w:r w:rsidR="006A52A0" w:rsidRPr="00D079BA">
        <w:rPr>
          <w:b/>
        </w:rPr>
        <w:t>fundatii cu grinzi continue din beton armat, plansee din grinzi metalice dispuse pe 2 directii cu umplutura de vata minerala bazaltica, pereti structurali prefabricati din metal de tip framing, termoizolati si fonoizolati in interior, terasa din structura metalica preuzinata de tip ferma cu zabrele/grinzi metalice dispuse pe 2 directii cu umplutura de vata minerala bazaltica – placi rigide, atic din structura prefabricata de tip framing, tamplarie exterioara din aluminiu cu geam dublu-termoizolant.</w:t>
      </w:r>
    </w:p>
    <w:p w14:paraId="5F24E945" w14:textId="77777777" w:rsidR="00EB0CD8" w:rsidRPr="00D079BA" w:rsidRDefault="00EB0CD8" w:rsidP="00EB0CD8">
      <w:pPr>
        <w:jc w:val="both"/>
        <w:rPr>
          <w:rFonts w:eastAsiaTheme="minorEastAsia"/>
          <w:b/>
        </w:rPr>
      </w:pPr>
      <w:r w:rsidRPr="00D079BA">
        <w:rPr>
          <w:rFonts w:eastAsiaTheme="minorEastAsia"/>
          <w:b/>
        </w:rPr>
        <w:t>Pentru asigurarea condițiilor igienico-sanitare în vederea unei prelucrări și preparări a alimentelor corespunzătoare, restaurantul are următoarele spații pentru circuitele funcționale:</w:t>
      </w:r>
    </w:p>
    <w:p w14:paraId="68305E11" w14:textId="6ADEE75E" w:rsidR="00EB0CD8" w:rsidRPr="00D079BA" w:rsidRDefault="00EB0CD8" w:rsidP="00BC3F28">
      <w:pPr>
        <w:pStyle w:val="ListParagraph"/>
        <w:numPr>
          <w:ilvl w:val="0"/>
          <w:numId w:val="15"/>
        </w:numPr>
        <w:suppressAutoHyphens w:val="0"/>
        <w:autoSpaceDN/>
        <w:spacing w:after="0"/>
        <w:contextualSpacing/>
        <w:jc w:val="both"/>
        <w:textAlignment w:val="auto"/>
        <w:rPr>
          <w:rFonts w:eastAsiaTheme="minorEastAsia"/>
          <w:b/>
        </w:rPr>
      </w:pPr>
      <w:r w:rsidRPr="00D079BA">
        <w:rPr>
          <w:rFonts w:eastAsiaTheme="minorEastAsia"/>
          <w:b/>
        </w:rPr>
        <w:t>sală de mese;</w:t>
      </w:r>
    </w:p>
    <w:p w14:paraId="1A5068CE" w14:textId="47377FE5" w:rsidR="00EB0CD8" w:rsidRPr="00D079BA" w:rsidRDefault="00EB0CD8" w:rsidP="00BC3F28">
      <w:pPr>
        <w:pStyle w:val="ListParagraph"/>
        <w:numPr>
          <w:ilvl w:val="0"/>
          <w:numId w:val="15"/>
        </w:numPr>
        <w:suppressAutoHyphens w:val="0"/>
        <w:autoSpaceDN/>
        <w:spacing w:after="0"/>
        <w:contextualSpacing/>
        <w:jc w:val="both"/>
        <w:textAlignment w:val="auto"/>
        <w:rPr>
          <w:rFonts w:eastAsiaTheme="minorEastAsia"/>
          <w:b/>
        </w:rPr>
      </w:pPr>
      <w:r w:rsidRPr="00D079BA">
        <w:rPr>
          <w:rFonts w:eastAsiaTheme="minorEastAsia"/>
          <w:b/>
        </w:rPr>
        <w:t>spațiu de preparare a mâncărurilor;</w:t>
      </w:r>
    </w:p>
    <w:p w14:paraId="43F480D8" w14:textId="76F422F4" w:rsidR="00EB0CD8" w:rsidRPr="00D079BA" w:rsidRDefault="00EB0CD8" w:rsidP="00BC3F28">
      <w:pPr>
        <w:pStyle w:val="ListParagraph"/>
        <w:numPr>
          <w:ilvl w:val="0"/>
          <w:numId w:val="15"/>
        </w:numPr>
        <w:suppressAutoHyphens w:val="0"/>
        <w:autoSpaceDE w:val="0"/>
        <w:autoSpaceDN/>
        <w:spacing w:after="0"/>
        <w:contextualSpacing/>
        <w:jc w:val="both"/>
        <w:textAlignment w:val="auto"/>
        <w:rPr>
          <w:b/>
          <w:szCs w:val="24"/>
          <w:lang w:val="en-US"/>
        </w:rPr>
      </w:pPr>
      <w:r w:rsidRPr="00D079BA">
        <w:rPr>
          <w:rFonts w:eastAsiaTheme="minorEastAsia"/>
          <w:b/>
        </w:rPr>
        <w:lastRenderedPageBreak/>
        <w:t>spații de păstrare a alimentelor;</w:t>
      </w:r>
    </w:p>
    <w:p w14:paraId="14B06392" w14:textId="40661B7E" w:rsidR="006A52A0" w:rsidRPr="00D079BA" w:rsidRDefault="00EB0CD8" w:rsidP="00BC3F28">
      <w:pPr>
        <w:pStyle w:val="ListParagraph"/>
        <w:numPr>
          <w:ilvl w:val="0"/>
          <w:numId w:val="15"/>
        </w:numPr>
        <w:suppressAutoHyphens w:val="0"/>
        <w:autoSpaceDE w:val="0"/>
        <w:autoSpaceDN/>
        <w:spacing w:after="0"/>
        <w:contextualSpacing/>
        <w:jc w:val="both"/>
        <w:textAlignment w:val="auto"/>
        <w:rPr>
          <w:b/>
          <w:szCs w:val="24"/>
          <w:lang w:val="en-US"/>
        </w:rPr>
      </w:pPr>
      <w:r w:rsidRPr="00D079BA">
        <w:rPr>
          <w:rFonts w:eastAsiaTheme="minorEastAsia"/>
          <w:b/>
        </w:rPr>
        <w:t>anexe social-sanitare.</w:t>
      </w:r>
    </w:p>
    <w:p w14:paraId="4367B09F" w14:textId="77777777" w:rsidR="00EB0CD8" w:rsidRPr="00D079BA" w:rsidRDefault="00EB0CD8" w:rsidP="00EB0CD8">
      <w:pPr>
        <w:suppressAutoHyphens w:val="0"/>
        <w:autoSpaceDE w:val="0"/>
        <w:autoSpaceDN/>
        <w:spacing w:after="0"/>
        <w:contextualSpacing/>
        <w:jc w:val="both"/>
        <w:textAlignment w:val="auto"/>
        <w:rPr>
          <w:b/>
          <w:szCs w:val="24"/>
          <w:lang w:val="en-US"/>
        </w:rPr>
      </w:pPr>
    </w:p>
    <w:p w14:paraId="613A3CC1" w14:textId="2A7B1F23" w:rsidR="00AA6217" w:rsidRPr="00D079BA" w:rsidRDefault="00AA6217" w:rsidP="00AA6217">
      <w:pPr>
        <w:suppressAutoHyphens w:val="0"/>
        <w:autoSpaceDN/>
        <w:spacing w:after="0"/>
        <w:ind w:firstLine="708"/>
        <w:contextualSpacing/>
        <w:jc w:val="both"/>
        <w:textAlignment w:val="auto"/>
        <w:rPr>
          <w:rFonts w:eastAsiaTheme="minorEastAsia"/>
          <w:b/>
        </w:rPr>
      </w:pPr>
      <w:r w:rsidRPr="00D079BA">
        <w:rPr>
          <w:rFonts w:eastAsiaTheme="minorEastAsia"/>
          <w:b/>
        </w:rPr>
        <w:t>Conform discutiilor purtate cu reprezentantii primariei oras Otopeni, precum si cei ai SC Veolia Romania Solutii Integrate SA, s-a stabilit ca in zona exista retea de alimentare cu apa, iar reteaua de canalizare este in curs de executie.</w:t>
      </w:r>
    </w:p>
    <w:p w14:paraId="12399F4B" w14:textId="0E45F397" w:rsidR="00AA6217" w:rsidRPr="00D079BA" w:rsidRDefault="00AA6217" w:rsidP="00AA6217">
      <w:pPr>
        <w:suppressAutoHyphens w:val="0"/>
        <w:autoSpaceDN/>
        <w:spacing w:after="0"/>
        <w:contextualSpacing/>
        <w:jc w:val="both"/>
        <w:textAlignment w:val="auto"/>
        <w:rPr>
          <w:rFonts w:eastAsiaTheme="minorEastAsia"/>
          <w:b/>
        </w:rPr>
      </w:pPr>
      <w:r w:rsidRPr="00D079BA">
        <w:rPr>
          <w:rFonts w:eastAsiaTheme="minorEastAsia"/>
          <w:b/>
        </w:rPr>
        <w:tab/>
        <w:t>Pana la data obtinerii avizului SC Veolia Romania Solutii Intergrate SA beneficaul doarea ca solutia de evacuare a apelor sa fie in canalul ANIF aflat in apropiere dar fara legatura directa. Avand in vedere ca amplasarea unei statii de epurare a apelor implica o suprafata mai mare de teren, si traversarea conductei de evacuare peste terenuri private iar functionarea acesteia era fluctuanta, s-a luat decizia renuntarii la „sistem propriu de evacuare a apelor uzate” si efectuarea racordarii la reteaua de canalizare a orasului Otopeni, retea aflata in executie.</w:t>
      </w:r>
    </w:p>
    <w:p w14:paraId="47A0B84B" w14:textId="63B802E6" w:rsidR="00AA6217" w:rsidRPr="00D079BA" w:rsidRDefault="00AA6217" w:rsidP="00AA6217">
      <w:pPr>
        <w:suppressAutoHyphens w:val="0"/>
        <w:autoSpaceDN/>
        <w:spacing w:after="0"/>
        <w:contextualSpacing/>
        <w:jc w:val="both"/>
        <w:textAlignment w:val="auto"/>
        <w:rPr>
          <w:rFonts w:eastAsiaTheme="minorEastAsia"/>
          <w:b/>
        </w:rPr>
      </w:pPr>
      <w:r w:rsidRPr="00D079BA">
        <w:rPr>
          <w:rFonts w:eastAsiaTheme="minorEastAsia"/>
          <w:b/>
        </w:rPr>
        <w:t xml:space="preserve">  </w:t>
      </w:r>
      <w:r w:rsidRPr="00D079BA">
        <w:rPr>
          <w:rFonts w:eastAsiaTheme="minorEastAsia"/>
          <w:b/>
        </w:rPr>
        <w:tab/>
        <w:t>Avand in vedere ca este posibil ca investitia sa se realizeze mai repede decat punerea in functiune a retelei de canalizare, s-a stabilit sa se realizeze un bazin betonat cu peretii si fundul impermeabilizati, ce va fi vindajat ori de cate ori va fi necesar.</w:t>
      </w:r>
    </w:p>
    <w:p w14:paraId="7B6B405F" w14:textId="6C65199E" w:rsidR="00EB0CD8" w:rsidRPr="00EB0CD8" w:rsidRDefault="00AA6217" w:rsidP="00AA6217">
      <w:pPr>
        <w:suppressAutoHyphens w:val="0"/>
        <w:autoSpaceDN/>
        <w:spacing w:after="0"/>
        <w:ind w:firstLine="708"/>
        <w:contextualSpacing/>
        <w:jc w:val="both"/>
        <w:textAlignment w:val="auto"/>
        <w:rPr>
          <w:rFonts w:eastAsiaTheme="minorEastAsia"/>
        </w:rPr>
      </w:pPr>
      <w:r w:rsidRPr="00D079BA">
        <w:rPr>
          <w:rFonts w:eastAsiaTheme="minorEastAsia"/>
          <w:b/>
        </w:rPr>
        <w:t>La punerea in functiune a retelei de canalizare, acesta va fi desfiintat iar evacuarea apelor uzate se va face direct in reteaua de canalizare.</w:t>
      </w:r>
      <w:r w:rsidRPr="00D079BA">
        <w:rPr>
          <w:b/>
        </w:rPr>
        <w:t xml:space="preserve"> </w:t>
      </w:r>
      <w:r w:rsidRPr="00D079BA">
        <w:rPr>
          <w:rFonts w:eastAsiaTheme="minorEastAsia"/>
          <w:b/>
        </w:rPr>
        <w:t>Apele pluviale cazute pe amplasament vor fi evacuate direct in canalele de ape pluviale aferente strazii 23 August</w:t>
      </w:r>
      <w:r w:rsidRPr="00AA6217">
        <w:rPr>
          <w:rFonts w:eastAsiaTheme="minorEastAsia"/>
        </w:rPr>
        <w:t>.</w:t>
      </w:r>
    </w:p>
    <w:p w14:paraId="0A3A58BF" w14:textId="77777777" w:rsidR="00EB0CD8" w:rsidRPr="00EB0CD8" w:rsidRDefault="00EB0CD8" w:rsidP="00EB0CD8">
      <w:pPr>
        <w:suppressAutoHyphens w:val="0"/>
        <w:autoSpaceDE w:val="0"/>
        <w:autoSpaceDN/>
        <w:spacing w:after="0"/>
        <w:contextualSpacing/>
        <w:jc w:val="both"/>
        <w:textAlignment w:val="auto"/>
        <w:rPr>
          <w:szCs w:val="24"/>
          <w:lang w:val="en-US"/>
        </w:rPr>
      </w:pPr>
    </w:p>
    <w:p w14:paraId="745B200A" w14:textId="6EC216D9" w:rsidR="00D92B1D" w:rsidRPr="00D079BA" w:rsidRDefault="007A0325" w:rsidP="00EB0CD8">
      <w:pPr>
        <w:suppressAutoHyphens w:val="0"/>
        <w:autoSpaceDE w:val="0"/>
        <w:spacing w:after="0"/>
        <w:jc w:val="both"/>
        <w:textAlignment w:val="auto"/>
        <w:rPr>
          <w:b/>
          <w:szCs w:val="24"/>
          <w:lang w:val="en-US"/>
        </w:rPr>
      </w:pPr>
      <w:proofErr w:type="spellStart"/>
      <w:proofErr w:type="gramStart"/>
      <w:r w:rsidRPr="00D079BA">
        <w:rPr>
          <w:b/>
          <w:szCs w:val="24"/>
          <w:lang w:val="en-US"/>
        </w:rPr>
        <w:t>L</w:t>
      </w:r>
      <w:r w:rsidR="00EB0CD8" w:rsidRPr="00D079BA">
        <w:rPr>
          <w:b/>
          <w:szCs w:val="24"/>
          <w:lang w:val="en-US"/>
        </w:rPr>
        <w:t>â</w:t>
      </w:r>
      <w:r w:rsidRPr="00D079BA">
        <w:rPr>
          <w:b/>
          <w:szCs w:val="24"/>
          <w:lang w:val="en-US"/>
        </w:rPr>
        <w:t>ng</w:t>
      </w:r>
      <w:r w:rsidR="00EB0CD8" w:rsidRPr="00D079BA">
        <w:rPr>
          <w:b/>
          <w:szCs w:val="24"/>
          <w:lang w:val="en-US"/>
        </w:rPr>
        <w:t>ă</w:t>
      </w:r>
      <w:proofErr w:type="spellEnd"/>
      <w:r w:rsidRPr="00D079BA">
        <w:rPr>
          <w:b/>
          <w:szCs w:val="24"/>
          <w:lang w:val="en-US"/>
        </w:rPr>
        <w:t xml:space="preserve"> </w:t>
      </w:r>
      <w:r w:rsidR="00EB0CD8" w:rsidRPr="00D079BA">
        <w:rPr>
          <w:b/>
          <w:szCs w:val="24"/>
          <w:lang w:val="en-US"/>
        </w:rPr>
        <w:t>restaurant</w:t>
      </w:r>
      <w:r w:rsidRPr="00D079BA">
        <w:rPr>
          <w:b/>
          <w:szCs w:val="24"/>
          <w:lang w:val="en-US"/>
        </w:rPr>
        <w:t xml:space="preserve"> </w:t>
      </w:r>
      <w:r w:rsidR="00EB0CD8" w:rsidRPr="00D079BA">
        <w:rPr>
          <w:b/>
          <w:szCs w:val="24"/>
          <w:lang w:val="en-US"/>
        </w:rPr>
        <w:t xml:space="preserve">se </w:t>
      </w:r>
      <w:proofErr w:type="spellStart"/>
      <w:r w:rsidR="00EB0CD8" w:rsidRPr="00D079BA">
        <w:rPr>
          <w:b/>
          <w:szCs w:val="24"/>
          <w:lang w:val="en-US"/>
        </w:rPr>
        <w:t>găsește</w:t>
      </w:r>
      <w:proofErr w:type="spellEnd"/>
      <w:r w:rsidRPr="00D079BA">
        <w:rPr>
          <w:b/>
          <w:szCs w:val="24"/>
          <w:lang w:val="en-US"/>
        </w:rPr>
        <w:t xml:space="preserve"> o </w:t>
      </w:r>
      <w:proofErr w:type="spellStart"/>
      <w:r w:rsidRPr="00D079BA">
        <w:rPr>
          <w:b/>
          <w:szCs w:val="24"/>
          <w:lang w:val="en-US"/>
        </w:rPr>
        <w:t>platform</w:t>
      </w:r>
      <w:r w:rsidR="00EB0CD8" w:rsidRPr="00D079BA">
        <w:rPr>
          <w:b/>
          <w:szCs w:val="24"/>
          <w:lang w:val="en-US"/>
        </w:rPr>
        <w:t>ă</w:t>
      </w:r>
      <w:proofErr w:type="spellEnd"/>
      <w:r w:rsidR="00EB0CD8" w:rsidRPr="00D079BA">
        <w:rPr>
          <w:b/>
          <w:szCs w:val="24"/>
          <w:lang w:val="en-US"/>
        </w:rPr>
        <w:t xml:space="preserve"> </w:t>
      </w:r>
      <w:proofErr w:type="spellStart"/>
      <w:r w:rsidRPr="00D079BA">
        <w:rPr>
          <w:b/>
          <w:szCs w:val="24"/>
          <w:lang w:val="en-US"/>
        </w:rPr>
        <w:t>destinat</w:t>
      </w:r>
      <w:r w:rsidR="00EB0CD8" w:rsidRPr="00D079BA">
        <w:rPr>
          <w:b/>
          <w:szCs w:val="24"/>
          <w:lang w:val="en-US"/>
        </w:rPr>
        <w:t>ă</w:t>
      </w:r>
      <w:proofErr w:type="spellEnd"/>
      <w:r w:rsidRPr="00D079BA">
        <w:rPr>
          <w:b/>
          <w:szCs w:val="24"/>
          <w:lang w:val="en-US"/>
        </w:rPr>
        <w:t xml:space="preserve"> </w:t>
      </w:r>
      <w:proofErr w:type="spellStart"/>
      <w:r w:rsidRPr="00D079BA">
        <w:rPr>
          <w:b/>
          <w:szCs w:val="24"/>
          <w:lang w:val="en-US"/>
        </w:rPr>
        <w:t>parcarii</w:t>
      </w:r>
      <w:proofErr w:type="spellEnd"/>
      <w:r w:rsidRPr="00D079BA">
        <w:rPr>
          <w:b/>
          <w:szCs w:val="24"/>
          <w:lang w:val="en-US"/>
        </w:rPr>
        <w:t xml:space="preserve"> </w:t>
      </w:r>
      <w:proofErr w:type="spellStart"/>
      <w:r w:rsidRPr="00D079BA">
        <w:rPr>
          <w:b/>
          <w:szCs w:val="24"/>
          <w:lang w:val="en-US"/>
        </w:rPr>
        <w:t>ma</w:t>
      </w:r>
      <w:r w:rsidR="00EB0CD8" w:rsidRPr="00D079BA">
        <w:rPr>
          <w:b/>
          <w:szCs w:val="24"/>
          <w:lang w:val="en-US"/>
        </w:rPr>
        <w:t>ș</w:t>
      </w:r>
      <w:r w:rsidRPr="00D079BA">
        <w:rPr>
          <w:b/>
          <w:szCs w:val="24"/>
          <w:lang w:val="en-US"/>
        </w:rPr>
        <w:t>inilor</w:t>
      </w:r>
      <w:proofErr w:type="spellEnd"/>
      <w:r w:rsidRPr="00D079BA">
        <w:rPr>
          <w:b/>
          <w:szCs w:val="24"/>
          <w:lang w:val="en-US"/>
        </w:rPr>
        <w:t xml:space="preserve"> auto.</w:t>
      </w:r>
      <w:proofErr w:type="gramEnd"/>
    </w:p>
    <w:p w14:paraId="670AE12F" w14:textId="0953EDC2" w:rsidR="00EB0CD8" w:rsidRPr="00D079BA" w:rsidRDefault="00EB0CD8" w:rsidP="00EB0CD8">
      <w:pPr>
        <w:suppressAutoHyphens w:val="0"/>
        <w:autoSpaceDE w:val="0"/>
        <w:spacing w:after="0"/>
        <w:jc w:val="both"/>
        <w:textAlignment w:val="auto"/>
        <w:rPr>
          <w:b/>
          <w:szCs w:val="24"/>
          <w:lang w:val="en-US"/>
        </w:rPr>
      </w:pPr>
      <w:r w:rsidRPr="00D079BA">
        <w:rPr>
          <w:b/>
          <w:szCs w:val="24"/>
          <w:lang w:val="en-US"/>
        </w:rPr>
        <w:t xml:space="preserve">Restaurant </w:t>
      </w:r>
      <w:proofErr w:type="spellStart"/>
      <w:proofErr w:type="gramStart"/>
      <w:r w:rsidRPr="00D079BA">
        <w:rPr>
          <w:b/>
          <w:szCs w:val="24"/>
          <w:lang w:val="en-US"/>
        </w:rPr>
        <w:t>va</w:t>
      </w:r>
      <w:proofErr w:type="spellEnd"/>
      <w:proofErr w:type="gramEnd"/>
      <w:r w:rsidRPr="00D079BA">
        <w:rPr>
          <w:b/>
          <w:szCs w:val="24"/>
          <w:lang w:val="en-US"/>
        </w:rPr>
        <w:t xml:space="preserve"> </w:t>
      </w:r>
      <w:proofErr w:type="spellStart"/>
      <w:r w:rsidRPr="00D079BA">
        <w:rPr>
          <w:b/>
          <w:szCs w:val="24"/>
          <w:lang w:val="en-US"/>
        </w:rPr>
        <w:t>cuprinde</w:t>
      </w:r>
      <w:proofErr w:type="spellEnd"/>
      <w:r w:rsidRPr="00D079BA">
        <w:rPr>
          <w:b/>
          <w:szCs w:val="24"/>
          <w:lang w:val="en-US"/>
        </w:rPr>
        <w:t xml:space="preserve"> </w:t>
      </w:r>
      <w:proofErr w:type="spellStart"/>
      <w:r w:rsidRPr="00D079BA">
        <w:rPr>
          <w:b/>
          <w:szCs w:val="24"/>
          <w:lang w:val="en-US"/>
        </w:rPr>
        <w:t>următoarele</w:t>
      </w:r>
      <w:proofErr w:type="spellEnd"/>
      <w:r w:rsidRPr="00D079BA">
        <w:rPr>
          <w:b/>
          <w:szCs w:val="24"/>
          <w:lang w:val="en-US"/>
        </w:rPr>
        <w:t xml:space="preserve"> </w:t>
      </w:r>
      <w:proofErr w:type="spellStart"/>
      <w:r w:rsidRPr="00D079BA">
        <w:rPr>
          <w:b/>
          <w:szCs w:val="24"/>
          <w:lang w:val="en-US"/>
        </w:rPr>
        <w:t>spații</w:t>
      </w:r>
      <w:proofErr w:type="spellEnd"/>
      <w:r w:rsidRPr="00D079BA">
        <w:rPr>
          <w:b/>
          <w:szCs w:val="24"/>
          <w:lang w:val="en-US"/>
        </w:rPr>
        <w:t>:</w:t>
      </w:r>
    </w:p>
    <w:p w14:paraId="7D4A661F"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P.01 – SALĂ DE MESE - RESTAURANT: 158.08m</w:t>
      </w:r>
      <w:r w:rsidRPr="00D079BA">
        <w:rPr>
          <w:rFonts w:eastAsiaTheme="minorEastAsia"/>
          <w:b/>
          <w:vertAlign w:val="superscript"/>
        </w:rPr>
        <w:t>2</w:t>
      </w:r>
    </w:p>
    <w:p w14:paraId="2A3CB078"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P.02 – BAR - RESTAURANT: 10.08m</w:t>
      </w:r>
      <w:r w:rsidRPr="00D079BA">
        <w:rPr>
          <w:rFonts w:eastAsiaTheme="minorEastAsia"/>
          <w:b/>
          <w:vertAlign w:val="superscript"/>
        </w:rPr>
        <w:t>2</w:t>
      </w:r>
    </w:p>
    <w:p w14:paraId="754AB326"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P.03 – DEPOZITARE BAR: 5.26m</w:t>
      </w:r>
      <w:r w:rsidRPr="00D079BA">
        <w:rPr>
          <w:rFonts w:eastAsiaTheme="minorEastAsia"/>
          <w:b/>
          <w:vertAlign w:val="superscript"/>
        </w:rPr>
        <w:t>2</w:t>
      </w:r>
    </w:p>
    <w:p w14:paraId="4DC7A48D"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P.04 – HOL ACCES APROVIZIONARE: 4.91m</w:t>
      </w:r>
      <w:r w:rsidRPr="00D079BA">
        <w:rPr>
          <w:rFonts w:eastAsiaTheme="minorEastAsia"/>
          <w:b/>
          <w:vertAlign w:val="superscript"/>
        </w:rPr>
        <w:t>2</w:t>
      </w:r>
    </w:p>
    <w:p w14:paraId="7F0096DA"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P.05 – DEPOZITARE: 7.33m</w:t>
      </w:r>
      <w:r w:rsidRPr="00D079BA">
        <w:rPr>
          <w:rFonts w:eastAsiaTheme="minorEastAsia"/>
          <w:b/>
          <w:vertAlign w:val="superscript"/>
        </w:rPr>
        <w:t>2</w:t>
      </w:r>
    </w:p>
    <w:p w14:paraId="54A81D09"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P.06 – DEȘEURI: 4.90m</w:t>
      </w:r>
      <w:r w:rsidRPr="00D079BA">
        <w:rPr>
          <w:rFonts w:eastAsiaTheme="minorEastAsia"/>
          <w:b/>
          <w:vertAlign w:val="superscript"/>
        </w:rPr>
        <w:t>2</w:t>
      </w:r>
    </w:p>
    <w:p w14:paraId="506EB537"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P.07 – HOL DISTRIBUIRE ALIMENTE: 4.93m</w:t>
      </w:r>
      <w:r w:rsidRPr="00D079BA">
        <w:rPr>
          <w:rFonts w:eastAsiaTheme="minorEastAsia"/>
          <w:b/>
          <w:vertAlign w:val="superscript"/>
        </w:rPr>
        <w:t>2</w:t>
      </w:r>
    </w:p>
    <w:p w14:paraId="422ADBBE"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P.08 – PREGĂTIRE ALIMENTE: 8.07m</w:t>
      </w:r>
      <w:r w:rsidRPr="00D079BA">
        <w:rPr>
          <w:rFonts w:eastAsiaTheme="minorEastAsia"/>
          <w:b/>
          <w:vertAlign w:val="superscript"/>
        </w:rPr>
        <w:t>2</w:t>
      </w:r>
    </w:p>
    <w:p w14:paraId="013CDCEC"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P.09 – BUCĂTĂRIE CALDĂ: 21.59m</w:t>
      </w:r>
      <w:r w:rsidRPr="00D079BA">
        <w:rPr>
          <w:rFonts w:eastAsiaTheme="minorEastAsia"/>
          <w:b/>
          <w:vertAlign w:val="superscript"/>
        </w:rPr>
        <w:t>2</w:t>
      </w:r>
    </w:p>
    <w:p w14:paraId="16F3F57F"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P.10 – OFICIU: 6.45m</w:t>
      </w:r>
      <w:r w:rsidRPr="00D079BA">
        <w:rPr>
          <w:rFonts w:eastAsiaTheme="minorEastAsia"/>
          <w:b/>
          <w:vertAlign w:val="superscript"/>
        </w:rPr>
        <w:t>2</w:t>
      </w:r>
    </w:p>
    <w:p w14:paraId="281DBF9D"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P.11 – BUCĂTĂRIE RECE: 10.48m</w:t>
      </w:r>
      <w:r w:rsidRPr="00D079BA">
        <w:rPr>
          <w:rFonts w:eastAsiaTheme="minorEastAsia"/>
          <w:b/>
          <w:vertAlign w:val="superscript"/>
        </w:rPr>
        <w:t>2</w:t>
      </w:r>
    </w:p>
    <w:p w14:paraId="184CAB0A"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P.12 – VESELĂ: 5.97m</w:t>
      </w:r>
      <w:r w:rsidRPr="00D079BA">
        <w:rPr>
          <w:rFonts w:eastAsiaTheme="minorEastAsia"/>
          <w:b/>
          <w:vertAlign w:val="superscript"/>
        </w:rPr>
        <w:t>2</w:t>
      </w:r>
    </w:p>
    <w:p w14:paraId="504A54EB"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P.13 – HOL ACCES ANGAJAȚI: 3.63m</w:t>
      </w:r>
      <w:r w:rsidRPr="00D079BA">
        <w:rPr>
          <w:rFonts w:eastAsiaTheme="minorEastAsia"/>
          <w:b/>
          <w:vertAlign w:val="superscript"/>
        </w:rPr>
        <w:t>2</w:t>
      </w:r>
    </w:p>
    <w:p w14:paraId="4EA898FE"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P.14 – VESTIAR: 4.34m</w:t>
      </w:r>
      <w:r w:rsidRPr="00D079BA">
        <w:rPr>
          <w:rFonts w:eastAsiaTheme="minorEastAsia"/>
          <w:b/>
          <w:vertAlign w:val="superscript"/>
        </w:rPr>
        <w:t>2</w:t>
      </w:r>
    </w:p>
    <w:p w14:paraId="350233B9"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P.15 – BAIE: 3.64m</w:t>
      </w:r>
      <w:r w:rsidRPr="00D079BA">
        <w:rPr>
          <w:rFonts w:eastAsiaTheme="minorEastAsia"/>
          <w:b/>
          <w:vertAlign w:val="superscript"/>
        </w:rPr>
        <w:t>2</w:t>
      </w:r>
    </w:p>
    <w:p w14:paraId="308705D1"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P.16 – VESTIAR: 5.15m</w:t>
      </w:r>
      <w:r w:rsidRPr="00D079BA">
        <w:rPr>
          <w:rFonts w:eastAsiaTheme="minorEastAsia"/>
          <w:b/>
          <w:vertAlign w:val="superscript"/>
        </w:rPr>
        <w:t>2</w:t>
      </w:r>
    </w:p>
    <w:p w14:paraId="46F6F2F3"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P.17 – HOL: 5.15m</w:t>
      </w:r>
      <w:r w:rsidRPr="00D079BA">
        <w:rPr>
          <w:rFonts w:eastAsiaTheme="minorEastAsia"/>
          <w:b/>
          <w:vertAlign w:val="superscript"/>
        </w:rPr>
        <w:t>2</w:t>
      </w:r>
    </w:p>
    <w:p w14:paraId="0AD32DD2"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P.18– GRUP SANITAR - FEMEI: 5.15m</w:t>
      </w:r>
      <w:r w:rsidRPr="00D079BA">
        <w:rPr>
          <w:rFonts w:eastAsiaTheme="minorEastAsia"/>
          <w:b/>
          <w:vertAlign w:val="superscript"/>
        </w:rPr>
        <w:t>2</w:t>
      </w:r>
    </w:p>
    <w:p w14:paraId="62918716"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P.19 – GRUP SANITAR - BARBAȚI: 5.97m</w:t>
      </w:r>
      <w:r w:rsidRPr="00D079BA">
        <w:rPr>
          <w:rFonts w:eastAsiaTheme="minorEastAsia"/>
          <w:b/>
          <w:vertAlign w:val="superscript"/>
        </w:rPr>
        <w:t>2</w:t>
      </w:r>
    </w:p>
    <w:p w14:paraId="03F840DF" w14:textId="77777777" w:rsidR="00EB0CD8" w:rsidRPr="00D079BA" w:rsidRDefault="00EB0CD8" w:rsidP="00BC3F28">
      <w:pPr>
        <w:pStyle w:val="ListParagraph"/>
        <w:numPr>
          <w:ilvl w:val="0"/>
          <w:numId w:val="16"/>
        </w:numPr>
        <w:suppressAutoHyphens w:val="0"/>
        <w:autoSpaceDN/>
        <w:spacing w:after="0"/>
        <w:ind w:left="1068"/>
        <w:contextualSpacing/>
        <w:jc w:val="both"/>
        <w:textAlignment w:val="auto"/>
        <w:rPr>
          <w:rFonts w:eastAsiaTheme="minorEastAsia"/>
          <w:b/>
        </w:rPr>
      </w:pPr>
      <w:r w:rsidRPr="00D079BA">
        <w:rPr>
          <w:rFonts w:eastAsiaTheme="minorEastAsia"/>
          <w:b/>
        </w:rPr>
        <w:t>P.20 – GRUP SANITAR - DIZABILITĂȚI: 4.90m</w:t>
      </w:r>
      <w:r w:rsidRPr="00D079BA">
        <w:rPr>
          <w:rFonts w:eastAsiaTheme="minorEastAsia"/>
          <w:b/>
          <w:vertAlign w:val="superscript"/>
        </w:rPr>
        <w:t>2</w:t>
      </w:r>
    </w:p>
    <w:p w14:paraId="754F4657" w14:textId="77777777" w:rsidR="00EB0CD8" w:rsidRPr="00D079BA" w:rsidRDefault="00EB0CD8" w:rsidP="00EB0CD8">
      <w:pPr>
        <w:suppressAutoHyphens w:val="0"/>
        <w:autoSpaceDE w:val="0"/>
        <w:spacing w:after="0"/>
        <w:jc w:val="both"/>
        <w:textAlignment w:val="auto"/>
        <w:rPr>
          <w:b/>
          <w:szCs w:val="24"/>
          <w:lang w:val="en-US"/>
        </w:rPr>
      </w:pPr>
    </w:p>
    <w:p w14:paraId="192F1E37" w14:textId="7C0DF063" w:rsidR="00D92B1D" w:rsidRDefault="004F65BD">
      <w:pPr>
        <w:suppressAutoHyphens w:val="0"/>
        <w:autoSpaceDE w:val="0"/>
        <w:spacing w:after="0"/>
        <w:jc w:val="both"/>
        <w:textAlignment w:val="auto"/>
        <w:rPr>
          <w:b/>
          <w:bCs/>
          <w:szCs w:val="24"/>
        </w:rPr>
      </w:pPr>
      <w:r>
        <w:rPr>
          <w:b/>
          <w:bCs/>
          <w:szCs w:val="24"/>
          <w:lang w:val="en-US"/>
        </w:rPr>
        <w:t>BILAN</w:t>
      </w:r>
      <w:r>
        <w:rPr>
          <w:b/>
          <w:bCs/>
          <w:szCs w:val="24"/>
        </w:rPr>
        <w:t>Ț TERITORIAL</w:t>
      </w:r>
    </w:p>
    <w:p w14:paraId="105C9A05" w14:textId="77777777" w:rsidR="004F65BD" w:rsidRDefault="004F65BD">
      <w:pPr>
        <w:suppressAutoHyphens w:val="0"/>
        <w:autoSpaceDE w:val="0"/>
        <w:spacing w:after="0"/>
        <w:jc w:val="both"/>
        <w:textAlignment w:val="auto"/>
        <w:rPr>
          <w:b/>
          <w:bCs/>
          <w:szCs w:val="24"/>
        </w:rPr>
      </w:pPr>
    </w:p>
    <w:tbl>
      <w:tblPr>
        <w:tblStyle w:val="TableGrid"/>
        <w:tblW w:w="0" w:type="auto"/>
        <w:tblLook w:val="04A0" w:firstRow="1" w:lastRow="0" w:firstColumn="1" w:lastColumn="0" w:noHBand="0" w:noVBand="1"/>
      </w:tblPr>
      <w:tblGrid>
        <w:gridCol w:w="7508"/>
        <w:gridCol w:w="1413"/>
      </w:tblGrid>
      <w:tr w:rsidR="004F65BD" w14:paraId="326ECBB6" w14:textId="77777777" w:rsidTr="004F65BD">
        <w:trPr>
          <w:trHeight w:val="315"/>
        </w:trPr>
        <w:tc>
          <w:tcPr>
            <w:tcW w:w="7508" w:type="dxa"/>
            <w:vAlign w:val="center"/>
          </w:tcPr>
          <w:p w14:paraId="70F5400F"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REGIM DE ÎNĂLȚIME</w:t>
            </w:r>
          </w:p>
        </w:tc>
        <w:tc>
          <w:tcPr>
            <w:tcW w:w="1394" w:type="dxa"/>
            <w:shd w:val="clear" w:color="auto" w:fill="2F5496" w:themeFill="accent1" w:themeFillShade="BF"/>
            <w:vAlign w:val="center"/>
          </w:tcPr>
          <w:p w14:paraId="0BA77637" w14:textId="77777777" w:rsidR="004F65BD" w:rsidRPr="00F5172B"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PARTER</w:t>
            </w:r>
          </w:p>
        </w:tc>
      </w:tr>
      <w:tr w:rsidR="004F65BD" w14:paraId="38F206BF" w14:textId="77777777" w:rsidTr="004F65BD">
        <w:trPr>
          <w:trHeight w:val="315"/>
        </w:trPr>
        <w:tc>
          <w:tcPr>
            <w:tcW w:w="7508" w:type="dxa"/>
            <w:vAlign w:val="center"/>
          </w:tcPr>
          <w:p w14:paraId="5F89D3A4" w14:textId="77777777" w:rsidR="004F65BD" w:rsidRPr="004F65BD" w:rsidRDefault="004F65BD" w:rsidP="00522923">
            <w:pPr>
              <w:spacing w:after="60"/>
              <w:rPr>
                <w:rFonts w:ascii="Arial" w:eastAsiaTheme="minorEastAsia" w:hAnsi="Arial" w:cs="Arial"/>
                <w:b/>
                <w:bCs/>
                <w:position w:val="6"/>
                <w:szCs w:val="20"/>
                <w:lang w:val="fr-FR"/>
              </w:rPr>
            </w:pPr>
            <w:r w:rsidRPr="004F65BD">
              <w:rPr>
                <w:rFonts w:ascii="Arial" w:eastAsiaTheme="minorEastAsia" w:hAnsi="Arial" w:cs="Arial"/>
                <w:b/>
                <w:bCs/>
                <w:position w:val="6"/>
                <w:szCs w:val="20"/>
                <w:lang w:val="fr-FR"/>
              </w:rPr>
              <w:t xml:space="preserve">H. MAX. ATIC </w:t>
            </w:r>
            <w:r w:rsidRPr="004F65BD">
              <w:rPr>
                <w:rFonts w:ascii="Arial" w:eastAsiaTheme="minorEastAsia" w:hAnsi="Arial" w:cs="Arial"/>
                <w:position w:val="6"/>
                <w:szCs w:val="20"/>
                <w:lang w:val="fr-FR"/>
              </w:rPr>
              <w:t>(DE LA C.T.A.)</w:t>
            </w:r>
          </w:p>
        </w:tc>
        <w:tc>
          <w:tcPr>
            <w:tcW w:w="1394" w:type="dxa"/>
            <w:shd w:val="clear" w:color="auto" w:fill="2F5496" w:themeFill="accent1" w:themeFillShade="BF"/>
            <w:vAlign w:val="center"/>
          </w:tcPr>
          <w:p w14:paraId="45892234" w14:textId="77777777" w:rsidR="004F65BD" w:rsidRPr="00F5172B"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6.00</w:t>
            </w:r>
          </w:p>
        </w:tc>
      </w:tr>
      <w:tr w:rsidR="004F65BD" w14:paraId="1AEFD2F3" w14:textId="77777777" w:rsidTr="004F65BD">
        <w:trPr>
          <w:trHeight w:val="324"/>
        </w:trPr>
        <w:tc>
          <w:tcPr>
            <w:tcW w:w="7508" w:type="dxa"/>
            <w:vAlign w:val="center"/>
          </w:tcPr>
          <w:p w14:paraId="37F9AFC5" w14:textId="77777777" w:rsidR="004F65BD" w:rsidRPr="004F65BD" w:rsidRDefault="004F65BD" w:rsidP="00522923">
            <w:pPr>
              <w:spacing w:after="60"/>
              <w:rPr>
                <w:rFonts w:ascii="Arial" w:eastAsiaTheme="minorEastAsia" w:hAnsi="Arial" w:cs="Arial"/>
                <w:b/>
                <w:bCs/>
                <w:position w:val="6"/>
                <w:szCs w:val="20"/>
                <w:lang w:val="fr-FR"/>
              </w:rPr>
            </w:pPr>
            <w:r w:rsidRPr="004F65BD">
              <w:rPr>
                <w:rFonts w:ascii="Arial" w:eastAsiaTheme="minorEastAsia" w:hAnsi="Arial" w:cs="Arial"/>
                <w:b/>
                <w:bCs/>
                <w:position w:val="6"/>
                <w:szCs w:val="20"/>
                <w:lang w:val="fr-FR"/>
              </w:rPr>
              <w:t xml:space="preserve">H. MAX. ATIC </w:t>
            </w:r>
            <w:r w:rsidRPr="004F65BD">
              <w:rPr>
                <w:rFonts w:ascii="Arial" w:eastAsiaTheme="minorEastAsia" w:hAnsi="Arial" w:cs="Arial"/>
                <w:position w:val="6"/>
                <w:szCs w:val="20"/>
                <w:lang w:val="fr-FR"/>
              </w:rPr>
              <w:t>(DE LA COTA ±0.00)</w:t>
            </w:r>
          </w:p>
        </w:tc>
        <w:tc>
          <w:tcPr>
            <w:tcW w:w="1394" w:type="dxa"/>
            <w:shd w:val="clear" w:color="auto" w:fill="2F5496" w:themeFill="accent1" w:themeFillShade="BF"/>
            <w:vAlign w:val="center"/>
          </w:tcPr>
          <w:p w14:paraId="00D8DF01" w14:textId="77777777" w:rsidR="004F65BD" w:rsidRPr="00F5172B"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+5.50</w:t>
            </w:r>
          </w:p>
        </w:tc>
      </w:tr>
      <w:tr w:rsidR="004F65BD" w14:paraId="28F9654C" w14:textId="77777777" w:rsidTr="004F65BD">
        <w:trPr>
          <w:trHeight w:val="315"/>
        </w:trPr>
        <w:tc>
          <w:tcPr>
            <w:tcW w:w="7508" w:type="dxa"/>
            <w:vAlign w:val="center"/>
          </w:tcPr>
          <w:p w14:paraId="7D7C86D9" w14:textId="77777777" w:rsidR="004F65BD" w:rsidRPr="004F65BD" w:rsidRDefault="004F65BD" w:rsidP="00522923">
            <w:pPr>
              <w:spacing w:after="60"/>
              <w:rPr>
                <w:rFonts w:ascii="Arial" w:eastAsiaTheme="minorEastAsia" w:hAnsi="Arial" w:cs="Arial"/>
                <w:b/>
                <w:bCs/>
                <w:position w:val="6"/>
                <w:szCs w:val="20"/>
                <w:lang w:val="fr-FR"/>
              </w:rPr>
            </w:pPr>
            <w:r w:rsidRPr="004F65BD">
              <w:rPr>
                <w:rFonts w:ascii="Arial" w:eastAsiaTheme="minorEastAsia" w:hAnsi="Arial" w:cs="Arial"/>
                <w:b/>
                <w:bCs/>
                <w:position w:val="6"/>
                <w:szCs w:val="20"/>
                <w:lang w:val="fr-FR"/>
              </w:rPr>
              <w:lastRenderedPageBreak/>
              <w:t xml:space="preserve">H. CORNIȘĂ </w:t>
            </w:r>
            <w:r w:rsidRPr="004F65BD">
              <w:rPr>
                <w:rFonts w:ascii="Arial" w:eastAsiaTheme="minorEastAsia" w:hAnsi="Arial" w:cs="Arial"/>
                <w:position w:val="6"/>
                <w:szCs w:val="20"/>
                <w:lang w:val="fr-FR"/>
              </w:rPr>
              <w:t>(DE LA C.T.A.)</w:t>
            </w:r>
          </w:p>
        </w:tc>
        <w:tc>
          <w:tcPr>
            <w:tcW w:w="1394" w:type="dxa"/>
            <w:shd w:val="clear" w:color="auto" w:fill="2F5496" w:themeFill="accent1" w:themeFillShade="BF"/>
            <w:vAlign w:val="center"/>
          </w:tcPr>
          <w:p w14:paraId="2D4E1E9E" w14:textId="77777777" w:rsidR="004F65BD" w:rsidRPr="00F5172B"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5.50</w:t>
            </w:r>
          </w:p>
        </w:tc>
      </w:tr>
      <w:tr w:rsidR="004F65BD" w14:paraId="0811D04E" w14:textId="77777777" w:rsidTr="004F65BD">
        <w:trPr>
          <w:trHeight w:val="315"/>
        </w:trPr>
        <w:tc>
          <w:tcPr>
            <w:tcW w:w="7508" w:type="dxa"/>
            <w:vAlign w:val="center"/>
          </w:tcPr>
          <w:p w14:paraId="02AFDC8B" w14:textId="77777777" w:rsidR="004F65BD" w:rsidRPr="004F65BD" w:rsidRDefault="004F65BD" w:rsidP="00522923">
            <w:pPr>
              <w:spacing w:after="60"/>
              <w:rPr>
                <w:rFonts w:ascii="Arial" w:eastAsiaTheme="minorEastAsia" w:hAnsi="Arial" w:cs="Arial"/>
                <w:b/>
                <w:bCs/>
                <w:position w:val="6"/>
                <w:szCs w:val="20"/>
                <w:lang w:val="fr-FR"/>
              </w:rPr>
            </w:pPr>
            <w:r w:rsidRPr="004F65BD">
              <w:rPr>
                <w:rFonts w:ascii="Arial" w:eastAsiaTheme="minorEastAsia" w:hAnsi="Arial" w:cs="Arial"/>
                <w:b/>
                <w:bCs/>
                <w:position w:val="6"/>
                <w:szCs w:val="20"/>
                <w:lang w:val="fr-FR"/>
              </w:rPr>
              <w:t xml:space="preserve">H. CORNIȘĂ </w:t>
            </w:r>
            <w:r w:rsidRPr="004F65BD">
              <w:rPr>
                <w:rFonts w:ascii="Arial" w:eastAsiaTheme="minorEastAsia" w:hAnsi="Arial" w:cs="Arial"/>
                <w:position w:val="6"/>
                <w:szCs w:val="20"/>
                <w:lang w:val="fr-FR"/>
              </w:rPr>
              <w:t>(DE LA COTA ±0.00)</w:t>
            </w:r>
          </w:p>
        </w:tc>
        <w:tc>
          <w:tcPr>
            <w:tcW w:w="1394" w:type="dxa"/>
            <w:shd w:val="clear" w:color="auto" w:fill="2F5496" w:themeFill="accent1" w:themeFillShade="BF"/>
            <w:vAlign w:val="center"/>
          </w:tcPr>
          <w:p w14:paraId="2FAC825C" w14:textId="77777777" w:rsidR="004F65BD" w:rsidRPr="00F5172B"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+5.00</w:t>
            </w:r>
          </w:p>
        </w:tc>
      </w:tr>
      <w:tr w:rsidR="004F65BD" w14:paraId="797AAF43" w14:textId="77777777" w:rsidTr="004F65BD">
        <w:trPr>
          <w:trHeight w:val="315"/>
        </w:trPr>
        <w:tc>
          <w:tcPr>
            <w:tcW w:w="7508" w:type="dxa"/>
            <w:vAlign w:val="center"/>
          </w:tcPr>
          <w:p w14:paraId="2E70F264"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SUPRAFAȚĂ TEREN</w:t>
            </w:r>
          </w:p>
        </w:tc>
        <w:tc>
          <w:tcPr>
            <w:tcW w:w="1394" w:type="dxa"/>
            <w:shd w:val="clear" w:color="auto" w:fill="2F5496" w:themeFill="accent1" w:themeFillShade="BF"/>
            <w:vAlign w:val="center"/>
          </w:tcPr>
          <w:p w14:paraId="3E0FA6B1" w14:textId="77777777" w:rsidR="004F65BD" w:rsidRPr="00F5172B"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933.00m</w:t>
            </w:r>
            <w:r w:rsidRPr="007D6F67">
              <w:rPr>
                <w:rFonts w:ascii="Arial" w:eastAsiaTheme="minorEastAsia" w:hAnsi="Arial" w:cs="Arial"/>
                <w:b/>
                <w:bCs/>
                <w:color w:val="F2F2F2" w:themeColor="background1" w:themeShade="F2"/>
                <w:spacing w:val="20"/>
                <w:vertAlign w:val="superscript"/>
              </w:rPr>
              <w:t>2</w:t>
            </w:r>
          </w:p>
        </w:tc>
      </w:tr>
      <w:tr w:rsidR="004F65BD" w14:paraId="76C6554A" w14:textId="77777777" w:rsidTr="004F65BD">
        <w:trPr>
          <w:trHeight w:val="324"/>
        </w:trPr>
        <w:tc>
          <w:tcPr>
            <w:tcW w:w="7508" w:type="dxa"/>
          </w:tcPr>
          <w:p w14:paraId="72A28ACF"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SUPRAFAȚĂ CONSTRUITĂ</w:t>
            </w:r>
          </w:p>
        </w:tc>
        <w:tc>
          <w:tcPr>
            <w:tcW w:w="1394" w:type="dxa"/>
            <w:shd w:val="clear" w:color="auto" w:fill="2F5496" w:themeFill="accent1" w:themeFillShade="BF"/>
            <w:vAlign w:val="center"/>
          </w:tcPr>
          <w:p w14:paraId="60B40F93" w14:textId="77777777" w:rsidR="004F65BD" w:rsidRPr="00F5172B"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325.00m</w:t>
            </w:r>
            <w:r w:rsidRPr="007D6F67">
              <w:rPr>
                <w:rFonts w:ascii="Arial" w:eastAsiaTheme="minorEastAsia" w:hAnsi="Arial" w:cs="Arial"/>
                <w:b/>
                <w:bCs/>
                <w:color w:val="F2F2F2" w:themeColor="background1" w:themeShade="F2"/>
                <w:spacing w:val="20"/>
                <w:vertAlign w:val="superscript"/>
              </w:rPr>
              <w:t>2</w:t>
            </w:r>
          </w:p>
        </w:tc>
      </w:tr>
      <w:tr w:rsidR="004F65BD" w14:paraId="1F23B3A7" w14:textId="77777777" w:rsidTr="004F65BD">
        <w:trPr>
          <w:trHeight w:val="315"/>
        </w:trPr>
        <w:tc>
          <w:tcPr>
            <w:tcW w:w="7508" w:type="dxa"/>
          </w:tcPr>
          <w:p w14:paraId="31C2DE63"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SUPRAFAȚĂ CONSTRUITĂ DESFĂȘURATĂ</w:t>
            </w:r>
          </w:p>
        </w:tc>
        <w:tc>
          <w:tcPr>
            <w:tcW w:w="1394" w:type="dxa"/>
            <w:shd w:val="clear" w:color="auto" w:fill="2F5496" w:themeFill="accent1" w:themeFillShade="BF"/>
            <w:vAlign w:val="center"/>
          </w:tcPr>
          <w:p w14:paraId="1BDA4206" w14:textId="77777777" w:rsidR="004F65BD" w:rsidRPr="00F5172B"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325.00m</w:t>
            </w:r>
            <w:r w:rsidRPr="007D6F67">
              <w:rPr>
                <w:rFonts w:ascii="Arial" w:eastAsiaTheme="minorEastAsia" w:hAnsi="Arial" w:cs="Arial"/>
                <w:b/>
                <w:bCs/>
                <w:color w:val="F2F2F2" w:themeColor="background1" w:themeShade="F2"/>
                <w:spacing w:val="20"/>
                <w:vertAlign w:val="superscript"/>
              </w:rPr>
              <w:t>2</w:t>
            </w:r>
          </w:p>
        </w:tc>
      </w:tr>
      <w:tr w:rsidR="004F65BD" w14:paraId="50FC2476" w14:textId="77777777" w:rsidTr="004F65BD">
        <w:trPr>
          <w:trHeight w:val="315"/>
        </w:trPr>
        <w:tc>
          <w:tcPr>
            <w:tcW w:w="7508" w:type="dxa"/>
          </w:tcPr>
          <w:p w14:paraId="37AFCE7B"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SUPRAFAȚĂ SPAȚII VERZI</w:t>
            </w:r>
          </w:p>
        </w:tc>
        <w:tc>
          <w:tcPr>
            <w:tcW w:w="1394" w:type="dxa"/>
            <w:shd w:val="clear" w:color="auto" w:fill="2F5496" w:themeFill="accent1" w:themeFillShade="BF"/>
            <w:vAlign w:val="center"/>
          </w:tcPr>
          <w:p w14:paraId="6E912317" w14:textId="77777777" w:rsidR="004F65BD" w:rsidRPr="00F5172B"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239.00m</w:t>
            </w:r>
            <w:r w:rsidRPr="007D6F67">
              <w:rPr>
                <w:rFonts w:ascii="Arial" w:eastAsiaTheme="minorEastAsia" w:hAnsi="Arial" w:cs="Arial"/>
                <w:b/>
                <w:bCs/>
                <w:color w:val="F2F2F2" w:themeColor="background1" w:themeShade="F2"/>
                <w:spacing w:val="20"/>
                <w:vertAlign w:val="superscript"/>
              </w:rPr>
              <w:t>2</w:t>
            </w:r>
          </w:p>
        </w:tc>
      </w:tr>
      <w:tr w:rsidR="004F65BD" w14:paraId="6E6FDFA5" w14:textId="77777777" w:rsidTr="004F65BD">
        <w:trPr>
          <w:trHeight w:val="315"/>
        </w:trPr>
        <w:tc>
          <w:tcPr>
            <w:tcW w:w="7508" w:type="dxa"/>
          </w:tcPr>
          <w:p w14:paraId="740FAD7D"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SUPRAFAȚĂ ALEI PIETONALE</w:t>
            </w:r>
          </w:p>
        </w:tc>
        <w:tc>
          <w:tcPr>
            <w:tcW w:w="1394" w:type="dxa"/>
            <w:shd w:val="clear" w:color="auto" w:fill="2F5496" w:themeFill="accent1" w:themeFillShade="BF"/>
            <w:vAlign w:val="center"/>
          </w:tcPr>
          <w:p w14:paraId="187F8076" w14:textId="77777777" w:rsidR="004F65BD"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190.00m</w:t>
            </w:r>
            <w:r w:rsidRPr="007D6F67">
              <w:rPr>
                <w:rFonts w:ascii="Arial" w:eastAsiaTheme="minorEastAsia" w:hAnsi="Arial" w:cs="Arial"/>
                <w:b/>
                <w:bCs/>
                <w:color w:val="F2F2F2" w:themeColor="background1" w:themeShade="F2"/>
                <w:spacing w:val="20"/>
                <w:vertAlign w:val="superscript"/>
              </w:rPr>
              <w:t>2</w:t>
            </w:r>
          </w:p>
        </w:tc>
      </w:tr>
      <w:tr w:rsidR="004F65BD" w14:paraId="1F03DFC3" w14:textId="77777777" w:rsidTr="004F65BD">
        <w:trPr>
          <w:trHeight w:val="324"/>
        </w:trPr>
        <w:tc>
          <w:tcPr>
            <w:tcW w:w="7508" w:type="dxa"/>
          </w:tcPr>
          <w:p w14:paraId="54E3A04C"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SUPRAFAȚĂ UTILĂ TOTALĂ</w:t>
            </w:r>
          </w:p>
        </w:tc>
        <w:tc>
          <w:tcPr>
            <w:tcW w:w="1394" w:type="dxa"/>
            <w:shd w:val="clear" w:color="auto" w:fill="2F5496" w:themeFill="accent1" w:themeFillShade="BF"/>
            <w:vAlign w:val="center"/>
          </w:tcPr>
          <w:p w14:paraId="3B89580E" w14:textId="77777777" w:rsidR="004F65BD" w:rsidRPr="00F5172B"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291.00m</w:t>
            </w:r>
            <w:r w:rsidRPr="007D6F67">
              <w:rPr>
                <w:rFonts w:ascii="Arial" w:eastAsiaTheme="minorEastAsia" w:hAnsi="Arial" w:cs="Arial"/>
                <w:b/>
                <w:bCs/>
                <w:color w:val="F2F2F2" w:themeColor="background1" w:themeShade="F2"/>
                <w:spacing w:val="20"/>
                <w:vertAlign w:val="superscript"/>
              </w:rPr>
              <w:t>2</w:t>
            </w:r>
          </w:p>
        </w:tc>
      </w:tr>
      <w:tr w:rsidR="004F65BD" w14:paraId="52B64C04" w14:textId="77777777" w:rsidTr="004F65BD">
        <w:trPr>
          <w:trHeight w:val="315"/>
        </w:trPr>
        <w:tc>
          <w:tcPr>
            <w:tcW w:w="7508" w:type="dxa"/>
          </w:tcPr>
          <w:p w14:paraId="72AC0B09"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LOCURI DE PARCARE</w:t>
            </w:r>
          </w:p>
        </w:tc>
        <w:tc>
          <w:tcPr>
            <w:tcW w:w="1394" w:type="dxa"/>
            <w:shd w:val="clear" w:color="auto" w:fill="2F5496" w:themeFill="accent1" w:themeFillShade="BF"/>
            <w:vAlign w:val="center"/>
          </w:tcPr>
          <w:p w14:paraId="4D30583F" w14:textId="77777777" w:rsidR="004F65BD" w:rsidRPr="00F5172B"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9 BUC.</w:t>
            </w:r>
          </w:p>
        </w:tc>
      </w:tr>
      <w:tr w:rsidR="004F65BD" w14:paraId="2822B261" w14:textId="77777777" w:rsidTr="004F65BD">
        <w:trPr>
          <w:trHeight w:val="315"/>
        </w:trPr>
        <w:tc>
          <w:tcPr>
            <w:tcW w:w="7508" w:type="dxa"/>
          </w:tcPr>
          <w:p w14:paraId="368F1B35"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P.O.T.</w:t>
            </w:r>
          </w:p>
        </w:tc>
        <w:tc>
          <w:tcPr>
            <w:tcW w:w="1394" w:type="dxa"/>
            <w:shd w:val="clear" w:color="auto" w:fill="2F5496" w:themeFill="accent1" w:themeFillShade="BF"/>
            <w:vAlign w:val="center"/>
          </w:tcPr>
          <w:p w14:paraId="2B138D5B" w14:textId="77777777" w:rsidR="004F65BD"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34.80%</w:t>
            </w:r>
          </w:p>
        </w:tc>
      </w:tr>
      <w:tr w:rsidR="004F65BD" w14:paraId="5685BF90" w14:textId="77777777" w:rsidTr="004F65BD">
        <w:trPr>
          <w:trHeight w:val="315"/>
        </w:trPr>
        <w:tc>
          <w:tcPr>
            <w:tcW w:w="7508" w:type="dxa"/>
          </w:tcPr>
          <w:p w14:paraId="5621F04E" w14:textId="77777777" w:rsidR="004F65BD" w:rsidRPr="004F65BD" w:rsidRDefault="004F65BD" w:rsidP="00522923">
            <w:pPr>
              <w:spacing w:after="60"/>
              <w:rPr>
                <w:rFonts w:ascii="Arial" w:eastAsiaTheme="minorEastAsia" w:hAnsi="Arial" w:cs="Arial"/>
                <w:b/>
                <w:bCs/>
                <w:position w:val="6"/>
                <w:szCs w:val="20"/>
                <w:lang w:val="fr-FR"/>
              </w:rPr>
            </w:pPr>
            <w:r w:rsidRPr="004F65BD">
              <w:rPr>
                <w:rFonts w:ascii="Arial" w:eastAsiaTheme="minorEastAsia" w:hAnsi="Arial" w:cs="Arial"/>
                <w:b/>
                <w:bCs/>
                <w:position w:val="6"/>
                <w:szCs w:val="20"/>
                <w:lang w:val="fr-FR"/>
              </w:rPr>
              <w:t>P.O.T. MAX. ADMIS</w:t>
            </w:r>
          </w:p>
        </w:tc>
        <w:tc>
          <w:tcPr>
            <w:tcW w:w="1394" w:type="dxa"/>
            <w:shd w:val="clear" w:color="auto" w:fill="2F5496" w:themeFill="accent1" w:themeFillShade="BF"/>
            <w:vAlign w:val="center"/>
          </w:tcPr>
          <w:p w14:paraId="6F0CBB99" w14:textId="77777777" w:rsidR="004F65BD"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85.00%</w:t>
            </w:r>
          </w:p>
        </w:tc>
      </w:tr>
      <w:tr w:rsidR="004F65BD" w14:paraId="68F6CE56" w14:textId="77777777" w:rsidTr="004F65BD">
        <w:trPr>
          <w:trHeight w:val="324"/>
        </w:trPr>
        <w:tc>
          <w:tcPr>
            <w:tcW w:w="7508" w:type="dxa"/>
          </w:tcPr>
          <w:p w14:paraId="6412CF34"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C.U.T.</w:t>
            </w:r>
          </w:p>
        </w:tc>
        <w:tc>
          <w:tcPr>
            <w:tcW w:w="1394" w:type="dxa"/>
            <w:shd w:val="clear" w:color="auto" w:fill="2F5496" w:themeFill="accent1" w:themeFillShade="BF"/>
            <w:vAlign w:val="center"/>
          </w:tcPr>
          <w:p w14:paraId="40A3DA34" w14:textId="77777777" w:rsidR="004F65BD"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0.34</w:t>
            </w:r>
          </w:p>
        </w:tc>
      </w:tr>
      <w:tr w:rsidR="004F65BD" w14:paraId="097F6E8C" w14:textId="77777777" w:rsidTr="004F65BD">
        <w:trPr>
          <w:trHeight w:val="315"/>
        </w:trPr>
        <w:tc>
          <w:tcPr>
            <w:tcW w:w="7508" w:type="dxa"/>
          </w:tcPr>
          <w:p w14:paraId="5F56A417" w14:textId="77777777" w:rsidR="004F65BD" w:rsidRPr="004F65BD" w:rsidRDefault="004F65BD" w:rsidP="00522923">
            <w:pPr>
              <w:spacing w:after="60"/>
              <w:rPr>
                <w:rFonts w:ascii="Arial" w:eastAsiaTheme="minorEastAsia" w:hAnsi="Arial" w:cs="Arial"/>
                <w:b/>
                <w:bCs/>
                <w:position w:val="6"/>
                <w:szCs w:val="20"/>
                <w:lang w:val="fr-FR"/>
              </w:rPr>
            </w:pPr>
            <w:r w:rsidRPr="004F65BD">
              <w:rPr>
                <w:rFonts w:ascii="Arial" w:eastAsiaTheme="minorEastAsia" w:hAnsi="Arial" w:cs="Arial"/>
                <w:b/>
                <w:bCs/>
                <w:position w:val="6"/>
                <w:szCs w:val="20"/>
                <w:lang w:val="fr-FR"/>
              </w:rPr>
              <w:t>C.U.T. MAX. ADMIS</w:t>
            </w:r>
          </w:p>
        </w:tc>
        <w:tc>
          <w:tcPr>
            <w:tcW w:w="1394" w:type="dxa"/>
            <w:shd w:val="clear" w:color="auto" w:fill="2F5496" w:themeFill="accent1" w:themeFillShade="BF"/>
            <w:vAlign w:val="center"/>
          </w:tcPr>
          <w:p w14:paraId="19E1E0F2" w14:textId="77777777" w:rsidR="004F65BD"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2.20</w:t>
            </w:r>
          </w:p>
        </w:tc>
      </w:tr>
      <w:tr w:rsidR="004F65BD" w14:paraId="3478DF5C" w14:textId="77777777" w:rsidTr="004F65BD">
        <w:trPr>
          <w:trHeight w:val="315"/>
        </w:trPr>
        <w:tc>
          <w:tcPr>
            <w:tcW w:w="7508" w:type="dxa"/>
          </w:tcPr>
          <w:p w14:paraId="78C0A109"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C.T.A.</w:t>
            </w:r>
          </w:p>
        </w:tc>
        <w:tc>
          <w:tcPr>
            <w:tcW w:w="1394" w:type="dxa"/>
            <w:shd w:val="clear" w:color="auto" w:fill="2F5496" w:themeFill="accent1" w:themeFillShade="BF"/>
            <w:vAlign w:val="center"/>
          </w:tcPr>
          <w:p w14:paraId="10EECE9C" w14:textId="77777777" w:rsidR="004F65BD"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-0.50</w:t>
            </w:r>
          </w:p>
        </w:tc>
      </w:tr>
      <w:tr w:rsidR="004F65BD" w14:paraId="3DDC6125" w14:textId="77777777" w:rsidTr="004F65BD">
        <w:trPr>
          <w:trHeight w:val="45"/>
        </w:trPr>
        <w:tc>
          <w:tcPr>
            <w:tcW w:w="7508" w:type="dxa"/>
          </w:tcPr>
          <w:p w14:paraId="1C1D981A" w14:textId="77777777" w:rsidR="004F65BD" w:rsidRPr="004F65BD" w:rsidRDefault="004F65BD" w:rsidP="00522923">
            <w:pPr>
              <w:spacing w:after="60"/>
              <w:rPr>
                <w:rFonts w:ascii="Arial" w:eastAsiaTheme="minorEastAsia" w:hAnsi="Arial" w:cs="Arial"/>
                <w:b/>
                <w:bCs/>
                <w:position w:val="6"/>
                <w:szCs w:val="20"/>
              </w:rPr>
            </w:pPr>
            <w:r w:rsidRPr="004F65BD">
              <w:rPr>
                <w:rFonts w:ascii="Arial" w:eastAsiaTheme="minorEastAsia" w:hAnsi="Arial" w:cs="Arial"/>
                <w:b/>
                <w:bCs/>
                <w:position w:val="6"/>
                <w:szCs w:val="20"/>
              </w:rPr>
              <w:t>C.T.N.</w:t>
            </w:r>
          </w:p>
        </w:tc>
        <w:tc>
          <w:tcPr>
            <w:tcW w:w="1394" w:type="dxa"/>
            <w:shd w:val="clear" w:color="auto" w:fill="2F5496" w:themeFill="accent1" w:themeFillShade="BF"/>
            <w:vAlign w:val="center"/>
          </w:tcPr>
          <w:p w14:paraId="3660E275" w14:textId="77777777" w:rsidR="004F65BD" w:rsidRDefault="004F65BD" w:rsidP="00522923">
            <w:pPr>
              <w:spacing w:after="60"/>
              <w:jc w:val="center"/>
              <w:rPr>
                <w:rFonts w:ascii="Arial" w:eastAsiaTheme="minorEastAsia" w:hAnsi="Arial" w:cs="Arial"/>
                <w:b/>
                <w:bCs/>
                <w:color w:val="F2F2F2" w:themeColor="background1" w:themeShade="F2"/>
                <w:spacing w:val="20"/>
              </w:rPr>
            </w:pPr>
            <w:r>
              <w:rPr>
                <w:rFonts w:ascii="Arial" w:eastAsiaTheme="minorEastAsia" w:hAnsi="Arial" w:cs="Arial"/>
                <w:b/>
                <w:bCs/>
                <w:color w:val="F2F2F2" w:themeColor="background1" w:themeShade="F2"/>
                <w:spacing w:val="20"/>
              </w:rPr>
              <w:t>-0.60</w:t>
            </w:r>
          </w:p>
        </w:tc>
      </w:tr>
    </w:tbl>
    <w:p w14:paraId="54F909AE" w14:textId="77777777" w:rsidR="004F65BD" w:rsidRPr="004F65BD" w:rsidRDefault="004F65BD">
      <w:pPr>
        <w:suppressAutoHyphens w:val="0"/>
        <w:autoSpaceDE w:val="0"/>
        <w:spacing w:after="0"/>
        <w:jc w:val="both"/>
        <w:textAlignment w:val="auto"/>
        <w:rPr>
          <w:b/>
          <w:bCs/>
          <w:szCs w:val="24"/>
        </w:rPr>
      </w:pPr>
    </w:p>
    <w:p w14:paraId="08543DBE" w14:textId="7836CAF7" w:rsidR="00D92B1D" w:rsidRPr="00D079BA" w:rsidRDefault="004F65BD">
      <w:pPr>
        <w:rPr>
          <w:b/>
          <w:bCs/>
        </w:rPr>
      </w:pPr>
      <w:r w:rsidRPr="00D079BA">
        <w:t xml:space="preserve">Cota </w:t>
      </w:r>
      <w:r w:rsidRPr="00D079BA">
        <w:rPr>
          <w:rFonts w:eastAsiaTheme="minorEastAsia"/>
        </w:rPr>
        <w:t>±0.00 a construcției va fi la 0.50m față de C.T.A. și la 0.60m față de C.T.N.</w:t>
      </w:r>
    </w:p>
    <w:p w14:paraId="59646805" w14:textId="77777777" w:rsidR="004F65BD" w:rsidRDefault="004F65BD">
      <w:pPr>
        <w:jc w:val="both"/>
      </w:pPr>
    </w:p>
    <w:p w14:paraId="54D96C0C" w14:textId="2D5D0044" w:rsidR="00D92B1D" w:rsidRPr="00EB0CD8" w:rsidRDefault="004F65BD">
      <w:pPr>
        <w:jc w:val="both"/>
      </w:pPr>
      <w:r>
        <w:t>S</w:t>
      </w:r>
      <w:r w:rsidR="007A0325" w:rsidRPr="00EB0CD8">
        <w:t xml:space="preserve">e prezintă elementele specifice caracteristice proiectului propus: </w:t>
      </w:r>
    </w:p>
    <w:p w14:paraId="3412E50C" w14:textId="5E5DE67E" w:rsidR="00D92B1D" w:rsidRPr="00EB0CD8" w:rsidRDefault="007A0325" w:rsidP="00BC3F28">
      <w:pPr>
        <w:pStyle w:val="ListParagraph"/>
        <w:numPr>
          <w:ilvl w:val="0"/>
          <w:numId w:val="15"/>
        </w:numPr>
        <w:ind w:left="426" w:hanging="426"/>
        <w:jc w:val="both"/>
      </w:pPr>
      <w:r w:rsidRPr="00EB0CD8">
        <w:t xml:space="preserve">profilul și capacitățile de producție – </w:t>
      </w:r>
      <w:r w:rsidRPr="00C26EE2">
        <w:rPr>
          <w:b/>
          <w:bCs/>
        </w:rPr>
        <w:t xml:space="preserve">Activitatea desfăşurată constă </w:t>
      </w:r>
      <w:r w:rsidR="004F65BD" w:rsidRPr="00C26EE2">
        <w:rPr>
          <w:b/>
          <w:bCs/>
        </w:rPr>
        <w:t>restaurant-alimentație publică</w:t>
      </w:r>
      <w:r w:rsidRPr="00C26EE2">
        <w:rPr>
          <w:b/>
          <w:bCs/>
        </w:rPr>
        <w:t>.</w:t>
      </w:r>
      <w:r w:rsidRPr="00EB0CD8">
        <w:t xml:space="preserve"> </w:t>
      </w:r>
    </w:p>
    <w:p w14:paraId="53E9CB49" w14:textId="2139CEDE" w:rsidR="00D92B1D" w:rsidRPr="00EB0CD8" w:rsidRDefault="007A0325" w:rsidP="00BC3F28">
      <w:pPr>
        <w:pStyle w:val="ListParagraph"/>
        <w:numPr>
          <w:ilvl w:val="0"/>
          <w:numId w:val="15"/>
        </w:numPr>
        <w:ind w:left="426" w:hanging="426"/>
        <w:jc w:val="both"/>
      </w:pPr>
      <w:r w:rsidRPr="00EB0CD8">
        <w:t>descrierea instalației și a fluxurilor tehnologice existente pe amplasament (după caz</w:t>
      </w:r>
      <w:r w:rsidRPr="00C26EE2">
        <w:t xml:space="preserve">): </w:t>
      </w:r>
      <w:r w:rsidR="00C14E9D" w:rsidRPr="00C14E9D">
        <w:rPr>
          <w:b/>
        </w:rPr>
        <w:t>Nu e cazul</w:t>
      </w:r>
    </w:p>
    <w:p w14:paraId="301FF547" w14:textId="77777777" w:rsidR="00C14E9D" w:rsidRPr="00C14E9D" w:rsidRDefault="007A0325" w:rsidP="00C14E9D">
      <w:pPr>
        <w:pStyle w:val="ListParagraph"/>
        <w:numPr>
          <w:ilvl w:val="0"/>
          <w:numId w:val="15"/>
        </w:numPr>
        <w:ind w:left="426" w:hanging="426"/>
        <w:jc w:val="both"/>
      </w:pPr>
      <w:r w:rsidRPr="00EB0CD8">
        <w:t xml:space="preserve">descrierea proceselor de producție ale proiectului propus, în funcție de specificul investiției, produse și subproduse obținute, mărimea, capacitatea: </w:t>
      </w:r>
      <w:r w:rsidRPr="00C14E9D">
        <w:rPr>
          <w:b/>
        </w:rPr>
        <w:t xml:space="preserve">Pentru </w:t>
      </w:r>
      <w:r w:rsidR="008E20A1" w:rsidRPr="00C14E9D">
        <w:rPr>
          <w:b/>
        </w:rPr>
        <w:t>restaurant</w:t>
      </w:r>
      <w:r w:rsidRPr="00C14E9D">
        <w:rPr>
          <w:b/>
        </w:rPr>
        <w:t xml:space="preserve"> se vor folosi utilajele si echipamentele acționate electric.</w:t>
      </w:r>
    </w:p>
    <w:p w14:paraId="77333F33" w14:textId="77777777" w:rsidR="00C14E9D" w:rsidRDefault="007A0325" w:rsidP="00C14E9D">
      <w:pPr>
        <w:pStyle w:val="ListParagraph"/>
        <w:numPr>
          <w:ilvl w:val="0"/>
          <w:numId w:val="15"/>
        </w:numPr>
        <w:ind w:left="426" w:hanging="426"/>
        <w:jc w:val="both"/>
      </w:pPr>
      <w:r w:rsidRPr="00EB0CD8">
        <w:t>racordarea la rețelele utilitare existente în zonă:</w:t>
      </w:r>
    </w:p>
    <w:p w14:paraId="3A0D891F" w14:textId="77777777" w:rsidR="00C14E9D" w:rsidRPr="00C14E9D" w:rsidRDefault="007A0325" w:rsidP="00C14E9D">
      <w:pPr>
        <w:pStyle w:val="ListParagraph"/>
        <w:numPr>
          <w:ilvl w:val="0"/>
          <w:numId w:val="15"/>
        </w:numPr>
        <w:ind w:left="426" w:hanging="426"/>
        <w:jc w:val="both"/>
      </w:pPr>
      <w:r w:rsidRPr="0079268B">
        <w:t xml:space="preserve">energie electrica – </w:t>
      </w:r>
      <w:r w:rsidRPr="00C14E9D">
        <w:rPr>
          <w:b/>
          <w:bCs/>
        </w:rPr>
        <w:t>branșament la rețeaua de joasa tensiune existenta in zona, prin intermediul unei firide de bran</w:t>
      </w:r>
      <w:r w:rsidR="00C26EE2" w:rsidRPr="00C14E9D">
        <w:rPr>
          <w:b/>
          <w:bCs/>
        </w:rPr>
        <w:t>ș</w:t>
      </w:r>
      <w:r w:rsidRPr="00C14E9D">
        <w:rPr>
          <w:b/>
          <w:bCs/>
        </w:rPr>
        <w:t>ament din zona.</w:t>
      </w:r>
      <w:r w:rsidR="00C26EE2" w:rsidRPr="00C14E9D">
        <w:rPr>
          <w:b/>
          <w:bCs/>
        </w:rPr>
        <w:t xml:space="preserve"> </w:t>
      </w:r>
      <w:r w:rsidRPr="00C14E9D">
        <w:rPr>
          <w:b/>
          <w:bCs/>
        </w:rPr>
        <w:t>Contorizarea energiei active consumate se va face prin intermediul unui contor de energie montat in BMP. Tablou electric va fi echipat cu intrerupt</w:t>
      </w:r>
      <w:r w:rsidR="008E20A1" w:rsidRPr="00C14E9D">
        <w:rPr>
          <w:b/>
          <w:bCs/>
        </w:rPr>
        <w:t>oa</w:t>
      </w:r>
      <w:r w:rsidRPr="00C14E9D">
        <w:rPr>
          <w:b/>
          <w:bCs/>
        </w:rPr>
        <w:t xml:space="preserve">re automate pentru protectia la suprasarcina si </w:t>
      </w:r>
      <w:r w:rsidR="00F501AE" w:rsidRPr="00C14E9D">
        <w:rPr>
          <w:b/>
          <w:bCs/>
        </w:rPr>
        <w:t>s</w:t>
      </w:r>
      <w:r w:rsidRPr="00C14E9D">
        <w:rPr>
          <w:b/>
          <w:bCs/>
        </w:rPr>
        <w:t>curcircuit.</w:t>
      </w:r>
    </w:p>
    <w:p w14:paraId="7FF49FB5" w14:textId="77777777" w:rsidR="00C14E9D" w:rsidRPr="00C14E9D" w:rsidRDefault="007A0325" w:rsidP="00C14E9D">
      <w:pPr>
        <w:pStyle w:val="ListParagraph"/>
        <w:numPr>
          <w:ilvl w:val="0"/>
          <w:numId w:val="15"/>
        </w:numPr>
        <w:ind w:left="426" w:hanging="426"/>
        <w:jc w:val="both"/>
      </w:pPr>
      <w:r w:rsidRPr="00EB0CD8">
        <w:t xml:space="preserve">alimentarea cu apa – </w:t>
      </w:r>
      <w:r w:rsidR="0079268B" w:rsidRPr="00C14E9D">
        <w:rPr>
          <w:b/>
          <w:bCs/>
        </w:rPr>
        <w:t>Alimentarea cu apa se va face din reteaua publica existenta la strada 23 August.</w:t>
      </w:r>
    </w:p>
    <w:p w14:paraId="636835C5" w14:textId="429CFADA" w:rsidR="00C14E9D" w:rsidRPr="00C14E9D" w:rsidRDefault="007A0325" w:rsidP="00C14E9D">
      <w:pPr>
        <w:pStyle w:val="ListParagraph"/>
        <w:numPr>
          <w:ilvl w:val="0"/>
          <w:numId w:val="15"/>
        </w:numPr>
        <w:ind w:left="426" w:hanging="426"/>
        <w:jc w:val="both"/>
      </w:pPr>
      <w:r w:rsidRPr="00EB0CD8">
        <w:t xml:space="preserve">asigurarea agentului termic – </w:t>
      </w:r>
      <w:bookmarkStart w:id="1" w:name="_Hlk44062320"/>
      <w:r w:rsidR="0030140A" w:rsidRPr="0030140A">
        <w:rPr>
          <w:b/>
        </w:rPr>
        <w:t xml:space="preserve">Agentul termic se va asigura prin </w:t>
      </w:r>
      <w:r w:rsidR="0030140A" w:rsidRPr="0030140A">
        <w:rPr>
          <w:b/>
          <w:bCs/>
        </w:rPr>
        <w:t>Centrala eletrica cu radiatoare.</w:t>
      </w:r>
    </w:p>
    <w:p w14:paraId="0E27527F" w14:textId="2F8A3035" w:rsidR="00D92B1D" w:rsidRPr="00C14E9D" w:rsidRDefault="007A0325" w:rsidP="00C14E9D">
      <w:pPr>
        <w:pStyle w:val="ListParagraph"/>
        <w:numPr>
          <w:ilvl w:val="0"/>
          <w:numId w:val="15"/>
        </w:numPr>
        <w:ind w:left="426" w:hanging="426"/>
        <w:jc w:val="both"/>
      </w:pPr>
      <w:r w:rsidRPr="00C14E9D">
        <w:t>deversarea apelor menajere:</w:t>
      </w:r>
      <w:r w:rsidR="008E20A1" w:rsidRPr="00C14E9D">
        <w:t xml:space="preserve"> </w:t>
      </w:r>
      <w:r w:rsidR="00C14E9D" w:rsidRPr="00C14E9D">
        <w:rPr>
          <w:b/>
        </w:rPr>
        <w:t>Avand in vedere ca in zona nu exista retea stradala de canalizare s-a luat in calcul evacuarea apelor menajere intr-un bazin betonat cu fundul si peretii impermeabilizati</w:t>
      </w:r>
      <w:r w:rsidR="00C14E9D" w:rsidRPr="00C14E9D">
        <w:t xml:space="preserve">. </w:t>
      </w:r>
      <w:r w:rsidR="0079268B" w:rsidRPr="00C14E9D">
        <w:rPr>
          <w:b/>
          <w:bCs/>
        </w:rPr>
        <w:t xml:space="preserve">Canalizarea se va executa in regim propriu cu evacuarea apelor uzate intr-un bazin betonat vidanjabil pana la punerea in </w:t>
      </w:r>
      <w:r w:rsidR="0079268B" w:rsidRPr="00C14E9D">
        <w:rPr>
          <w:b/>
          <w:bCs/>
        </w:rPr>
        <w:lastRenderedPageBreak/>
        <w:t>functiune a retelei de canalizare aferente strazii 23 August.</w:t>
      </w:r>
      <w:r w:rsidR="00C14E9D" w:rsidRPr="00C14E9D">
        <w:t xml:space="preserve"> </w:t>
      </w:r>
      <w:r w:rsidR="00C14E9D" w:rsidRPr="00C14E9D">
        <w:rPr>
          <w:b/>
          <w:bCs/>
        </w:rPr>
        <w:t>Apele pluviale cazute pe amplasament vor fi evacuate direct in canalele de ape pluviale aferente strazii 23 August.</w:t>
      </w:r>
    </w:p>
    <w:bookmarkEnd w:id="1"/>
    <w:p w14:paraId="1594888A" w14:textId="08CF8EF0" w:rsidR="00D92B1D" w:rsidRPr="00EB0CD8" w:rsidRDefault="007A0325" w:rsidP="00BC3F28">
      <w:pPr>
        <w:pStyle w:val="ListParagraph"/>
        <w:numPr>
          <w:ilvl w:val="0"/>
          <w:numId w:val="17"/>
        </w:numPr>
        <w:jc w:val="both"/>
      </w:pPr>
      <w:r w:rsidRPr="00EB0CD8">
        <w:t xml:space="preserve">căi noi de acces sau schimbări ale celor existente: </w:t>
      </w:r>
      <w:r w:rsidR="008E20A1">
        <w:rPr>
          <w:b/>
          <w:bCs/>
        </w:rPr>
        <w:t xml:space="preserve">Accesul </w:t>
      </w:r>
      <w:r w:rsidR="00C14E9D">
        <w:rPr>
          <w:b/>
          <w:bCs/>
        </w:rPr>
        <w:t xml:space="preserve">la imobil se poate face </w:t>
      </w:r>
      <w:r w:rsidR="008E20A1">
        <w:rPr>
          <w:b/>
          <w:bCs/>
        </w:rPr>
        <w:t xml:space="preserve"> </w:t>
      </w:r>
      <w:r w:rsidR="00C14E9D">
        <w:rPr>
          <w:b/>
          <w:bCs/>
        </w:rPr>
        <w:t xml:space="preserve">atat de pe </w:t>
      </w:r>
      <w:r w:rsidR="008E20A1">
        <w:rPr>
          <w:b/>
          <w:bCs/>
        </w:rPr>
        <w:t>latura de Nord, din strada 23 August</w:t>
      </w:r>
      <w:r w:rsidR="00C14E9D">
        <w:rPr>
          <w:b/>
          <w:bCs/>
        </w:rPr>
        <w:t xml:space="preserve"> cat si din drumul privat cu CF si nr. cadastral 109449, situat in vestul terenului.</w:t>
      </w:r>
    </w:p>
    <w:p w14:paraId="74D5BC5F" w14:textId="4C3D3C70" w:rsidR="00C14E9D" w:rsidRPr="00C14E9D" w:rsidRDefault="00C14E9D" w:rsidP="00C14E9D">
      <w:pPr>
        <w:pStyle w:val="ListParagraph"/>
        <w:numPr>
          <w:ilvl w:val="0"/>
          <w:numId w:val="17"/>
        </w:numPr>
        <w:jc w:val="both"/>
        <w:rPr>
          <w:b/>
        </w:rPr>
      </w:pPr>
      <w:r w:rsidRPr="00C14E9D">
        <w:rPr>
          <w:b/>
        </w:rPr>
        <w:t>Numarul locurilor de parcare a fost calculat Conform Hg 525/1996 Regulamentul general de urbanism -anexa 5, art 5.3.2- fiind necesar pentru 50 de persoane un numar de 10 masini. Astfel se vor crea un numar de 10 locuri de parcare din care 8 locuri simple si 2 locuri de parcare pentru persoane cu disabilitati. Suprafata ce va fi betonata va fi 190 mp pentru platforma carosabila si aleile interioare 66 mp, avand un total de 256 mp.</w:t>
      </w:r>
    </w:p>
    <w:p w14:paraId="577D45CC" w14:textId="74BC3F4F" w:rsidR="002934ED" w:rsidRPr="00CD59DC" w:rsidRDefault="007A0325" w:rsidP="00C14E9D">
      <w:pPr>
        <w:pStyle w:val="ListParagraph"/>
        <w:numPr>
          <w:ilvl w:val="0"/>
          <w:numId w:val="17"/>
        </w:numPr>
        <w:jc w:val="both"/>
      </w:pPr>
      <w:r w:rsidRPr="00CD59DC">
        <w:t xml:space="preserve">resursele naturale folosite în construcție și funcționare: </w:t>
      </w:r>
      <w:r w:rsidRPr="00CD59DC">
        <w:rPr>
          <w:b/>
          <w:bCs/>
        </w:rPr>
        <w:t>Nu este cazul</w:t>
      </w:r>
      <w:r w:rsidRPr="00CD59DC">
        <w:t xml:space="preserve"> </w:t>
      </w:r>
    </w:p>
    <w:p w14:paraId="3F2BD50B" w14:textId="77777777" w:rsidR="002934ED" w:rsidRPr="00CD59DC" w:rsidRDefault="007A0325" w:rsidP="00BC3F28">
      <w:pPr>
        <w:pStyle w:val="ListParagraph"/>
        <w:numPr>
          <w:ilvl w:val="0"/>
          <w:numId w:val="17"/>
        </w:numPr>
        <w:jc w:val="both"/>
      </w:pPr>
      <w:r w:rsidRPr="00CD59DC">
        <w:t xml:space="preserve">metode folosite în construcție/demolare: </w:t>
      </w:r>
      <w:r w:rsidRPr="00CD59DC">
        <w:rPr>
          <w:b/>
          <w:bCs/>
        </w:rPr>
        <w:t>Utilaje de dimensiuni medii (buldoexcavator, autobetoniera, macara).</w:t>
      </w:r>
    </w:p>
    <w:p w14:paraId="1324D9CD" w14:textId="77777777" w:rsidR="002934ED" w:rsidRPr="00CD59DC" w:rsidRDefault="007A0325" w:rsidP="00BC3F28">
      <w:pPr>
        <w:pStyle w:val="ListParagraph"/>
        <w:numPr>
          <w:ilvl w:val="0"/>
          <w:numId w:val="17"/>
        </w:numPr>
        <w:jc w:val="both"/>
      </w:pPr>
      <w:r w:rsidRPr="00CD59DC">
        <w:t xml:space="preserve">planul de execuție, cuprinzând faza de construcție, punerea în funcțiune, exploatare, refacere și folosire ulterioară: </w:t>
      </w:r>
      <w:r w:rsidRPr="00CD59DC">
        <w:rPr>
          <w:b/>
          <w:bCs/>
        </w:rPr>
        <w:t>Nu este cazul</w:t>
      </w:r>
    </w:p>
    <w:p w14:paraId="0AD13C5D" w14:textId="77777777" w:rsidR="002934ED" w:rsidRPr="00CD59DC" w:rsidRDefault="007A0325" w:rsidP="00BC3F28">
      <w:pPr>
        <w:pStyle w:val="ListParagraph"/>
        <w:numPr>
          <w:ilvl w:val="0"/>
          <w:numId w:val="17"/>
        </w:numPr>
        <w:jc w:val="both"/>
      </w:pPr>
      <w:r w:rsidRPr="00CD59DC">
        <w:t xml:space="preserve">relația cu alte proiecte existente sau planificate: </w:t>
      </w:r>
      <w:r w:rsidRPr="00CD59DC">
        <w:rPr>
          <w:b/>
          <w:bCs/>
        </w:rPr>
        <w:t>Nu este cazul</w:t>
      </w:r>
    </w:p>
    <w:p w14:paraId="736530F4" w14:textId="77777777" w:rsidR="002934ED" w:rsidRPr="00CD59DC" w:rsidRDefault="007A0325" w:rsidP="00BC3F28">
      <w:pPr>
        <w:pStyle w:val="ListParagraph"/>
        <w:numPr>
          <w:ilvl w:val="0"/>
          <w:numId w:val="17"/>
        </w:numPr>
        <w:jc w:val="both"/>
      </w:pPr>
      <w:r w:rsidRPr="00CD59DC">
        <w:t xml:space="preserve">detalii privind alternativele care au fost luate în considerare: </w:t>
      </w:r>
      <w:r w:rsidRPr="00CD59DC">
        <w:rPr>
          <w:b/>
          <w:bCs/>
        </w:rPr>
        <w:t>Nu este cazul</w:t>
      </w:r>
    </w:p>
    <w:p w14:paraId="35375E49" w14:textId="77777777" w:rsidR="002934ED" w:rsidRPr="00CD59DC" w:rsidRDefault="007A0325" w:rsidP="00BC3F28">
      <w:pPr>
        <w:pStyle w:val="ListParagraph"/>
        <w:numPr>
          <w:ilvl w:val="0"/>
          <w:numId w:val="17"/>
        </w:numPr>
        <w:jc w:val="both"/>
      </w:pPr>
      <w:r w:rsidRPr="00CD59DC">
        <w:t>alte activități care pot apărea ca urmare a proiectului (de exemplu, extragerea de agregate, asigurarea unor noi surse de apă, surse sau linii de transport al energiei, creșterea numărului de locuințe, eliminarea apelor uzate și a deșeurilor):</w:t>
      </w:r>
      <w:r w:rsidR="002934ED" w:rsidRPr="00CD59DC">
        <w:t xml:space="preserve"> </w:t>
      </w:r>
      <w:r w:rsidRPr="00CD59DC">
        <w:rPr>
          <w:b/>
          <w:bCs/>
        </w:rPr>
        <w:t>Nu este cazul</w:t>
      </w:r>
    </w:p>
    <w:p w14:paraId="6757B6B1" w14:textId="640D9A0D" w:rsidR="00C26EE2" w:rsidRPr="00AD4AAE" w:rsidRDefault="00C26EE2" w:rsidP="0030140A">
      <w:pPr>
        <w:pStyle w:val="ListParagraph"/>
        <w:numPr>
          <w:ilvl w:val="0"/>
          <w:numId w:val="17"/>
        </w:numPr>
        <w:jc w:val="both"/>
        <w:rPr>
          <w:b/>
        </w:rPr>
      </w:pPr>
      <w:r w:rsidRPr="00AD4AAE">
        <w:rPr>
          <w:b/>
        </w:rPr>
        <w:t>Deșeurile menajere se vor colecta și depozita pe categorii în pubele de plastic.</w:t>
      </w:r>
      <w:r w:rsidR="00970CCD" w:rsidRPr="00AD4AAE">
        <w:rPr>
          <w:b/>
        </w:rPr>
        <w:t xml:space="preserve"> Zona destinata pentru depozitarea recipientelor de colectare selectiva a deseurilor menajere, va fi amenajate la distanta de minimum 10 m de ferestrele locuintelor din zona si exte propusa in incinta cladirii, intr-un spatiu propriu amenajat, impermeabilizat, cu asigurarea unei pante de scurgere si prevazut cu sistem de spalare si sifon de scurgere racordat la canalizare. Acestea vor fi dimensionate pe baza indicelui maxim de producere a gunoiului si a ritmului de evacuare a acestuia si vor fi intretinute in permanenta stare de curatenie. Deseurile se vor colecta de catre societatea de salubritate a Orasului Otopnei in baza unui contract de prestari servicii. </w:t>
      </w:r>
      <w:r w:rsidR="0030140A" w:rsidRPr="00AD4AAE">
        <w:rPr>
          <w:b/>
        </w:rPr>
        <w:t>Restaurantul, fiind structura din domeniul HoReCa trebuie sa indeplineasca obligația SGR, în vigoare din  30 noiembrie 2023. HG nr. 1074/2021 stabilește că cei care comercializează produse din categoriile apă îmbuteliată, băuturi răcoritoare, bere, cidru, vin sau băuturi spirtoase, în ambalaje de unică folosință din plastic, sticlă sau metal, cu volume între 0,1 litri și 3 litri inclusiv, trebuie să se înregistreze în SGR și să îndeplinească mai multe obligații legale în raport cu acest sistem ce este aplicat în România.</w:t>
      </w:r>
    </w:p>
    <w:p w14:paraId="048C1DA7" w14:textId="4A778C8C" w:rsidR="00D92B1D" w:rsidRPr="00EB0CD8" w:rsidRDefault="007A0325" w:rsidP="00BC3F28">
      <w:pPr>
        <w:pStyle w:val="ListParagraph"/>
        <w:numPr>
          <w:ilvl w:val="0"/>
          <w:numId w:val="17"/>
        </w:numPr>
        <w:jc w:val="both"/>
      </w:pPr>
      <w:r w:rsidRPr="00EB0CD8">
        <w:t xml:space="preserve">alte autorizații cerute pentru proiect: </w:t>
      </w:r>
      <w:r w:rsidRPr="00CD59DC">
        <w:rPr>
          <w:b/>
          <w:bCs/>
        </w:rPr>
        <w:t>Nu este cazul</w:t>
      </w:r>
      <w:r w:rsidRPr="00EB0CD8">
        <w:t xml:space="preserve"> </w:t>
      </w:r>
    </w:p>
    <w:p w14:paraId="6E541D05" w14:textId="77777777" w:rsidR="002934ED" w:rsidRDefault="007A0325" w:rsidP="001C683A">
      <w:pPr>
        <w:ind w:firstLine="360"/>
        <w:jc w:val="both"/>
        <w:rPr>
          <w:i/>
          <w:iCs/>
        </w:rPr>
      </w:pPr>
      <w:r w:rsidRPr="00EB0CD8">
        <w:rPr>
          <w:i/>
          <w:iCs/>
        </w:rPr>
        <w:t>IV. Descrierea lucrărilor de demolare necesare:</w:t>
      </w:r>
    </w:p>
    <w:p w14:paraId="3C92D967" w14:textId="77777777" w:rsidR="002934ED" w:rsidRDefault="002934ED" w:rsidP="00BC3F28">
      <w:pPr>
        <w:pStyle w:val="ListParagraph"/>
        <w:numPr>
          <w:ilvl w:val="0"/>
          <w:numId w:val="17"/>
        </w:numPr>
        <w:jc w:val="both"/>
      </w:pPr>
      <w:r>
        <w:t>p</w:t>
      </w:r>
      <w:r w:rsidR="007A0325" w:rsidRPr="00EB0CD8">
        <w:t xml:space="preserve">lanul de execuție a lucrărilor de demolare, de refacere și folosire ulterioară a terenului: </w:t>
      </w:r>
      <w:r w:rsidR="007A0325" w:rsidRPr="002934ED">
        <w:rPr>
          <w:b/>
          <w:bCs/>
        </w:rPr>
        <w:t>Nu este cazul</w:t>
      </w:r>
    </w:p>
    <w:p w14:paraId="4B72C9F2" w14:textId="77777777" w:rsidR="002934ED" w:rsidRPr="00C26EE2" w:rsidRDefault="007A0325" w:rsidP="00BC3F28">
      <w:pPr>
        <w:pStyle w:val="ListParagraph"/>
        <w:numPr>
          <w:ilvl w:val="0"/>
          <w:numId w:val="17"/>
        </w:numPr>
        <w:jc w:val="both"/>
      </w:pPr>
      <w:r w:rsidRPr="00EB0CD8">
        <w:lastRenderedPageBreak/>
        <w:t xml:space="preserve">descrierea lucrărilor de refacere a amplasamentului: </w:t>
      </w:r>
      <w:r w:rsidRPr="00C26EE2">
        <w:rPr>
          <w:b/>
          <w:bCs/>
        </w:rPr>
        <w:t>refacerea amplasamentului se refer</w:t>
      </w:r>
      <w:r w:rsidR="002934ED" w:rsidRPr="00C26EE2">
        <w:rPr>
          <w:b/>
          <w:bCs/>
        </w:rPr>
        <w:t>ă</w:t>
      </w:r>
      <w:r w:rsidRPr="00C26EE2">
        <w:rPr>
          <w:b/>
          <w:bCs/>
        </w:rPr>
        <w:t xml:space="preserve"> doar la reamenajarea zonei perimetrale a lucrărilor, </w:t>
      </w:r>
      <w:r w:rsidR="002934ED" w:rsidRPr="00C26EE2">
        <w:rPr>
          <w:b/>
          <w:bCs/>
        </w:rPr>
        <w:t>elementele exterioare perturbate în timpul execuției se vor aduce la starea inițială.</w:t>
      </w:r>
    </w:p>
    <w:p w14:paraId="3F12E44B" w14:textId="77777777" w:rsidR="002934ED" w:rsidRDefault="007A0325" w:rsidP="00BC3F28">
      <w:pPr>
        <w:pStyle w:val="ListParagraph"/>
        <w:numPr>
          <w:ilvl w:val="0"/>
          <w:numId w:val="17"/>
        </w:numPr>
        <w:jc w:val="both"/>
      </w:pPr>
      <w:r w:rsidRPr="00EB0CD8">
        <w:t xml:space="preserve">căi noi de acces sau schimbări ale celor existente, după caz: </w:t>
      </w:r>
      <w:r w:rsidRPr="002934ED">
        <w:rPr>
          <w:b/>
          <w:bCs/>
        </w:rPr>
        <w:t>Nu este cazul</w:t>
      </w:r>
      <w:r w:rsidRPr="00EB0CD8">
        <w:t xml:space="preserve"> </w:t>
      </w:r>
    </w:p>
    <w:p w14:paraId="24CDF7E1" w14:textId="77777777" w:rsidR="002934ED" w:rsidRDefault="007A0325" w:rsidP="00BC3F28">
      <w:pPr>
        <w:pStyle w:val="ListParagraph"/>
        <w:numPr>
          <w:ilvl w:val="0"/>
          <w:numId w:val="17"/>
        </w:numPr>
        <w:jc w:val="both"/>
      </w:pPr>
      <w:r w:rsidRPr="00EB0CD8">
        <w:t xml:space="preserve">metode folosite în demolare: </w:t>
      </w:r>
      <w:r w:rsidRPr="002934ED">
        <w:rPr>
          <w:b/>
          <w:bCs/>
        </w:rPr>
        <w:t>Nu este cazul</w:t>
      </w:r>
      <w:r w:rsidRPr="00EB0CD8">
        <w:t xml:space="preserve"> </w:t>
      </w:r>
    </w:p>
    <w:p w14:paraId="1D23D33F" w14:textId="77777777" w:rsidR="002934ED" w:rsidRDefault="007A0325" w:rsidP="00BC3F28">
      <w:pPr>
        <w:pStyle w:val="ListParagraph"/>
        <w:numPr>
          <w:ilvl w:val="0"/>
          <w:numId w:val="17"/>
        </w:numPr>
        <w:jc w:val="both"/>
      </w:pPr>
      <w:r w:rsidRPr="00EB0CD8">
        <w:t xml:space="preserve">detalii privind alternativele care au fost luate în considerare: </w:t>
      </w:r>
      <w:r w:rsidRPr="002934ED">
        <w:rPr>
          <w:b/>
          <w:bCs/>
        </w:rPr>
        <w:t>Nu este cazul</w:t>
      </w:r>
      <w:r w:rsidRPr="00EB0CD8">
        <w:t xml:space="preserve"> </w:t>
      </w:r>
    </w:p>
    <w:p w14:paraId="7E7DB66F" w14:textId="326D10A2" w:rsidR="00D92B1D" w:rsidRPr="00EB0CD8" w:rsidRDefault="007A0325" w:rsidP="00BC3F28">
      <w:pPr>
        <w:pStyle w:val="ListParagraph"/>
        <w:numPr>
          <w:ilvl w:val="0"/>
          <w:numId w:val="17"/>
        </w:numPr>
        <w:jc w:val="both"/>
      </w:pPr>
      <w:r w:rsidRPr="00EB0CD8">
        <w:t xml:space="preserve">alte activități care pot apărea ca urmare a demolării (de exemplu, eliminarea deșeurilor): </w:t>
      </w:r>
      <w:r w:rsidRPr="002934ED">
        <w:rPr>
          <w:b/>
          <w:bCs/>
        </w:rPr>
        <w:t xml:space="preserve">Nu este cazul </w:t>
      </w:r>
    </w:p>
    <w:p w14:paraId="37CCC732" w14:textId="77777777" w:rsidR="00D92B1D" w:rsidRPr="00EB0CD8" w:rsidRDefault="007A0325" w:rsidP="001C683A">
      <w:pPr>
        <w:ind w:firstLine="360"/>
        <w:jc w:val="both"/>
        <w:rPr>
          <w:i/>
          <w:iCs/>
        </w:rPr>
      </w:pPr>
      <w:r w:rsidRPr="00EB0CD8">
        <w:rPr>
          <w:i/>
          <w:iCs/>
        </w:rPr>
        <w:t>V. Descrierea amplasării proiectului:</w:t>
      </w:r>
    </w:p>
    <w:p w14:paraId="6E4137C1" w14:textId="77777777" w:rsidR="002934ED" w:rsidRPr="002934ED" w:rsidRDefault="007A0325" w:rsidP="00BC3F28">
      <w:pPr>
        <w:pStyle w:val="ListParagraph"/>
        <w:numPr>
          <w:ilvl w:val="0"/>
          <w:numId w:val="17"/>
        </w:numPr>
        <w:jc w:val="both"/>
      </w:pPr>
      <w:r w:rsidRPr="00EB0CD8">
        <w:t xml:space="preserve"> distanța față de granițe pentru proiectele care cad sub incidența Convenției privind evaluarea impactului asupra mediului în context transfrontieră, adoptată la Espoo la 25 februarie 1991, ratificată prin Legea nr. 22/2001, cu completările ulterioare: </w:t>
      </w:r>
      <w:r w:rsidRPr="00EB0CD8">
        <w:rPr>
          <w:b/>
          <w:bCs/>
        </w:rPr>
        <w:t>Nu este cazul</w:t>
      </w:r>
    </w:p>
    <w:p w14:paraId="3CC23CCE" w14:textId="77777777" w:rsidR="002934ED" w:rsidRPr="002934ED" w:rsidRDefault="007A0325" w:rsidP="00BC3F28">
      <w:pPr>
        <w:pStyle w:val="ListParagraph"/>
        <w:numPr>
          <w:ilvl w:val="0"/>
          <w:numId w:val="17"/>
        </w:numPr>
        <w:jc w:val="both"/>
      </w:pPr>
      <w:r w:rsidRPr="00EB0CD8">
        <w:t xml:space="preserve">localizarea amplasamentului în raport cu patrimoniul cultural potrivit Listei monumentelor istorice, actualizată, aprobată prin Ordinul ministrului culturii și cultelor nr. 2.314/2004, cu modificările ulterioare, și Repertoriului arheologic național prevăzut de Ordonanța Guvernului nr. 43/2000 privind protecția patrimoniului arheologic și declararea unor situri arheologice ca zone de interes național, republicată, cu modificările și completările ulterioare: </w:t>
      </w:r>
      <w:r w:rsidRPr="002934ED">
        <w:rPr>
          <w:b/>
          <w:bCs/>
        </w:rPr>
        <w:t>Nu este cazul</w:t>
      </w:r>
    </w:p>
    <w:p w14:paraId="744C9459" w14:textId="5D46F08B" w:rsidR="002913F5" w:rsidRDefault="007A0325" w:rsidP="001C683A">
      <w:pPr>
        <w:pStyle w:val="ListParagraph"/>
        <w:numPr>
          <w:ilvl w:val="0"/>
          <w:numId w:val="17"/>
        </w:numPr>
        <w:jc w:val="both"/>
      </w:pPr>
      <w:r w:rsidRPr="00EB0CD8">
        <w:t>hărți, fotografii ale amplasamentului care pot oferi informații privind caracteristicile fizice ale mediului, atât naturale, cât și artificiale, și alte informații privind:</w:t>
      </w:r>
    </w:p>
    <w:p w14:paraId="2A77F1B0" w14:textId="63815952" w:rsidR="002913F5" w:rsidRPr="002934ED" w:rsidRDefault="002913F5" w:rsidP="001C683A">
      <w:pPr>
        <w:pStyle w:val="ListParagraph"/>
        <w:numPr>
          <w:ilvl w:val="0"/>
          <w:numId w:val="0"/>
        </w:numPr>
        <w:ind w:left="720"/>
        <w:jc w:val="both"/>
      </w:pPr>
      <w:r>
        <w:rPr>
          <w:noProof/>
          <w:lang w:val="en-US"/>
        </w:rPr>
        <w:drawing>
          <wp:inline distT="0" distB="0" distL="0" distR="0" wp14:anchorId="6B12F08D" wp14:editId="7DF60DEE">
            <wp:extent cx="5637475" cy="246425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3-21 at 12.37.21.jpeg"/>
                    <pic:cNvPicPr/>
                  </pic:nvPicPr>
                  <pic:blipFill rotWithShape="1">
                    <a:blip r:embed="rId8" cstate="print">
                      <a:extLst>
                        <a:ext uri="{28A0092B-C50C-407E-A947-70E740481C1C}">
                          <a14:useLocalDpi xmlns:a14="http://schemas.microsoft.com/office/drawing/2010/main" val="0"/>
                        </a:ext>
                      </a:extLst>
                    </a:blip>
                    <a:srcRect l="1104" t="14478" r="1004" b="9451"/>
                    <a:stretch/>
                  </pic:blipFill>
                  <pic:spPr bwMode="auto">
                    <a:xfrm>
                      <a:off x="0" y="0"/>
                      <a:ext cx="5639237" cy="2465028"/>
                    </a:xfrm>
                    <a:prstGeom prst="rect">
                      <a:avLst/>
                    </a:prstGeom>
                    <a:ln>
                      <a:noFill/>
                    </a:ln>
                    <a:extLst>
                      <a:ext uri="{53640926-AAD7-44D8-BBD7-CCE9431645EC}">
                        <a14:shadowObscured xmlns:a14="http://schemas.microsoft.com/office/drawing/2010/main"/>
                      </a:ext>
                    </a:extLst>
                  </pic:spPr>
                </pic:pic>
              </a:graphicData>
            </a:graphic>
          </wp:inline>
        </w:drawing>
      </w:r>
    </w:p>
    <w:p w14:paraId="68390B15" w14:textId="77777777" w:rsidR="002934ED" w:rsidRPr="002934ED" w:rsidRDefault="002934ED" w:rsidP="00BC3F28">
      <w:pPr>
        <w:pStyle w:val="ListParagraph"/>
        <w:numPr>
          <w:ilvl w:val="0"/>
          <w:numId w:val="17"/>
        </w:numPr>
        <w:jc w:val="both"/>
      </w:pPr>
      <w:r w:rsidRPr="002934ED">
        <w:t>f</w:t>
      </w:r>
      <w:r w:rsidR="007A0325" w:rsidRPr="00EB0CD8">
        <w:t>olosințele actuale și planificate ale terenului atât pe amplasament, cât și pe zone adiacente acestui</w:t>
      </w:r>
      <w:r w:rsidR="007A0325" w:rsidRPr="002934ED">
        <w:t xml:space="preserve">a: Terenul </w:t>
      </w:r>
      <w:r w:rsidRPr="002934ED">
        <w:t>se găsește în</w:t>
      </w:r>
      <w:r w:rsidRPr="002934ED">
        <w:rPr>
          <w:rFonts w:eastAsiaTheme="minorEastAsia"/>
          <w:b/>
        </w:rPr>
        <w:t xml:space="preserve"> zona mixtă </w:t>
      </w:r>
      <w:r w:rsidRPr="002934ED">
        <w:rPr>
          <w:rFonts w:eastAsiaTheme="minorEastAsia"/>
          <w:bCs/>
        </w:rPr>
        <w:t>conţinând instituţii, servicii şi echipamente publice, servicii de interes general (servicii manageriale, tehnice, profesionale, sociale, colective şi personale, comerţ, hoteluri, restaurante, loisir), activităţi productive mici, nepoluante şi locuinţe a orașului Otopeni.</w:t>
      </w:r>
    </w:p>
    <w:p w14:paraId="07F43ED6" w14:textId="77777777" w:rsidR="002934ED" w:rsidRDefault="007A0325" w:rsidP="00BC3F28">
      <w:pPr>
        <w:pStyle w:val="ListParagraph"/>
        <w:numPr>
          <w:ilvl w:val="0"/>
          <w:numId w:val="17"/>
        </w:numPr>
        <w:jc w:val="both"/>
      </w:pPr>
      <w:r w:rsidRPr="00EB0CD8">
        <w:t xml:space="preserve">politici de zonare și de folosire a terenului: </w:t>
      </w:r>
      <w:r w:rsidRPr="002934ED">
        <w:rPr>
          <w:b/>
          <w:bCs/>
        </w:rPr>
        <w:t>Nu este cazul</w:t>
      </w:r>
      <w:r w:rsidRPr="00EB0CD8">
        <w:t xml:space="preserve">  </w:t>
      </w:r>
    </w:p>
    <w:p w14:paraId="637587BA" w14:textId="77777777" w:rsidR="0040088F" w:rsidRPr="0040088F" w:rsidRDefault="007A0325" w:rsidP="00BC3F28">
      <w:pPr>
        <w:pStyle w:val="ListParagraph"/>
        <w:numPr>
          <w:ilvl w:val="0"/>
          <w:numId w:val="17"/>
        </w:numPr>
        <w:jc w:val="both"/>
      </w:pPr>
      <w:r w:rsidRPr="00EB0CD8">
        <w:t xml:space="preserve">arealele sensibile: </w:t>
      </w:r>
      <w:r w:rsidRPr="002934ED">
        <w:rPr>
          <w:b/>
          <w:bCs/>
        </w:rPr>
        <w:t>Nu este cazul</w:t>
      </w:r>
    </w:p>
    <w:p w14:paraId="460E1A3D" w14:textId="0586E814" w:rsidR="0040088F" w:rsidRDefault="007A0325" w:rsidP="00BC3F28">
      <w:pPr>
        <w:pStyle w:val="ListParagraph"/>
        <w:numPr>
          <w:ilvl w:val="0"/>
          <w:numId w:val="17"/>
        </w:numPr>
        <w:jc w:val="both"/>
      </w:pPr>
      <w:r w:rsidRPr="00EB0CD8">
        <w:lastRenderedPageBreak/>
        <w:t xml:space="preserve">coordonatele geografice ale amplasamentului proiectului, care vor fi prezentate sub formă de vector în format digital cu referință geografică, în sistem de proiecție națională Stereo 1970: </w:t>
      </w:r>
    </w:p>
    <w:tbl>
      <w:tblPr>
        <w:tblStyle w:val="TableGrid"/>
        <w:tblpPr w:leftFromText="180" w:rightFromText="180" w:vertAnchor="text" w:horzAnchor="margin" w:tblpXSpec="center" w:tblpY="348"/>
        <w:tblW w:w="6578" w:type="dxa"/>
        <w:tblLook w:val="04A0" w:firstRow="1" w:lastRow="0" w:firstColumn="1" w:lastColumn="0" w:noHBand="0" w:noVBand="1"/>
      </w:tblPr>
      <w:tblGrid>
        <w:gridCol w:w="1250"/>
        <w:gridCol w:w="1836"/>
        <w:gridCol w:w="1836"/>
        <w:gridCol w:w="1656"/>
      </w:tblGrid>
      <w:tr w:rsidR="002913F5" w:rsidRPr="001C683A" w14:paraId="6FD12E50" w14:textId="77777777" w:rsidTr="002913F5">
        <w:trPr>
          <w:trHeight w:val="1515"/>
        </w:trPr>
        <w:tc>
          <w:tcPr>
            <w:tcW w:w="1250" w:type="dxa"/>
            <w:noWrap/>
            <w:hideMark/>
          </w:tcPr>
          <w:p w14:paraId="63FD731D" w14:textId="77777777" w:rsidR="002913F5" w:rsidRPr="001C683A" w:rsidRDefault="002913F5" w:rsidP="002913F5">
            <w:pPr>
              <w:pStyle w:val="ListParagraph"/>
              <w:numPr>
                <w:ilvl w:val="0"/>
                <w:numId w:val="0"/>
              </w:numPr>
              <w:ind w:left="720"/>
              <w:jc w:val="both"/>
            </w:pPr>
          </w:p>
        </w:tc>
        <w:tc>
          <w:tcPr>
            <w:tcW w:w="5328" w:type="dxa"/>
            <w:gridSpan w:val="3"/>
            <w:hideMark/>
          </w:tcPr>
          <w:p w14:paraId="0D361BB2" w14:textId="77777777" w:rsidR="002913F5" w:rsidRPr="001C683A" w:rsidRDefault="002913F5" w:rsidP="002913F5">
            <w:pPr>
              <w:pStyle w:val="ListParagraph"/>
              <w:numPr>
                <w:ilvl w:val="0"/>
                <w:numId w:val="0"/>
              </w:numPr>
              <w:ind w:left="720"/>
              <w:rPr>
                <w:b/>
                <w:bCs/>
              </w:rPr>
            </w:pPr>
            <w:r w:rsidRPr="001C683A">
              <w:rPr>
                <w:b/>
                <w:bCs/>
              </w:rPr>
              <w:t>Inventar de coordonate stereo 70 pentru imobilul cu IE 111951, UAT Otopeni / ILFOV, Loc.</w:t>
            </w:r>
            <w:r w:rsidRPr="001C683A">
              <w:rPr>
                <w:b/>
                <w:bCs/>
              </w:rPr>
              <w:br/>
              <w:t>Otopeni</w:t>
            </w:r>
          </w:p>
        </w:tc>
      </w:tr>
      <w:tr w:rsidR="002913F5" w:rsidRPr="001C683A" w14:paraId="4846930F" w14:textId="77777777" w:rsidTr="002913F5">
        <w:trPr>
          <w:trHeight w:val="375"/>
        </w:trPr>
        <w:tc>
          <w:tcPr>
            <w:tcW w:w="1250" w:type="dxa"/>
            <w:noWrap/>
            <w:hideMark/>
          </w:tcPr>
          <w:p w14:paraId="77FE786E" w14:textId="77777777" w:rsidR="002913F5" w:rsidRPr="001C683A" w:rsidRDefault="002913F5" w:rsidP="002913F5">
            <w:pPr>
              <w:pStyle w:val="ListParagraph"/>
              <w:numPr>
                <w:ilvl w:val="0"/>
                <w:numId w:val="0"/>
              </w:numPr>
              <w:ind w:left="720"/>
              <w:jc w:val="both"/>
            </w:pPr>
            <w:r w:rsidRPr="001C683A">
              <w:t>Nr.</w:t>
            </w:r>
          </w:p>
        </w:tc>
        <w:tc>
          <w:tcPr>
            <w:tcW w:w="1836" w:type="dxa"/>
            <w:noWrap/>
            <w:hideMark/>
          </w:tcPr>
          <w:p w14:paraId="785EFC1C" w14:textId="77777777" w:rsidR="002913F5" w:rsidRPr="001C683A" w:rsidRDefault="002913F5" w:rsidP="002913F5">
            <w:pPr>
              <w:pStyle w:val="ListParagraph"/>
              <w:numPr>
                <w:ilvl w:val="0"/>
                <w:numId w:val="0"/>
              </w:numPr>
              <w:ind w:left="720"/>
              <w:jc w:val="both"/>
            </w:pPr>
            <w:r w:rsidRPr="001C683A">
              <w:t>x</w:t>
            </w:r>
          </w:p>
        </w:tc>
        <w:tc>
          <w:tcPr>
            <w:tcW w:w="1836" w:type="dxa"/>
            <w:noWrap/>
            <w:hideMark/>
          </w:tcPr>
          <w:p w14:paraId="6EFAAA97" w14:textId="77777777" w:rsidR="002913F5" w:rsidRPr="001C683A" w:rsidRDefault="002913F5" w:rsidP="002913F5">
            <w:pPr>
              <w:pStyle w:val="ListParagraph"/>
              <w:numPr>
                <w:ilvl w:val="0"/>
                <w:numId w:val="0"/>
              </w:numPr>
              <w:ind w:left="720"/>
              <w:jc w:val="both"/>
            </w:pPr>
            <w:r w:rsidRPr="001C683A">
              <w:t>y</w:t>
            </w:r>
          </w:p>
        </w:tc>
        <w:tc>
          <w:tcPr>
            <w:tcW w:w="1656" w:type="dxa"/>
            <w:noWrap/>
            <w:hideMark/>
          </w:tcPr>
          <w:p w14:paraId="216F5CC4" w14:textId="77777777" w:rsidR="002913F5" w:rsidRPr="001C683A" w:rsidRDefault="002913F5" w:rsidP="002913F5">
            <w:pPr>
              <w:pStyle w:val="ListParagraph"/>
              <w:numPr>
                <w:ilvl w:val="0"/>
                <w:numId w:val="0"/>
              </w:numPr>
              <w:ind w:left="720"/>
              <w:jc w:val="both"/>
            </w:pPr>
            <w:r w:rsidRPr="001C683A">
              <w:t>IE</w:t>
            </w:r>
          </w:p>
        </w:tc>
      </w:tr>
      <w:tr w:rsidR="002913F5" w:rsidRPr="001C683A" w14:paraId="40921AA5" w14:textId="77777777" w:rsidTr="002913F5">
        <w:trPr>
          <w:trHeight w:val="375"/>
        </w:trPr>
        <w:tc>
          <w:tcPr>
            <w:tcW w:w="1250" w:type="dxa"/>
            <w:noWrap/>
            <w:hideMark/>
          </w:tcPr>
          <w:p w14:paraId="568487B5" w14:textId="77777777" w:rsidR="002913F5" w:rsidRPr="001C683A" w:rsidRDefault="002913F5" w:rsidP="002913F5">
            <w:pPr>
              <w:pStyle w:val="ListParagraph"/>
              <w:numPr>
                <w:ilvl w:val="0"/>
                <w:numId w:val="0"/>
              </w:numPr>
              <w:ind w:left="720"/>
              <w:jc w:val="both"/>
            </w:pPr>
            <w:r w:rsidRPr="001C683A">
              <w:t>1</w:t>
            </w:r>
          </w:p>
        </w:tc>
        <w:tc>
          <w:tcPr>
            <w:tcW w:w="1836" w:type="dxa"/>
            <w:noWrap/>
            <w:hideMark/>
          </w:tcPr>
          <w:p w14:paraId="3556FBC1" w14:textId="77777777" w:rsidR="002913F5" w:rsidRPr="001C683A" w:rsidRDefault="002913F5" w:rsidP="002913F5">
            <w:pPr>
              <w:pStyle w:val="ListParagraph"/>
              <w:numPr>
                <w:ilvl w:val="0"/>
                <w:numId w:val="0"/>
              </w:numPr>
              <w:ind w:left="720"/>
              <w:jc w:val="both"/>
            </w:pPr>
            <w:r w:rsidRPr="001C683A">
              <w:t>587935.5</w:t>
            </w:r>
          </w:p>
        </w:tc>
        <w:tc>
          <w:tcPr>
            <w:tcW w:w="1836" w:type="dxa"/>
            <w:noWrap/>
            <w:hideMark/>
          </w:tcPr>
          <w:p w14:paraId="6504DC26" w14:textId="77777777" w:rsidR="002913F5" w:rsidRPr="001C683A" w:rsidRDefault="002913F5" w:rsidP="002913F5">
            <w:pPr>
              <w:pStyle w:val="ListParagraph"/>
              <w:numPr>
                <w:ilvl w:val="0"/>
                <w:numId w:val="0"/>
              </w:numPr>
              <w:ind w:left="720"/>
              <w:jc w:val="both"/>
            </w:pPr>
            <w:r w:rsidRPr="001C683A">
              <w:t>339865.4</w:t>
            </w:r>
          </w:p>
        </w:tc>
        <w:tc>
          <w:tcPr>
            <w:tcW w:w="1656" w:type="dxa"/>
            <w:noWrap/>
            <w:hideMark/>
          </w:tcPr>
          <w:p w14:paraId="067E9120" w14:textId="77777777" w:rsidR="002913F5" w:rsidRPr="001C683A" w:rsidRDefault="002913F5" w:rsidP="002913F5">
            <w:pPr>
              <w:pStyle w:val="ListParagraph"/>
              <w:numPr>
                <w:ilvl w:val="0"/>
                <w:numId w:val="0"/>
              </w:numPr>
              <w:ind w:left="720"/>
              <w:jc w:val="both"/>
            </w:pPr>
            <w:r w:rsidRPr="001C683A">
              <w:t>111951</w:t>
            </w:r>
          </w:p>
        </w:tc>
      </w:tr>
      <w:tr w:rsidR="002913F5" w:rsidRPr="001C683A" w14:paraId="2BADDBBF" w14:textId="77777777" w:rsidTr="002913F5">
        <w:trPr>
          <w:trHeight w:val="375"/>
        </w:trPr>
        <w:tc>
          <w:tcPr>
            <w:tcW w:w="1250" w:type="dxa"/>
            <w:noWrap/>
            <w:hideMark/>
          </w:tcPr>
          <w:p w14:paraId="4014F140" w14:textId="77777777" w:rsidR="002913F5" w:rsidRPr="001C683A" w:rsidRDefault="002913F5" w:rsidP="002913F5">
            <w:pPr>
              <w:pStyle w:val="ListParagraph"/>
              <w:numPr>
                <w:ilvl w:val="0"/>
                <w:numId w:val="0"/>
              </w:numPr>
              <w:ind w:left="720"/>
              <w:jc w:val="both"/>
            </w:pPr>
            <w:r w:rsidRPr="001C683A">
              <w:t>2</w:t>
            </w:r>
          </w:p>
        </w:tc>
        <w:tc>
          <w:tcPr>
            <w:tcW w:w="1836" w:type="dxa"/>
            <w:noWrap/>
            <w:hideMark/>
          </w:tcPr>
          <w:p w14:paraId="7E77FEC3" w14:textId="77777777" w:rsidR="002913F5" w:rsidRPr="001C683A" w:rsidRDefault="002913F5" w:rsidP="002913F5">
            <w:pPr>
              <w:pStyle w:val="ListParagraph"/>
              <w:numPr>
                <w:ilvl w:val="0"/>
                <w:numId w:val="0"/>
              </w:numPr>
              <w:ind w:left="720"/>
              <w:jc w:val="both"/>
            </w:pPr>
            <w:r w:rsidRPr="001C683A">
              <w:t>587898.2</w:t>
            </w:r>
          </w:p>
        </w:tc>
        <w:tc>
          <w:tcPr>
            <w:tcW w:w="1836" w:type="dxa"/>
            <w:noWrap/>
            <w:hideMark/>
          </w:tcPr>
          <w:p w14:paraId="5C7568DD" w14:textId="77777777" w:rsidR="002913F5" w:rsidRPr="001C683A" w:rsidRDefault="002913F5" w:rsidP="002913F5">
            <w:pPr>
              <w:pStyle w:val="ListParagraph"/>
              <w:numPr>
                <w:ilvl w:val="0"/>
                <w:numId w:val="0"/>
              </w:numPr>
              <w:ind w:left="720"/>
              <w:jc w:val="both"/>
            </w:pPr>
            <w:r w:rsidRPr="001C683A">
              <w:t>339875.2</w:t>
            </w:r>
          </w:p>
        </w:tc>
        <w:tc>
          <w:tcPr>
            <w:tcW w:w="1656" w:type="dxa"/>
            <w:noWrap/>
            <w:hideMark/>
          </w:tcPr>
          <w:p w14:paraId="1F44C107" w14:textId="77777777" w:rsidR="002913F5" w:rsidRPr="001C683A" w:rsidRDefault="002913F5" w:rsidP="002913F5">
            <w:pPr>
              <w:pStyle w:val="ListParagraph"/>
              <w:numPr>
                <w:ilvl w:val="0"/>
                <w:numId w:val="0"/>
              </w:numPr>
              <w:ind w:left="720"/>
              <w:jc w:val="both"/>
            </w:pPr>
            <w:r w:rsidRPr="001C683A">
              <w:t>111951</w:t>
            </w:r>
          </w:p>
        </w:tc>
      </w:tr>
      <w:tr w:rsidR="002913F5" w:rsidRPr="001C683A" w14:paraId="2B3CCD3A" w14:textId="77777777" w:rsidTr="002913F5">
        <w:trPr>
          <w:trHeight w:val="375"/>
        </w:trPr>
        <w:tc>
          <w:tcPr>
            <w:tcW w:w="1250" w:type="dxa"/>
            <w:noWrap/>
            <w:hideMark/>
          </w:tcPr>
          <w:p w14:paraId="47D3FCB0" w14:textId="77777777" w:rsidR="002913F5" w:rsidRPr="001C683A" w:rsidRDefault="002913F5" w:rsidP="002913F5">
            <w:pPr>
              <w:pStyle w:val="ListParagraph"/>
              <w:numPr>
                <w:ilvl w:val="0"/>
                <w:numId w:val="0"/>
              </w:numPr>
              <w:ind w:left="720"/>
              <w:jc w:val="both"/>
            </w:pPr>
            <w:r w:rsidRPr="001C683A">
              <w:t>3</w:t>
            </w:r>
          </w:p>
        </w:tc>
        <w:tc>
          <w:tcPr>
            <w:tcW w:w="1836" w:type="dxa"/>
            <w:noWrap/>
            <w:hideMark/>
          </w:tcPr>
          <w:p w14:paraId="2A91BEA9" w14:textId="77777777" w:rsidR="002913F5" w:rsidRPr="001C683A" w:rsidRDefault="002913F5" w:rsidP="002913F5">
            <w:pPr>
              <w:pStyle w:val="ListParagraph"/>
              <w:numPr>
                <w:ilvl w:val="0"/>
                <w:numId w:val="0"/>
              </w:numPr>
              <w:ind w:left="720"/>
              <w:jc w:val="both"/>
            </w:pPr>
            <w:r w:rsidRPr="001C683A">
              <w:t>587903.7</w:t>
            </w:r>
          </w:p>
        </w:tc>
        <w:tc>
          <w:tcPr>
            <w:tcW w:w="1836" w:type="dxa"/>
            <w:noWrap/>
            <w:hideMark/>
          </w:tcPr>
          <w:p w14:paraId="344C2140" w14:textId="77777777" w:rsidR="002913F5" w:rsidRPr="001C683A" w:rsidRDefault="002913F5" w:rsidP="002913F5">
            <w:pPr>
              <w:pStyle w:val="ListParagraph"/>
              <w:numPr>
                <w:ilvl w:val="0"/>
                <w:numId w:val="0"/>
              </w:numPr>
              <w:ind w:left="720"/>
              <w:jc w:val="both"/>
            </w:pPr>
            <w:r w:rsidRPr="001C683A">
              <w:t>339840.3</w:t>
            </w:r>
          </w:p>
        </w:tc>
        <w:tc>
          <w:tcPr>
            <w:tcW w:w="1656" w:type="dxa"/>
            <w:noWrap/>
            <w:hideMark/>
          </w:tcPr>
          <w:p w14:paraId="67A47581" w14:textId="77777777" w:rsidR="002913F5" w:rsidRPr="001C683A" w:rsidRDefault="002913F5" w:rsidP="002913F5">
            <w:pPr>
              <w:pStyle w:val="ListParagraph"/>
              <w:numPr>
                <w:ilvl w:val="0"/>
                <w:numId w:val="0"/>
              </w:numPr>
              <w:ind w:left="720"/>
              <w:jc w:val="both"/>
            </w:pPr>
            <w:r w:rsidRPr="001C683A">
              <w:t>111951</w:t>
            </w:r>
          </w:p>
        </w:tc>
      </w:tr>
      <w:tr w:rsidR="002913F5" w:rsidRPr="001C683A" w14:paraId="034DC7DD" w14:textId="77777777" w:rsidTr="002913F5">
        <w:trPr>
          <w:trHeight w:val="375"/>
        </w:trPr>
        <w:tc>
          <w:tcPr>
            <w:tcW w:w="1250" w:type="dxa"/>
            <w:noWrap/>
            <w:hideMark/>
          </w:tcPr>
          <w:p w14:paraId="5699EB1B" w14:textId="77777777" w:rsidR="002913F5" w:rsidRPr="001C683A" w:rsidRDefault="002913F5" w:rsidP="002913F5">
            <w:pPr>
              <w:pStyle w:val="ListParagraph"/>
              <w:numPr>
                <w:ilvl w:val="0"/>
                <w:numId w:val="0"/>
              </w:numPr>
              <w:ind w:left="720"/>
              <w:jc w:val="both"/>
            </w:pPr>
            <w:r w:rsidRPr="001C683A">
              <w:t>4</w:t>
            </w:r>
          </w:p>
        </w:tc>
        <w:tc>
          <w:tcPr>
            <w:tcW w:w="1836" w:type="dxa"/>
            <w:noWrap/>
            <w:hideMark/>
          </w:tcPr>
          <w:p w14:paraId="69DD5E1F" w14:textId="77777777" w:rsidR="002913F5" w:rsidRPr="001C683A" w:rsidRDefault="002913F5" w:rsidP="002913F5">
            <w:pPr>
              <w:pStyle w:val="ListParagraph"/>
              <w:numPr>
                <w:ilvl w:val="0"/>
                <w:numId w:val="0"/>
              </w:numPr>
              <w:ind w:left="720"/>
              <w:jc w:val="both"/>
            </w:pPr>
            <w:r w:rsidRPr="001C683A">
              <w:t>587938.2</w:t>
            </w:r>
          </w:p>
        </w:tc>
        <w:tc>
          <w:tcPr>
            <w:tcW w:w="1836" w:type="dxa"/>
            <w:noWrap/>
            <w:hideMark/>
          </w:tcPr>
          <w:p w14:paraId="6C70BA01" w14:textId="77777777" w:rsidR="002913F5" w:rsidRPr="001C683A" w:rsidRDefault="002913F5" w:rsidP="002913F5">
            <w:pPr>
              <w:pStyle w:val="ListParagraph"/>
              <w:numPr>
                <w:ilvl w:val="0"/>
                <w:numId w:val="0"/>
              </w:numPr>
              <w:ind w:left="720"/>
              <w:jc w:val="both"/>
            </w:pPr>
            <w:r w:rsidRPr="001C683A">
              <w:t>339848</w:t>
            </w:r>
          </w:p>
        </w:tc>
        <w:tc>
          <w:tcPr>
            <w:tcW w:w="1656" w:type="dxa"/>
            <w:noWrap/>
            <w:hideMark/>
          </w:tcPr>
          <w:p w14:paraId="3B9CA409" w14:textId="77777777" w:rsidR="002913F5" w:rsidRPr="001C683A" w:rsidRDefault="002913F5" w:rsidP="002913F5">
            <w:pPr>
              <w:pStyle w:val="ListParagraph"/>
              <w:numPr>
                <w:ilvl w:val="0"/>
                <w:numId w:val="0"/>
              </w:numPr>
              <w:ind w:left="720"/>
              <w:jc w:val="both"/>
            </w:pPr>
            <w:r w:rsidRPr="001C683A">
              <w:t>111951</w:t>
            </w:r>
          </w:p>
        </w:tc>
      </w:tr>
      <w:tr w:rsidR="002913F5" w:rsidRPr="001C683A" w14:paraId="0E0D736E" w14:textId="77777777" w:rsidTr="002913F5">
        <w:trPr>
          <w:trHeight w:val="375"/>
        </w:trPr>
        <w:tc>
          <w:tcPr>
            <w:tcW w:w="1250" w:type="dxa"/>
            <w:noWrap/>
            <w:hideMark/>
          </w:tcPr>
          <w:p w14:paraId="59F90D8D" w14:textId="77777777" w:rsidR="002913F5" w:rsidRPr="001C683A" w:rsidRDefault="002913F5" w:rsidP="002913F5">
            <w:pPr>
              <w:pStyle w:val="ListParagraph"/>
              <w:numPr>
                <w:ilvl w:val="0"/>
                <w:numId w:val="0"/>
              </w:numPr>
              <w:ind w:left="720"/>
              <w:jc w:val="both"/>
            </w:pPr>
            <w:r w:rsidRPr="001C683A">
              <w:t>5</w:t>
            </w:r>
          </w:p>
        </w:tc>
        <w:tc>
          <w:tcPr>
            <w:tcW w:w="1836" w:type="dxa"/>
            <w:noWrap/>
            <w:hideMark/>
          </w:tcPr>
          <w:p w14:paraId="4289B0C4" w14:textId="77777777" w:rsidR="002913F5" w:rsidRPr="001C683A" w:rsidRDefault="002913F5" w:rsidP="002913F5">
            <w:pPr>
              <w:pStyle w:val="ListParagraph"/>
              <w:numPr>
                <w:ilvl w:val="0"/>
                <w:numId w:val="0"/>
              </w:numPr>
              <w:ind w:left="720"/>
              <w:jc w:val="both"/>
            </w:pPr>
            <w:r w:rsidRPr="001C683A">
              <w:t>587935.5</w:t>
            </w:r>
          </w:p>
        </w:tc>
        <w:tc>
          <w:tcPr>
            <w:tcW w:w="1836" w:type="dxa"/>
            <w:noWrap/>
            <w:hideMark/>
          </w:tcPr>
          <w:p w14:paraId="374F382E" w14:textId="77777777" w:rsidR="002913F5" w:rsidRPr="001C683A" w:rsidRDefault="002913F5" w:rsidP="002913F5">
            <w:pPr>
              <w:pStyle w:val="ListParagraph"/>
              <w:numPr>
                <w:ilvl w:val="0"/>
                <w:numId w:val="0"/>
              </w:numPr>
              <w:ind w:left="720"/>
              <w:jc w:val="both"/>
            </w:pPr>
            <w:r w:rsidRPr="001C683A">
              <w:t>339865.4</w:t>
            </w:r>
          </w:p>
        </w:tc>
        <w:tc>
          <w:tcPr>
            <w:tcW w:w="1656" w:type="dxa"/>
            <w:noWrap/>
            <w:hideMark/>
          </w:tcPr>
          <w:p w14:paraId="752B028B" w14:textId="77777777" w:rsidR="002913F5" w:rsidRPr="001C683A" w:rsidRDefault="002913F5" w:rsidP="002913F5">
            <w:pPr>
              <w:pStyle w:val="ListParagraph"/>
              <w:numPr>
                <w:ilvl w:val="0"/>
                <w:numId w:val="0"/>
              </w:numPr>
              <w:ind w:left="720"/>
              <w:jc w:val="both"/>
            </w:pPr>
            <w:r w:rsidRPr="001C683A">
              <w:t>111951</w:t>
            </w:r>
          </w:p>
        </w:tc>
      </w:tr>
    </w:tbl>
    <w:p w14:paraId="74922E4F" w14:textId="18726CA3" w:rsidR="002913F5" w:rsidRPr="001C683A" w:rsidRDefault="002913F5" w:rsidP="002913F5">
      <w:pPr>
        <w:ind w:left="1440" w:hanging="360"/>
        <w:jc w:val="both"/>
        <w:rPr>
          <w:rFonts w:ascii="Calibri" w:hAnsi="Calibri"/>
          <w:sz w:val="22"/>
        </w:rPr>
      </w:pPr>
      <w:r w:rsidRPr="001C683A">
        <w:fldChar w:fldCharType="begin"/>
      </w:r>
      <w:r w:rsidRPr="001C683A">
        <w:instrText xml:space="preserve"> LINK </w:instrText>
      </w:r>
      <w:r w:rsidR="00A204D5">
        <w:instrText xml:space="preserve">Excel.Sheet.12 "D:\\OneDrive\\ROBERT\\161_Lepa Iulian\\Arhiva_Shape_Csv_Coordonate_119306\\100165537761_25794770.xlsx" 100165537761_25794770!Print_Area </w:instrText>
      </w:r>
      <w:r w:rsidRPr="001C683A">
        <w:instrText xml:space="preserve">\a \f 5 \h  \* MERGEFORMAT </w:instrText>
      </w:r>
      <w:r w:rsidRPr="001C683A">
        <w:fldChar w:fldCharType="separate"/>
      </w:r>
      <w:bookmarkStart w:id="2" w:name="RANGE!A1:F19"/>
      <w:bookmarkEnd w:id="2"/>
    </w:p>
    <w:p w14:paraId="21D22BD5" w14:textId="23820A1B" w:rsidR="002913F5" w:rsidRDefault="002913F5" w:rsidP="002913F5">
      <w:pPr>
        <w:pStyle w:val="ListParagraph"/>
        <w:numPr>
          <w:ilvl w:val="0"/>
          <w:numId w:val="0"/>
        </w:numPr>
        <w:ind w:left="720"/>
        <w:jc w:val="both"/>
      </w:pPr>
      <w:r w:rsidRPr="001C683A">
        <w:fldChar w:fldCharType="end"/>
      </w:r>
    </w:p>
    <w:p w14:paraId="4ECA622F" w14:textId="45257DA4" w:rsidR="001C683A" w:rsidRDefault="001C683A" w:rsidP="002913F5">
      <w:pPr>
        <w:pStyle w:val="ListParagraph"/>
        <w:numPr>
          <w:ilvl w:val="0"/>
          <w:numId w:val="0"/>
        </w:numPr>
        <w:ind w:left="720"/>
        <w:jc w:val="both"/>
      </w:pPr>
    </w:p>
    <w:p w14:paraId="4A51CAE1" w14:textId="3EE0EC76" w:rsidR="001C683A" w:rsidRDefault="001C683A" w:rsidP="002913F5">
      <w:pPr>
        <w:pStyle w:val="ListParagraph"/>
        <w:numPr>
          <w:ilvl w:val="0"/>
          <w:numId w:val="0"/>
        </w:numPr>
        <w:ind w:left="720"/>
        <w:jc w:val="both"/>
      </w:pPr>
    </w:p>
    <w:p w14:paraId="55DC32B9" w14:textId="7B92C476" w:rsidR="001C683A" w:rsidRDefault="001C683A" w:rsidP="002913F5">
      <w:pPr>
        <w:pStyle w:val="ListParagraph"/>
        <w:numPr>
          <w:ilvl w:val="0"/>
          <w:numId w:val="0"/>
        </w:numPr>
        <w:ind w:left="720"/>
        <w:jc w:val="both"/>
      </w:pPr>
    </w:p>
    <w:p w14:paraId="4887DA3A" w14:textId="1ECBCA8C" w:rsidR="001C683A" w:rsidRDefault="001C683A" w:rsidP="002913F5">
      <w:pPr>
        <w:pStyle w:val="ListParagraph"/>
        <w:numPr>
          <w:ilvl w:val="0"/>
          <w:numId w:val="0"/>
        </w:numPr>
        <w:ind w:left="720"/>
        <w:jc w:val="both"/>
      </w:pPr>
    </w:p>
    <w:p w14:paraId="0B2630C8" w14:textId="532A2CEA" w:rsidR="001C683A" w:rsidRDefault="001C683A" w:rsidP="002913F5">
      <w:pPr>
        <w:pStyle w:val="ListParagraph"/>
        <w:numPr>
          <w:ilvl w:val="0"/>
          <w:numId w:val="0"/>
        </w:numPr>
        <w:ind w:left="720"/>
        <w:jc w:val="both"/>
      </w:pPr>
    </w:p>
    <w:p w14:paraId="1409F90F" w14:textId="5DA46514" w:rsidR="001C683A" w:rsidRDefault="001C683A" w:rsidP="002913F5">
      <w:pPr>
        <w:pStyle w:val="ListParagraph"/>
        <w:numPr>
          <w:ilvl w:val="0"/>
          <w:numId w:val="0"/>
        </w:numPr>
        <w:ind w:left="720"/>
        <w:jc w:val="both"/>
      </w:pPr>
    </w:p>
    <w:p w14:paraId="06C685B0" w14:textId="0903671D" w:rsidR="001C683A" w:rsidRDefault="001C683A" w:rsidP="002913F5">
      <w:pPr>
        <w:pStyle w:val="ListParagraph"/>
        <w:numPr>
          <w:ilvl w:val="0"/>
          <w:numId w:val="0"/>
        </w:numPr>
        <w:ind w:left="720"/>
        <w:jc w:val="both"/>
      </w:pPr>
    </w:p>
    <w:p w14:paraId="62978386" w14:textId="77777777" w:rsidR="001C683A" w:rsidRDefault="001C683A" w:rsidP="002913F5">
      <w:pPr>
        <w:pStyle w:val="ListParagraph"/>
        <w:numPr>
          <w:ilvl w:val="0"/>
          <w:numId w:val="0"/>
        </w:numPr>
        <w:ind w:left="720"/>
        <w:jc w:val="both"/>
      </w:pPr>
    </w:p>
    <w:p w14:paraId="1B650FD7" w14:textId="13BC9E35" w:rsidR="00D92B1D" w:rsidRPr="00CD59DC" w:rsidRDefault="007A0325" w:rsidP="00BC3F28">
      <w:pPr>
        <w:pStyle w:val="ListParagraph"/>
        <w:numPr>
          <w:ilvl w:val="0"/>
          <w:numId w:val="17"/>
        </w:numPr>
        <w:jc w:val="both"/>
      </w:pPr>
      <w:r w:rsidRPr="00CD59DC">
        <w:t xml:space="preserve">detalii privind orice variantă de amplasament care a fost luată în considerare: </w:t>
      </w:r>
      <w:r w:rsidRPr="00CD59DC">
        <w:rPr>
          <w:b/>
          <w:bCs/>
        </w:rPr>
        <w:t>Nu este cazul</w:t>
      </w:r>
      <w:r w:rsidRPr="00CD59DC">
        <w:t xml:space="preserve"> </w:t>
      </w:r>
    </w:p>
    <w:p w14:paraId="0F1D7CB5" w14:textId="77777777" w:rsidR="00D92B1D" w:rsidRPr="00EB0CD8" w:rsidRDefault="007A0325" w:rsidP="00AD4AAE">
      <w:pPr>
        <w:ind w:left="708"/>
        <w:jc w:val="both"/>
        <w:rPr>
          <w:i/>
          <w:iCs/>
        </w:rPr>
      </w:pPr>
      <w:r w:rsidRPr="00EB0CD8">
        <w:rPr>
          <w:i/>
          <w:iCs/>
        </w:rPr>
        <w:t xml:space="preserve">VI. Descrierea tuturor efectelor semnificative posibile asupra mediului ale proiectului, în limita informațiilor disponibile: </w:t>
      </w:r>
    </w:p>
    <w:p w14:paraId="33A656A4" w14:textId="77777777" w:rsidR="0040088F" w:rsidRDefault="007A0325" w:rsidP="00BC3F28">
      <w:pPr>
        <w:pStyle w:val="ListParagraph"/>
        <w:numPr>
          <w:ilvl w:val="0"/>
          <w:numId w:val="18"/>
        </w:numPr>
        <w:jc w:val="both"/>
      </w:pPr>
      <w:r w:rsidRPr="00EB0CD8">
        <w:t>Surse de poluanți și instalații pentru reținerea, evacuarea și dispersia poluanților în mediu:</w:t>
      </w:r>
    </w:p>
    <w:p w14:paraId="110A73C0" w14:textId="23F0E216" w:rsidR="0040088F" w:rsidRDefault="007A0325" w:rsidP="00BC3F28">
      <w:pPr>
        <w:pStyle w:val="ListParagraph"/>
        <w:numPr>
          <w:ilvl w:val="1"/>
          <w:numId w:val="19"/>
        </w:numPr>
        <w:jc w:val="both"/>
      </w:pPr>
      <w:r w:rsidRPr="00EB0CD8">
        <w:t xml:space="preserve">protecția calității apelor: </w:t>
      </w:r>
    </w:p>
    <w:p w14:paraId="23965737" w14:textId="73799748" w:rsidR="00E70866" w:rsidRPr="005560E5" w:rsidRDefault="007A0325" w:rsidP="005560E5">
      <w:pPr>
        <w:pStyle w:val="ListParagraph"/>
        <w:numPr>
          <w:ilvl w:val="0"/>
          <w:numId w:val="17"/>
        </w:numPr>
        <w:jc w:val="both"/>
        <w:rPr>
          <w:rFonts w:eastAsiaTheme="minorEastAsia"/>
          <w:b/>
          <w:bCs/>
        </w:rPr>
      </w:pPr>
      <w:r w:rsidRPr="00EB0CD8">
        <w:t xml:space="preserve">sursele de poluanti pentru ape, locul de evacuare sau emisarul: </w:t>
      </w:r>
      <w:r w:rsidR="00E70866" w:rsidRPr="00E70866">
        <w:rPr>
          <w:rFonts w:eastAsiaTheme="minorEastAsia"/>
          <w:b/>
          <w:bCs/>
        </w:rPr>
        <w:t>Conform discutiilor purtate cu reprezentantii primariei oras Otopeni, precum si cei ai SC Veolia Romania Solutii Integrate SA, s-a stabilit ca in zona exista retea de alimentare cu apa, iar reteaua de canalizare este in curs de executie.</w:t>
      </w:r>
      <w:r w:rsidR="005560E5">
        <w:rPr>
          <w:rFonts w:eastAsiaTheme="minorEastAsia"/>
          <w:b/>
          <w:bCs/>
        </w:rPr>
        <w:t xml:space="preserve"> </w:t>
      </w:r>
      <w:r w:rsidR="00E70866" w:rsidRPr="005560E5">
        <w:rPr>
          <w:rFonts w:eastAsiaTheme="minorEastAsia"/>
          <w:b/>
          <w:bCs/>
        </w:rPr>
        <w:t>Pana la data obtinerii avizului SC Veolia Romania Solutii Intergrate SA beneficaul doara ca solutie de evacuare a apelor in canalul ANIF aflat in apropiere dar fara legatura directa. Avand in vedere ca amplasarea unei statii de epurare a apelor implica o suprafata mai mare de teren, si traversarea conductei de evacuare peste terenuri private iar functionarea acesteia era fluctuanta, s-a luat decizia renuntarii la „sistem propriu de evacuare a apelor uzate” si efectuarea racordarii la reteaua de canalizare a orasului Otopeni, retea aflata in executie.</w:t>
      </w:r>
    </w:p>
    <w:p w14:paraId="599C9213" w14:textId="171C0E45" w:rsidR="00E70866" w:rsidRPr="005560E5" w:rsidRDefault="00E70866" w:rsidP="005560E5">
      <w:pPr>
        <w:ind w:left="708"/>
        <w:jc w:val="both"/>
        <w:rPr>
          <w:rFonts w:eastAsiaTheme="minorEastAsia"/>
          <w:b/>
          <w:bCs/>
        </w:rPr>
      </w:pPr>
      <w:r w:rsidRPr="005560E5">
        <w:rPr>
          <w:rFonts w:eastAsiaTheme="minorEastAsia"/>
          <w:b/>
          <w:bCs/>
        </w:rPr>
        <w:t>Avand in vedere ca este posibil ca investitia sa se realizeze mai repede decat punerea in functiune a retelei de canalizare, s-a stabilit sa se faca un bazin betonat cu peretii si fundul impermeabilizati, ce va fi vindajat ori de cate ori va fi necesar.</w:t>
      </w:r>
    </w:p>
    <w:p w14:paraId="5138DFDB" w14:textId="2507DB8A" w:rsidR="0040088F" w:rsidRPr="00E70866" w:rsidRDefault="00E70866" w:rsidP="005560E5">
      <w:pPr>
        <w:pStyle w:val="ListParagraph"/>
        <w:numPr>
          <w:ilvl w:val="0"/>
          <w:numId w:val="0"/>
        </w:numPr>
        <w:ind w:left="720"/>
        <w:jc w:val="both"/>
        <w:rPr>
          <w:rFonts w:eastAsiaTheme="minorEastAsia"/>
          <w:b/>
          <w:bCs/>
          <w:highlight w:val="cyan"/>
        </w:rPr>
      </w:pPr>
      <w:r w:rsidRPr="00E70866">
        <w:rPr>
          <w:rFonts w:eastAsiaTheme="minorEastAsia"/>
          <w:b/>
          <w:bCs/>
        </w:rPr>
        <w:t xml:space="preserve">La punerea in functiune a retelei de canalizare, acesta va fi desfiintat iar evacuarea apelor uzate se va face </w:t>
      </w:r>
      <w:r>
        <w:rPr>
          <w:rFonts w:eastAsiaTheme="minorEastAsia"/>
          <w:b/>
          <w:bCs/>
        </w:rPr>
        <w:t>direct in reteaua de canalizare</w:t>
      </w:r>
      <w:r w:rsidRPr="00E70866">
        <w:rPr>
          <w:rFonts w:eastAsiaTheme="minorEastAsia"/>
          <w:b/>
          <w:bCs/>
        </w:rPr>
        <w:t>.</w:t>
      </w:r>
      <w:r w:rsidR="005560E5">
        <w:rPr>
          <w:rFonts w:eastAsiaTheme="minorEastAsia"/>
          <w:b/>
          <w:bCs/>
        </w:rPr>
        <w:t xml:space="preserve"> Astfel riscul de poluare a apelor este diminuat in primul rand prin impermeabilizarea bazinului vidanjabil cat si racordarea relativ imediata, la reteaua de canalizare aflata in curs de executie.</w:t>
      </w:r>
    </w:p>
    <w:p w14:paraId="32496E19" w14:textId="59999395" w:rsidR="00D92B1D" w:rsidRPr="00EB0CD8" w:rsidRDefault="0040088F" w:rsidP="00BC3F28">
      <w:pPr>
        <w:pStyle w:val="ListParagraph"/>
        <w:numPr>
          <w:ilvl w:val="0"/>
          <w:numId w:val="17"/>
        </w:numPr>
        <w:jc w:val="both"/>
      </w:pPr>
      <w:r>
        <w:lastRenderedPageBreak/>
        <w:t>s</w:t>
      </w:r>
      <w:r w:rsidR="007A0325" w:rsidRPr="00EB0CD8">
        <w:t xml:space="preserve">tatiile de instalatie de epurare sau de preepurare a apelor uzate prevazute: </w:t>
      </w:r>
      <w:r w:rsidR="005C147F">
        <w:rPr>
          <w:b/>
          <w:bCs/>
        </w:rPr>
        <w:t xml:space="preserve">S-a prevazut </w:t>
      </w:r>
      <w:r w:rsidR="00793D6C">
        <w:rPr>
          <w:b/>
          <w:bCs/>
        </w:rPr>
        <w:t xml:space="preserve">separator </w:t>
      </w:r>
      <w:r w:rsidR="005C147F">
        <w:rPr>
          <w:b/>
          <w:bCs/>
        </w:rPr>
        <w:t>de grasimi</w:t>
      </w:r>
      <w:r w:rsidR="00AD4AAE">
        <w:rPr>
          <w:b/>
          <w:bCs/>
        </w:rPr>
        <w:t>.</w:t>
      </w:r>
    </w:p>
    <w:p w14:paraId="08AE40CB" w14:textId="77777777" w:rsidR="0040088F" w:rsidRDefault="007A0325" w:rsidP="00BC3F28">
      <w:pPr>
        <w:pStyle w:val="ListParagraph"/>
        <w:numPr>
          <w:ilvl w:val="1"/>
          <w:numId w:val="19"/>
        </w:numPr>
        <w:jc w:val="both"/>
      </w:pPr>
      <w:r w:rsidRPr="00EB0CD8">
        <w:t>protecția aerului:</w:t>
      </w:r>
    </w:p>
    <w:p w14:paraId="1F638402" w14:textId="77777777" w:rsidR="0040088F" w:rsidRDefault="007A0325" w:rsidP="00BC3F28">
      <w:pPr>
        <w:pStyle w:val="ListParagraph"/>
        <w:numPr>
          <w:ilvl w:val="0"/>
          <w:numId w:val="17"/>
        </w:numPr>
        <w:jc w:val="both"/>
      </w:pPr>
      <w:r w:rsidRPr="00EB0CD8">
        <w:t>sursele de poluanți pentru aer, poluanți, inclusiv surse de mirosuri:</w:t>
      </w:r>
    </w:p>
    <w:p w14:paraId="0CD37478" w14:textId="77777777" w:rsidR="0040088F" w:rsidRPr="00AD4AAE" w:rsidRDefault="0040088F" w:rsidP="00BC3F28">
      <w:pPr>
        <w:pStyle w:val="ListParagraph"/>
        <w:numPr>
          <w:ilvl w:val="1"/>
          <w:numId w:val="17"/>
        </w:numPr>
        <w:jc w:val="both"/>
        <w:rPr>
          <w:b/>
        </w:rPr>
      </w:pPr>
      <w:r w:rsidRPr="00AD4AAE">
        <w:rPr>
          <w:rFonts w:eastAsiaTheme="minorEastAsia"/>
          <w:b/>
        </w:rPr>
        <w:t>Surse fixe de poluare: CO</w:t>
      </w:r>
      <w:r w:rsidRPr="00AD4AAE">
        <w:rPr>
          <w:rFonts w:eastAsiaTheme="minorEastAsia"/>
          <w:b/>
          <w:vertAlign w:val="subscript"/>
        </w:rPr>
        <w:t>2</w:t>
      </w:r>
      <w:r w:rsidRPr="00AD4AAE">
        <w:rPr>
          <w:rFonts w:eastAsiaTheme="minorEastAsia"/>
          <w:b/>
        </w:rPr>
        <w:t xml:space="preserve"> și vapori de apă de la centralele de climatizare și de la grupurile electrogene de avarie, de la bucătărie și de la ocupanții spațiilor de alimentație publică;</w:t>
      </w:r>
    </w:p>
    <w:p w14:paraId="46118B8D" w14:textId="425171C3" w:rsidR="00D92B1D" w:rsidRPr="00AD4AAE" w:rsidRDefault="0040088F" w:rsidP="00BC3F28">
      <w:pPr>
        <w:pStyle w:val="ListParagraph"/>
        <w:numPr>
          <w:ilvl w:val="1"/>
          <w:numId w:val="17"/>
        </w:numPr>
        <w:jc w:val="both"/>
        <w:rPr>
          <w:b/>
        </w:rPr>
      </w:pPr>
      <w:r w:rsidRPr="00AD4AAE">
        <w:rPr>
          <w:rFonts w:eastAsiaTheme="minorEastAsia"/>
          <w:b/>
        </w:rPr>
        <w:t>Surse mobile: autovehiculele pentru transportul materiilor prime și a produselor finite care deservesc unitatea și de la mijloacele de transport ale clienților (autoturisme);</w:t>
      </w:r>
    </w:p>
    <w:p w14:paraId="3EBBF8F6" w14:textId="77777777" w:rsidR="0040088F" w:rsidRPr="0040088F" w:rsidRDefault="007A0325" w:rsidP="00BC3F28">
      <w:pPr>
        <w:pStyle w:val="ListParagraph"/>
        <w:numPr>
          <w:ilvl w:val="0"/>
          <w:numId w:val="17"/>
        </w:numPr>
        <w:jc w:val="both"/>
        <w:rPr>
          <w:rFonts w:eastAsiaTheme="minorEastAsia"/>
          <w:b/>
          <w:bCs/>
        </w:rPr>
      </w:pPr>
      <w:r w:rsidRPr="00EB0CD8">
        <w:t xml:space="preserve">instalațiile pentru reținerea și dispersia poluanților în atmosferă: </w:t>
      </w:r>
      <w:r w:rsidR="0040088F" w:rsidRPr="0040088F">
        <w:rPr>
          <w:rFonts w:eastAsiaTheme="minorEastAsia"/>
          <w:b/>
          <w:bCs/>
        </w:rPr>
        <w:t>Pentru limitarea emisiilor în atomsferă a poluanților aerului se recomandă a se monta filtre pe coșurile de evacuare a gazelor emise de utilajele bucătăriei, iar pentru autovehicule se recomandă ca în perioada de staționare să fie oprită funcționarea motorului.</w:t>
      </w:r>
    </w:p>
    <w:p w14:paraId="59AF84E7" w14:textId="77777777" w:rsidR="0040088F" w:rsidRPr="0040088F" w:rsidRDefault="007A0325" w:rsidP="00BC3F28">
      <w:pPr>
        <w:pStyle w:val="ListParagraph"/>
        <w:numPr>
          <w:ilvl w:val="1"/>
          <w:numId w:val="19"/>
        </w:numPr>
        <w:jc w:val="both"/>
      </w:pPr>
      <w:r w:rsidRPr="00EB0CD8">
        <w:t>protecția împotriva zgomotului și vibrațiilor</w:t>
      </w:r>
      <w:r w:rsidR="0040088F">
        <w:rPr>
          <w:lang w:val="en-US"/>
        </w:rPr>
        <w:t>:</w:t>
      </w:r>
    </w:p>
    <w:p w14:paraId="34474D16" w14:textId="6EF63881" w:rsidR="00D92B1D" w:rsidRDefault="007A0325" w:rsidP="00BC3F28">
      <w:pPr>
        <w:pStyle w:val="ListParagraph"/>
        <w:numPr>
          <w:ilvl w:val="0"/>
          <w:numId w:val="17"/>
        </w:numPr>
        <w:jc w:val="both"/>
        <w:rPr>
          <w:rFonts w:eastAsiaTheme="minorEastAsia"/>
          <w:b/>
          <w:bCs/>
        </w:rPr>
      </w:pPr>
      <w:r w:rsidRPr="00EB0CD8">
        <w:t xml:space="preserve">sursele de zgomot și de vibrații: </w:t>
      </w:r>
      <w:r w:rsidR="0040088F" w:rsidRPr="0040088F">
        <w:rPr>
          <w:rFonts w:eastAsiaTheme="minorEastAsia"/>
          <w:b/>
          <w:bCs/>
        </w:rPr>
        <w:t>Zgomotul poate fi generat de sursele existente pe amplasament, însă se manifestă intermitent, respectiv pe durata activității care îl generează. Nivelul de agomot exterior nu este semnificativ, datorită măsurilor de control întreprinse pe amplasament și a valorii reduse a zgomotului de fond.</w:t>
      </w:r>
    </w:p>
    <w:p w14:paraId="2E6515C4" w14:textId="3FF121CC" w:rsidR="00D92B1D" w:rsidRPr="00EB0CD8" w:rsidRDefault="007A0325" w:rsidP="00BC3F28">
      <w:pPr>
        <w:pStyle w:val="ListParagraph"/>
        <w:numPr>
          <w:ilvl w:val="0"/>
          <w:numId w:val="17"/>
        </w:numPr>
        <w:jc w:val="both"/>
      </w:pPr>
      <w:r w:rsidRPr="00EB0CD8">
        <w:t xml:space="preserve">amenajările și dotările pentru protecția împotriva zgomotului și vibrațiilor: </w:t>
      </w:r>
      <w:r w:rsidR="0040088F" w:rsidRPr="0040088F">
        <w:rPr>
          <w:rFonts w:eastAsiaTheme="minorEastAsia"/>
          <w:b/>
          <w:bCs/>
        </w:rPr>
        <w:t>Nu se vor realiza dotări speciale împotriva zgomotului, întrucât se vor păstra limitele admise.</w:t>
      </w:r>
      <w:r w:rsidRPr="00EB0CD8">
        <w:t xml:space="preserve"> </w:t>
      </w:r>
    </w:p>
    <w:p w14:paraId="336A7E2E" w14:textId="77777777" w:rsidR="0040088F" w:rsidRDefault="007A0325" w:rsidP="00BC3F28">
      <w:pPr>
        <w:pStyle w:val="ListParagraph"/>
        <w:numPr>
          <w:ilvl w:val="1"/>
          <w:numId w:val="19"/>
        </w:numPr>
        <w:jc w:val="both"/>
      </w:pPr>
      <w:r w:rsidRPr="00EB0CD8">
        <w:t>protecția împotriva radiațiilor:</w:t>
      </w:r>
    </w:p>
    <w:p w14:paraId="6FDF95CE" w14:textId="77777777" w:rsidR="0040088F" w:rsidRPr="0040088F" w:rsidRDefault="007A0325" w:rsidP="00BC3F28">
      <w:pPr>
        <w:pStyle w:val="ListParagraph"/>
        <w:numPr>
          <w:ilvl w:val="0"/>
          <w:numId w:val="17"/>
        </w:numPr>
        <w:jc w:val="both"/>
      </w:pPr>
      <w:r w:rsidRPr="00EB0CD8">
        <w:t xml:space="preserve">sursele de radiații: </w:t>
      </w:r>
      <w:r w:rsidRPr="0040088F">
        <w:rPr>
          <w:b/>
          <w:bCs/>
        </w:rPr>
        <w:t>Nu este cazul</w:t>
      </w:r>
    </w:p>
    <w:p w14:paraId="759FF657" w14:textId="0B69A237" w:rsidR="00D92B1D" w:rsidRPr="00EB0CD8" w:rsidRDefault="007A0325" w:rsidP="00BC3F28">
      <w:pPr>
        <w:pStyle w:val="ListParagraph"/>
        <w:numPr>
          <w:ilvl w:val="0"/>
          <w:numId w:val="17"/>
        </w:numPr>
        <w:jc w:val="both"/>
      </w:pPr>
      <w:r w:rsidRPr="00EB0CD8">
        <w:t xml:space="preserve">amenajările și dotările pentru protecția împotriva radiațiilor: </w:t>
      </w:r>
      <w:r w:rsidRPr="0040088F">
        <w:rPr>
          <w:b/>
          <w:bCs/>
        </w:rPr>
        <w:t>Nu este cazul</w:t>
      </w:r>
      <w:r w:rsidRPr="00EB0CD8">
        <w:t xml:space="preserve"> </w:t>
      </w:r>
    </w:p>
    <w:p w14:paraId="14BA553B" w14:textId="557CEFB0" w:rsidR="00D92B1D" w:rsidRPr="00EB0CD8" w:rsidRDefault="007A0325" w:rsidP="00BC3F28">
      <w:pPr>
        <w:pStyle w:val="ListParagraph"/>
        <w:numPr>
          <w:ilvl w:val="1"/>
          <w:numId w:val="19"/>
        </w:numPr>
        <w:jc w:val="both"/>
      </w:pPr>
      <w:r w:rsidRPr="00EB0CD8">
        <w:t xml:space="preserve">protecția solului și a subsolului: </w:t>
      </w:r>
    </w:p>
    <w:p w14:paraId="53B89760" w14:textId="47CA184D" w:rsidR="0040088F" w:rsidRDefault="007A0325" w:rsidP="00BC3F28">
      <w:pPr>
        <w:pStyle w:val="ListParagraph"/>
        <w:numPr>
          <w:ilvl w:val="0"/>
          <w:numId w:val="17"/>
        </w:numPr>
        <w:jc w:val="both"/>
      </w:pPr>
      <w:r w:rsidRPr="00EB0CD8">
        <w:t xml:space="preserve">sursele de poluanți pentru sol, subsol, ape freatice și de adâncime: </w:t>
      </w:r>
      <w:r w:rsidR="0040088F" w:rsidRPr="0040088F">
        <w:rPr>
          <w:rFonts w:eastAsiaTheme="minorEastAsia"/>
          <w:b/>
          <w:bCs/>
        </w:rPr>
        <w:t xml:space="preserve">Construcțiile hidroedilitare, </w:t>
      </w:r>
      <w:r w:rsidR="00261BEC">
        <w:rPr>
          <w:rFonts w:eastAsiaTheme="minorEastAsia"/>
          <w:b/>
          <w:bCs/>
        </w:rPr>
        <w:t>bazinul vidanjabil</w:t>
      </w:r>
      <w:r w:rsidR="0040088F" w:rsidRPr="0040088F">
        <w:rPr>
          <w:rFonts w:eastAsiaTheme="minorEastAsia"/>
          <w:b/>
          <w:bCs/>
        </w:rPr>
        <w:t xml:space="preserve"> sunt deja executate cu materiale specifice hidorfuge, eliminând posibilitatea de contaminare a solului.</w:t>
      </w:r>
      <w:r w:rsidRPr="00EB0CD8">
        <w:t xml:space="preserve"> </w:t>
      </w:r>
    </w:p>
    <w:p w14:paraId="04C85507" w14:textId="1492D2A4" w:rsidR="0040088F" w:rsidRPr="0040088F" w:rsidRDefault="007A0325" w:rsidP="00BC3F28">
      <w:pPr>
        <w:pStyle w:val="ListParagraph"/>
        <w:numPr>
          <w:ilvl w:val="0"/>
          <w:numId w:val="17"/>
        </w:numPr>
        <w:jc w:val="both"/>
        <w:rPr>
          <w:rFonts w:eastAsiaTheme="minorEastAsia"/>
          <w:b/>
          <w:bCs/>
        </w:rPr>
      </w:pPr>
      <w:r w:rsidRPr="00EB0CD8">
        <w:t xml:space="preserve">lucrările și dotările pentru protecția solului și a subsolului: </w:t>
      </w:r>
      <w:r w:rsidR="0040088F" w:rsidRPr="0040088F">
        <w:rPr>
          <w:rFonts w:eastAsiaTheme="minorEastAsia"/>
          <w:b/>
          <w:bCs/>
        </w:rPr>
        <w:t>Construcția va dispune de containere (europubele) pentru colectarea temporară a deșeurilor menajere și asimilabile, în vederea eliminării lor finale la groapa de gunoi. Pardoselile din spațiile de producție (bucătărie, anexe) și din spațiile tehnice vor fi executate având un grad ridicat de im</w:t>
      </w:r>
      <w:r w:rsidR="00AD4AAE">
        <w:rPr>
          <w:rFonts w:eastAsiaTheme="minorEastAsia"/>
          <w:b/>
          <w:bCs/>
        </w:rPr>
        <w:t>p</w:t>
      </w:r>
      <w:r w:rsidR="0040088F" w:rsidRPr="0040088F">
        <w:rPr>
          <w:rFonts w:eastAsiaTheme="minorEastAsia"/>
          <w:b/>
          <w:bCs/>
        </w:rPr>
        <w:t xml:space="preserve">ermeabilitate, iar exteriorul fundației și pereții laterali sunt </w:t>
      </w:r>
      <w:r w:rsidR="0040088F" w:rsidRPr="00AD4AAE">
        <w:rPr>
          <w:rFonts w:eastAsiaTheme="minorEastAsia"/>
          <w:b/>
          <w:bCs/>
        </w:rPr>
        <w:t>prevăzuți cu izolații hidrofuge</w:t>
      </w:r>
      <w:r w:rsidR="0040088F" w:rsidRPr="0040088F">
        <w:rPr>
          <w:rFonts w:eastAsiaTheme="minorEastAsia"/>
          <w:b/>
          <w:bCs/>
        </w:rPr>
        <w:t xml:space="preserve"> din material bituminos. Prin aceste lucrări se elimină pericolul eventualelor infiltrări al apelor infestate în sol.</w:t>
      </w:r>
    </w:p>
    <w:p w14:paraId="5EE0B23F" w14:textId="04E489BC" w:rsidR="00D92B1D" w:rsidRPr="00EB0CD8" w:rsidRDefault="007A0325" w:rsidP="00BC3F28">
      <w:pPr>
        <w:pStyle w:val="ListParagraph"/>
        <w:numPr>
          <w:ilvl w:val="1"/>
          <w:numId w:val="19"/>
        </w:numPr>
        <w:jc w:val="both"/>
      </w:pPr>
      <w:r w:rsidRPr="00EB0CD8">
        <w:t>protecția ecosistemelor terestre și acvatice:</w:t>
      </w:r>
    </w:p>
    <w:p w14:paraId="6971001A" w14:textId="62353A87" w:rsidR="0040088F" w:rsidRPr="0040088F" w:rsidRDefault="0040088F" w:rsidP="00BC3F28">
      <w:pPr>
        <w:pStyle w:val="ListParagraph"/>
        <w:numPr>
          <w:ilvl w:val="0"/>
          <w:numId w:val="17"/>
        </w:numPr>
        <w:jc w:val="both"/>
      </w:pPr>
      <w:r>
        <w:t>i</w:t>
      </w:r>
      <w:r w:rsidR="007A0325" w:rsidRPr="00EB0CD8">
        <w:t xml:space="preserve">dentificarea arealelor sensibile ce pot fi afectate de proiect: </w:t>
      </w:r>
      <w:r w:rsidR="007A0325" w:rsidRPr="0040088F">
        <w:rPr>
          <w:b/>
          <w:bCs/>
        </w:rPr>
        <w:t>Nu este cazul</w:t>
      </w:r>
    </w:p>
    <w:p w14:paraId="736C1A36" w14:textId="1EF99FB7" w:rsidR="00D92B1D" w:rsidRPr="00EB0CD8" w:rsidRDefault="007A0325" w:rsidP="00BC3F28">
      <w:pPr>
        <w:pStyle w:val="ListParagraph"/>
        <w:numPr>
          <w:ilvl w:val="0"/>
          <w:numId w:val="17"/>
        </w:numPr>
        <w:jc w:val="both"/>
      </w:pPr>
      <w:r w:rsidRPr="00EB0CD8">
        <w:lastRenderedPageBreak/>
        <w:t xml:space="preserve">lucrările, dotările și măsurile pentru protecția biodiversității, monumentelor naturii și ariilor protejate: </w:t>
      </w:r>
      <w:r w:rsidRPr="0040088F">
        <w:rPr>
          <w:b/>
          <w:bCs/>
        </w:rPr>
        <w:t>Nu este cazul</w:t>
      </w:r>
      <w:r w:rsidRPr="00EB0CD8">
        <w:t xml:space="preserve"> </w:t>
      </w:r>
    </w:p>
    <w:p w14:paraId="6D1538E9" w14:textId="53BB1A6B" w:rsidR="0040088F" w:rsidRDefault="007A0325" w:rsidP="00BC3F28">
      <w:pPr>
        <w:pStyle w:val="ListParagraph"/>
        <w:numPr>
          <w:ilvl w:val="1"/>
          <w:numId w:val="19"/>
        </w:numPr>
        <w:jc w:val="both"/>
      </w:pPr>
      <w:r w:rsidRPr="00EB0CD8">
        <w:t>protecția așezărilor umane și a altor obiective de interes public:</w:t>
      </w:r>
    </w:p>
    <w:p w14:paraId="6C47173D" w14:textId="5E2D22E7" w:rsidR="0040660D" w:rsidRPr="0040660D" w:rsidRDefault="007A0325" w:rsidP="00BC3F28">
      <w:pPr>
        <w:pStyle w:val="ListParagraph"/>
        <w:numPr>
          <w:ilvl w:val="0"/>
          <w:numId w:val="17"/>
        </w:numPr>
        <w:jc w:val="both"/>
      </w:pPr>
      <w:r w:rsidRPr="00EB0CD8">
        <w:t xml:space="preserve">identificarea obiectivelor de interes public, distanța față de așezările umane, respectiv față de monumente istorice și de arhitectură, alte zone asupra cărora există instituit un regim de restricție, zone de interes tradițional și altele: </w:t>
      </w:r>
      <w:r w:rsidRPr="0040660D">
        <w:rPr>
          <w:b/>
          <w:bCs/>
        </w:rPr>
        <w:t xml:space="preserve">Cladirea cea mai apropiata de </w:t>
      </w:r>
      <w:r w:rsidR="0040660D" w:rsidRPr="0040660D">
        <w:rPr>
          <w:b/>
          <w:bCs/>
        </w:rPr>
        <w:t>const</w:t>
      </w:r>
      <w:r w:rsidR="00AD4AAE">
        <w:rPr>
          <w:b/>
          <w:bCs/>
        </w:rPr>
        <w:t xml:space="preserve">rucția propusă este la cca. 7.56 </w:t>
      </w:r>
      <w:r w:rsidR="0040660D" w:rsidRPr="0040660D">
        <w:rPr>
          <w:b/>
          <w:bCs/>
        </w:rPr>
        <w:t>m</w:t>
      </w:r>
      <w:r w:rsidRPr="0040660D">
        <w:rPr>
          <w:b/>
          <w:bCs/>
        </w:rPr>
        <w:t>.</w:t>
      </w:r>
    </w:p>
    <w:p w14:paraId="65ABAD8E" w14:textId="79AC9117" w:rsidR="00D92B1D" w:rsidRPr="00EB0CD8" w:rsidRDefault="007A0325" w:rsidP="00BC3F28">
      <w:pPr>
        <w:pStyle w:val="ListParagraph"/>
        <w:numPr>
          <w:ilvl w:val="0"/>
          <w:numId w:val="17"/>
        </w:numPr>
        <w:jc w:val="both"/>
      </w:pPr>
      <w:r w:rsidRPr="00EB0CD8">
        <w:t xml:space="preserve">lucrările, dotările și măsurile pentru protecția așezărilor umane și a obiectivelor protejate și/sau de interes public: </w:t>
      </w:r>
      <w:r w:rsidRPr="0040660D">
        <w:rPr>
          <w:b/>
          <w:bCs/>
        </w:rPr>
        <w:t>Nu este cazul</w:t>
      </w:r>
      <w:r w:rsidRPr="00EB0CD8">
        <w:t xml:space="preserve"> </w:t>
      </w:r>
    </w:p>
    <w:p w14:paraId="20FD7744" w14:textId="77777777" w:rsidR="0040660D" w:rsidRDefault="007A0325" w:rsidP="00BC3F28">
      <w:pPr>
        <w:pStyle w:val="ListParagraph"/>
        <w:numPr>
          <w:ilvl w:val="1"/>
          <w:numId w:val="19"/>
        </w:numPr>
        <w:jc w:val="both"/>
      </w:pPr>
      <w:r w:rsidRPr="00EB0CD8">
        <w:t>prevenirea și gestionarea deșeurilor generate pe amplasament în timpul realizării proiectului/în timpul exploatării, inclusiv eliminarea:</w:t>
      </w:r>
    </w:p>
    <w:p w14:paraId="42C63535" w14:textId="77777777" w:rsidR="0040660D" w:rsidRPr="00CD59DC" w:rsidRDefault="007A0325" w:rsidP="00BC3F28">
      <w:pPr>
        <w:pStyle w:val="ListParagraph"/>
        <w:numPr>
          <w:ilvl w:val="0"/>
          <w:numId w:val="17"/>
        </w:numPr>
        <w:jc w:val="both"/>
      </w:pPr>
      <w:r w:rsidRPr="00EB0CD8">
        <w:t xml:space="preserve">lista </w:t>
      </w:r>
      <w:r w:rsidRPr="00CD59DC">
        <w:t xml:space="preserve">deșeurilor (clasificate și codificate în conformitate cu prevederile legislației europene și naționale privind deșeurile), cantități de deșeuri generate: </w:t>
      </w:r>
      <w:r w:rsidRPr="00CD59DC">
        <w:rPr>
          <w:b/>
          <w:bCs/>
        </w:rPr>
        <w:t>Nu este cazul</w:t>
      </w:r>
    </w:p>
    <w:p w14:paraId="118D957E" w14:textId="77777777" w:rsidR="0040660D" w:rsidRPr="00CD59DC" w:rsidRDefault="007A0325" w:rsidP="00BC3F28">
      <w:pPr>
        <w:pStyle w:val="ListParagraph"/>
        <w:numPr>
          <w:ilvl w:val="0"/>
          <w:numId w:val="17"/>
        </w:numPr>
        <w:jc w:val="both"/>
      </w:pPr>
      <w:r w:rsidRPr="00CD59DC">
        <w:t xml:space="preserve">programul de prevenire și reducere a cantităților de deșeuri generate: </w:t>
      </w:r>
      <w:r w:rsidRPr="00CD59DC">
        <w:rPr>
          <w:b/>
          <w:bCs/>
        </w:rPr>
        <w:t>Nu este cazul</w:t>
      </w:r>
      <w:r w:rsidRPr="00CD59DC">
        <w:t xml:space="preserve"> </w:t>
      </w:r>
    </w:p>
    <w:p w14:paraId="65C98DBC" w14:textId="77777777" w:rsidR="0040660D" w:rsidRPr="00CD59DC" w:rsidRDefault="007A0325" w:rsidP="00BC3F28">
      <w:pPr>
        <w:pStyle w:val="ListParagraph"/>
        <w:numPr>
          <w:ilvl w:val="0"/>
          <w:numId w:val="17"/>
        </w:numPr>
        <w:jc w:val="both"/>
      </w:pPr>
      <w:r w:rsidRPr="00CD59DC">
        <w:t>planul de gestionare a deșeurilor:</w:t>
      </w:r>
    </w:p>
    <w:p w14:paraId="06E34868" w14:textId="77777777" w:rsidR="0040660D" w:rsidRPr="00CD59DC" w:rsidRDefault="0040660D" w:rsidP="00EC163D">
      <w:pPr>
        <w:ind w:left="360"/>
        <w:jc w:val="both"/>
        <w:rPr>
          <w:rFonts w:eastAsiaTheme="minorEastAsia"/>
          <w:b/>
          <w:bCs/>
        </w:rPr>
      </w:pPr>
      <w:r w:rsidRPr="00CD59DC">
        <w:rPr>
          <w:rFonts w:eastAsiaTheme="minorEastAsia"/>
          <w:b/>
          <w:bCs/>
        </w:rPr>
        <w:t>Pentru realizarea eficientă și organizarea optimă a colectării și transportului deșeurilor și materialelor reciclabile se va avea în vedere alegerea unui sistem adecvat de colectare. Se recomandă colectarea de tip selectiv, în recipiente speciale alese în funcție de tipurile și cantitățile de deșeuri generate.</w:t>
      </w:r>
    </w:p>
    <w:p w14:paraId="241D93BC" w14:textId="77777777" w:rsidR="0040660D" w:rsidRPr="00CD59DC" w:rsidRDefault="0040660D" w:rsidP="00EC163D">
      <w:pPr>
        <w:ind w:left="360"/>
        <w:jc w:val="both"/>
        <w:rPr>
          <w:rFonts w:eastAsiaTheme="minorEastAsia"/>
          <w:b/>
          <w:bCs/>
        </w:rPr>
      </w:pPr>
      <w:r w:rsidRPr="00CD59DC">
        <w:rPr>
          <w:rFonts w:eastAsiaTheme="minorEastAsia"/>
          <w:b/>
          <w:bCs/>
        </w:rPr>
        <w:t>Conform legii Nr. 211/2011 privind regimul deșeurilor, cele menajere vor fi depozitate controlat, în locuri bine stabilite și amenajate corespunzător prevederilor în vigoare și a unei colectări în pubele destinate fiecărui tip de deșeu în parte. Pentru evidențierea acestei colectări se vor alege pubele de culori diferite și inscriptionate conform tipului de deșeu pe care îl conține.</w:t>
      </w:r>
    </w:p>
    <w:p w14:paraId="7764C548" w14:textId="3C044C4D" w:rsidR="0040660D" w:rsidRPr="00CD59DC" w:rsidRDefault="0040660D" w:rsidP="00EC163D">
      <w:pPr>
        <w:ind w:left="360"/>
        <w:jc w:val="both"/>
        <w:rPr>
          <w:rFonts w:eastAsiaTheme="minorEastAsia"/>
          <w:b/>
          <w:bCs/>
        </w:rPr>
      </w:pPr>
      <w:r w:rsidRPr="00CD59DC">
        <w:rPr>
          <w:rFonts w:eastAsiaTheme="minorEastAsia"/>
          <w:b/>
          <w:bCs/>
        </w:rPr>
        <w:t>Deșeurile menajere vor fi preluate de către societatea de salubritate contractată in acest scop. Totodată, deșeurile menajere și cele asimilate cu acestea sunt depozitate în recipienți specializați în acest scop, EUROPUBELE, acestea la rândul lor fiind depozitate într-un spațiu special amenajat</w:t>
      </w:r>
      <w:r w:rsidR="00AD4AAE" w:rsidRPr="00CD59DC">
        <w:rPr>
          <w:rFonts w:eastAsiaTheme="minorEastAsia"/>
          <w:b/>
          <w:bCs/>
        </w:rPr>
        <w:t xml:space="preserve"> (</w:t>
      </w:r>
      <w:r w:rsidRPr="00CD59DC">
        <w:rPr>
          <w:rFonts w:eastAsiaTheme="minorEastAsia"/>
          <w:b/>
          <w:bCs/>
        </w:rPr>
        <w:t xml:space="preserve">de unde vor fi preluate periodic de către unitatea de salubrizare. </w:t>
      </w:r>
    </w:p>
    <w:p w14:paraId="53574100" w14:textId="6B0D46DF" w:rsidR="0040660D" w:rsidRPr="0040660D" w:rsidRDefault="0040660D" w:rsidP="00EC163D">
      <w:pPr>
        <w:ind w:left="360"/>
        <w:jc w:val="both"/>
        <w:rPr>
          <w:rFonts w:eastAsiaTheme="minorEastAsia"/>
          <w:b/>
          <w:bCs/>
        </w:rPr>
      </w:pPr>
      <w:r w:rsidRPr="00CD59DC">
        <w:rPr>
          <w:rFonts w:eastAsiaTheme="minorEastAsia"/>
          <w:b/>
          <w:bCs/>
        </w:rPr>
        <w:t>Deșeurile refolosibile (ambalaje de hârtie sau carton, ambalaje de lemn, ambalaje metalice, ambalaje din sticlă) se vor colecta separat și se vor valorifica prin centrele de recuperare a materialelor refolosibile.</w:t>
      </w:r>
    </w:p>
    <w:p w14:paraId="7C6A43A4" w14:textId="77777777" w:rsidR="0040660D" w:rsidRDefault="0040660D" w:rsidP="0040660D">
      <w:pPr>
        <w:jc w:val="both"/>
      </w:pPr>
    </w:p>
    <w:p w14:paraId="7D6C4B16" w14:textId="77777777" w:rsidR="0040660D" w:rsidRDefault="007A0325" w:rsidP="00BC3F28">
      <w:pPr>
        <w:pStyle w:val="ListParagraph"/>
        <w:numPr>
          <w:ilvl w:val="1"/>
          <w:numId w:val="19"/>
        </w:numPr>
        <w:jc w:val="both"/>
      </w:pPr>
      <w:r w:rsidRPr="00EB0CD8">
        <w:t xml:space="preserve"> gospodărirea substanțelor și preparatelor chimice periculoase:</w:t>
      </w:r>
    </w:p>
    <w:p w14:paraId="51803C35" w14:textId="7E2A434D" w:rsidR="00D92B1D" w:rsidRPr="00EB0CD8" w:rsidRDefault="007A0325" w:rsidP="00BC3F28">
      <w:pPr>
        <w:pStyle w:val="ListParagraph"/>
        <w:numPr>
          <w:ilvl w:val="0"/>
          <w:numId w:val="17"/>
        </w:numPr>
        <w:jc w:val="both"/>
      </w:pPr>
      <w:r w:rsidRPr="00EB0CD8">
        <w:t xml:space="preserve">substanțele și preparatele chimice periculoase utilizate și/sau produse: </w:t>
      </w:r>
      <w:r w:rsidRPr="00EB0CD8">
        <w:rPr>
          <w:b/>
          <w:bCs/>
        </w:rPr>
        <w:t>Nu este cazul</w:t>
      </w:r>
    </w:p>
    <w:p w14:paraId="3F929FEF" w14:textId="77777777" w:rsidR="00D92B1D" w:rsidRPr="00EB0CD8" w:rsidRDefault="007A0325" w:rsidP="00AD4AAE">
      <w:pPr>
        <w:ind w:left="360"/>
        <w:jc w:val="both"/>
        <w:rPr>
          <w:i/>
          <w:iCs/>
        </w:rPr>
      </w:pPr>
      <w:r w:rsidRPr="00EB0CD8">
        <w:rPr>
          <w:i/>
          <w:iCs/>
        </w:rPr>
        <w:t xml:space="preserve">B. Utilizarea resurselor naturale, în special a solului, a terenurilor, a apei și a biodiversității. </w:t>
      </w:r>
    </w:p>
    <w:p w14:paraId="770E7621" w14:textId="77777777" w:rsidR="00D92B1D" w:rsidRPr="00EB0CD8" w:rsidRDefault="007A0325" w:rsidP="00AD4AAE">
      <w:pPr>
        <w:ind w:left="360"/>
        <w:jc w:val="both"/>
        <w:rPr>
          <w:i/>
          <w:iCs/>
        </w:rPr>
      </w:pPr>
      <w:r w:rsidRPr="00EB0CD8">
        <w:rPr>
          <w:i/>
          <w:iCs/>
        </w:rPr>
        <w:t xml:space="preserve">VII. Descrierea aspectelor de mediu susceptibile a fi afectate în mod semnificativ de proiect: </w:t>
      </w:r>
    </w:p>
    <w:p w14:paraId="00D6B5D2" w14:textId="7D4DC184" w:rsidR="00D92B1D" w:rsidRPr="00EB0CD8" w:rsidRDefault="007A0325" w:rsidP="00BC3F28">
      <w:pPr>
        <w:pStyle w:val="ListParagraph"/>
        <w:numPr>
          <w:ilvl w:val="0"/>
          <w:numId w:val="17"/>
        </w:numPr>
        <w:jc w:val="both"/>
      </w:pPr>
      <w:r w:rsidRPr="00EB0CD8">
        <w:lastRenderedPageBreak/>
        <w:t xml:space="preserve">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 </w:t>
      </w:r>
      <w:r w:rsidRPr="00EB0CD8">
        <w:rPr>
          <w:b/>
          <w:bCs/>
        </w:rPr>
        <w:t xml:space="preserve">Impactul asupra mediului este minim </w:t>
      </w:r>
    </w:p>
    <w:p w14:paraId="72535214" w14:textId="77777777" w:rsidR="0040660D" w:rsidRPr="0040660D" w:rsidRDefault="007A0325" w:rsidP="00BC3F28">
      <w:pPr>
        <w:pStyle w:val="ListParagraph"/>
        <w:numPr>
          <w:ilvl w:val="0"/>
          <w:numId w:val="17"/>
        </w:numPr>
        <w:jc w:val="both"/>
      </w:pPr>
      <w:r w:rsidRPr="00EB0CD8">
        <w:t xml:space="preserve">extinderea impactului (zona geografică, numărul populației/habitatelor/speciilor afectate): </w:t>
      </w:r>
      <w:r w:rsidRPr="0040660D">
        <w:rPr>
          <w:b/>
          <w:bCs/>
        </w:rPr>
        <w:t>Nu este cazu</w:t>
      </w:r>
      <w:r w:rsidR="0040660D">
        <w:rPr>
          <w:b/>
          <w:bCs/>
        </w:rPr>
        <w:t>l</w:t>
      </w:r>
    </w:p>
    <w:p w14:paraId="545DF0DC" w14:textId="77777777" w:rsidR="0040660D" w:rsidRPr="0040660D" w:rsidRDefault="007A0325" w:rsidP="00BC3F28">
      <w:pPr>
        <w:pStyle w:val="ListParagraph"/>
        <w:numPr>
          <w:ilvl w:val="0"/>
          <w:numId w:val="17"/>
        </w:numPr>
        <w:jc w:val="both"/>
      </w:pPr>
      <w:r w:rsidRPr="00EB0CD8">
        <w:t xml:space="preserve">magnitudinea și complexitatea impactului: </w:t>
      </w:r>
      <w:r w:rsidRPr="0040660D">
        <w:rPr>
          <w:b/>
          <w:bCs/>
        </w:rPr>
        <w:t>Nu este cazul</w:t>
      </w:r>
    </w:p>
    <w:p w14:paraId="6A269E27" w14:textId="77777777" w:rsidR="0040660D" w:rsidRPr="0040660D" w:rsidRDefault="007A0325" w:rsidP="00BC3F28">
      <w:pPr>
        <w:pStyle w:val="ListParagraph"/>
        <w:numPr>
          <w:ilvl w:val="0"/>
          <w:numId w:val="17"/>
        </w:numPr>
        <w:jc w:val="both"/>
      </w:pPr>
      <w:r w:rsidRPr="00EB0CD8">
        <w:t xml:space="preserve">probabilitatea impactului: </w:t>
      </w:r>
      <w:r w:rsidRPr="0040660D">
        <w:rPr>
          <w:b/>
          <w:bCs/>
        </w:rPr>
        <w:t>Nu este cazul</w:t>
      </w:r>
    </w:p>
    <w:p w14:paraId="2F92C5A5" w14:textId="77777777" w:rsidR="0040660D" w:rsidRPr="0040660D" w:rsidRDefault="007A0325" w:rsidP="00BC3F28">
      <w:pPr>
        <w:pStyle w:val="ListParagraph"/>
        <w:numPr>
          <w:ilvl w:val="0"/>
          <w:numId w:val="17"/>
        </w:numPr>
        <w:jc w:val="both"/>
      </w:pPr>
      <w:r w:rsidRPr="00EB0CD8">
        <w:t xml:space="preserve">durata, frecvența și reversibilitatea impactului: </w:t>
      </w:r>
      <w:r w:rsidRPr="0040660D">
        <w:rPr>
          <w:b/>
          <w:bCs/>
        </w:rPr>
        <w:t>Nu este cazul</w:t>
      </w:r>
    </w:p>
    <w:p w14:paraId="13983FB4" w14:textId="77777777" w:rsidR="0040660D" w:rsidRPr="0040660D" w:rsidRDefault="007A0325" w:rsidP="00BC3F28">
      <w:pPr>
        <w:pStyle w:val="ListParagraph"/>
        <w:numPr>
          <w:ilvl w:val="0"/>
          <w:numId w:val="17"/>
        </w:numPr>
        <w:jc w:val="both"/>
      </w:pPr>
      <w:r w:rsidRPr="00EB0CD8">
        <w:t xml:space="preserve">măsurile de evitare, reducere sau ameliorare a impactului semnificativ asupra mediului: </w:t>
      </w:r>
      <w:r w:rsidRPr="0040660D">
        <w:rPr>
          <w:b/>
          <w:bCs/>
        </w:rPr>
        <w:t>Nu este cazul</w:t>
      </w:r>
    </w:p>
    <w:p w14:paraId="03E70877" w14:textId="564AEDF9" w:rsidR="00D92B1D" w:rsidRPr="00EB0CD8" w:rsidRDefault="007A0325" w:rsidP="00BC3F28">
      <w:pPr>
        <w:pStyle w:val="ListParagraph"/>
        <w:numPr>
          <w:ilvl w:val="0"/>
          <w:numId w:val="17"/>
        </w:numPr>
        <w:jc w:val="both"/>
      </w:pPr>
      <w:r w:rsidRPr="00EB0CD8">
        <w:t xml:space="preserve">natura transfrontalieră a impactului: </w:t>
      </w:r>
      <w:r w:rsidRPr="0040660D">
        <w:rPr>
          <w:b/>
          <w:bCs/>
        </w:rPr>
        <w:t>Nu este cazul</w:t>
      </w:r>
      <w:r w:rsidRPr="00EB0CD8">
        <w:t xml:space="preserve"> </w:t>
      </w:r>
    </w:p>
    <w:p w14:paraId="493986DB" w14:textId="77777777" w:rsidR="0040660D" w:rsidRDefault="007A0325" w:rsidP="00AD4AAE">
      <w:pPr>
        <w:ind w:firstLine="360"/>
        <w:jc w:val="both"/>
        <w:rPr>
          <w:i/>
          <w:iCs/>
        </w:rPr>
      </w:pPr>
      <w:r w:rsidRPr="00EB0CD8">
        <w:rPr>
          <w:i/>
          <w:iCs/>
        </w:rPr>
        <w:t>VIII. Prevederi pentru monitorizarea mediului</w:t>
      </w:r>
    </w:p>
    <w:p w14:paraId="513C7CFE" w14:textId="540E7208" w:rsidR="00D92B1D" w:rsidRPr="00EB0CD8" w:rsidRDefault="007A0325" w:rsidP="00BC3F28">
      <w:pPr>
        <w:pStyle w:val="ListParagraph"/>
        <w:numPr>
          <w:ilvl w:val="0"/>
          <w:numId w:val="17"/>
        </w:numPr>
        <w:jc w:val="both"/>
      </w:pPr>
      <w:r w:rsidRPr="00EB0CD8">
        <w:t xml:space="preserve">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 </w:t>
      </w:r>
      <w:r w:rsidRPr="00EB0CD8">
        <w:rPr>
          <w:b/>
          <w:bCs/>
        </w:rPr>
        <w:t xml:space="preserve">Nu este cazul </w:t>
      </w:r>
    </w:p>
    <w:p w14:paraId="18940C38" w14:textId="77777777" w:rsidR="00D92B1D" w:rsidRPr="00EB0CD8" w:rsidRDefault="007A0325" w:rsidP="008D7A52">
      <w:pPr>
        <w:ind w:left="360"/>
        <w:jc w:val="both"/>
        <w:rPr>
          <w:i/>
          <w:iCs/>
        </w:rPr>
      </w:pPr>
      <w:r w:rsidRPr="00EB0CD8">
        <w:rPr>
          <w:i/>
          <w:iCs/>
        </w:rPr>
        <w:t xml:space="preserve">IX. Legătura cu alte acte normative și/sau planuri/programe/strategii/documente de planificare: </w:t>
      </w:r>
    </w:p>
    <w:p w14:paraId="02A5820F" w14:textId="77777777" w:rsidR="00D92B1D" w:rsidRPr="00EB0CD8" w:rsidRDefault="007A0325" w:rsidP="008D7A52">
      <w:pPr>
        <w:ind w:left="360"/>
        <w:jc w:val="both"/>
      </w:pPr>
      <w:r w:rsidRPr="00EB0CD8">
        <w:t xml:space="preserve">A. Justificarea încadrării proiectului, după caz, în prevederile altor acte normative naționale care transpun legislația Uniunii Europene: Directiva 2010/75/UE (IED) a Parlamentului European și a Consiliului din 24 noiembrie 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 </w:t>
      </w:r>
      <w:r w:rsidRPr="00EB0CD8">
        <w:rPr>
          <w:b/>
          <w:bCs/>
        </w:rPr>
        <w:t>Nu este cazul</w:t>
      </w:r>
      <w:r w:rsidRPr="00EB0CD8">
        <w:t xml:space="preserve"> </w:t>
      </w:r>
    </w:p>
    <w:p w14:paraId="227B3864" w14:textId="77777777" w:rsidR="00D92B1D" w:rsidRPr="00EB0CD8" w:rsidRDefault="007A0325" w:rsidP="008D7A52">
      <w:pPr>
        <w:ind w:left="360"/>
        <w:jc w:val="both"/>
      </w:pPr>
      <w:r w:rsidRPr="00EB0CD8">
        <w:t xml:space="preserve">B. Se va menționa planul/programul/strategia/documentul de programare/planificare din care face proiectul, cu indicarea actului normativ prin care a fost aprobat: </w:t>
      </w:r>
      <w:r w:rsidRPr="00EB0CD8">
        <w:rPr>
          <w:b/>
          <w:bCs/>
        </w:rPr>
        <w:t>Nu este cazul</w:t>
      </w:r>
      <w:r w:rsidRPr="00EB0CD8">
        <w:t xml:space="preserve"> </w:t>
      </w:r>
    </w:p>
    <w:p w14:paraId="6C2F1DFC" w14:textId="77777777" w:rsidR="00D92B1D" w:rsidRPr="00EB0CD8" w:rsidRDefault="007A0325" w:rsidP="008D7A52">
      <w:pPr>
        <w:ind w:firstLine="360"/>
        <w:jc w:val="both"/>
      </w:pPr>
      <w:r w:rsidRPr="00EB0CD8">
        <w:rPr>
          <w:i/>
          <w:iCs/>
        </w:rPr>
        <w:t>X. Lucrări necesare organizării de șantier:</w:t>
      </w:r>
      <w:r w:rsidRPr="00EB0CD8">
        <w:t xml:space="preserve"> </w:t>
      </w:r>
    </w:p>
    <w:p w14:paraId="4F6BBCB1" w14:textId="77777777" w:rsidR="0040660D" w:rsidRPr="0040660D" w:rsidRDefault="007A0325" w:rsidP="00BC3F28">
      <w:pPr>
        <w:pStyle w:val="ListParagraph"/>
        <w:numPr>
          <w:ilvl w:val="0"/>
          <w:numId w:val="17"/>
        </w:numPr>
        <w:jc w:val="both"/>
      </w:pPr>
      <w:r w:rsidRPr="00EB0CD8">
        <w:t xml:space="preserve">descrierea lucrărilor necesare organizării de șantier: </w:t>
      </w:r>
      <w:r w:rsidRPr="0040660D">
        <w:rPr>
          <w:b/>
          <w:bCs/>
        </w:rPr>
        <w:t xml:space="preserve">Nu sunt necesare organizari de santier insemnate – materiale necesare realizarii investitiei sunt aduse treptat de </w:t>
      </w:r>
      <w:r w:rsidRPr="0040660D">
        <w:rPr>
          <w:b/>
          <w:bCs/>
        </w:rPr>
        <w:lastRenderedPageBreak/>
        <w:t>catre furnizor, muncitorii sunt din</w:t>
      </w:r>
      <w:r w:rsidR="0040660D" w:rsidRPr="0040660D">
        <w:rPr>
          <w:b/>
          <w:bCs/>
        </w:rPr>
        <w:t xml:space="preserve"> orasul Otopeni</w:t>
      </w:r>
      <w:r w:rsidRPr="0040660D">
        <w:rPr>
          <w:b/>
          <w:bCs/>
        </w:rPr>
        <w:t>, astfel incat nu este necesar cazarea acestora.</w:t>
      </w:r>
    </w:p>
    <w:p w14:paraId="2FAC0A75" w14:textId="77777777" w:rsidR="0040660D" w:rsidRPr="0040660D" w:rsidRDefault="007A0325" w:rsidP="00BC3F28">
      <w:pPr>
        <w:pStyle w:val="ListParagraph"/>
        <w:numPr>
          <w:ilvl w:val="0"/>
          <w:numId w:val="17"/>
        </w:numPr>
        <w:jc w:val="both"/>
        <w:rPr>
          <w:b/>
          <w:bCs/>
        </w:rPr>
      </w:pPr>
      <w:r w:rsidRPr="00EB0CD8">
        <w:t xml:space="preserve">localizarea organizării de șantier: </w:t>
      </w:r>
      <w:r w:rsidR="0040660D" w:rsidRPr="0040660D">
        <w:rPr>
          <w:b/>
          <w:bCs/>
        </w:rPr>
        <w:t>jud. Ilfov, oraș Otopeni, T. 20, P.293/35, nr. cad. 111951</w:t>
      </w:r>
    </w:p>
    <w:p w14:paraId="385B0785" w14:textId="77777777" w:rsidR="0040660D" w:rsidRPr="0040660D" w:rsidRDefault="007A0325" w:rsidP="00BC3F28">
      <w:pPr>
        <w:pStyle w:val="ListParagraph"/>
        <w:numPr>
          <w:ilvl w:val="0"/>
          <w:numId w:val="17"/>
        </w:numPr>
        <w:jc w:val="both"/>
      </w:pPr>
      <w:r w:rsidRPr="00EB0CD8">
        <w:t xml:space="preserve">descrierea impactului asupra mediului a lucrărilor organizării de șantier: </w:t>
      </w:r>
      <w:r w:rsidRPr="0040660D">
        <w:rPr>
          <w:b/>
          <w:bCs/>
        </w:rPr>
        <w:t>Impactul asupra mediului este nesemnificativ deoarece betonul este adus cu autobetoniera de la statia de betoane doar cand este cerut acest lucru, scurgerile accidentale fiind nesemnificative, structura metalica va fi fasonata si adusa la dimeniuni.</w:t>
      </w:r>
    </w:p>
    <w:p w14:paraId="4A0C2119" w14:textId="77777777" w:rsidR="0040660D" w:rsidRPr="0040660D" w:rsidRDefault="007A0325" w:rsidP="00BC3F28">
      <w:pPr>
        <w:pStyle w:val="ListParagraph"/>
        <w:numPr>
          <w:ilvl w:val="0"/>
          <w:numId w:val="17"/>
        </w:numPr>
        <w:jc w:val="both"/>
      </w:pPr>
      <w:r w:rsidRPr="00EB0CD8">
        <w:t xml:space="preserve">surse de poluanți și instalații pentru reținerea, evacuarea și dispersia poluanților în mediu în timpul organizării de șantier: </w:t>
      </w:r>
      <w:r w:rsidRPr="0040660D">
        <w:rPr>
          <w:b/>
          <w:bCs/>
        </w:rPr>
        <w:t>Nu este cazul</w:t>
      </w:r>
    </w:p>
    <w:p w14:paraId="1C612D3E" w14:textId="0A53C07D" w:rsidR="00D92B1D" w:rsidRPr="00EB0CD8" w:rsidRDefault="007A0325" w:rsidP="00BC3F28">
      <w:pPr>
        <w:pStyle w:val="ListParagraph"/>
        <w:numPr>
          <w:ilvl w:val="0"/>
          <w:numId w:val="17"/>
        </w:numPr>
        <w:jc w:val="both"/>
      </w:pPr>
      <w:r w:rsidRPr="00EB0CD8">
        <w:t xml:space="preserve">dotări și măsuri prevăzute pentru controlul emisiilor de poluanți în mediu: </w:t>
      </w:r>
      <w:r w:rsidRPr="0040660D">
        <w:rPr>
          <w:b/>
          <w:bCs/>
        </w:rPr>
        <w:t>Nu este cazul</w:t>
      </w:r>
      <w:r w:rsidRPr="00EB0CD8">
        <w:t xml:space="preserve"> </w:t>
      </w:r>
    </w:p>
    <w:p w14:paraId="57116981" w14:textId="4E5EA3EF" w:rsidR="00D92B1D" w:rsidRPr="00EB0CD8" w:rsidRDefault="007A0325">
      <w:pPr>
        <w:jc w:val="both"/>
      </w:pPr>
      <w:r w:rsidRPr="00EB0CD8">
        <w:rPr>
          <w:i/>
          <w:iCs/>
        </w:rPr>
        <w:t>XI. Lucrări de refacere a amplasamentului la finalizarea investiției, în caz de accidente și/sau la încetarea activității, în măsura în care aceste informații sunt disponibile:</w:t>
      </w:r>
      <w:r w:rsidRPr="00EB0CD8">
        <w:t xml:space="preserve"> </w:t>
      </w:r>
    </w:p>
    <w:p w14:paraId="667ECBA1" w14:textId="77777777" w:rsidR="0040660D" w:rsidRPr="0040660D" w:rsidRDefault="007A0325" w:rsidP="00BC3F28">
      <w:pPr>
        <w:pStyle w:val="ListParagraph"/>
        <w:numPr>
          <w:ilvl w:val="0"/>
          <w:numId w:val="17"/>
        </w:numPr>
        <w:jc w:val="both"/>
      </w:pPr>
      <w:r w:rsidRPr="00EB0CD8">
        <w:t xml:space="preserve">lucrările propuse pentru refacerea amplasamentului la finalizarea investiției, în caz de accidente și/sau la încetarea activității: </w:t>
      </w:r>
      <w:r w:rsidRPr="0040660D">
        <w:rPr>
          <w:b/>
          <w:bCs/>
        </w:rPr>
        <w:t xml:space="preserve">Pentru refacerea terenului va fi adus pamant fertil pentru a fi create zone verzi. </w:t>
      </w:r>
    </w:p>
    <w:p w14:paraId="59C3326D" w14:textId="77777777" w:rsidR="00BC3F28" w:rsidRPr="00BC3F28" w:rsidRDefault="007A0325" w:rsidP="00BC3F28">
      <w:pPr>
        <w:pStyle w:val="ListParagraph"/>
        <w:numPr>
          <w:ilvl w:val="0"/>
          <w:numId w:val="17"/>
        </w:numPr>
        <w:jc w:val="both"/>
      </w:pPr>
      <w:r w:rsidRPr="00EB0CD8">
        <w:t>aspecte referitoare la prevenirea și modul de răspuns pentru cazuri de poluări accidentale</w:t>
      </w:r>
      <w:r w:rsidRPr="0040660D">
        <w:rPr>
          <w:b/>
          <w:bCs/>
        </w:rPr>
        <w:t xml:space="preserve">: Nu este cazul </w:t>
      </w:r>
    </w:p>
    <w:p w14:paraId="26CA26FE" w14:textId="77777777" w:rsidR="00BC3F28" w:rsidRDefault="007A0325" w:rsidP="00BC3F28">
      <w:pPr>
        <w:pStyle w:val="ListParagraph"/>
        <w:numPr>
          <w:ilvl w:val="0"/>
          <w:numId w:val="17"/>
        </w:numPr>
        <w:jc w:val="both"/>
      </w:pPr>
      <w:r w:rsidRPr="00EB0CD8">
        <w:t xml:space="preserve">aspecte referitoare la închiderea/dezafectarea/demolarea instalației: </w:t>
      </w:r>
      <w:r w:rsidRPr="00BC3F28">
        <w:rPr>
          <w:b/>
          <w:bCs/>
        </w:rPr>
        <w:t>Nu este cazul</w:t>
      </w:r>
      <w:r w:rsidRPr="00EB0CD8">
        <w:t xml:space="preserve"> </w:t>
      </w:r>
    </w:p>
    <w:p w14:paraId="74AD21D6" w14:textId="09E1641B" w:rsidR="00D92B1D" w:rsidRPr="00EB0CD8" w:rsidRDefault="007A0325" w:rsidP="00BC3F28">
      <w:pPr>
        <w:pStyle w:val="ListParagraph"/>
        <w:numPr>
          <w:ilvl w:val="0"/>
          <w:numId w:val="17"/>
        </w:numPr>
        <w:jc w:val="both"/>
      </w:pPr>
      <w:r w:rsidRPr="00EB0CD8">
        <w:t xml:space="preserve">modalități de refacere a stării inițiale/reabilitare în vederea utilizării ulterioare a terenului: </w:t>
      </w:r>
      <w:r w:rsidRPr="00BC3F28">
        <w:rPr>
          <w:b/>
          <w:bCs/>
        </w:rPr>
        <w:t xml:space="preserve">Nu este cazul </w:t>
      </w:r>
    </w:p>
    <w:p w14:paraId="30F80E0C" w14:textId="77777777" w:rsidR="00D92B1D" w:rsidRPr="00EB0CD8" w:rsidRDefault="007A0325" w:rsidP="008D7A52">
      <w:pPr>
        <w:ind w:firstLine="708"/>
        <w:jc w:val="both"/>
        <w:rPr>
          <w:i/>
          <w:iCs/>
        </w:rPr>
      </w:pPr>
      <w:r w:rsidRPr="00EB0CD8">
        <w:rPr>
          <w:i/>
          <w:iCs/>
        </w:rPr>
        <w:t xml:space="preserve">XII. Anexe - piese desenate: </w:t>
      </w:r>
    </w:p>
    <w:p w14:paraId="43055A90" w14:textId="77777777" w:rsidR="00BC3F28" w:rsidRDefault="007A0325" w:rsidP="008D7A52">
      <w:pPr>
        <w:ind w:left="360" w:firstLine="348"/>
        <w:jc w:val="both"/>
        <w:rPr>
          <w:b/>
          <w:bCs/>
        </w:rPr>
      </w:pPr>
      <w:r w:rsidRPr="00EB0CD8">
        <w:t xml:space="preserve">1.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 </w:t>
      </w:r>
      <w:r w:rsidRPr="00EB0CD8">
        <w:rPr>
          <w:b/>
          <w:bCs/>
        </w:rPr>
        <w:t>Sunt anexate documentatiei</w:t>
      </w:r>
    </w:p>
    <w:p w14:paraId="7787D452" w14:textId="77777777" w:rsidR="00BC3F28" w:rsidRDefault="007A0325" w:rsidP="008D7A52">
      <w:pPr>
        <w:ind w:left="360" w:firstLine="348"/>
        <w:jc w:val="both"/>
        <w:rPr>
          <w:b/>
          <w:bCs/>
        </w:rPr>
      </w:pPr>
      <w:r w:rsidRPr="00EB0CD8">
        <w:t xml:space="preserve">2. schemele-flux pentru procesul tehnologic și fazele activității, cu instalațiile de depoluare: </w:t>
      </w:r>
      <w:r w:rsidRPr="00EB0CD8">
        <w:rPr>
          <w:b/>
          <w:bCs/>
        </w:rPr>
        <w:t>Nu este cazul</w:t>
      </w:r>
    </w:p>
    <w:p w14:paraId="152889A7" w14:textId="77777777" w:rsidR="00BC3F28" w:rsidRDefault="007A0325" w:rsidP="00BC3F28">
      <w:pPr>
        <w:ind w:firstLine="708"/>
        <w:jc w:val="both"/>
        <w:rPr>
          <w:b/>
          <w:bCs/>
        </w:rPr>
      </w:pPr>
      <w:r w:rsidRPr="00EB0CD8">
        <w:t xml:space="preserve">3. schema-flux a gestionării deșeurilor: </w:t>
      </w:r>
      <w:r w:rsidRPr="00EB0CD8">
        <w:rPr>
          <w:b/>
          <w:bCs/>
        </w:rPr>
        <w:t>Nu este cazul</w:t>
      </w:r>
    </w:p>
    <w:p w14:paraId="23DE180C" w14:textId="495D2385" w:rsidR="00D92B1D" w:rsidRPr="00EB0CD8" w:rsidRDefault="007A0325" w:rsidP="00BC3F28">
      <w:pPr>
        <w:ind w:firstLine="708"/>
        <w:jc w:val="both"/>
      </w:pPr>
      <w:r w:rsidRPr="00EB0CD8">
        <w:t xml:space="preserve">4. alte piese desenate, stabilite de autoritatea publică pentru protecția mediului: </w:t>
      </w:r>
      <w:r w:rsidRPr="00EB0CD8">
        <w:rPr>
          <w:b/>
          <w:bCs/>
        </w:rPr>
        <w:t>Nu este cazul</w:t>
      </w:r>
      <w:r w:rsidRPr="00EB0CD8">
        <w:t xml:space="preserve"> </w:t>
      </w:r>
    </w:p>
    <w:p w14:paraId="1A4D378A" w14:textId="77777777" w:rsidR="00D92B1D" w:rsidRPr="00EB0CD8" w:rsidRDefault="007A0325" w:rsidP="008D7A52">
      <w:pPr>
        <w:ind w:firstLine="708"/>
        <w:jc w:val="both"/>
        <w:rPr>
          <w:i/>
          <w:iCs/>
        </w:rPr>
      </w:pPr>
      <w:r w:rsidRPr="00EB0CD8">
        <w:rPr>
          <w:i/>
          <w:iCs/>
        </w:rPr>
        <w:t xml:space="preserve">XIII. Pentru proiectele care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 memoriul va fi completat cu următoarele: </w:t>
      </w:r>
    </w:p>
    <w:p w14:paraId="477C8BAC" w14:textId="77777777" w:rsidR="00BC3F28" w:rsidRPr="00BC3F28" w:rsidRDefault="007A0325" w:rsidP="00BC3F28">
      <w:pPr>
        <w:pStyle w:val="ListParagraph"/>
        <w:numPr>
          <w:ilvl w:val="1"/>
          <w:numId w:val="20"/>
        </w:numPr>
        <w:ind w:left="709" w:firstLine="0"/>
        <w:jc w:val="both"/>
      </w:pPr>
      <w:r w:rsidRPr="00EB0CD8">
        <w:t xml:space="preserve">descrierea succintă a proiectului și distanța față de aria naturală protejată de interes comunitar, precum și coordonatele geografice (Stereo 70) ale amplasamentului proiectului. Aceste coordonate vor fi prezentate sub formă de vector în format digital </w:t>
      </w:r>
      <w:r w:rsidRPr="00EB0CD8">
        <w:lastRenderedPageBreak/>
        <w:t>cu referință geografică, în sistem de proiecție națională Stereo 1970, sau de tabel în format electronic conținând coordonatele conturului (X, Y) în sistem de proiecție națională Stereo 1970</w:t>
      </w:r>
      <w:r w:rsidR="00BC3F28" w:rsidRPr="00BC3F28">
        <w:rPr>
          <w:lang w:val="en-US"/>
        </w:rPr>
        <w:t xml:space="preserve">: </w:t>
      </w:r>
      <w:r w:rsidR="00BC3F28" w:rsidRPr="00BC3F28">
        <w:rPr>
          <w:b/>
          <w:bCs/>
          <w:lang w:val="en-US"/>
        </w:rPr>
        <w:t xml:space="preserve">Nu </w:t>
      </w:r>
      <w:proofErr w:type="spellStart"/>
      <w:r w:rsidR="00BC3F28" w:rsidRPr="00BC3F28">
        <w:rPr>
          <w:b/>
          <w:bCs/>
          <w:lang w:val="en-US"/>
        </w:rPr>
        <w:t>este</w:t>
      </w:r>
      <w:proofErr w:type="spellEnd"/>
      <w:r w:rsidR="00BC3F28" w:rsidRPr="00BC3F28">
        <w:rPr>
          <w:b/>
          <w:bCs/>
          <w:lang w:val="en-US"/>
        </w:rPr>
        <w:t xml:space="preserve"> </w:t>
      </w:r>
      <w:proofErr w:type="spellStart"/>
      <w:r w:rsidR="00BC3F28" w:rsidRPr="00BC3F28">
        <w:rPr>
          <w:b/>
          <w:bCs/>
          <w:lang w:val="en-US"/>
        </w:rPr>
        <w:t>cazul</w:t>
      </w:r>
      <w:proofErr w:type="spellEnd"/>
    </w:p>
    <w:p w14:paraId="3DB31388" w14:textId="77777777" w:rsidR="00BC3F28" w:rsidRPr="00BC3F28" w:rsidRDefault="007A0325" w:rsidP="00BC3F28">
      <w:pPr>
        <w:pStyle w:val="ListParagraph"/>
        <w:numPr>
          <w:ilvl w:val="1"/>
          <w:numId w:val="20"/>
        </w:numPr>
        <w:ind w:left="709" w:firstLine="0"/>
        <w:jc w:val="both"/>
      </w:pPr>
      <w:r w:rsidRPr="00EB0CD8">
        <w:t xml:space="preserve">numele și codul ariei naturale protejate de interes comunitar: </w:t>
      </w:r>
      <w:r w:rsidRPr="00BC3F28">
        <w:rPr>
          <w:b/>
          <w:bCs/>
        </w:rPr>
        <w:t>Nu este cazul</w:t>
      </w:r>
    </w:p>
    <w:p w14:paraId="06C77B62" w14:textId="77777777" w:rsidR="00BC3F28" w:rsidRDefault="007A0325" w:rsidP="00BC3F28">
      <w:pPr>
        <w:pStyle w:val="ListParagraph"/>
        <w:numPr>
          <w:ilvl w:val="1"/>
          <w:numId w:val="20"/>
        </w:numPr>
        <w:ind w:left="709" w:firstLine="0"/>
        <w:jc w:val="both"/>
      </w:pPr>
      <w:r w:rsidRPr="00EB0CD8">
        <w:t xml:space="preserve">prezența și efectivele/suprafețele acoperite de specii și habitate de interes comunitar în zona proiectului </w:t>
      </w:r>
      <w:r w:rsidRPr="00BC3F28">
        <w:rPr>
          <w:b/>
          <w:bCs/>
        </w:rPr>
        <w:t>Nu este cazul</w:t>
      </w:r>
      <w:r w:rsidRPr="00EB0CD8">
        <w:t xml:space="preserve"> </w:t>
      </w:r>
    </w:p>
    <w:p w14:paraId="0296676B" w14:textId="77777777" w:rsidR="00BC3F28" w:rsidRPr="00BC3F28" w:rsidRDefault="007A0325" w:rsidP="00BC3F28">
      <w:pPr>
        <w:pStyle w:val="ListParagraph"/>
        <w:numPr>
          <w:ilvl w:val="1"/>
          <w:numId w:val="20"/>
        </w:numPr>
        <w:ind w:left="709" w:firstLine="0"/>
        <w:jc w:val="both"/>
      </w:pPr>
      <w:r w:rsidRPr="00EB0CD8">
        <w:t xml:space="preserve">se va preciza dacă proiectul propus nu are legătură directă cu sau nu este necesar pentru managementul conservării ariei naturale protejate de interes comunitar: </w:t>
      </w:r>
      <w:r w:rsidRPr="00BC3F28">
        <w:rPr>
          <w:b/>
          <w:bCs/>
        </w:rPr>
        <w:t>Nu este cazul</w:t>
      </w:r>
    </w:p>
    <w:p w14:paraId="34EA6D51" w14:textId="77777777" w:rsidR="00BC3F28" w:rsidRPr="00BC3F28" w:rsidRDefault="007A0325" w:rsidP="00BC3F28">
      <w:pPr>
        <w:pStyle w:val="ListParagraph"/>
        <w:numPr>
          <w:ilvl w:val="1"/>
          <w:numId w:val="20"/>
        </w:numPr>
        <w:ind w:left="709" w:firstLine="0"/>
        <w:jc w:val="both"/>
      </w:pPr>
      <w:r w:rsidRPr="00EB0CD8">
        <w:t>se va estima impactul potențial al proiectului asupra speciilor și habitatelor din aria naturală protejată de interes comunitar:</w:t>
      </w:r>
      <w:r w:rsidRPr="00BC3F28">
        <w:rPr>
          <w:b/>
          <w:bCs/>
        </w:rPr>
        <w:t xml:space="preserve"> Nu este cazul</w:t>
      </w:r>
    </w:p>
    <w:p w14:paraId="18965B87" w14:textId="2EA2C19D" w:rsidR="00D92B1D" w:rsidRPr="00EB0CD8" w:rsidRDefault="007A0325" w:rsidP="00BC3F28">
      <w:pPr>
        <w:pStyle w:val="ListParagraph"/>
        <w:numPr>
          <w:ilvl w:val="1"/>
          <w:numId w:val="20"/>
        </w:numPr>
        <w:ind w:left="709" w:firstLine="0"/>
        <w:jc w:val="both"/>
      </w:pPr>
      <w:r w:rsidRPr="00EB0CD8">
        <w:t xml:space="preserve">alte informații prevăzute în legislația în vigoare: </w:t>
      </w:r>
      <w:r w:rsidRPr="00BC3F28">
        <w:rPr>
          <w:b/>
          <w:bCs/>
        </w:rPr>
        <w:t>Nu este cazul</w:t>
      </w:r>
      <w:r w:rsidRPr="00EB0CD8">
        <w:t xml:space="preserve"> </w:t>
      </w:r>
    </w:p>
    <w:p w14:paraId="5B421844" w14:textId="77777777" w:rsidR="00D92B1D" w:rsidRPr="00EB0CD8" w:rsidRDefault="007A0325" w:rsidP="00EC163D">
      <w:pPr>
        <w:ind w:left="360"/>
        <w:jc w:val="both"/>
        <w:rPr>
          <w:i/>
          <w:iCs/>
        </w:rPr>
      </w:pPr>
      <w:r w:rsidRPr="00EB0CD8">
        <w:rPr>
          <w:i/>
          <w:iCs/>
        </w:rPr>
        <w:t xml:space="preserve">XIV. Pentru proiectele care se realizează pe ape sau au legătură cu apele, memoriul va fi completat cu următoarele informații, preluate din Planurile de management bazinale, actualizate: </w:t>
      </w:r>
    </w:p>
    <w:p w14:paraId="1F904607" w14:textId="77777777" w:rsidR="00BC3F28" w:rsidRDefault="007A0325" w:rsidP="00BC3F28">
      <w:pPr>
        <w:ind w:firstLine="360"/>
        <w:jc w:val="both"/>
      </w:pPr>
      <w:r w:rsidRPr="00EB0CD8">
        <w:t>1. Localizarea proiectului:</w:t>
      </w:r>
    </w:p>
    <w:p w14:paraId="507C0EA0" w14:textId="77777777" w:rsidR="00BC3F28" w:rsidRPr="00BC3F28" w:rsidRDefault="007A0325" w:rsidP="00BC3F28">
      <w:pPr>
        <w:pStyle w:val="ListParagraph"/>
        <w:numPr>
          <w:ilvl w:val="0"/>
          <w:numId w:val="17"/>
        </w:numPr>
        <w:jc w:val="both"/>
      </w:pPr>
      <w:r w:rsidRPr="00EB0CD8">
        <w:t xml:space="preserve">bazinul hidrografic: </w:t>
      </w:r>
      <w:r w:rsidRPr="00BC3F28">
        <w:rPr>
          <w:b/>
          <w:bCs/>
        </w:rPr>
        <w:t>Nu este cazul</w:t>
      </w:r>
    </w:p>
    <w:p w14:paraId="5850F5F2" w14:textId="77777777" w:rsidR="00BC3F28" w:rsidRPr="00BC3F28" w:rsidRDefault="007A0325" w:rsidP="00BC3F28">
      <w:pPr>
        <w:pStyle w:val="ListParagraph"/>
        <w:numPr>
          <w:ilvl w:val="0"/>
          <w:numId w:val="17"/>
        </w:numPr>
        <w:jc w:val="both"/>
      </w:pPr>
      <w:r w:rsidRPr="00EB0CD8">
        <w:t xml:space="preserve">cursul de apă: denumirea și codul cadastral: </w:t>
      </w:r>
      <w:r w:rsidRPr="00BC3F28">
        <w:rPr>
          <w:b/>
          <w:bCs/>
        </w:rPr>
        <w:t>Nu este cazul</w:t>
      </w:r>
    </w:p>
    <w:p w14:paraId="57A12203" w14:textId="310ADDE5" w:rsidR="00D92B1D" w:rsidRPr="00EB0CD8" w:rsidRDefault="007A0325" w:rsidP="00BC3F28">
      <w:pPr>
        <w:pStyle w:val="ListParagraph"/>
        <w:numPr>
          <w:ilvl w:val="0"/>
          <w:numId w:val="17"/>
        </w:numPr>
        <w:jc w:val="both"/>
      </w:pPr>
      <w:r w:rsidRPr="00EB0CD8">
        <w:t xml:space="preserve">corpul de apă (de suprafață și/sau subteran): denumire și cod: </w:t>
      </w:r>
      <w:r w:rsidRPr="00BC3F28">
        <w:rPr>
          <w:b/>
          <w:bCs/>
        </w:rPr>
        <w:t>Nu este cazul</w:t>
      </w:r>
    </w:p>
    <w:p w14:paraId="62DEBD44" w14:textId="77777777" w:rsidR="00BC3F28" w:rsidRDefault="007A0325" w:rsidP="00EC163D">
      <w:pPr>
        <w:ind w:left="360"/>
        <w:jc w:val="both"/>
        <w:rPr>
          <w:b/>
          <w:bCs/>
        </w:rPr>
      </w:pPr>
      <w:r w:rsidRPr="00EB0CD8">
        <w:t xml:space="preserve">2. Indicarea stării ecologice/potențialului ecologic și starea chimică a corpului de apă de suprafață; pentru corpul de apă subteran se vor indica starea cantitativă și starea chimică a corpului de apă: </w:t>
      </w:r>
      <w:r w:rsidRPr="00EB0CD8">
        <w:rPr>
          <w:b/>
          <w:bCs/>
        </w:rPr>
        <w:t>Nu este cazul</w:t>
      </w:r>
    </w:p>
    <w:p w14:paraId="0949D161" w14:textId="19FB9062" w:rsidR="00D92B1D" w:rsidRPr="00EB0CD8" w:rsidRDefault="007A0325" w:rsidP="00EC163D">
      <w:pPr>
        <w:ind w:left="360"/>
        <w:jc w:val="both"/>
      </w:pPr>
      <w:r w:rsidRPr="00EB0CD8">
        <w:t xml:space="preserve">3. Indicarea obiectivului/obiectivelor de mediu pentru fiecare corp de apă identificat, cu precizarea excepțiilor aplicate și a termenelor aferente, după caz: </w:t>
      </w:r>
      <w:r w:rsidRPr="00EB0CD8">
        <w:rPr>
          <w:b/>
          <w:bCs/>
        </w:rPr>
        <w:t>Nu este cazul</w:t>
      </w:r>
      <w:r w:rsidRPr="00EB0CD8">
        <w:t xml:space="preserve"> </w:t>
      </w:r>
    </w:p>
    <w:p w14:paraId="5296EF31" w14:textId="77777777" w:rsidR="00BC3F28" w:rsidRDefault="007A0325" w:rsidP="00BC3F28">
      <w:pPr>
        <w:jc w:val="both"/>
        <w:rPr>
          <w:sz w:val="23"/>
          <w:szCs w:val="23"/>
        </w:rPr>
      </w:pPr>
      <w:r w:rsidRPr="00EB0CD8">
        <w:rPr>
          <w:i/>
          <w:iCs/>
        </w:rPr>
        <w:t>XV. Criteriile prevăzute în anexa nr. 3</w:t>
      </w:r>
      <w:r w:rsidRPr="00EB0CD8">
        <w:t xml:space="preserve"> la Legea nr. . . . . . . . . . . privind evaluarea impactului anumitor proiecte publice și private asupra mediului se iau în considerare, </w:t>
      </w:r>
      <w:r w:rsidRPr="00EB0CD8">
        <w:rPr>
          <w:sz w:val="23"/>
          <w:szCs w:val="23"/>
        </w:rPr>
        <w:t>dacă este cazul, în momentul compilării informațiilor în conformitate cu punctele III-XIV.</w:t>
      </w:r>
    </w:p>
    <w:p w14:paraId="0A2B8871" w14:textId="77777777" w:rsidR="00BC3F28" w:rsidRDefault="00BC3F28" w:rsidP="00BC3F28">
      <w:pPr>
        <w:jc w:val="both"/>
        <w:rPr>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000000" w:themeColor="text1"/>
        </w:tblBorders>
        <w:tblLook w:val="04A0" w:firstRow="1" w:lastRow="0" w:firstColumn="1" w:lastColumn="0" w:noHBand="0" w:noVBand="1"/>
      </w:tblPr>
      <w:tblGrid>
        <w:gridCol w:w="4509"/>
        <w:gridCol w:w="4510"/>
      </w:tblGrid>
      <w:tr w:rsidR="00BC3F28" w:rsidRPr="00CF4AD1" w14:paraId="72A92D29" w14:textId="77777777" w:rsidTr="00BC3F28">
        <w:tc>
          <w:tcPr>
            <w:tcW w:w="9019" w:type="dxa"/>
            <w:gridSpan w:val="2"/>
            <w:shd w:val="clear" w:color="auto" w:fill="2F5496" w:themeFill="accent1" w:themeFillShade="BF"/>
            <w:vAlign w:val="center"/>
          </w:tcPr>
          <w:p w14:paraId="431E0B6D" w14:textId="0C84972F" w:rsidR="00BC3F28" w:rsidRPr="00CF4AD1" w:rsidRDefault="00BC3F28" w:rsidP="00522923">
            <w:pPr>
              <w:ind w:left="708"/>
              <w:jc w:val="center"/>
              <w:rPr>
                <w:rFonts w:eastAsiaTheme="minorEastAsia"/>
                <w:b/>
                <w:sz w:val="28"/>
              </w:rPr>
            </w:pPr>
            <w:r w:rsidRPr="00BC3F28">
              <w:rPr>
                <w:rFonts w:ascii="Arial" w:hAnsi="Arial" w:cs="Arial"/>
                <w:b/>
                <w:bCs/>
                <w:color w:val="FFFFFF" w:themeColor="background1"/>
                <w:spacing w:val="80"/>
                <w:kern w:val="3"/>
                <w:position w:val="-6"/>
                <w:szCs w:val="20"/>
              </w:rPr>
              <w:t xml:space="preserve">DATA: </w:t>
            </w:r>
            <w:r>
              <w:rPr>
                <w:rFonts w:ascii="Arial" w:hAnsi="Arial" w:cs="Arial"/>
                <w:b/>
                <w:bCs/>
                <w:color w:val="FFFFFF" w:themeColor="background1"/>
                <w:spacing w:val="80"/>
                <w:kern w:val="3"/>
                <w:position w:val="-6"/>
                <w:szCs w:val="20"/>
              </w:rPr>
              <w:t>MAR</w:t>
            </w:r>
            <w:r w:rsidRPr="00BC3F28">
              <w:rPr>
                <w:rFonts w:ascii="Arial" w:hAnsi="Arial" w:cs="Arial"/>
                <w:b/>
                <w:bCs/>
                <w:color w:val="FFFFFF" w:themeColor="background1"/>
                <w:spacing w:val="80"/>
                <w:kern w:val="3"/>
                <w:position w:val="-6"/>
                <w:szCs w:val="20"/>
              </w:rPr>
              <w:t xml:space="preserve"> / 202</w:t>
            </w:r>
            <w:r>
              <w:rPr>
                <w:rFonts w:ascii="Arial" w:hAnsi="Arial" w:cs="Arial"/>
                <w:b/>
                <w:bCs/>
                <w:color w:val="FFFFFF" w:themeColor="background1"/>
                <w:spacing w:val="80"/>
                <w:kern w:val="3"/>
                <w:position w:val="-6"/>
                <w:szCs w:val="20"/>
              </w:rPr>
              <w:t>4</w:t>
            </w:r>
          </w:p>
        </w:tc>
      </w:tr>
      <w:tr w:rsidR="00BC3F28" w:rsidRPr="00CF4AD1" w14:paraId="0E043037" w14:textId="77777777" w:rsidTr="00522923">
        <w:trPr>
          <w:trHeight w:val="525"/>
        </w:trPr>
        <w:tc>
          <w:tcPr>
            <w:tcW w:w="4509" w:type="dxa"/>
            <w:tcBorders>
              <w:right w:val="single" w:sz="12" w:space="0" w:color="2E74B5" w:themeColor="accent5" w:themeShade="BF"/>
            </w:tcBorders>
            <w:vAlign w:val="bottom"/>
          </w:tcPr>
          <w:p w14:paraId="5F36728E" w14:textId="77777777" w:rsidR="00BC3F28" w:rsidRPr="00CF4AD1" w:rsidRDefault="00BC3F28" w:rsidP="00522923">
            <w:pPr>
              <w:jc w:val="right"/>
              <w:rPr>
                <w:rFonts w:eastAsiaTheme="minorEastAsia"/>
                <w:sz w:val="28"/>
              </w:rPr>
            </w:pPr>
            <w:r w:rsidRPr="00CF4AD1">
              <w:rPr>
                <w:rFonts w:eastAsiaTheme="minorEastAsia"/>
                <w:sz w:val="28"/>
              </w:rPr>
              <w:t>Întocmit:</w:t>
            </w:r>
          </w:p>
        </w:tc>
        <w:tc>
          <w:tcPr>
            <w:tcW w:w="4510" w:type="dxa"/>
            <w:tcBorders>
              <w:left w:val="single" w:sz="12" w:space="0" w:color="2E74B5" w:themeColor="accent5" w:themeShade="BF"/>
            </w:tcBorders>
            <w:vAlign w:val="bottom"/>
          </w:tcPr>
          <w:p w14:paraId="46D5AABF" w14:textId="77777777" w:rsidR="00BC3F28" w:rsidRPr="00CF4AD1" w:rsidRDefault="00BC3F28" w:rsidP="00522923">
            <w:pPr>
              <w:rPr>
                <w:rFonts w:eastAsiaTheme="minorEastAsia"/>
                <w:sz w:val="28"/>
              </w:rPr>
            </w:pPr>
            <w:r w:rsidRPr="00CF4AD1">
              <w:rPr>
                <w:rFonts w:eastAsiaTheme="minorEastAsia"/>
                <w:sz w:val="28"/>
              </w:rPr>
              <w:t>Șef de proiect:</w:t>
            </w:r>
          </w:p>
        </w:tc>
      </w:tr>
      <w:tr w:rsidR="00BC3F28" w:rsidRPr="00CF4AD1" w14:paraId="0E83A5EE" w14:textId="77777777" w:rsidTr="00522923">
        <w:trPr>
          <w:trHeight w:val="372"/>
        </w:trPr>
        <w:tc>
          <w:tcPr>
            <w:tcW w:w="4509" w:type="dxa"/>
            <w:tcBorders>
              <w:right w:val="single" w:sz="12" w:space="0" w:color="2E74B5" w:themeColor="accent5" w:themeShade="BF"/>
            </w:tcBorders>
            <w:vAlign w:val="center"/>
          </w:tcPr>
          <w:p w14:paraId="51BA64C1" w14:textId="6AF06CD8" w:rsidR="00BC3F28" w:rsidRPr="00BC3F28" w:rsidRDefault="00BC3F28" w:rsidP="00522923">
            <w:pPr>
              <w:jc w:val="right"/>
              <w:rPr>
                <w:rFonts w:ascii="Arial" w:eastAsiaTheme="minorEastAsia" w:hAnsi="Arial" w:cs="Arial"/>
                <w:bCs/>
                <w:spacing w:val="-20"/>
                <w:kern w:val="28"/>
                <w:sz w:val="28"/>
                <w:szCs w:val="28"/>
                <w:lang w:val="en-GB"/>
              </w:rPr>
            </w:pPr>
            <w:r w:rsidRPr="00CF4AD1">
              <w:rPr>
                <w:rFonts w:ascii="Arial" w:eastAsiaTheme="minorEastAsia" w:hAnsi="Arial" w:cs="Arial"/>
                <w:bCs/>
                <w:spacing w:val="-20"/>
                <w:kern w:val="28"/>
                <w:sz w:val="28"/>
                <w:szCs w:val="28"/>
              </w:rPr>
              <w:t xml:space="preserve">Arh. </w:t>
            </w:r>
            <w:r>
              <w:rPr>
                <w:rFonts w:ascii="Arial" w:eastAsiaTheme="minorEastAsia" w:hAnsi="Arial" w:cs="Arial"/>
                <w:bCs/>
                <w:spacing w:val="-20"/>
                <w:kern w:val="28"/>
                <w:sz w:val="28"/>
                <w:szCs w:val="28"/>
              </w:rPr>
              <w:t>Horia George PAȘA</w:t>
            </w:r>
          </w:p>
        </w:tc>
        <w:tc>
          <w:tcPr>
            <w:tcW w:w="4510" w:type="dxa"/>
            <w:tcBorders>
              <w:left w:val="single" w:sz="12" w:space="0" w:color="2E74B5" w:themeColor="accent5" w:themeShade="BF"/>
            </w:tcBorders>
            <w:vAlign w:val="center"/>
          </w:tcPr>
          <w:p w14:paraId="76B8117B" w14:textId="2678540B" w:rsidR="00BC3F28" w:rsidRPr="00CF4AD1" w:rsidRDefault="00BC3F28" w:rsidP="00522923">
            <w:pPr>
              <w:rPr>
                <w:rFonts w:ascii="Arial" w:eastAsiaTheme="minorEastAsia" w:hAnsi="Arial" w:cs="Arial"/>
                <w:bCs/>
                <w:spacing w:val="-20"/>
                <w:kern w:val="28"/>
                <w:sz w:val="28"/>
                <w:szCs w:val="28"/>
              </w:rPr>
            </w:pPr>
            <w:r w:rsidRPr="00CF4AD1">
              <w:rPr>
                <w:rFonts w:ascii="Arial" w:eastAsiaTheme="minorEastAsia" w:hAnsi="Arial" w:cs="Arial"/>
                <w:bCs/>
                <w:spacing w:val="-20"/>
                <w:kern w:val="28"/>
                <w:sz w:val="28"/>
                <w:szCs w:val="28"/>
              </w:rPr>
              <w:t>Arh. V</w:t>
            </w:r>
            <w:r>
              <w:rPr>
                <w:rFonts w:ascii="Arial" w:eastAsiaTheme="minorEastAsia" w:hAnsi="Arial" w:cs="Arial"/>
                <w:bCs/>
                <w:spacing w:val="-20"/>
                <w:kern w:val="28"/>
                <w:sz w:val="28"/>
                <w:szCs w:val="28"/>
              </w:rPr>
              <w:t>ladimir Ștefan GHIGA</w:t>
            </w:r>
          </w:p>
        </w:tc>
      </w:tr>
    </w:tbl>
    <w:p w14:paraId="044C6C45" w14:textId="03630E62" w:rsidR="00D92B1D" w:rsidRPr="00EB0CD8" w:rsidRDefault="007A0325" w:rsidP="00BC3F28">
      <w:pPr>
        <w:jc w:val="both"/>
        <w:rPr>
          <w:szCs w:val="24"/>
        </w:rPr>
      </w:pPr>
      <w:r w:rsidRPr="00EB0CD8">
        <w:rPr>
          <w:szCs w:val="24"/>
        </w:rPr>
        <w:t xml:space="preserve">           </w:t>
      </w:r>
    </w:p>
    <w:p w14:paraId="02E2341D" w14:textId="77777777" w:rsidR="00D92B1D" w:rsidRPr="00EB0CD8" w:rsidRDefault="00D92B1D">
      <w:pPr>
        <w:jc w:val="right"/>
      </w:pPr>
    </w:p>
    <w:sectPr w:rsidR="00D92B1D" w:rsidRPr="00EB0C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67F15" w14:textId="77777777" w:rsidR="004D70E1" w:rsidRDefault="004D70E1">
      <w:pPr>
        <w:spacing w:after="0"/>
      </w:pPr>
      <w:r>
        <w:separator/>
      </w:r>
    </w:p>
  </w:endnote>
  <w:endnote w:type="continuationSeparator" w:id="0">
    <w:p w14:paraId="1D10473A" w14:textId="77777777" w:rsidR="004D70E1" w:rsidRDefault="004D70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F0E02" w14:textId="77777777" w:rsidR="004D70E1" w:rsidRDefault="004D70E1">
      <w:pPr>
        <w:spacing w:after="0"/>
      </w:pPr>
      <w:r>
        <w:rPr>
          <w:color w:val="000000"/>
        </w:rPr>
        <w:separator/>
      </w:r>
    </w:p>
  </w:footnote>
  <w:footnote w:type="continuationSeparator" w:id="0">
    <w:p w14:paraId="14C0F8F1" w14:textId="77777777" w:rsidR="004D70E1" w:rsidRDefault="004D70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369B"/>
    <w:multiLevelType w:val="hybridMultilevel"/>
    <w:tmpl w:val="4A46C5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3B1787"/>
    <w:multiLevelType w:val="hybridMultilevel"/>
    <w:tmpl w:val="ADD40E04"/>
    <w:lvl w:ilvl="0" w:tplc="95042C14">
      <w:numFmt w:val="bullet"/>
      <w:lvlText w:val="-"/>
      <w:lvlJc w:val="left"/>
      <w:pPr>
        <w:ind w:left="1068" w:hanging="360"/>
      </w:pPr>
      <w:rPr>
        <w:rFonts w:ascii="Times New Roman" w:eastAsia="Calibr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
    <w:nsid w:val="0CB536A8"/>
    <w:multiLevelType w:val="multilevel"/>
    <w:tmpl w:val="013009E8"/>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D024A19"/>
    <w:multiLevelType w:val="multilevel"/>
    <w:tmpl w:val="D69A6ACC"/>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13D7254"/>
    <w:multiLevelType w:val="multilevel"/>
    <w:tmpl w:val="BE82FD0A"/>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8A73E7C"/>
    <w:multiLevelType w:val="hybridMultilevel"/>
    <w:tmpl w:val="B54484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C3F8A"/>
    <w:multiLevelType w:val="multilevel"/>
    <w:tmpl w:val="9A9CD200"/>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D217CEC"/>
    <w:multiLevelType w:val="hybridMultilevel"/>
    <w:tmpl w:val="954A9B2E"/>
    <w:lvl w:ilvl="0" w:tplc="95042C1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B0492E"/>
    <w:multiLevelType w:val="multilevel"/>
    <w:tmpl w:val="64266AB6"/>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640746A"/>
    <w:multiLevelType w:val="multilevel"/>
    <w:tmpl w:val="CD80246C"/>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AAE68A0"/>
    <w:multiLevelType w:val="multilevel"/>
    <w:tmpl w:val="075CAACE"/>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AB13AA4"/>
    <w:multiLevelType w:val="multilevel"/>
    <w:tmpl w:val="DFE4B9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AF668F"/>
    <w:multiLevelType w:val="multilevel"/>
    <w:tmpl w:val="9AA0933C"/>
    <w:styleLink w:val="LFO2"/>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nsid w:val="51D938A6"/>
    <w:multiLevelType w:val="hybridMultilevel"/>
    <w:tmpl w:val="2C38D844"/>
    <w:lvl w:ilvl="0" w:tplc="08090017">
      <w:start w:val="1"/>
      <w:numFmt w:val="lowerLetter"/>
      <w:lvlText w:val="%1)"/>
      <w:lvlJc w:val="left"/>
      <w:pPr>
        <w:ind w:left="720" w:hanging="360"/>
      </w:pPr>
    </w:lvl>
    <w:lvl w:ilvl="1" w:tplc="3DCE9B2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1E456A"/>
    <w:multiLevelType w:val="multilevel"/>
    <w:tmpl w:val="814CCD48"/>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DEB448E"/>
    <w:multiLevelType w:val="multilevel"/>
    <w:tmpl w:val="74C4249E"/>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65B342FB"/>
    <w:multiLevelType w:val="multilevel"/>
    <w:tmpl w:val="B5C6FC14"/>
    <w:styleLink w:val="WWOutlineListStyle1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lowerLetter"/>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DEC35BB"/>
    <w:multiLevelType w:val="multilevel"/>
    <w:tmpl w:val="1C681F60"/>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49F39B0"/>
    <w:multiLevelType w:val="hybridMultilevel"/>
    <w:tmpl w:val="10C260A6"/>
    <w:lvl w:ilvl="0" w:tplc="08090015">
      <w:start w:val="1"/>
      <w:numFmt w:val="upperLetter"/>
      <w:lvlText w:val="%1."/>
      <w:lvlJc w:val="left"/>
      <w:pPr>
        <w:ind w:left="1068" w:hanging="360"/>
      </w:pPr>
      <w:rPr>
        <w:rFonts w:hint="default"/>
      </w:rPr>
    </w:lvl>
    <w:lvl w:ilvl="1" w:tplc="15722E52">
      <w:start w:val="1"/>
      <w:numFmt w:val="lowerLetter"/>
      <w:lvlText w:val="%2)"/>
      <w:lvlJc w:val="left"/>
      <w:pPr>
        <w:ind w:left="1788" w:hanging="360"/>
      </w:pPr>
      <w:rPr>
        <w:rFonts w:hint="default"/>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nsid w:val="7CAE03A6"/>
    <w:multiLevelType w:val="hybridMultilevel"/>
    <w:tmpl w:val="614C1DC6"/>
    <w:lvl w:ilvl="0" w:tplc="95042C1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7"/>
  </w:num>
  <w:num w:numId="4">
    <w:abstractNumId w:val="15"/>
  </w:num>
  <w:num w:numId="5">
    <w:abstractNumId w:val="10"/>
  </w:num>
  <w:num w:numId="6">
    <w:abstractNumId w:val="14"/>
  </w:num>
  <w:num w:numId="7">
    <w:abstractNumId w:val="8"/>
  </w:num>
  <w:num w:numId="8">
    <w:abstractNumId w:val="3"/>
  </w:num>
  <w:num w:numId="9">
    <w:abstractNumId w:val="2"/>
  </w:num>
  <w:num w:numId="10">
    <w:abstractNumId w:val="6"/>
  </w:num>
  <w:num w:numId="11">
    <w:abstractNumId w:val="4"/>
  </w:num>
  <w:num w:numId="12">
    <w:abstractNumId w:val="12"/>
  </w:num>
  <w:num w:numId="13">
    <w:abstractNumId w:val="11"/>
  </w:num>
  <w:num w:numId="14">
    <w:abstractNumId w:val="19"/>
  </w:num>
  <w:num w:numId="15">
    <w:abstractNumId w:val="1"/>
  </w:num>
  <w:num w:numId="16">
    <w:abstractNumId w:val="5"/>
  </w:num>
  <w:num w:numId="17">
    <w:abstractNumId w:val="7"/>
  </w:num>
  <w:num w:numId="18">
    <w:abstractNumId w:val="18"/>
  </w:num>
  <w:num w:numId="19">
    <w:abstractNumId w:val="0"/>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1D"/>
    <w:rsid w:val="00016733"/>
    <w:rsid w:val="001C683A"/>
    <w:rsid w:val="00261BEC"/>
    <w:rsid w:val="002913F5"/>
    <w:rsid w:val="002934ED"/>
    <w:rsid w:val="0030140A"/>
    <w:rsid w:val="0040088F"/>
    <w:rsid w:val="0040660D"/>
    <w:rsid w:val="004A0042"/>
    <w:rsid w:val="004D70E1"/>
    <w:rsid w:val="004F65BD"/>
    <w:rsid w:val="005560E5"/>
    <w:rsid w:val="00571365"/>
    <w:rsid w:val="005C147F"/>
    <w:rsid w:val="006230C1"/>
    <w:rsid w:val="006A52A0"/>
    <w:rsid w:val="006F067D"/>
    <w:rsid w:val="007145BA"/>
    <w:rsid w:val="0079268B"/>
    <w:rsid w:val="00793D6C"/>
    <w:rsid w:val="007A0325"/>
    <w:rsid w:val="008D7A52"/>
    <w:rsid w:val="008E20A1"/>
    <w:rsid w:val="009364A7"/>
    <w:rsid w:val="00965058"/>
    <w:rsid w:val="00970CCD"/>
    <w:rsid w:val="009A6A7D"/>
    <w:rsid w:val="00A204D5"/>
    <w:rsid w:val="00AA6217"/>
    <w:rsid w:val="00AB0099"/>
    <w:rsid w:val="00AD4AAE"/>
    <w:rsid w:val="00BC3F28"/>
    <w:rsid w:val="00C14E9D"/>
    <w:rsid w:val="00C26EE2"/>
    <w:rsid w:val="00C82129"/>
    <w:rsid w:val="00CD59DC"/>
    <w:rsid w:val="00D079BA"/>
    <w:rsid w:val="00D92B1D"/>
    <w:rsid w:val="00E70866"/>
    <w:rsid w:val="00EB0CD8"/>
    <w:rsid w:val="00EC163D"/>
    <w:rsid w:val="00F50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hAnsi="Times New Roman"/>
      <w:sz w:val="24"/>
    </w:rPr>
  </w:style>
  <w:style w:type="paragraph" w:styleId="Heading1">
    <w:name w:val="heading 1"/>
    <w:basedOn w:val="Normal"/>
    <w:next w:val="Normal"/>
    <w:uiPriority w:val="9"/>
    <w:qFormat/>
    <w:pPr>
      <w:keepNext/>
      <w:keepLines/>
      <w:numPr>
        <w:numId w:val="1"/>
      </w:numPr>
      <w:spacing w:before="240" w:after="0"/>
      <w:outlineLvl w:val="0"/>
    </w:pPr>
    <w:rPr>
      <w:rFonts w:eastAsia="Times New Roman"/>
      <w:b/>
      <w:sz w:val="28"/>
      <w:szCs w:val="32"/>
    </w:rPr>
  </w:style>
  <w:style w:type="paragraph" w:styleId="Heading2">
    <w:name w:val="heading 2"/>
    <w:basedOn w:val="Normal"/>
    <w:next w:val="Normal"/>
    <w:uiPriority w:val="9"/>
    <w:semiHidden/>
    <w:unhideWhenUsed/>
    <w:qFormat/>
    <w:pPr>
      <w:keepNext/>
      <w:keepLines/>
      <w:numPr>
        <w:ilvl w:val="1"/>
        <w:numId w:val="1"/>
      </w:numPr>
      <w:spacing w:before="120" w:after="120"/>
      <w:outlineLvl w:val="1"/>
    </w:pPr>
    <w:rPr>
      <w:rFonts w:eastAsia="Times New Roman"/>
      <w:szCs w:val="26"/>
    </w:rPr>
  </w:style>
  <w:style w:type="paragraph" w:styleId="Heading3">
    <w:name w:val="heading 3"/>
    <w:basedOn w:val="Normal"/>
    <w:next w:val="Normal"/>
    <w:uiPriority w:val="9"/>
    <w:semiHidden/>
    <w:unhideWhenUsed/>
    <w:qFormat/>
    <w:pPr>
      <w:keepNext/>
      <w:keepLines/>
      <w:numPr>
        <w:ilvl w:val="2"/>
        <w:numId w:val="1"/>
      </w:numPr>
      <w:spacing w:before="40" w:after="0"/>
      <w:outlineLvl w:val="2"/>
    </w:pPr>
    <w:rPr>
      <w:rFonts w:eastAsia="Times New Roman"/>
      <w:szCs w:val="24"/>
    </w:rPr>
  </w:style>
  <w:style w:type="paragraph" w:styleId="Heading4">
    <w:name w:val="heading 4"/>
    <w:basedOn w:val="Normal"/>
    <w:next w:val="Normal"/>
    <w:uiPriority w:val="9"/>
    <w:semiHidden/>
    <w:unhideWhenUsed/>
    <w:qFormat/>
    <w:pPr>
      <w:keepNext/>
      <w:keepLines/>
      <w:numPr>
        <w:ilvl w:val="3"/>
        <w:numId w:val="1"/>
      </w:numPr>
      <w:spacing w:before="40" w:after="0"/>
      <w:outlineLvl w:val="3"/>
    </w:pPr>
    <w:rPr>
      <w:rFonts w:ascii="Calibri Light" w:eastAsia="Times New Roman" w:hAnsi="Calibri Light"/>
      <w:i/>
      <w:iCs/>
      <w:color w:val="2E74B5"/>
    </w:rPr>
  </w:style>
  <w:style w:type="paragraph" w:styleId="Heading5">
    <w:name w:val="heading 5"/>
    <w:basedOn w:val="Normal"/>
    <w:next w:val="Normal"/>
    <w:uiPriority w:val="9"/>
    <w:semiHidden/>
    <w:unhideWhenUsed/>
    <w:qFormat/>
    <w:pPr>
      <w:keepNext/>
      <w:keepLines/>
      <w:numPr>
        <w:ilvl w:val="4"/>
        <w:numId w:val="1"/>
      </w:numPr>
      <w:spacing w:before="40" w:after="0"/>
      <w:outlineLvl w:val="4"/>
    </w:pPr>
    <w:rPr>
      <w:rFonts w:ascii="Calibri Light" w:eastAsia="Times New Roman" w:hAnsi="Calibri Light"/>
      <w:color w:val="2E74B5"/>
    </w:rPr>
  </w:style>
  <w:style w:type="paragraph" w:styleId="Heading6">
    <w:name w:val="heading 6"/>
    <w:basedOn w:val="Normal"/>
    <w:next w:val="Normal"/>
    <w:uiPriority w:val="9"/>
    <w:semiHidden/>
    <w:unhideWhenUsed/>
    <w:qFormat/>
    <w:pPr>
      <w:keepNext/>
      <w:keepLines/>
      <w:numPr>
        <w:ilvl w:val="5"/>
        <w:numId w:val="1"/>
      </w:numPr>
      <w:spacing w:before="40" w:after="0"/>
      <w:outlineLvl w:val="5"/>
    </w:pPr>
    <w:rPr>
      <w:rFonts w:ascii="Calibri Light" w:eastAsia="Times New Roman" w:hAnsi="Calibri Light"/>
      <w:color w:val="1F4D78"/>
    </w:rPr>
  </w:style>
  <w:style w:type="paragraph" w:styleId="Heading7">
    <w:name w:val="heading 7"/>
    <w:basedOn w:val="Normal"/>
    <w:next w:val="Normal"/>
    <w:pPr>
      <w:keepNext/>
      <w:keepLines/>
      <w:numPr>
        <w:ilvl w:val="6"/>
        <w:numId w:val="1"/>
      </w:numPr>
      <w:spacing w:before="40" w:after="0"/>
      <w:outlineLvl w:val="6"/>
    </w:pPr>
    <w:rPr>
      <w:rFonts w:ascii="Calibri Light" w:eastAsia="Times New Roman" w:hAnsi="Calibri Light"/>
      <w:i/>
      <w:iCs/>
      <w:color w:val="1F4D78"/>
    </w:rPr>
  </w:style>
  <w:style w:type="paragraph" w:styleId="Heading8">
    <w:name w:val="heading 8"/>
    <w:basedOn w:val="Normal"/>
    <w:next w:val="Normal"/>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basedOn w:val="DefaultParagraphFont"/>
    <w:rPr>
      <w:rFonts w:ascii="Times New Roman" w:eastAsia="Times New Roman" w:hAnsi="Times New Roman" w:cs="Times New Roman"/>
      <w:b/>
      <w:sz w:val="28"/>
      <w:szCs w:val="32"/>
    </w:rPr>
  </w:style>
  <w:style w:type="character" w:customStyle="1" w:styleId="Heading2Char">
    <w:name w:val="Heading 2 Char"/>
    <w:basedOn w:val="DefaultParagraphFont"/>
    <w:rPr>
      <w:rFonts w:ascii="Times New Roman" w:eastAsia="Times New Roman" w:hAnsi="Times New Roman" w:cs="Times New Roman"/>
      <w:sz w:val="24"/>
      <w:szCs w:val="26"/>
    </w:rPr>
  </w:style>
  <w:style w:type="character" w:customStyle="1" w:styleId="Heading3Char">
    <w:name w:val="Heading 3 Char"/>
    <w:basedOn w:val="DefaultParagraphFont"/>
    <w:rPr>
      <w:rFonts w:ascii="Times New Roman" w:eastAsia="Times New Roman" w:hAnsi="Times New Roman" w:cs="Times New Roman"/>
      <w:sz w:val="24"/>
      <w:szCs w:val="24"/>
    </w:rPr>
  </w:style>
  <w:style w:type="character" w:customStyle="1" w:styleId="Heading4Char">
    <w:name w:val="Heading 4 Char"/>
    <w:basedOn w:val="DefaultParagraphFont"/>
    <w:rPr>
      <w:rFonts w:ascii="Calibri Light" w:eastAsia="Times New Roman" w:hAnsi="Calibri Light" w:cs="Times New Roman"/>
      <w:i/>
      <w:iCs/>
      <w:color w:val="2E74B5"/>
      <w:sz w:val="24"/>
    </w:rPr>
  </w:style>
  <w:style w:type="character" w:customStyle="1" w:styleId="Heading5Char">
    <w:name w:val="Heading 5 Char"/>
    <w:basedOn w:val="DefaultParagraphFont"/>
    <w:rPr>
      <w:rFonts w:ascii="Calibri Light" w:eastAsia="Times New Roman" w:hAnsi="Calibri Light" w:cs="Times New Roman"/>
      <w:color w:val="2E74B5"/>
      <w:sz w:val="24"/>
    </w:rPr>
  </w:style>
  <w:style w:type="character" w:customStyle="1" w:styleId="Heading6Char">
    <w:name w:val="Heading 6 Char"/>
    <w:basedOn w:val="DefaultParagraphFont"/>
    <w:rPr>
      <w:rFonts w:ascii="Calibri Light" w:eastAsia="Times New Roman" w:hAnsi="Calibri Light" w:cs="Times New Roman"/>
      <w:color w:val="1F4D78"/>
      <w:sz w:val="24"/>
    </w:rPr>
  </w:style>
  <w:style w:type="character" w:customStyle="1" w:styleId="Heading7Char">
    <w:name w:val="Heading 7 Char"/>
    <w:basedOn w:val="DefaultParagraphFont"/>
    <w:rPr>
      <w:rFonts w:ascii="Calibri Light" w:eastAsia="Times New Roman" w:hAnsi="Calibri Light" w:cs="Times New Roman"/>
      <w:i/>
      <w:iCs/>
      <w:color w:val="1F4D78"/>
      <w:sz w:val="24"/>
    </w:rPr>
  </w:style>
  <w:style w:type="character" w:customStyle="1" w:styleId="Heading8Char">
    <w:name w:val="Heading 8 Char"/>
    <w:basedOn w:val="DefaultParagraphFont"/>
    <w:rPr>
      <w:rFonts w:ascii="Calibri Light" w:eastAsia="Times New Roman" w:hAnsi="Calibri Light" w:cs="Times New Roman"/>
      <w:color w:val="272727"/>
      <w:sz w:val="21"/>
      <w:szCs w:val="21"/>
    </w:rPr>
  </w:style>
  <w:style w:type="character" w:customStyle="1" w:styleId="Heading9Char">
    <w:name w:val="Heading 9 Char"/>
    <w:basedOn w:val="DefaultParagraphFont"/>
    <w:rPr>
      <w:rFonts w:ascii="Calibri Light" w:eastAsia="Times New Roman" w:hAnsi="Calibri Light" w:cs="Times New Roman"/>
      <w:i/>
      <w:iCs/>
      <w:color w:val="272727"/>
      <w:sz w:val="21"/>
      <w:szCs w:val="21"/>
    </w:rPr>
  </w:style>
  <w:style w:type="character" w:styleId="PlaceholderText">
    <w:name w:val="Placeholder Text"/>
    <w:basedOn w:val="DefaultParagraphFont"/>
    <w:rPr>
      <w:color w:val="80808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pPr>
      <w:numPr>
        <w:numId w:val="12"/>
      </w:numPr>
    </w:pPr>
  </w:style>
  <w:style w:type="paragraph" w:styleId="BodyText">
    <w:name w:val="Body Text"/>
    <w:basedOn w:val="Normal"/>
    <w:pPr>
      <w:suppressAutoHyphens w:val="0"/>
      <w:spacing w:before="240" w:after="0"/>
      <w:ind w:left="1134"/>
      <w:jc w:val="both"/>
      <w:textAlignment w:val="auto"/>
    </w:pPr>
    <w:rPr>
      <w:rFonts w:ascii="Arial" w:eastAsia="Times New Roman" w:hAnsi="Arial" w:cs="Arial"/>
      <w:sz w:val="21"/>
      <w:szCs w:val="21"/>
      <w:lang w:val="en-US" w:eastAsia="fr-FR"/>
    </w:rPr>
  </w:style>
  <w:style w:type="character" w:customStyle="1" w:styleId="BodyTextChar">
    <w:name w:val="Body Text Char"/>
    <w:basedOn w:val="DefaultParagraphFont"/>
    <w:rPr>
      <w:rFonts w:ascii="Arial" w:eastAsia="Times New Roman" w:hAnsi="Arial" w:cs="Arial"/>
      <w:sz w:val="21"/>
      <w:szCs w:val="21"/>
      <w:lang w:val="en-US" w:eastAsia="fr-FR"/>
    </w:rPr>
  </w:style>
  <w:style w:type="paragraph" w:styleId="NoSpacing">
    <w:name w:val="No Spacing"/>
    <w:pPr>
      <w:suppressAutoHyphens/>
      <w:spacing w:after="0"/>
    </w:pPr>
    <w:rPr>
      <w:rFonts w:ascii="Times New Roman" w:hAnsi="Times New Roman"/>
      <w:sz w:val="24"/>
    </w:rPr>
  </w:style>
  <w:style w:type="table" w:styleId="TableGrid">
    <w:name w:val="Table Grid"/>
    <w:basedOn w:val="TableNormal"/>
    <w:uiPriority w:val="59"/>
    <w:rsid w:val="004F65BD"/>
    <w:pPr>
      <w:autoSpaceDN/>
      <w:spacing w:after="0"/>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2">
    <w:name w:val="LFO2"/>
    <w:basedOn w:val="NoList"/>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hAnsi="Times New Roman"/>
      <w:sz w:val="24"/>
    </w:rPr>
  </w:style>
  <w:style w:type="paragraph" w:styleId="Heading1">
    <w:name w:val="heading 1"/>
    <w:basedOn w:val="Normal"/>
    <w:next w:val="Normal"/>
    <w:uiPriority w:val="9"/>
    <w:qFormat/>
    <w:pPr>
      <w:keepNext/>
      <w:keepLines/>
      <w:numPr>
        <w:numId w:val="1"/>
      </w:numPr>
      <w:spacing w:before="240" w:after="0"/>
      <w:outlineLvl w:val="0"/>
    </w:pPr>
    <w:rPr>
      <w:rFonts w:eastAsia="Times New Roman"/>
      <w:b/>
      <w:sz w:val="28"/>
      <w:szCs w:val="32"/>
    </w:rPr>
  </w:style>
  <w:style w:type="paragraph" w:styleId="Heading2">
    <w:name w:val="heading 2"/>
    <w:basedOn w:val="Normal"/>
    <w:next w:val="Normal"/>
    <w:uiPriority w:val="9"/>
    <w:semiHidden/>
    <w:unhideWhenUsed/>
    <w:qFormat/>
    <w:pPr>
      <w:keepNext/>
      <w:keepLines/>
      <w:numPr>
        <w:ilvl w:val="1"/>
        <w:numId w:val="1"/>
      </w:numPr>
      <w:spacing w:before="120" w:after="120"/>
      <w:outlineLvl w:val="1"/>
    </w:pPr>
    <w:rPr>
      <w:rFonts w:eastAsia="Times New Roman"/>
      <w:szCs w:val="26"/>
    </w:rPr>
  </w:style>
  <w:style w:type="paragraph" w:styleId="Heading3">
    <w:name w:val="heading 3"/>
    <w:basedOn w:val="Normal"/>
    <w:next w:val="Normal"/>
    <w:uiPriority w:val="9"/>
    <w:semiHidden/>
    <w:unhideWhenUsed/>
    <w:qFormat/>
    <w:pPr>
      <w:keepNext/>
      <w:keepLines/>
      <w:numPr>
        <w:ilvl w:val="2"/>
        <w:numId w:val="1"/>
      </w:numPr>
      <w:spacing w:before="40" w:after="0"/>
      <w:outlineLvl w:val="2"/>
    </w:pPr>
    <w:rPr>
      <w:rFonts w:eastAsia="Times New Roman"/>
      <w:szCs w:val="24"/>
    </w:rPr>
  </w:style>
  <w:style w:type="paragraph" w:styleId="Heading4">
    <w:name w:val="heading 4"/>
    <w:basedOn w:val="Normal"/>
    <w:next w:val="Normal"/>
    <w:uiPriority w:val="9"/>
    <w:semiHidden/>
    <w:unhideWhenUsed/>
    <w:qFormat/>
    <w:pPr>
      <w:keepNext/>
      <w:keepLines/>
      <w:numPr>
        <w:ilvl w:val="3"/>
        <w:numId w:val="1"/>
      </w:numPr>
      <w:spacing w:before="40" w:after="0"/>
      <w:outlineLvl w:val="3"/>
    </w:pPr>
    <w:rPr>
      <w:rFonts w:ascii="Calibri Light" w:eastAsia="Times New Roman" w:hAnsi="Calibri Light"/>
      <w:i/>
      <w:iCs/>
      <w:color w:val="2E74B5"/>
    </w:rPr>
  </w:style>
  <w:style w:type="paragraph" w:styleId="Heading5">
    <w:name w:val="heading 5"/>
    <w:basedOn w:val="Normal"/>
    <w:next w:val="Normal"/>
    <w:uiPriority w:val="9"/>
    <w:semiHidden/>
    <w:unhideWhenUsed/>
    <w:qFormat/>
    <w:pPr>
      <w:keepNext/>
      <w:keepLines/>
      <w:numPr>
        <w:ilvl w:val="4"/>
        <w:numId w:val="1"/>
      </w:numPr>
      <w:spacing w:before="40" w:after="0"/>
      <w:outlineLvl w:val="4"/>
    </w:pPr>
    <w:rPr>
      <w:rFonts w:ascii="Calibri Light" w:eastAsia="Times New Roman" w:hAnsi="Calibri Light"/>
      <w:color w:val="2E74B5"/>
    </w:rPr>
  </w:style>
  <w:style w:type="paragraph" w:styleId="Heading6">
    <w:name w:val="heading 6"/>
    <w:basedOn w:val="Normal"/>
    <w:next w:val="Normal"/>
    <w:uiPriority w:val="9"/>
    <w:semiHidden/>
    <w:unhideWhenUsed/>
    <w:qFormat/>
    <w:pPr>
      <w:keepNext/>
      <w:keepLines/>
      <w:numPr>
        <w:ilvl w:val="5"/>
        <w:numId w:val="1"/>
      </w:numPr>
      <w:spacing w:before="40" w:after="0"/>
      <w:outlineLvl w:val="5"/>
    </w:pPr>
    <w:rPr>
      <w:rFonts w:ascii="Calibri Light" w:eastAsia="Times New Roman" w:hAnsi="Calibri Light"/>
      <w:color w:val="1F4D78"/>
    </w:rPr>
  </w:style>
  <w:style w:type="paragraph" w:styleId="Heading7">
    <w:name w:val="heading 7"/>
    <w:basedOn w:val="Normal"/>
    <w:next w:val="Normal"/>
    <w:pPr>
      <w:keepNext/>
      <w:keepLines/>
      <w:numPr>
        <w:ilvl w:val="6"/>
        <w:numId w:val="1"/>
      </w:numPr>
      <w:spacing w:before="40" w:after="0"/>
      <w:outlineLvl w:val="6"/>
    </w:pPr>
    <w:rPr>
      <w:rFonts w:ascii="Calibri Light" w:eastAsia="Times New Roman" w:hAnsi="Calibri Light"/>
      <w:i/>
      <w:iCs/>
      <w:color w:val="1F4D78"/>
    </w:rPr>
  </w:style>
  <w:style w:type="paragraph" w:styleId="Heading8">
    <w:name w:val="heading 8"/>
    <w:basedOn w:val="Normal"/>
    <w:next w:val="Normal"/>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basedOn w:val="DefaultParagraphFont"/>
    <w:rPr>
      <w:rFonts w:ascii="Times New Roman" w:eastAsia="Times New Roman" w:hAnsi="Times New Roman" w:cs="Times New Roman"/>
      <w:b/>
      <w:sz w:val="28"/>
      <w:szCs w:val="32"/>
    </w:rPr>
  </w:style>
  <w:style w:type="character" w:customStyle="1" w:styleId="Heading2Char">
    <w:name w:val="Heading 2 Char"/>
    <w:basedOn w:val="DefaultParagraphFont"/>
    <w:rPr>
      <w:rFonts w:ascii="Times New Roman" w:eastAsia="Times New Roman" w:hAnsi="Times New Roman" w:cs="Times New Roman"/>
      <w:sz w:val="24"/>
      <w:szCs w:val="26"/>
    </w:rPr>
  </w:style>
  <w:style w:type="character" w:customStyle="1" w:styleId="Heading3Char">
    <w:name w:val="Heading 3 Char"/>
    <w:basedOn w:val="DefaultParagraphFont"/>
    <w:rPr>
      <w:rFonts w:ascii="Times New Roman" w:eastAsia="Times New Roman" w:hAnsi="Times New Roman" w:cs="Times New Roman"/>
      <w:sz w:val="24"/>
      <w:szCs w:val="24"/>
    </w:rPr>
  </w:style>
  <w:style w:type="character" w:customStyle="1" w:styleId="Heading4Char">
    <w:name w:val="Heading 4 Char"/>
    <w:basedOn w:val="DefaultParagraphFont"/>
    <w:rPr>
      <w:rFonts w:ascii="Calibri Light" w:eastAsia="Times New Roman" w:hAnsi="Calibri Light" w:cs="Times New Roman"/>
      <w:i/>
      <w:iCs/>
      <w:color w:val="2E74B5"/>
      <w:sz w:val="24"/>
    </w:rPr>
  </w:style>
  <w:style w:type="character" w:customStyle="1" w:styleId="Heading5Char">
    <w:name w:val="Heading 5 Char"/>
    <w:basedOn w:val="DefaultParagraphFont"/>
    <w:rPr>
      <w:rFonts w:ascii="Calibri Light" w:eastAsia="Times New Roman" w:hAnsi="Calibri Light" w:cs="Times New Roman"/>
      <w:color w:val="2E74B5"/>
      <w:sz w:val="24"/>
    </w:rPr>
  </w:style>
  <w:style w:type="character" w:customStyle="1" w:styleId="Heading6Char">
    <w:name w:val="Heading 6 Char"/>
    <w:basedOn w:val="DefaultParagraphFont"/>
    <w:rPr>
      <w:rFonts w:ascii="Calibri Light" w:eastAsia="Times New Roman" w:hAnsi="Calibri Light" w:cs="Times New Roman"/>
      <w:color w:val="1F4D78"/>
      <w:sz w:val="24"/>
    </w:rPr>
  </w:style>
  <w:style w:type="character" w:customStyle="1" w:styleId="Heading7Char">
    <w:name w:val="Heading 7 Char"/>
    <w:basedOn w:val="DefaultParagraphFont"/>
    <w:rPr>
      <w:rFonts w:ascii="Calibri Light" w:eastAsia="Times New Roman" w:hAnsi="Calibri Light" w:cs="Times New Roman"/>
      <w:i/>
      <w:iCs/>
      <w:color w:val="1F4D78"/>
      <w:sz w:val="24"/>
    </w:rPr>
  </w:style>
  <w:style w:type="character" w:customStyle="1" w:styleId="Heading8Char">
    <w:name w:val="Heading 8 Char"/>
    <w:basedOn w:val="DefaultParagraphFont"/>
    <w:rPr>
      <w:rFonts w:ascii="Calibri Light" w:eastAsia="Times New Roman" w:hAnsi="Calibri Light" w:cs="Times New Roman"/>
      <w:color w:val="272727"/>
      <w:sz w:val="21"/>
      <w:szCs w:val="21"/>
    </w:rPr>
  </w:style>
  <w:style w:type="character" w:customStyle="1" w:styleId="Heading9Char">
    <w:name w:val="Heading 9 Char"/>
    <w:basedOn w:val="DefaultParagraphFont"/>
    <w:rPr>
      <w:rFonts w:ascii="Calibri Light" w:eastAsia="Times New Roman" w:hAnsi="Calibri Light" w:cs="Times New Roman"/>
      <w:i/>
      <w:iCs/>
      <w:color w:val="272727"/>
      <w:sz w:val="21"/>
      <w:szCs w:val="21"/>
    </w:rPr>
  </w:style>
  <w:style w:type="character" w:styleId="PlaceholderText">
    <w:name w:val="Placeholder Text"/>
    <w:basedOn w:val="DefaultParagraphFont"/>
    <w:rPr>
      <w:color w:val="80808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pPr>
      <w:numPr>
        <w:numId w:val="12"/>
      </w:numPr>
    </w:pPr>
  </w:style>
  <w:style w:type="paragraph" w:styleId="BodyText">
    <w:name w:val="Body Text"/>
    <w:basedOn w:val="Normal"/>
    <w:pPr>
      <w:suppressAutoHyphens w:val="0"/>
      <w:spacing w:before="240" w:after="0"/>
      <w:ind w:left="1134"/>
      <w:jc w:val="both"/>
      <w:textAlignment w:val="auto"/>
    </w:pPr>
    <w:rPr>
      <w:rFonts w:ascii="Arial" w:eastAsia="Times New Roman" w:hAnsi="Arial" w:cs="Arial"/>
      <w:sz w:val="21"/>
      <w:szCs w:val="21"/>
      <w:lang w:val="en-US" w:eastAsia="fr-FR"/>
    </w:rPr>
  </w:style>
  <w:style w:type="character" w:customStyle="1" w:styleId="BodyTextChar">
    <w:name w:val="Body Text Char"/>
    <w:basedOn w:val="DefaultParagraphFont"/>
    <w:rPr>
      <w:rFonts w:ascii="Arial" w:eastAsia="Times New Roman" w:hAnsi="Arial" w:cs="Arial"/>
      <w:sz w:val="21"/>
      <w:szCs w:val="21"/>
      <w:lang w:val="en-US" w:eastAsia="fr-FR"/>
    </w:rPr>
  </w:style>
  <w:style w:type="paragraph" w:styleId="NoSpacing">
    <w:name w:val="No Spacing"/>
    <w:pPr>
      <w:suppressAutoHyphens/>
      <w:spacing w:after="0"/>
    </w:pPr>
    <w:rPr>
      <w:rFonts w:ascii="Times New Roman" w:hAnsi="Times New Roman"/>
      <w:sz w:val="24"/>
    </w:rPr>
  </w:style>
  <w:style w:type="table" w:styleId="TableGrid">
    <w:name w:val="Table Grid"/>
    <w:basedOn w:val="TableNormal"/>
    <w:uiPriority w:val="59"/>
    <w:rsid w:val="004F65BD"/>
    <w:pPr>
      <w:autoSpaceDN/>
      <w:spacing w:after="0"/>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2">
    <w:name w:val="LFO2"/>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77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9\Documents\Cerere_APM_Rev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Cerere_APM_Rev04</Template>
  <TotalTime>515</TotalTime>
  <Pages>11</Pages>
  <Words>3981</Words>
  <Characters>22693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Construire Atelier Mecanic</vt:lpstr>
    </vt:vector>
  </TitlesOfParts>
  <Company/>
  <LinksUpToDate>false</LinksUpToDate>
  <CharactersWithSpaces>26621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Construire Atelier Mecanic</dc:title>
  <dc:subject/>
  <dc:creator>Specific Urban</dc:creator>
  <cp:keywords>455.40</cp:keywords>
  <dc:description/>
  <cp:lastModifiedBy>georgeta.anghelescu</cp:lastModifiedBy>
  <cp:revision>14</cp:revision>
  <cp:lastPrinted>2016-10-25T22:46:00Z</cp:lastPrinted>
  <dcterms:created xsi:type="dcterms:W3CDTF">2024-03-15T12:34:00Z</dcterms:created>
  <dcterms:modified xsi:type="dcterms:W3CDTF">2024-08-05T13:14:00Z</dcterms:modified>
</cp:coreProperties>
</file>