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635738">
        <w:rPr>
          <w:rFonts w:ascii="Times New Roman" w:hAnsi="Times New Roman"/>
          <w:b/>
          <w:noProof/>
          <w:sz w:val="28"/>
          <w:szCs w:val="28"/>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753768523" r:id="rId10"/>
        </w:obje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635738">
        <w:rPr>
          <w:rFonts w:ascii="Times New Roman" w:hAnsi="Times New Roman"/>
          <w:sz w:val="28"/>
          <w:szCs w:val="28"/>
          <w:lang w:val="pt-BR"/>
        </w:rPr>
        <w:t>7563/16.08.2023</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8A0CB4">
        <w:rPr>
          <w:rFonts w:ascii="Times New Roman" w:hAnsi="Times New Roman"/>
          <w:b/>
          <w:sz w:val="36"/>
          <w:szCs w:val="36"/>
        </w:rPr>
        <w:t xml:space="preserve">    </w:t>
      </w:r>
      <w:r w:rsidR="00635738">
        <w:rPr>
          <w:rFonts w:ascii="Times New Roman" w:hAnsi="Times New Roman"/>
          <w:b/>
          <w:sz w:val="36"/>
          <w:szCs w:val="36"/>
        </w:rPr>
        <w:t xml:space="preserve"> </w:t>
      </w:r>
      <w:r w:rsidR="008A0CB4">
        <w:rPr>
          <w:rFonts w:ascii="Times New Roman" w:hAnsi="Times New Roman"/>
          <w:b/>
          <w:sz w:val="36"/>
          <w:szCs w:val="36"/>
        </w:rPr>
        <w:t xml:space="preserve"> IUL</w:t>
      </w:r>
      <w:r w:rsidR="00722139">
        <w:rPr>
          <w:rFonts w:ascii="Times New Roman" w:hAnsi="Times New Roman"/>
          <w:b/>
          <w:sz w:val="36"/>
          <w:szCs w:val="36"/>
        </w:rPr>
        <w:t>IE</w:t>
      </w:r>
      <w:r w:rsidR="00D71FF5">
        <w:rPr>
          <w:rFonts w:ascii="Times New Roman" w:hAnsi="Times New Roman"/>
          <w:b/>
          <w:sz w:val="36"/>
          <w:szCs w:val="36"/>
        </w:rPr>
        <w:t xml:space="preserve"> </w:t>
      </w:r>
      <w:r w:rsidR="00753FA7">
        <w:rPr>
          <w:rFonts w:ascii="Times New Roman" w:hAnsi="Times New Roman"/>
          <w:b/>
          <w:sz w:val="36"/>
          <w:szCs w:val="36"/>
        </w:rPr>
        <w:t>2023</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635738"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object w:dxaOrig="1440" w:dyaOrig="1440">
          <v:shape id="_x0000_s1164" type="#_x0000_t75" style="position:absolute;left:0;text-align:left;margin-left:6.3pt;margin-top:6.65pt;width:41.9pt;height:34.45pt;z-index:-251657216">
            <v:imagedata r:id="rId9" o:title=""/>
          </v:shape>
          <o:OLEObject Type="Embed" ProgID="CorelDRAW.Graphic.13" ShapeID="_x0000_s1164" DrawAspect="Content" ObjectID="_1753768524" r:id="rId11"/>
        </w:obje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DF376F"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r>
        <w:rPr>
          <w:sz w:val="28"/>
          <w:szCs w:val="28"/>
        </w:rPr>
        <w:t>P</w:t>
      </w:r>
      <w:r w:rsidR="00986BBC" w:rsidRPr="002C2D78">
        <w:rPr>
          <w:sz w:val="28"/>
          <w:szCs w:val="28"/>
        </w:rPr>
        <w:t>oluanţii monitorizaţi sunt: dioxid de sul</w:t>
      </w:r>
      <w:r w:rsidR="00205622" w:rsidRPr="002C2D78">
        <w:rPr>
          <w:sz w:val="28"/>
          <w:szCs w:val="28"/>
        </w:rPr>
        <w:t>f (SO2), oxizi de azot (NO/N</w:t>
      </w:r>
      <w:r w:rsidR="00B4586E">
        <w:rPr>
          <w:sz w:val="28"/>
          <w:szCs w:val="28"/>
        </w:rPr>
        <w:t>OX</w:t>
      </w:r>
      <w:r w:rsidR="00205622" w:rsidRPr="002C2D78">
        <w:rPr>
          <w:sz w:val="28"/>
          <w:szCs w:val="28"/>
        </w:rPr>
        <w:t>/</w:t>
      </w:r>
      <w:r w:rsidR="00986BBC" w:rsidRPr="002C2D78">
        <w:rPr>
          <w:sz w:val="28"/>
          <w:szCs w:val="28"/>
        </w:rPr>
        <w:t xml:space="preserve">NO2), pulberi în suspensie </w:t>
      </w:r>
      <w:r w:rsidR="004A799B">
        <w:rPr>
          <w:sz w:val="28"/>
          <w:szCs w:val="28"/>
        </w:rPr>
        <w:t xml:space="preserve">(PM10) metoda nefelometrică şi </w:t>
      </w:r>
      <w:r w:rsidR="00675A44" w:rsidRPr="002C2D78">
        <w:rPr>
          <w:sz w:val="28"/>
          <w:szCs w:val="28"/>
        </w:rPr>
        <w:t>cea gravimetrică</w:t>
      </w:r>
      <w:r w:rsidR="00A74CDF">
        <w:rPr>
          <w:sz w:val="28"/>
          <w:szCs w:val="28"/>
        </w:rPr>
        <w:t xml:space="preserve"> şi parametri</w:t>
      </w:r>
      <w:r w:rsidR="00986BBC" w:rsidRPr="002C2D78">
        <w:rPr>
          <w:sz w:val="28"/>
          <w:szCs w:val="28"/>
        </w:rPr>
        <w:t xml:space="preserve"> meteo (direcţia şi viteza vântului, presiune, temperatură, radiaţia solară, umiditate relativă, precipitaţii).</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C22CE9"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437368" w:rsidRDefault="00437368" w:rsidP="00C22CE9">
            <w:pPr>
              <w:jc w:val="center"/>
              <w:rPr>
                <w:rFonts w:ascii="Times New Roman" w:hAnsi="Times New Roman"/>
                <w:sz w:val="28"/>
                <w:szCs w:val="28"/>
              </w:rPr>
            </w:pPr>
            <w:r w:rsidRPr="00437368">
              <w:rPr>
                <w:rFonts w:ascii="Times New Roman" w:hAnsi="Times New Roman"/>
                <w:sz w:val="28"/>
                <w:szCs w:val="28"/>
              </w:rPr>
              <w:t>15</w:t>
            </w:r>
            <w:r w:rsidR="00C22CE9" w:rsidRPr="00437368">
              <w:rPr>
                <w:rFonts w:ascii="Times New Roman" w:hAnsi="Times New Roman"/>
                <w:sz w:val="28"/>
                <w:szCs w:val="28"/>
              </w:rPr>
              <w:t>,</w:t>
            </w:r>
            <w:r w:rsidRPr="00437368">
              <w:rPr>
                <w:rFonts w:ascii="Times New Roman" w:hAnsi="Times New Roman"/>
                <w:sz w:val="28"/>
                <w:szCs w:val="28"/>
              </w:rPr>
              <w:t>59</w:t>
            </w:r>
          </w:p>
        </w:tc>
        <w:tc>
          <w:tcPr>
            <w:tcW w:w="992" w:type="dxa"/>
            <w:tcBorders>
              <w:top w:val="nil"/>
              <w:left w:val="nil"/>
              <w:bottom w:val="single" w:sz="4" w:space="0" w:color="auto"/>
              <w:right w:val="single" w:sz="4" w:space="0" w:color="auto"/>
            </w:tcBorders>
            <w:shd w:val="clear" w:color="auto" w:fill="auto"/>
            <w:vAlign w:val="bottom"/>
          </w:tcPr>
          <w:p w:rsidR="00C22CE9" w:rsidRPr="00437368" w:rsidRDefault="00C22CE9" w:rsidP="00C22CE9">
            <w:pPr>
              <w:jc w:val="center"/>
              <w:rPr>
                <w:rFonts w:ascii="Times New Roman" w:hAnsi="Times New Roman"/>
                <w:bCs/>
                <w:sz w:val="28"/>
                <w:szCs w:val="28"/>
              </w:rPr>
            </w:pPr>
            <w:r w:rsidRPr="00437368">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C22CE9" w:rsidP="00C22CE9">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724CC6" w:rsidRDefault="00C22CE9" w:rsidP="00C22CE9">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2CE9" w:rsidRPr="002F3093" w:rsidRDefault="00437368" w:rsidP="00C22CE9">
            <w:pPr>
              <w:jc w:val="center"/>
              <w:rPr>
                <w:rFonts w:ascii="Times New Roman" w:hAnsi="Times New Roman"/>
                <w:bCs/>
                <w:sz w:val="28"/>
                <w:szCs w:val="28"/>
              </w:rPr>
            </w:pPr>
            <w:r>
              <w:rPr>
                <w:rFonts w:ascii="Times New Roman" w:hAnsi="Times New Roman"/>
                <w:bCs/>
                <w:sz w:val="28"/>
                <w:szCs w:val="28"/>
              </w:rPr>
              <w:t>88,9</w:t>
            </w:r>
            <w:r w:rsidR="00722139">
              <w:rPr>
                <w:rFonts w:ascii="Times New Roman" w:hAnsi="Times New Roman"/>
                <w:bCs/>
                <w:sz w:val="28"/>
                <w:szCs w:val="28"/>
              </w:rPr>
              <w:t>8</w:t>
            </w:r>
          </w:p>
        </w:tc>
      </w:tr>
    </w:tbl>
    <w:p w:rsidR="003F7027" w:rsidRDefault="003F7027" w:rsidP="003F7027">
      <w:pPr>
        <w:jc w:val="both"/>
        <w:rPr>
          <w:rFonts w:ascii="Times New Roman" w:hAnsi="Times New Roman"/>
          <w:sz w:val="28"/>
          <w:szCs w:val="28"/>
        </w:rPr>
      </w:pPr>
    </w:p>
    <w:p w:rsidR="00900201" w:rsidRPr="00900201" w:rsidRDefault="00900201" w:rsidP="00900201">
      <w:pPr>
        <w:jc w:val="both"/>
        <w:rPr>
          <w:rFonts w:ascii="Times New Roman" w:hAnsi="Times New Roman"/>
          <w:b/>
          <w:sz w:val="28"/>
          <w:szCs w:val="28"/>
          <w:lang w:val="en-GB" w:eastAsia="en-GB"/>
        </w:rPr>
      </w:pPr>
      <w:r w:rsidRPr="00900201">
        <w:rPr>
          <w:rFonts w:ascii="Times New Roman" w:hAnsi="Times New Roman"/>
          <w:b/>
          <w:sz w:val="28"/>
          <w:szCs w:val="28"/>
          <w:lang w:val="en-GB" w:eastAsia="en-GB"/>
        </w:rPr>
        <w:t>Obs.:</w:t>
      </w:r>
    </w:p>
    <w:p w:rsidR="00900201" w:rsidRP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NT1 a fost oprită temporar, deoarece sistemul de condi</w:t>
      </w:r>
      <w:r w:rsidRPr="00900201">
        <w:rPr>
          <w:rFonts w:ascii="Times New Roman" w:hAnsi="Times New Roman"/>
          <w:sz w:val="28"/>
          <w:szCs w:val="28"/>
          <w:lang w:eastAsia="en-GB"/>
        </w:rPr>
        <w:t>ț</w:t>
      </w:r>
      <w:r w:rsidRPr="00900201">
        <w:rPr>
          <w:rFonts w:ascii="Times New Roman" w:hAnsi="Times New Roman"/>
          <w:sz w:val="28"/>
          <w:szCs w:val="28"/>
          <w:lang w:val="en-GB" w:eastAsia="en-GB"/>
        </w:rPr>
        <w:t>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eastAsia="en-GB"/>
        </w:rPr>
        <w:t>;</w:t>
      </w:r>
    </w:p>
    <w:p w:rsidR="00900201" w:rsidRDefault="00900201" w:rsidP="00900201">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lang w:val="en-GB" w:eastAsia="en-GB"/>
        </w:rPr>
        <w:t>Stația NT2 a fost oprită temporar, deoarece sistemul de condiționare a climei din interiorul a</w:t>
      </w:r>
      <w:r w:rsidR="001425AA">
        <w:rPr>
          <w:rFonts w:ascii="Times New Roman" w:hAnsi="Times New Roman"/>
          <w:sz w:val="28"/>
          <w:szCs w:val="28"/>
          <w:lang w:val="en-GB" w:eastAsia="en-GB"/>
        </w:rPr>
        <w:t>cesteia este defect</w:t>
      </w:r>
      <w:r>
        <w:rPr>
          <w:rFonts w:ascii="Times New Roman" w:hAnsi="Times New Roman"/>
          <w:sz w:val="28"/>
          <w:szCs w:val="28"/>
          <w:lang w:val="en-GB" w:eastAsia="en-GB"/>
        </w:rPr>
        <w:t>;</w:t>
      </w:r>
    </w:p>
    <w:p w:rsidR="00D52889" w:rsidRPr="00900201" w:rsidRDefault="00BE297E" w:rsidP="00D52889">
      <w:pPr>
        <w:pStyle w:val="ListParagraph"/>
        <w:numPr>
          <w:ilvl w:val="0"/>
          <w:numId w:val="42"/>
        </w:numPr>
        <w:jc w:val="both"/>
        <w:rPr>
          <w:rFonts w:ascii="Times New Roman" w:hAnsi="Times New Roman"/>
          <w:sz w:val="28"/>
          <w:szCs w:val="28"/>
          <w:lang w:val="en-GB" w:eastAsia="en-GB"/>
        </w:rPr>
      </w:pPr>
      <w:r w:rsidRPr="00900201">
        <w:rPr>
          <w:rFonts w:ascii="Times New Roman" w:hAnsi="Times New Roman"/>
          <w:sz w:val="28"/>
          <w:szCs w:val="28"/>
        </w:rPr>
        <w:t>La stația NT3 analizorul</w:t>
      </w:r>
      <w:r w:rsidR="006425AB" w:rsidRPr="00900201">
        <w:rPr>
          <w:rFonts w:ascii="Times New Roman" w:hAnsi="Times New Roman"/>
          <w:sz w:val="28"/>
          <w:szCs w:val="28"/>
        </w:rPr>
        <w:t xml:space="preserve"> de</w:t>
      </w:r>
      <w:r w:rsidR="00D52889" w:rsidRPr="00900201">
        <w:rPr>
          <w:rFonts w:ascii="Times New Roman" w:hAnsi="Times New Roman"/>
          <w:sz w:val="28"/>
          <w:szCs w:val="28"/>
        </w:rPr>
        <w:t xml:space="preserve"> PM 10</w:t>
      </w:r>
      <w:r w:rsidR="001425AA">
        <w:rPr>
          <w:rFonts w:ascii="Times New Roman" w:hAnsi="Times New Roman"/>
          <w:sz w:val="28"/>
          <w:szCs w:val="28"/>
        </w:rPr>
        <w:t>, NOX</w:t>
      </w:r>
      <w:r w:rsidR="00D52889" w:rsidRPr="00900201">
        <w:rPr>
          <w:rFonts w:ascii="Times New Roman" w:hAnsi="Times New Roman"/>
          <w:sz w:val="28"/>
          <w:szCs w:val="28"/>
        </w:rPr>
        <w:t xml:space="preserve"> a fost defect.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alor</w:t>
      </w:r>
      <w:r w:rsidR="001425AA">
        <w:rPr>
          <w:rFonts w:ascii="Times New Roman" w:hAnsi="Times New Roman"/>
          <w:sz w:val="28"/>
          <w:szCs w:val="28"/>
        </w:rPr>
        <w:t>ile măsurate</w:t>
      </w:r>
      <w:r w:rsidRPr="0034684F">
        <w:rPr>
          <w:rFonts w:ascii="Times New Roman" w:hAnsi="Times New Roman"/>
          <w:sz w:val="28"/>
          <w:szCs w:val="28"/>
        </w:rPr>
        <w:t xml:space="preserve"> </w:t>
      </w:r>
      <w:r>
        <w:rPr>
          <w:rFonts w:ascii="Times New Roman" w:hAnsi="Times New Roman"/>
          <w:sz w:val="28"/>
          <w:szCs w:val="28"/>
        </w:rPr>
        <w:t xml:space="preserve"> </w:t>
      </w:r>
      <w:r w:rsidRPr="0034684F">
        <w:rPr>
          <w:rFonts w:ascii="Times New Roman" w:hAnsi="Times New Roman"/>
          <w:sz w:val="28"/>
          <w:szCs w:val="28"/>
        </w:rPr>
        <w:t>sunt  pre</w:t>
      </w:r>
      <w:r w:rsidR="001425AA">
        <w:rPr>
          <w:rFonts w:ascii="Times New Roman" w:hAnsi="Times New Roman"/>
          <w:sz w:val="28"/>
          <w:szCs w:val="28"/>
        </w:rPr>
        <w:t>zentate în graficele</w:t>
      </w:r>
      <w:r>
        <w:rPr>
          <w:rFonts w:ascii="Times New Roman" w:hAnsi="Times New Roman"/>
          <w:sz w:val="28"/>
          <w:szCs w:val="28"/>
        </w:rPr>
        <w:t xml:space="preserve"> de mai jos:</w:t>
      </w:r>
    </w:p>
    <w:p w:rsidR="00322F47" w:rsidRDefault="00322F47"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5B6AA0" w:rsidRDefault="005B6AA0" w:rsidP="00061038">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Neamț - Variația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O2 medii zilnice</w:t>
      </w:r>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5100FB" w:rsidRDefault="005100FB" w:rsidP="00D96204">
      <w:pPr>
        <w:jc w:val="center"/>
        <w:rPr>
          <w:rFonts w:ascii="Times New Roman" w:hAnsi="Times New Roman"/>
          <w:bCs/>
          <w:sz w:val="28"/>
          <w:szCs w:val="28"/>
          <w:lang w:val="en-GB" w:eastAsia="en-GB"/>
        </w:rPr>
      </w:pPr>
    </w:p>
    <w:p w:rsidR="00DB41E8" w:rsidRDefault="005100FB" w:rsidP="00D96204">
      <w:pPr>
        <w:jc w:val="center"/>
        <w:rPr>
          <w:rFonts w:ascii="Times New Roman" w:hAnsi="Times New Roman"/>
          <w:bCs/>
          <w:sz w:val="28"/>
          <w:szCs w:val="28"/>
          <w:lang w:val="en-GB" w:eastAsia="en-GB"/>
        </w:rPr>
      </w:pPr>
      <w:r>
        <w:rPr>
          <w:noProof/>
          <w:lang w:val="en-GB" w:eastAsia="en-GB"/>
        </w:rPr>
        <w:drawing>
          <wp:inline distT="0" distB="0" distL="0" distR="0" wp14:anchorId="792B2F6D" wp14:editId="4016363D">
            <wp:extent cx="6030595" cy="3664915"/>
            <wp:effectExtent l="0" t="0" r="8255" b="0"/>
            <wp:docPr id="1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20" cy="3669913"/>
                    </a:xfrm>
                    <a:prstGeom prst="rect">
                      <a:avLst/>
                    </a:prstGeom>
                    <a:noFill/>
                    <a:ln>
                      <a:noFill/>
                    </a:ln>
                    <a:extLst/>
                  </pic:spPr>
                </pic:pic>
              </a:graphicData>
            </a:graphic>
          </wp:inline>
        </w:drawing>
      </w:r>
    </w:p>
    <w:p w:rsidR="00DB6D4E" w:rsidRDefault="00DB6D4E" w:rsidP="00D96204">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APM Neamț - 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 SO2 medii orare</w:t>
      </w:r>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5100FB" w:rsidRDefault="005100FB" w:rsidP="004F3E2F">
      <w:pPr>
        <w:jc w:val="center"/>
        <w:rPr>
          <w:rFonts w:ascii="Times New Roman" w:hAnsi="Times New Roman"/>
          <w:bCs/>
          <w:sz w:val="28"/>
          <w:szCs w:val="28"/>
          <w:lang w:val="en-GB" w:eastAsia="en-GB"/>
        </w:rPr>
      </w:pPr>
    </w:p>
    <w:p w:rsidR="00DB41E8" w:rsidRDefault="005100FB" w:rsidP="004F3E2F">
      <w:pPr>
        <w:jc w:val="center"/>
        <w:rPr>
          <w:rFonts w:ascii="Times New Roman" w:hAnsi="Times New Roman"/>
          <w:bCs/>
          <w:sz w:val="28"/>
          <w:szCs w:val="28"/>
          <w:lang w:val="en-GB" w:eastAsia="en-GB"/>
        </w:rPr>
      </w:pPr>
      <w:r>
        <w:rPr>
          <w:noProof/>
          <w:lang w:val="en-GB" w:eastAsia="en-GB"/>
        </w:rPr>
        <w:drawing>
          <wp:inline distT="0" distB="0" distL="0" distR="0" wp14:anchorId="6113C2AA" wp14:editId="15849EB6">
            <wp:extent cx="6030595" cy="3745383"/>
            <wp:effectExtent l="0" t="0" r="8255" b="7620"/>
            <wp:docPr id="1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Pictur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5830" cy="3748634"/>
                    </a:xfrm>
                    <a:prstGeom prst="rect">
                      <a:avLst/>
                    </a:prstGeom>
                    <a:noFill/>
                    <a:ln>
                      <a:noFill/>
                    </a:ln>
                    <a:extLst/>
                  </pic:spPr>
                </pic:pic>
              </a:graphicData>
            </a:graphic>
          </wp:inline>
        </w:drawing>
      </w:r>
    </w:p>
    <w:p w:rsidR="00061038" w:rsidRDefault="00061038" w:rsidP="004F3E2F">
      <w:pPr>
        <w:jc w:val="center"/>
        <w:rPr>
          <w:rFonts w:ascii="Times New Roman" w:hAnsi="Times New Roman"/>
          <w:bCs/>
          <w:sz w:val="28"/>
          <w:szCs w:val="28"/>
          <w:lang w:val="en-GB" w:eastAsia="en-GB"/>
        </w:rPr>
      </w:pPr>
    </w:p>
    <w:p w:rsidR="009F19CC" w:rsidRDefault="009F19CC" w:rsidP="009E1340">
      <w:pPr>
        <w:jc w:val="center"/>
        <w:rPr>
          <w:rFonts w:ascii="Times New Roman" w:hAnsi="Times New Roman"/>
          <w:bCs/>
          <w:sz w:val="28"/>
          <w:szCs w:val="28"/>
          <w:lang w:val="en-GB" w:eastAsia="en-GB"/>
        </w:rPr>
      </w:pPr>
    </w:p>
    <w:p w:rsidR="00A50F70" w:rsidRDefault="008B49A2" w:rsidP="00A50F70">
      <w:pPr>
        <w:jc w:val="both"/>
        <w:rPr>
          <w:rFonts w:ascii="Times New Roman" w:hAnsi="Times New Roman"/>
          <w:sz w:val="28"/>
          <w:szCs w:val="28"/>
        </w:rPr>
      </w:pPr>
      <w:r>
        <w:rPr>
          <w:rFonts w:ascii="Times New Roman" w:hAnsi="Times New Roman"/>
          <w:sz w:val="28"/>
          <w:szCs w:val="28"/>
        </w:rPr>
        <w:t>În cursul lunii</w:t>
      </w:r>
      <w:r w:rsidR="001A75DD">
        <w:rPr>
          <w:rFonts w:ascii="Times New Roman" w:hAnsi="Times New Roman"/>
          <w:sz w:val="28"/>
          <w:szCs w:val="28"/>
        </w:rPr>
        <w:t xml:space="preserve"> </w:t>
      </w:r>
      <w:r w:rsidR="00572106">
        <w:rPr>
          <w:rFonts w:ascii="Times New Roman" w:hAnsi="Times New Roman"/>
          <w:b/>
          <w:sz w:val="28"/>
          <w:szCs w:val="28"/>
        </w:rPr>
        <w:t>iul</w:t>
      </w:r>
      <w:r w:rsidR="00722139">
        <w:rPr>
          <w:rFonts w:ascii="Times New Roman" w:hAnsi="Times New Roman"/>
          <w:b/>
          <w:sz w:val="28"/>
          <w:szCs w:val="28"/>
        </w:rPr>
        <w:t>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437368" w:rsidRPr="00437368">
        <w:rPr>
          <w:rFonts w:ascii="Times New Roman" w:hAnsi="Times New Roman"/>
          <w:sz w:val="28"/>
          <w:szCs w:val="28"/>
        </w:rPr>
        <w:t>662</w:t>
      </w:r>
      <w:r w:rsidR="00F9081F" w:rsidRPr="00437368">
        <w:rPr>
          <w:rFonts w:ascii="Times New Roman" w:hAnsi="Times New Roman"/>
          <w:sz w:val="28"/>
          <w:szCs w:val="28"/>
        </w:rPr>
        <w:t xml:space="preserve"> </w:t>
      </w:r>
      <w:r w:rsidR="00F9081F" w:rsidRPr="001A0DBF">
        <w:rPr>
          <w:rFonts w:ascii="Times New Roman" w:hAnsi="Times New Roman"/>
          <w:sz w:val="28"/>
          <w:szCs w:val="28"/>
        </w:rPr>
        <w:t>indicatori medii orar</w:t>
      </w:r>
      <w:r w:rsidR="001425AA">
        <w:rPr>
          <w:rFonts w:ascii="Times New Roman" w:hAnsi="Times New Roman"/>
          <w:sz w:val="28"/>
          <w:szCs w:val="28"/>
        </w:rPr>
        <w:t>e la  staţia din</w:t>
      </w:r>
      <w:r w:rsidR="00F9081F" w:rsidRPr="001A0DBF">
        <w:rPr>
          <w:rFonts w:ascii="Times New Roman" w:hAnsi="Times New Roman"/>
          <w:sz w:val="28"/>
          <w:szCs w:val="28"/>
        </w:rPr>
        <w:t xml:space="preserve">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9E1340" w:rsidRDefault="009E1340"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p w:rsidR="009E1340" w:rsidRDefault="009E1340"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AF2F0F" w:rsidRDefault="00AF2F0F" w:rsidP="007A7349">
      <w:pPr>
        <w:jc w:val="both"/>
        <w:rPr>
          <w:rFonts w:ascii="Times New Roman" w:hAnsi="Times New Roman"/>
          <w:b/>
          <w:sz w:val="28"/>
          <w:szCs w:val="28"/>
        </w:rPr>
      </w:pPr>
    </w:p>
    <w:p w:rsidR="009E1340" w:rsidRDefault="009E1340"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E05462" w:rsidRPr="00061038" w:rsidRDefault="00166FFD" w:rsidP="00061038">
      <w:pPr>
        <w:jc w:val="both"/>
        <w:rPr>
          <w:rFonts w:ascii="Times New Roman" w:hAnsi="Times New Roman"/>
          <w:sz w:val="28"/>
          <w:szCs w:val="28"/>
          <w:lang w:val="en-GB" w:eastAsia="en-GB"/>
        </w:rPr>
      </w:pPr>
      <w:r>
        <w:rPr>
          <w:rFonts w:ascii="Times New Roman" w:hAnsi="Times New Roman"/>
          <w:sz w:val="28"/>
          <w:szCs w:val="28"/>
          <w:lang w:val="en-GB" w:eastAsia="en-GB"/>
        </w:rPr>
        <w:t xml:space="preserve">Stația </w:t>
      </w:r>
      <w:r w:rsidRPr="000C5F59">
        <w:rPr>
          <w:rFonts w:ascii="Times New Roman" w:hAnsi="Times New Roman"/>
          <w:sz w:val="28"/>
          <w:szCs w:val="28"/>
          <w:lang w:val="en-GB" w:eastAsia="en-GB"/>
        </w:rPr>
        <w:t xml:space="preserve">a fost </w:t>
      </w:r>
      <w:r>
        <w:rPr>
          <w:rFonts w:ascii="Times New Roman" w:hAnsi="Times New Roman"/>
          <w:sz w:val="28"/>
          <w:szCs w:val="28"/>
          <w:lang w:val="en-GB" w:eastAsia="en-GB"/>
        </w:rPr>
        <w:t>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w:t>
      </w:r>
      <w:r>
        <w:rPr>
          <w:rFonts w:ascii="Times New Roman" w:hAnsi="Times New Roman"/>
          <w:sz w:val="28"/>
          <w:szCs w:val="28"/>
          <w:lang w:eastAsia="en-GB"/>
        </w:rPr>
        <w:t>ț</w:t>
      </w:r>
      <w:r w:rsidRPr="007659EB">
        <w:rPr>
          <w:rFonts w:ascii="Times New Roman" w:hAnsi="Times New Roman"/>
          <w:sz w:val="28"/>
          <w:szCs w:val="28"/>
          <w:lang w:val="en-GB" w:eastAsia="en-GB"/>
        </w:rPr>
        <w:t>ionare a climei din interiorul</w:t>
      </w:r>
      <w:r w:rsidR="001425AA">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AF2F0F" w:rsidRDefault="00AF2F0F" w:rsidP="00295B20">
      <w:pPr>
        <w:pStyle w:val="ListParagraph"/>
        <w:ind w:left="0"/>
        <w:jc w:val="both"/>
        <w:rPr>
          <w:rFonts w:ascii="Times New Roman" w:hAnsi="Times New Roman"/>
          <w:b/>
          <w:sz w:val="28"/>
          <w:szCs w:val="28"/>
        </w:rPr>
      </w:pPr>
    </w:p>
    <w:p w:rsidR="00D46328" w:rsidRPr="00061038" w:rsidRDefault="00295B20" w:rsidP="00E83DDC">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166FFD" w:rsidRDefault="00166FFD" w:rsidP="00166FFD">
      <w:pPr>
        <w:jc w:val="both"/>
        <w:rPr>
          <w:rFonts w:ascii="Times New Roman" w:hAnsi="Times New Roman"/>
          <w:sz w:val="28"/>
          <w:szCs w:val="28"/>
          <w:lang w:val="en-GB" w:eastAsia="en-GB"/>
        </w:rPr>
      </w:pPr>
    </w:p>
    <w:p w:rsidR="00166FFD" w:rsidRPr="007659EB" w:rsidRDefault="00166FFD" w:rsidP="00166FFD">
      <w:pPr>
        <w:jc w:val="both"/>
        <w:rPr>
          <w:rFonts w:ascii="Times New Roman" w:hAnsi="Times New Roman"/>
          <w:sz w:val="28"/>
          <w:szCs w:val="28"/>
          <w:lang w:val="en-GB" w:eastAsia="en-GB"/>
        </w:rPr>
      </w:pPr>
      <w:r>
        <w:rPr>
          <w:rFonts w:ascii="Times New Roman" w:hAnsi="Times New Roman"/>
          <w:sz w:val="28"/>
          <w:szCs w:val="28"/>
          <w:lang w:val="en-GB" w:eastAsia="en-GB"/>
        </w:rPr>
        <w:t>Staț</w:t>
      </w:r>
      <w:r w:rsidRPr="007659EB">
        <w:rPr>
          <w:rFonts w:ascii="Times New Roman" w:hAnsi="Times New Roman"/>
          <w:sz w:val="28"/>
          <w:szCs w:val="28"/>
          <w:lang w:val="en-GB" w:eastAsia="en-GB"/>
        </w:rPr>
        <w:t xml:space="preserve">ia </w:t>
      </w:r>
      <w:r w:rsidRPr="000C5F59">
        <w:rPr>
          <w:rFonts w:ascii="Times New Roman" w:hAnsi="Times New Roman"/>
          <w:sz w:val="28"/>
          <w:szCs w:val="28"/>
          <w:lang w:val="en-GB" w:eastAsia="en-GB"/>
        </w:rPr>
        <w:t>a fost oprită</w:t>
      </w:r>
      <w:r w:rsidRPr="007659EB">
        <w:rPr>
          <w:rFonts w:ascii="Times New Roman" w:hAnsi="Times New Roman"/>
          <w:sz w:val="28"/>
          <w:szCs w:val="28"/>
          <w:lang w:val="en-GB" w:eastAsia="en-GB"/>
        </w:rPr>
        <w:t xml:space="preserve"> tempo</w:t>
      </w:r>
      <w:r>
        <w:rPr>
          <w:rFonts w:ascii="Times New Roman" w:hAnsi="Times New Roman"/>
          <w:sz w:val="28"/>
          <w:szCs w:val="28"/>
          <w:lang w:val="en-GB" w:eastAsia="en-GB"/>
        </w:rPr>
        <w:t>rar, deoarece sistemul de condiț</w:t>
      </w:r>
      <w:r w:rsidRPr="007659EB">
        <w:rPr>
          <w:rFonts w:ascii="Times New Roman" w:hAnsi="Times New Roman"/>
          <w:sz w:val="28"/>
          <w:szCs w:val="28"/>
          <w:lang w:val="en-GB" w:eastAsia="en-GB"/>
        </w:rPr>
        <w:t>ionare a climei din interiorul</w:t>
      </w:r>
      <w:r w:rsidR="00416726">
        <w:rPr>
          <w:rFonts w:ascii="Times New Roman" w:hAnsi="Times New Roman"/>
          <w:sz w:val="28"/>
          <w:szCs w:val="28"/>
          <w:lang w:val="en-GB" w:eastAsia="en-GB"/>
        </w:rPr>
        <w:t xml:space="preserve"> acesteia este defect</w:t>
      </w:r>
      <w:r w:rsidRPr="007659EB">
        <w:rPr>
          <w:rFonts w:ascii="Times New Roman" w:hAnsi="Times New Roman"/>
          <w:sz w:val="28"/>
          <w:szCs w:val="28"/>
          <w:lang w:val="en-GB" w:eastAsia="en-GB"/>
        </w:rPr>
        <w:t>.</w:t>
      </w:r>
    </w:p>
    <w:p w:rsidR="009F19CC" w:rsidRDefault="009F19CC"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1425AA">
        <w:rPr>
          <w:rFonts w:ascii="Times New Roman" w:hAnsi="Times New Roman"/>
          <w:sz w:val="28"/>
          <w:szCs w:val="28"/>
          <w:lang w:val="it-IT"/>
        </w:rPr>
        <w:t>rmătorii indicatori: SO2</w:t>
      </w:r>
      <w:r w:rsidR="009E549C">
        <w:rPr>
          <w:rFonts w:ascii="Times New Roman" w:hAnsi="Times New Roman"/>
          <w:sz w:val="28"/>
          <w:szCs w:val="28"/>
          <w:lang w:val="it-IT"/>
        </w:rPr>
        <w:t>.</w:t>
      </w:r>
    </w:p>
    <w:p w:rsidR="00527679" w:rsidRDefault="00527679" w:rsidP="005D1FD1">
      <w:pPr>
        <w:autoSpaceDE w:val="0"/>
        <w:autoSpaceDN w:val="0"/>
        <w:adjustRightInd w:val="0"/>
        <w:jc w:val="both"/>
        <w:rPr>
          <w:rFonts w:ascii="Times New Roman" w:hAnsi="Times New Roman"/>
          <w:sz w:val="28"/>
          <w:szCs w:val="28"/>
          <w:lang w:val="it-IT"/>
        </w:rPr>
      </w:pPr>
    </w:p>
    <w:p w:rsidR="004F37EF" w:rsidRDefault="00B943FC" w:rsidP="005D1FD1">
      <w:pPr>
        <w:autoSpaceDE w:val="0"/>
        <w:autoSpaceDN w:val="0"/>
        <w:adjustRightInd w:val="0"/>
        <w:jc w:val="both"/>
        <w:rPr>
          <w:rFonts w:ascii="Times New Roman" w:hAnsi="Times New Roman"/>
          <w:sz w:val="28"/>
          <w:szCs w:val="28"/>
          <w:lang w:val="it-IT"/>
        </w:rPr>
      </w:pPr>
      <w:r>
        <w:rPr>
          <w:noProof/>
          <w:lang w:val="en-GB" w:eastAsia="en-GB"/>
        </w:rPr>
        <w:lastRenderedPageBreak/>
        <w:drawing>
          <wp:inline distT="0" distB="0" distL="0" distR="0" wp14:anchorId="5DB15290" wp14:editId="3EA2AC3E">
            <wp:extent cx="6066845" cy="2905125"/>
            <wp:effectExtent l="0" t="0" r="1016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631D5" w:rsidRDefault="003631D5" w:rsidP="005D1FD1">
      <w:pPr>
        <w:autoSpaceDE w:val="0"/>
        <w:autoSpaceDN w:val="0"/>
        <w:adjustRightInd w:val="0"/>
        <w:jc w:val="both"/>
        <w:rPr>
          <w:rFonts w:ascii="Times New Roman" w:hAnsi="Times New Roman"/>
          <w:sz w:val="28"/>
          <w:szCs w:val="28"/>
          <w:lang w:val="it-IT"/>
        </w:rPr>
      </w:pPr>
    </w:p>
    <w:p w:rsidR="00C55A60" w:rsidRDefault="00C55A60" w:rsidP="003256B1">
      <w:pPr>
        <w:jc w:val="both"/>
        <w:rPr>
          <w:rFonts w:ascii="Times New Roman" w:hAnsi="Times New Roman"/>
          <w:b/>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t xml:space="preserve">I.B. Poluări accidentale: </w:t>
      </w:r>
      <w:r w:rsidRPr="00722139">
        <w:rPr>
          <w:rFonts w:ascii="Times New Roman" w:hAnsi="Times New Roman"/>
          <w:sz w:val="28"/>
          <w:szCs w:val="28"/>
          <w:lang w:val="it-IT"/>
        </w:rPr>
        <w:t>Nu a fost înregistrată nicio poluare accidentală.</w:t>
      </w:r>
    </w:p>
    <w:p w:rsidR="003256B1" w:rsidRPr="00722139"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CC0D05">
        <w:rPr>
          <w:rFonts w:ascii="Times New Roman" w:hAnsi="Times New Roman"/>
          <w:sz w:val="28"/>
          <w:szCs w:val="28"/>
        </w:rPr>
        <w:t xml:space="preserve">– </w:t>
      </w:r>
      <w:r w:rsidR="00C2747A">
        <w:rPr>
          <w:rFonts w:ascii="Times New Roman" w:hAnsi="Times New Roman"/>
          <w:sz w:val="28"/>
          <w:szCs w:val="28"/>
        </w:rPr>
        <w:t>2</w:t>
      </w:r>
      <w:r w:rsidRPr="00CC0D05">
        <w:rPr>
          <w:rFonts w:ascii="Times New Roman" w:hAnsi="Times New Roman"/>
          <w:sz w:val="28"/>
          <w:szCs w:val="28"/>
        </w:rPr>
        <w:t xml:space="preserve"> puncte de vedere</w:t>
      </w:r>
      <w:r w:rsidR="00464E54" w:rsidRPr="00CC0D05">
        <w:rPr>
          <w:rFonts w:ascii="Times New Roman" w:hAnsi="Times New Roman"/>
          <w:sz w:val="28"/>
          <w:szCs w:val="28"/>
        </w:rPr>
        <w:t xml:space="preserve"> </w:t>
      </w:r>
      <w:r w:rsidR="00FA7AB2" w:rsidRPr="00CC0D05">
        <w:rPr>
          <w:rFonts w:ascii="Times New Roman" w:hAnsi="Times New Roman"/>
          <w:sz w:val="28"/>
          <w:szCs w:val="28"/>
        </w:rPr>
        <w:t xml:space="preserve">la care s-au impus condiții de monitorizare sau evaluare a emisiilor </w:t>
      </w:r>
      <w:r w:rsidR="00464E54" w:rsidRPr="00CC0D05">
        <w:rPr>
          <w:rFonts w:ascii="Times New Roman" w:hAnsi="Times New Roman"/>
          <w:sz w:val="28"/>
          <w:szCs w:val="28"/>
        </w:rPr>
        <w:t xml:space="preserve">și verificarea altor </w:t>
      </w:r>
      <w:r w:rsidR="008A0CB4">
        <w:rPr>
          <w:rFonts w:ascii="Times New Roman" w:hAnsi="Times New Roman"/>
          <w:sz w:val="28"/>
          <w:szCs w:val="28"/>
        </w:rPr>
        <w:t>8</w:t>
      </w:r>
      <w:r w:rsidR="0047143F" w:rsidRPr="00CC0D05">
        <w:rPr>
          <w:rFonts w:ascii="Times New Roman" w:hAnsi="Times New Roman"/>
          <w:sz w:val="28"/>
          <w:szCs w:val="28"/>
        </w:rPr>
        <w:t xml:space="preserve"> </w:t>
      </w:r>
      <w:r w:rsidR="00464E54" w:rsidRPr="00CC0D05">
        <w:rPr>
          <w:rFonts w:ascii="Times New Roman" w:hAnsi="Times New Roman"/>
          <w:sz w:val="28"/>
          <w:szCs w:val="28"/>
        </w:rPr>
        <w:t>documentații care nu au necesitat modificări</w:t>
      </w:r>
      <w:r w:rsidR="00175F1D" w:rsidRPr="00CC0D05">
        <w:rPr>
          <w:rFonts w:ascii="Times New Roman" w:hAnsi="Times New Roman"/>
          <w:sz w:val="28"/>
          <w:szCs w:val="28"/>
        </w:rPr>
        <w:t>/completări</w:t>
      </w:r>
      <w:r w:rsidR="00464E54" w:rsidRPr="00CC0D05">
        <w:rPr>
          <w:rFonts w:ascii="Times New Roman" w:hAnsi="Times New Roman"/>
          <w:sz w:val="28"/>
          <w:szCs w:val="28"/>
        </w:rPr>
        <w:t xml:space="preserve"> di</w:t>
      </w:r>
      <w:r w:rsidR="00C339D3" w:rsidRPr="00CC0D05">
        <w:rPr>
          <w:rFonts w:ascii="Times New Roman" w:hAnsi="Times New Roman"/>
          <w:sz w:val="28"/>
          <w:szCs w:val="28"/>
        </w:rPr>
        <w:t>n</w:t>
      </w:r>
      <w:r w:rsidR="00175F1D" w:rsidRPr="00CC0D05">
        <w:rPr>
          <w:rFonts w:ascii="Times New Roman" w:hAnsi="Times New Roman"/>
          <w:sz w:val="28"/>
          <w:szCs w:val="28"/>
        </w:rPr>
        <w:t xml:space="preserve"> punctul de vedere al </w:t>
      </w:r>
      <w:r w:rsidR="00175F1D" w:rsidRPr="004E503C">
        <w:rPr>
          <w:rFonts w:ascii="Times New Roman" w:hAnsi="Times New Roman"/>
          <w:sz w:val="28"/>
          <w:szCs w:val="28"/>
        </w:rPr>
        <w:t>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CC0D05">
        <w:rPr>
          <w:rFonts w:ascii="Times New Roman" w:hAnsi="Times New Roman"/>
          <w:sz w:val="28"/>
          <w:szCs w:val="28"/>
        </w:rPr>
        <w:t xml:space="preserve"> </w:t>
      </w:r>
      <w:r w:rsidRPr="001B521C">
        <w:rPr>
          <w:rFonts w:ascii="Times New Roman" w:hAnsi="Times New Roman"/>
          <w:sz w:val="28"/>
          <w:szCs w:val="28"/>
        </w:rPr>
        <w:t>Completarea ca</w:t>
      </w:r>
      <w:r w:rsidR="00647B01">
        <w:rPr>
          <w:rFonts w:ascii="Times New Roman" w:hAnsi="Times New Roman"/>
          <w:sz w:val="28"/>
          <w:szCs w:val="28"/>
        </w:rPr>
        <w:t>p. Monitorizare și Laboratoare di</w:t>
      </w:r>
      <w:r w:rsidRPr="001B521C">
        <w:rPr>
          <w:rFonts w:ascii="Times New Roman" w:hAnsi="Times New Roman"/>
          <w:sz w:val="28"/>
          <w:szCs w:val="28"/>
        </w:rPr>
        <w:t>n</w:t>
      </w:r>
      <w:r w:rsidR="009C284A">
        <w:rPr>
          <w:rFonts w:ascii="Times New Roman" w:hAnsi="Times New Roman"/>
          <w:sz w:val="28"/>
          <w:szCs w:val="28"/>
        </w:rPr>
        <w:t xml:space="preserve">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S-a</w:t>
      </w:r>
      <w:r w:rsidR="00C2747A">
        <w:rPr>
          <w:rFonts w:ascii="Times New Roman" w:hAnsi="Times New Roman"/>
          <w:noProof/>
          <w:sz w:val="28"/>
          <w:szCs w:val="28"/>
        </w:rPr>
        <w:t>u revizuit Procedurile Generale de Laborator și Procedurile Specifice de Lucru</w:t>
      </w:r>
      <w:r w:rsidRPr="00235AD4">
        <w:rPr>
          <w:rFonts w:ascii="Times New Roman" w:hAnsi="Times New Roman"/>
          <w:sz w:val="28"/>
          <w:szCs w:val="28"/>
        </w:rPr>
        <w:t xml:space="preserve"> </w:t>
      </w:r>
      <w:r w:rsidR="00C2747A">
        <w:rPr>
          <w:rFonts w:ascii="Times New Roman" w:hAnsi="Times New Roman"/>
          <w:sz w:val="28"/>
          <w:szCs w:val="28"/>
        </w:rPr>
        <w:t xml:space="preserve"> specifice</w:t>
      </w:r>
      <w:r w:rsidRPr="00235AD4">
        <w:rPr>
          <w:rFonts w:ascii="Times New Roman" w:hAnsi="Times New Roman"/>
          <w:sz w:val="28"/>
          <w:szCs w:val="28"/>
        </w:rPr>
        <w:t xml:space="preserve"> laboratoarelor din cadrul Serviciului Monitorizare şi Laboratoare în conformitate cu referenţ</w:t>
      </w:r>
      <w:r w:rsidR="00302E20">
        <w:rPr>
          <w:rFonts w:ascii="Times New Roman" w:hAnsi="Times New Roman"/>
          <w:sz w:val="28"/>
          <w:szCs w:val="28"/>
        </w:rPr>
        <w:t>ialul SR EN ISO/ CEI 17025:</w:t>
      </w:r>
      <w:r w:rsidR="00DB41E8">
        <w:rPr>
          <w:rFonts w:ascii="Times New Roman" w:hAnsi="Times New Roman"/>
          <w:sz w:val="28"/>
          <w:szCs w:val="28"/>
        </w:rPr>
        <w:t>2018;</w:t>
      </w:r>
      <w:r w:rsidR="006C2BE7">
        <w:rPr>
          <w:rFonts w:ascii="Times New Roman" w:hAnsi="Times New Roman"/>
          <w:sz w:val="28"/>
          <w:szCs w:val="28"/>
        </w:rPr>
        <w:t xml:space="preserve"> </w:t>
      </w:r>
    </w:p>
    <w:p w:rsidR="008A0CB4" w:rsidRDefault="008A0CB4" w:rsidP="00862937">
      <w:pPr>
        <w:jc w:val="both"/>
        <w:rPr>
          <w:rFonts w:ascii="Times New Roman" w:hAnsi="Times New Roman"/>
          <w:sz w:val="28"/>
          <w:szCs w:val="28"/>
        </w:rPr>
      </w:pPr>
      <w:r>
        <w:rPr>
          <w:rFonts w:ascii="Times New Roman" w:hAnsi="Times New Roman"/>
          <w:sz w:val="28"/>
          <w:szCs w:val="28"/>
        </w:rPr>
        <w:t xml:space="preserve">- Îndrumare pentru efectuarea unui stagiu de practică pentru o studentă;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47143F" w:rsidRPr="000C5F59" w:rsidRDefault="0074106D" w:rsidP="00661704">
      <w:pPr>
        <w:jc w:val="both"/>
        <w:rPr>
          <w:rFonts w:ascii="Times New Roman" w:hAnsi="Times New Roman"/>
          <w:sz w:val="28"/>
          <w:szCs w:val="28"/>
        </w:rPr>
      </w:pPr>
      <w:r>
        <w:rPr>
          <w:rFonts w:ascii="Times New Roman" w:hAnsi="Times New Roman"/>
          <w:sz w:val="28"/>
          <w:szCs w:val="28"/>
        </w:rPr>
        <w:t xml:space="preserve">- </w:t>
      </w:r>
      <w:r w:rsidR="009F0EE0">
        <w:rPr>
          <w:rFonts w:ascii="Times New Roman" w:hAnsi="Times New Roman"/>
          <w:sz w:val="28"/>
          <w:szCs w:val="28"/>
        </w:rPr>
        <w:t>S-a participat la ședințele CAT</w:t>
      </w:r>
      <w:r w:rsidR="00B93065">
        <w:rPr>
          <w:rFonts w:ascii="Times New Roman" w:hAnsi="Times New Roman"/>
          <w:sz w:val="28"/>
          <w:szCs w:val="28"/>
        </w:rPr>
        <w:t xml:space="preserve"> organizate de instituție.</w:t>
      </w:r>
    </w:p>
    <w:p w:rsidR="007B6531" w:rsidRDefault="007B6531"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9E1340" w:rsidRPr="00C2747A"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9E1340" w:rsidRDefault="009E1340" w:rsidP="008D4423">
      <w:pPr>
        <w:jc w:val="both"/>
        <w:rPr>
          <w:rFonts w:ascii="Times New Roman" w:hAnsi="Times New Roman"/>
          <w:b/>
          <w:color w:val="0000FF"/>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w:t>
      </w:r>
      <w:r w:rsidR="00647B01">
        <w:rPr>
          <w:rFonts w:ascii="Times New Roman" w:hAnsi="Times New Roman"/>
          <w:sz w:val="28"/>
          <w:szCs w:val="28"/>
        </w:rPr>
        <w:t xml:space="preserve">ţ (punct de recoltare Stația automată NT1 Piatra </w:t>
      </w:r>
      <w:r w:rsidRPr="00F70CFF">
        <w:rPr>
          <w:rFonts w:ascii="Times New Roman" w:hAnsi="Times New Roman"/>
          <w:sz w:val="28"/>
          <w:szCs w:val="28"/>
        </w:rPr>
        <w:t xml:space="preserve"> Neamţ</w:t>
      </w:r>
      <w:r>
        <w:rPr>
          <w:rFonts w:ascii="Times New Roman" w:hAnsi="Times New Roman"/>
          <w:sz w:val="28"/>
          <w:szCs w:val="28"/>
        </w:rPr>
        <w:t xml:space="preserve"> </w:t>
      </w:r>
      <w:r w:rsidR="00302173">
        <w:rPr>
          <w:rFonts w:ascii="Times New Roman" w:hAnsi="Times New Roman"/>
          <w:sz w:val="28"/>
          <w:szCs w:val="28"/>
        </w:rPr>
        <w:t xml:space="preserve"> și St</w:t>
      </w:r>
      <w:r w:rsidR="008A0CB4">
        <w:rPr>
          <w:rFonts w:ascii="Times New Roman" w:hAnsi="Times New Roman"/>
          <w:sz w:val="28"/>
          <w:szCs w:val="28"/>
        </w:rPr>
        <w:t>ația automată NT3 Taș</w:t>
      </w:r>
      <w:r w:rsidR="00C2747A">
        <w:rPr>
          <w:rFonts w:ascii="Times New Roman" w:hAnsi="Times New Roman"/>
          <w:sz w:val="28"/>
          <w:szCs w:val="28"/>
        </w:rPr>
        <w:t>ca)  câte 2</w:t>
      </w:r>
      <w:r w:rsidR="008A0CB4">
        <w:rPr>
          <w:rFonts w:ascii="Times New Roman" w:hAnsi="Times New Roman"/>
          <w:sz w:val="28"/>
          <w:szCs w:val="28"/>
        </w:rPr>
        <w:t xml:space="preserve"> respectiv 3</w:t>
      </w:r>
      <w:r w:rsidRPr="00751EE9">
        <w:rPr>
          <w:rFonts w:ascii="Times New Roman" w:hAnsi="Times New Roman"/>
          <w:color w:val="FF0000"/>
          <w:sz w:val="28"/>
          <w:szCs w:val="28"/>
        </w:rPr>
        <w:t xml:space="preserve"> </w:t>
      </w:r>
      <w:r w:rsidR="00533F35">
        <w:rPr>
          <w:rFonts w:ascii="Times New Roman" w:hAnsi="Times New Roman"/>
          <w:sz w:val="28"/>
          <w:szCs w:val="28"/>
        </w:rPr>
        <w:t>probe</w:t>
      </w:r>
      <w:r w:rsidR="00302173">
        <w:rPr>
          <w:rFonts w:ascii="Times New Roman" w:hAnsi="Times New Roman"/>
          <w:sz w:val="28"/>
          <w:szCs w:val="28"/>
        </w:rPr>
        <w:t>/punct</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4B0C42" w:rsidRDefault="004B0C42" w:rsidP="00183C17">
      <w:pPr>
        <w:jc w:val="both"/>
        <w:rPr>
          <w:rFonts w:ascii="Times New Roman" w:hAnsi="Times New Roman"/>
          <w:b/>
          <w:color w:val="0000FF"/>
          <w:sz w:val="28"/>
          <w:szCs w:val="28"/>
        </w:rPr>
      </w:pPr>
    </w:p>
    <w:p w:rsidR="004B0C42" w:rsidRPr="0034528B" w:rsidRDefault="004B0C42" w:rsidP="004B0C42">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r w:rsidRPr="0034528B">
        <w:rPr>
          <w:rFonts w:ascii="Times New Roman" w:hAnsi="Times New Roman"/>
          <w:szCs w:val="28"/>
        </w:rPr>
        <w:t xml:space="preserve">Conform Ordinului MMP nr. 1978/2010, la </w:t>
      </w:r>
      <w:r>
        <w:rPr>
          <w:rFonts w:ascii="Times New Roman" w:hAnsi="Times New Roman"/>
          <w:szCs w:val="28"/>
        </w:rPr>
        <w:t>SSRM</w:t>
      </w:r>
      <w:r w:rsidRPr="0034528B">
        <w:rPr>
          <w:rFonts w:ascii="Times New Roman" w:hAnsi="Times New Roman"/>
          <w:szCs w:val="28"/>
        </w:rPr>
        <w:t xml:space="preserve"> Piatra Neamţ s-a executat un program standard de monitorizare a radioactivităţii factorilor de mediu corespunzător unei staţii cu program de 11 ore/zi, iar la </w:t>
      </w:r>
      <w:r>
        <w:rPr>
          <w:rFonts w:ascii="Times New Roman" w:hAnsi="Times New Roman"/>
          <w:szCs w:val="28"/>
        </w:rPr>
        <w:t>SSRM</w:t>
      </w:r>
      <w:r w:rsidRPr="0034528B">
        <w:rPr>
          <w:rFonts w:ascii="Times New Roman" w:hAnsi="Times New Roman"/>
          <w:szCs w:val="28"/>
        </w:rPr>
        <w:t xml:space="preserve"> Toaca un program standard corespunzător unei staţii cu program de 24 ore/zi adaptat pentru o staţie de munte.</w:t>
      </w:r>
    </w:p>
    <w:p w:rsidR="004B0C42" w:rsidRPr="0034528B" w:rsidRDefault="004B0C42" w:rsidP="004B0C42">
      <w:pPr>
        <w:pStyle w:val="BodyTextIndent"/>
        <w:ind w:firstLine="0"/>
        <w:rPr>
          <w:rFonts w:ascii="Times New Roman" w:hAnsi="Times New Roman"/>
          <w:szCs w:val="28"/>
        </w:rPr>
      </w:pPr>
      <w:r w:rsidRPr="009A601E">
        <w:rPr>
          <w:rFonts w:ascii="Times New Roman" w:hAnsi="Times New Roman"/>
          <w:color w:val="000000" w:themeColor="text1"/>
          <w:szCs w:val="28"/>
        </w:rPr>
        <w:t>În urma</w:t>
      </w:r>
      <w:r w:rsidRPr="0034528B">
        <w:rPr>
          <w:rFonts w:ascii="Times New Roman" w:hAnsi="Times New Roman"/>
          <w:szCs w:val="28"/>
        </w:rPr>
        <w:t xml:space="preserve"> executării acestor programe, la cele două SSRM-uri din judeţul Neamţ în luna </w:t>
      </w:r>
      <w:r>
        <w:rPr>
          <w:rFonts w:ascii="Times New Roman" w:hAnsi="Times New Roman"/>
          <w:szCs w:val="28"/>
        </w:rPr>
        <w:t xml:space="preserve">iulie 2023 </w:t>
      </w:r>
      <w:r w:rsidRPr="0034528B">
        <w:rPr>
          <w:rFonts w:ascii="Times New Roman" w:hAnsi="Times New Roman"/>
          <w:szCs w:val="28"/>
        </w:rPr>
        <w:t xml:space="preserve">s-au determinat </w:t>
      </w:r>
      <w:r>
        <w:rPr>
          <w:rFonts w:ascii="Times New Roman" w:hAnsi="Times New Roman"/>
          <w:szCs w:val="28"/>
        </w:rPr>
        <w:t>579</w:t>
      </w:r>
      <w:r>
        <w:rPr>
          <w:rFonts w:ascii="Times New Roman" w:hAnsi="Times New Roman"/>
          <w:color w:val="000000" w:themeColor="text1"/>
          <w:szCs w:val="28"/>
        </w:rPr>
        <w:t xml:space="preserve"> </w:t>
      </w:r>
      <w:r>
        <w:rPr>
          <w:rFonts w:ascii="Times New Roman" w:hAnsi="Times New Roman"/>
          <w:szCs w:val="28"/>
        </w:rPr>
        <w:t xml:space="preserve">indicatori 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beta global</w:t>
      </w:r>
      <w:r>
        <w:rPr>
          <w:rFonts w:ascii="Times New Roman" w:hAnsi="Times New Roman"/>
          <w:szCs w:val="28"/>
        </w:rPr>
        <w:t>ă</w:t>
      </w:r>
      <w:r w:rsidRPr="0034528B">
        <w:rPr>
          <w:rFonts w:ascii="Times New Roman" w:hAnsi="Times New Roman"/>
          <w:szCs w:val="28"/>
        </w:rPr>
        <w:t>,</w:t>
      </w:r>
      <w:r>
        <w:rPr>
          <w:rFonts w:ascii="Times New Roman" w:hAnsi="Times New Roman"/>
          <w:szCs w:val="28"/>
        </w:rPr>
        <w:t xml:space="preserve">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w:t>
      </w:r>
      <w:r w:rsidRPr="0034528B">
        <w:rPr>
          <w:rFonts w:ascii="Times New Roman" w:hAnsi="Times New Roman"/>
          <w:szCs w:val="28"/>
        </w:rPr>
        <w:t xml:space="preserve"> a</w:t>
      </w:r>
      <w:r>
        <w:rPr>
          <w:rFonts w:ascii="Times New Roman" w:hAnsi="Times New Roman"/>
          <w:szCs w:val="28"/>
        </w:rPr>
        <w:t xml:space="preserve"> radonului în aerul atmosferic, 186 </w:t>
      </w:r>
      <w:r w:rsidRPr="0034528B">
        <w:rPr>
          <w:rFonts w:ascii="Times New Roman" w:hAnsi="Times New Roman"/>
          <w:szCs w:val="28"/>
        </w:rPr>
        <w:t xml:space="preserve">indicatori </w:t>
      </w:r>
      <w:r>
        <w:rPr>
          <w:rFonts w:ascii="Times New Roman" w:hAnsi="Times New Roman"/>
          <w:szCs w:val="28"/>
        </w:rPr>
        <w:t xml:space="preserve">referitori la </w:t>
      </w:r>
      <w:r w:rsidRPr="0034528B">
        <w:rPr>
          <w:rFonts w:ascii="Times New Roman" w:hAnsi="Times New Roman"/>
          <w:szCs w:val="28"/>
        </w:rPr>
        <w:t>activit</w:t>
      </w:r>
      <w:r>
        <w:rPr>
          <w:rFonts w:ascii="Times New Roman" w:hAnsi="Times New Roman"/>
          <w:szCs w:val="28"/>
        </w:rPr>
        <w:t xml:space="preserve">atea </w:t>
      </w:r>
      <w:r w:rsidRPr="0034528B">
        <w:rPr>
          <w:rFonts w:ascii="Times New Roman" w:hAnsi="Times New Roman"/>
          <w:szCs w:val="28"/>
        </w:rPr>
        <w:t>specific</w:t>
      </w:r>
      <w:r>
        <w:rPr>
          <w:rFonts w:ascii="Times New Roman" w:hAnsi="Times New Roman"/>
          <w:szCs w:val="28"/>
        </w:rPr>
        <w:t>ă a</w:t>
      </w:r>
      <w:r w:rsidRPr="0034528B">
        <w:rPr>
          <w:rFonts w:ascii="Times New Roman" w:hAnsi="Times New Roman"/>
          <w:szCs w:val="28"/>
        </w:rPr>
        <w:t xml:space="preserve"> toronului în aerul </w:t>
      </w:r>
      <w:r>
        <w:rPr>
          <w:rFonts w:ascii="Times New Roman" w:hAnsi="Times New Roman"/>
          <w:szCs w:val="28"/>
        </w:rPr>
        <w:t>atmosferic şi</w:t>
      </w:r>
      <w:r w:rsidRPr="0034528B">
        <w:rPr>
          <w:rFonts w:ascii="Times New Roman" w:hAnsi="Times New Roman"/>
          <w:szCs w:val="28"/>
        </w:rPr>
        <w:t xml:space="preserve"> </w:t>
      </w:r>
      <w:r>
        <w:rPr>
          <w:rFonts w:ascii="Times New Roman" w:hAnsi="Times New Roman"/>
          <w:szCs w:val="28"/>
        </w:rPr>
        <w:t xml:space="preserve">2976 </w:t>
      </w:r>
      <w:r w:rsidRPr="0034528B">
        <w:rPr>
          <w:rFonts w:ascii="Times New Roman" w:hAnsi="Times New Roman"/>
          <w:szCs w:val="28"/>
        </w:rPr>
        <w:t>de determinări orare ale debitului dozei gama în a</w:t>
      </w:r>
      <w:r>
        <w:rPr>
          <w:rFonts w:ascii="Times New Roman" w:hAnsi="Times New Roman"/>
          <w:szCs w:val="28"/>
        </w:rPr>
        <w:t>tmosfera liberă</w:t>
      </w:r>
      <w:r w:rsidRPr="0034528B">
        <w:rPr>
          <w:rFonts w:ascii="Times New Roman" w:hAnsi="Times New Roman"/>
          <w:szCs w:val="28"/>
        </w:rPr>
        <w:t>.</w:t>
      </w:r>
    </w:p>
    <w:p w:rsidR="004B0C42" w:rsidRDefault="004B0C42" w:rsidP="004B0C4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37</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iulie 2023 </w:t>
      </w:r>
      <w:r w:rsidRPr="0034528B">
        <w:rPr>
          <w:rFonts w:ascii="Times New Roman" w:hAnsi="Times New Roman"/>
          <w:sz w:val="28"/>
          <w:szCs w:val="28"/>
        </w:rPr>
        <w:t>în locaţiile celor două SSRM-uri (</w:t>
      </w:r>
      <w:r>
        <w:rPr>
          <w:rFonts w:ascii="Times New Roman" w:hAnsi="Times New Roman"/>
          <w:sz w:val="28"/>
          <w:szCs w:val="28"/>
        </w:rPr>
        <w:t xml:space="preserve">18 </w:t>
      </w:r>
      <w:r w:rsidRPr="0034528B">
        <w:rPr>
          <w:rFonts w:ascii="Times New Roman" w:hAnsi="Times New Roman"/>
          <w:sz w:val="28"/>
          <w:szCs w:val="28"/>
        </w:rPr>
        <w:t xml:space="preserve">probe la SSRM Piatra Neamţ şi </w:t>
      </w:r>
      <w:r>
        <w:rPr>
          <w:rFonts w:ascii="Times New Roman" w:hAnsi="Times New Roman"/>
          <w:sz w:val="28"/>
          <w:szCs w:val="28"/>
        </w:rPr>
        <w:t>19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4B0C42" w:rsidRPr="008D2D9E" w:rsidRDefault="004B0C42" w:rsidP="004B0C42">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4B0C42" w:rsidRDefault="004B0C42" w:rsidP="004B0C42">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4B0C42" w:rsidRPr="008D2D9E" w:rsidRDefault="004B0C42" w:rsidP="004B0C42">
      <w:pPr>
        <w:autoSpaceDE w:val="0"/>
        <w:autoSpaceDN w:val="0"/>
        <w:adjustRightInd w:val="0"/>
        <w:jc w:val="both"/>
        <w:rPr>
          <w:rFonts w:ascii="Times New Roman" w:hAnsi="Times New Roman"/>
          <w:sz w:val="28"/>
          <w:szCs w:val="28"/>
        </w:rPr>
      </w:pPr>
    </w:p>
    <w:p w:rsidR="004B0C42" w:rsidRDefault="004B0C42" w:rsidP="004B0C42">
      <w:pPr>
        <w:pStyle w:val="BodyTextIndent"/>
        <w:ind w:firstLine="0"/>
        <w:jc w:val="center"/>
        <w:rPr>
          <w:rFonts w:ascii="Times New Roman" w:hAnsi="Times New Roman"/>
          <w:szCs w:val="28"/>
          <w:lang w:val="ro-RO"/>
        </w:rPr>
      </w:pPr>
      <w:r>
        <w:rPr>
          <w:noProof/>
          <w:lang w:eastAsia="en-GB"/>
        </w:rPr>
        <w:lastRenderedPageBreak/>
        <w:drawing>
          <wp:inline distT="0" distB="0" distL="0" distR="0" wp14:anchorId="799E68F1" wp14:editId="4D2CE3E1">
            <wp:extent cx="6119495" cy="2904134"/>
            <wp:effectExtent l="38100" t="38100" r="109855" b="106045"/>
            <wp:docPr id="4" name="Chart 4">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0C42" w:rsidRDefault="004B0C42" w:rsidP="004B0C42">
      <w:pPr>
        <w:autoSpaceDE w:val="0"/>
        <w:autoSpaceDN w:val="0"/>
        <w:adjustRightInd w:val="0"/>
        <w:jc w:val="center"/>
        <w:rPr>
          <w:rFonts w:ascii="Times New Roman" w:eastAsia="ArialMT" w:hAnsi="Times New Roman"/>
          <w:sz w:val="28"/>
          <w:szCs w:val="28"/>
          <w:lang w:eastAsia="en-US"/>
        </w:rPr>
      </w:pPr>
    </w:p>
    <w:p w:rsidR="004B0C42" w:rsidRDefault="004B0C42" w:rsidP="004B0C4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4B0C42" w:rsidRDefault="004B0C42" w:rsidP="004B0C42">
      <w:pPr>
        <w:autoSpaceDE w:val="0"/>
        <w:autoSpaceDN w:val="0"/>
        <w:adjustRightInd w:val="0"/>
        <w:jc w:val="both"/>
        <w:rPr>
          <w:rFonts w:ascii="Times New Roman" w:eastAsia="ArialMT" w:hAnsi="Times New Roman"/>
          <w:color w:val="000000"/>
          <w:sz w:val="28"/>
          <w:szCs w:val="28"/>
          <w:lang w:eastAsia="en-US"/>
        </w:rPr>
      </w:pPr>
    </w:p>
    <w:p w:rsidR="004B0C42" w:rsidRDefault="004B0C42" w:rsidP="004B0C42">
      <w:pPr>
        <w:autoSpaceDE w:val="0"/>
        <w:autoSpaceDN w:val="0"/>
        <w:adjustRightInd w:val="0"/>
        <w:jc w:val="both"/>
        <w:rPr>
          <w:rFonts w:ascii="Times New Roman" w:eastAsia="ArialMT" w:hAnsi="Times New Roman"/>
          <w:color w:val="000000"/>
          <w:sz w:val="28"/>
          <w:szCs w:val="28"/>
          <w:lang w:eastAsia="en-US"/>
        </w:rPr>
      </w:pPr>
    </w:p>
    <w:p w:rsidR="004B0C42" w:rsidRPr="008D2D9E" w:rsidRDefault="004B0C42" w:rsidP="004B0C42">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4B0C42" w:rsidRPr="008D2D9E" w:rsidRDefault="004B0C42" w:rsidP="004B0C42">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4B0C42" w:rsidRPr="008D2D9E" w:rsidRDefault="004B0C42" w:rsidP="004B0C42">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0,792</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11,05</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463</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4,90</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11</w:t>
      </w:r>
      <w:r w:rsidRPr="008D2D9E">
        <w:rPr>
          <w:rFonts w:ascii="Times New Roman" w:hAnsi="Times New Roman"/>
          <w:szCs w:val="28"/>
          <w:lang w:val="ro-RO"/>
        </w:rPr>
        <w:t>÷0,</w:t>
      </w:r>
      <w:r>
        <w:rPr>
          <w:rFonts w:ascii="Times New Roman" w:hAnsi="Times New Roman"/>
          <w:szCs w:val="28"/>
          <w:lang w:val="ro-RO"/>
        </w:rPr>
        <w:t>077</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09</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,077</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4B0C42" w:rsidRDefault="004B0C42" w:rsidP="004B0C42">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B0C42" w:rsidRDefault="004B0C42" w:rsidP="004B0C42">
      <w:pPr>
        <w:autoSpaceDE w:val="0"/>
        <w:autoSpaceDN w:val="0"/>
        <w:adjustRightInd w:val="0"/>
        <w:jc w:val="both"/>
        <w:rPr>
          <w:rFonts w:ascii="Times New Roman" w:hAnsi="Times New Roman"/>
          <w:sz w:val="28"/>
          <w:szCs w:val="28"/>
        </w:rPr>
      </w:pPr>
    </w:p>
    <w:p w:rsidR="004B0C42" w:rsidRDefault="004B0C42" w:rsidP="004B0C42">
      <w:pPr>
        <w:autoSpaceDE w:val="0"/>
        <w:autoSpaceDN w:val="0"/>
        <w:adjustRightInd w:val="0"/>
        <w:jc w:val="center"/>
        <w:rPr>
          <w:rFonts w:ascii="Times New Roman" w:hAnsi="Times New Roman"/>
          <w:sz w:val="28"/>
          <w:szCs w:val="28"/>
        </w:rPr>
      </w:pPr>
      <w:r>
        <w:rPr>
          <w:noProof/>
          <w:lang w:val="en-GB" w:eastAsia="en-GB"/>
        </w:rPr>
        <w:lastRenderedPageBreak/>
        <w:drawing>
          <wp:inline distT="0" distB="0" distL="0" distR="0" wp14:anchorId="4E2F122B" wp14:editId="7ED8D6E1">
            <wp:extent cx="6119495" cy="2955341"/>
            <wp:effectExtent l="38100" t="38100" r="90805" b="92710"/>
            <wp:docPr id="2" name="Chart 2">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0C42" w:rsidRDefault="004B0C42" w:rsidP="004B0C42">
      <w:pPr>
        <w:autoSpaceDE w:val="0"/>
        <w:autoSpaceDN w:val="0"/>
        <w:adjustRightInd w:val="0"/>
        <w:jc w:val="center"/>
        <w:rPr>
          <w:rFonts w:ascii="Times New Roman" w:hAnsi="Times New Roman"/>
          <w:sz w:val="28"/>
          <w:szCs w:val="28"/>
        </w:rPr>
      </w:pPr>
    </w:p>
    <w:p w:rsidR="004B0C42" w:rsidRPr="0034528B" w:rsidRDefault="004B0C42" w:rsidP="004B0C4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4B0C42" w:rsidRDefault="004B0C42" w:rsidP="004B0C4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B0C42" w:rsidRDefault="004B0C42" w:rsidP="004B0C42">
      <w:pPr>
        <w:jc w:val="both"/>
        <w:rPr>
          <w:rFonts w:ascii="Times New Roman" w:hAnsi="Times New Roman"/>
          <w:sz w:val="28"/>
          <w:szCs w:val="28"/>
        </w:rPr>
      </w:pPr>
    </w:p>
    <w:p w:rsidR="004B0C42" w:rsidRDefault="004B0C42" w:rsidP="004B0C42">
      <w:pPr>
        <w:pStyle w:val="BodyTextIndent"/>
        <w:ind w:firstLine="0"/>
        <w:rPr>
          <w:rFonts w:ascii="Times New Roman" w:hAnsi="Times New Roman"/>
          <w:szCs w:val="28"/>
        </w:rPr>
      </w:pPr>
      <w:r>
        <w:rPr>
          <w:rFonts w:ascii="Times New Roman" w:hAnsi="Times New Roman"/>
          <w:szCs w:val="28"/>
        </w:rPr>
        <w:t xml:space="preserve">Debitul dozei gama în atmosfera liberă s-a determinat cu stațiile automate de monitorizare a debitului dozei gama amplasate la Piatra Neamț și, respectiv, pe Ceahlău. </w:t>
      </w:r>
    </w:p>
    <w:p w:rsidR="004B0C42" w:rsidRDefault="004B0C42" w:rsidP="004B0C42">
      <w:pPr>
        <w:pStyle w:val="BodyTextIndent"/>
        <w:ind w:firstLine="0"/>
        <w:rPr>
          <w:rFonts w:ascii="Times New Roman" w:hAnsi="Times New Roman"/>
          <w:szCs w:val="28"/>
        </w:rPr>
      </w:pPr>
      <w:r w:rsidRPr="008D2D9E">
        <w:rPr>
          <w:rFonts w:ascii="Times New Roman" w:eastAsia="ArialMT" w:hAnsi="Times New Roman"/>
          <w:color w:val="000000"/>
          <w:szCs w:val="28"/>
          <w:lang w:eastAsia="en-US"/>
        </w:rPr>
        <w:t>În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este prezentată evoluţia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la SSRM Piatra Neamţ şi SSRM Toaca</w:t>
      </w:r>
      <w:r>
        <w:rPr>
          <w:rFonts w:ascii="Times New Roman" w:eastAsia="ArialMT" w:hAnsi="Times New Roman"/>
          <w:szCs w:val="28"/>
          <w:lang w:eastAsia="en-US"/>
        </w:rPr>
        <w:t>.</w:t>
      </w:r>
      <w:r>
        <w:rPr>
          <w:rFonts w:ascii="Times New Roman" w:hAnsi="Times New Roman"/>
          <w:szCs w:val="28"/>
        </w:rPr>
        <w:t xml:space="preserve"> </w:t>
      </w:r>
    </w:p>
    <w:p w:rsidR="004B0C42" w:rsidRDefault="004B0C42" w:rsidP="004B0C42">
      <w:pPr>
        <w:pStyle w:val="BodyTextIndent"/>
        <w:ind w:firstLine="0"/>
        <w:jc w:val="center"/>
        <w:rPr>
          <w:rFonts w:ascii="Times New Roman" w:eastAsia="ArialMT" w:hAnsi="Times New Roman"/>
          <w:szCs w:val="28"/>
          <w:lang w:eastAsia="en-US"/>
        </w:rPr>
      </w:pPr>
      <w:r>
        <w:rPr>
          <w:noProof/>
          <w:lang w:eastAsia="en-GB"/>
        </w:rPr>
        <w:drawing>
          <wp:inline distT="0" distB="0" distL="0" distR="0" wp14:anchorId="5FB87F15" wp14:editId="43F02085">
            <wp:extent cx="5946775" cy="2772461"/>
            <wp:effectExtent l="38100" t="38100" r="92075" b="10414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0C42" w:rsidRDefault="004B0C42" w:rsidP="004B0C42">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4B0C42" w:rsidRDefault="004B0C42" w:rsidP="004B0C42">
      <w:pPr>
        <w:jc w:val="both"/>
        <w:rPr>
          <w:rFonts w:ascii="Times New Roman" w:hAnsi="Times New Roman"/>
          <w:sz w:val="28"/>
          <w:szCs w:val="28"/>
        </w:rPr>
      </w:pPr>
    </w:p>
    <w:p w:rsidR="004B0C42" w:rsidRPr="00BA5559" w:rsidRDefault="004B0C42" w:rsidP="004B0C42">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 xml:space="preserve">pentru </w:t>
      </w:r>
      <w:r w:rsidRPr="00BA5559">
        <w:rPr>
          <w:rFonts w:ascii="Times New Roman" w:hAnsi="Times New Roman"/>
          <w:sz w:val="28"/>
          <w:szCs w:val="28"/>
        </w:rPr>
        <w:lastRenderedPageBreak/>
        <w:t>activităţile specifice beta globale imediate (</w:t>
      </w:r>
      <w:r>
        <w:rPr>
          <w:rFonts w:ascii="Times New Roman" w:hAnsi="Times New Roman"/>
          <w:color w:val="000000" w:themeColor="text1"/>
          <w:sz w:val="28"/>
          <w:szCs w:val="28"/>
        </w:rPr>
        <w:t>161,1</w:t>
      </w:r>
      <w:r w:rsidRPr="00BA5559">
        <w:rPr>
          <w:rFonts w:ascii="Times New Roman" w:hAnsi="Times New Roman"/>
          <w:sz w:val="28"/>
          <w:szCs w:val="28"/>
        </w:rPr>
        <w:t>÷</w:t>
      </w:r>
      <w:r>
        <w:rPr>
          <w:rFonts w:ascii="Times New Roman" w:hAnsi="Times New Roman"/>
          <w:sz w:val="28"/>
          <w:szCs w:val="28"/>
        </w:rPr>
        <w:t>393,4</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iulie</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xml:space="preserve">. Activităţile specifice beta globale  după 5 zile de la prelevare au fost în totalitate </w:t>
      </w:r>
      <w:r>
        <w:rPr>
          <w:rFonts w:ascii="Times New Roman" w:hAnsi="Times New Roman"/>
          <w:sz w:val="28"/>
          <w:szCs w:val="28"/>
        </w:rPr>
        <w:t>iulie</w:t>
      </w:r>
      <w:r w:rsidRPr="000E45CA">
        <w:rPr>
          <w:rFonts w:ascii="Times New Roman" w:hAnsi="Times New Roman"/>
          <w:sz w:val="28"/>
          <w:szCs w:val="28"/>
        </w:rPr>
        <w:t xml:space="preserve"> mici decât cele imediate.</w:t>
      </w:r>
    </w:p>
    <w:p w:rsidR="004B0C42" w:rsidRDefault="004B0C42" w:rsidP="004B0C42">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(245,2 – 335,5 Bq/Kg) la SSRM Piatra Neamț și la SSRM Toaca (194,2 – 248,1 Bq/Kg),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636,4 – 833,3 B</w:t>
      </w:r>
      <w:r w:rsidRPr="006C111D">
        <w:rPr>
          <w:rFonts w:ascii="Times New Roman" w:hAnsi="Times New Roman"/>
          <w:sz w:val="28"/>
          <w:szCs w:val="28"/>
        </w:rPr>
        <w:t>q/Kg)</w:t>
      </w:r>
      <w:r>
        <w:rPr>
          <w:rFonts w:ascii="Times New Roman" w:hAnsi="Times New Roman"/>
          <w:sz w:val="28"/>
          <w:szCs w:val="28"/>
        </w:rPr>
        <w:t xml:space="preserve"> la SSRM Piatra Neamț și la (586,2 – 663,3 Bq/Kg) la SSRM Toaca,</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4B0C42" w:rsidRDefault="004B0C42" w:rsidP="004B0C42">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iulie 2023 de la cele două SSRM-uri din judeţul Neamţ au fost trimise la APM Iaşi pentru efectuarea la SSRM Iaşi a măsurătorilor gama spectrometrice. </w:t>
      </w:r>
    </w:p>
    <w:p w:rsidR="004B0C42" w:rsidRDefault="004B0C42" w:rsidP="004B0C42">
      <w:pPr>
        <w:jc w:val="both"/>
        <w:rPr>
          <w:rFonts w:ascii="Times New Roman" w:hAnsi="Times New Roman"/>
          <w:sz w:val="28"/>
          <w:szCs w:val="28"/>
        </w:rPr>
      </w:pPr>
      <w:r>
        <w:rPr>
          <w:rFonts w:ascii="Times New Roman" w:hAnsi="Times New Roman"/>
          <w:sz w:val="28"/>
          <w:szCs w:val="28"/>
        </w:rPr>
        <w:t xml:space="preserve">La SSRM Toaca s-au prelevat probele anuale de vegetație spontană și sol necultivat. Probele au fost pregătite pentru măsurare la SSRM Toaca. S-a determinat activitatea beta globală a probelor şi apoi au fost trimise la APM Iaşi pentru efectuarea la SSRM Iaşi a măsurătorilor gama spectrometrice. </w:t>
      </w:r>
    </w:p>
    <w:p w:rsidR="004B0C42" w:rsidRDefault="004B0C42" w:rsidP="004B0C42">
      <w:pPr>
        <w:jc w:val="both"/>
        <w:rPr>
          <w:rFonts w:ascii="Times New Roman" w:hAnsi="Times New Roman"/>
          <w:sz w:val="28"/>
          <w:szCs w:val="28"/>
        </w:rPr>
      </w:pPr>
      <w:r>
        <w:rPr>
          <w:rFonts w:ascii="Times New Roman" w:hAnsi="Times New Roman"/>
          <w:sz w:val="28"/>
          <w:szCs w:val="28"/>
        </w:rPr>
        <w:t xml:space="preserve">Deasemenea la SSRM Piatra Neamț s-a recoltat proba anuală de sol necultivat. La SSRM Piatra Neamţ această probă a fost pregătită pentru efectuarea determinărilor impuse prin program, s-a determinat activitatea beta globală a probei şi a fost trimisă la APM Iaşi în vederea efectuării la SSRM Iaşi a măsurătorilor gama spectrometrice. </w:t>
      </w:r>
    </w:p>
    <w:p w:rsidR="004B0C42" w:rsidRDefault="004B0C42" w:rsidP="004B0C42">
      <w:pPr>
        <w:jc w:val="both"/>
        <w:rPr>
          <w:rFonts w:ascii="Times New Roman" w:hAnsi="Times New Roman"/>
          <w:sz w:val="28"/>
          <w:szCs w:val="28"/>
        </w:rPr>
      </w:pPr>
    </w:p>
    <w:p w:rsidR="004B0C42" w:rsidRDefault="004B0C42" w:rsidP="004B0C42">
      <w:pPr>
        <w:jc w:val="both"/>
        <w:rPr>
          <w:rFonts w:ascii="Times New Roman" w:hAnsi="Times New Roman"/>
          <w:sz w:val="28"/>
          <w:szCs w:val="28"/>
        </w:rPr>
      </w:pPr>
      <w:r>
        <w:rPr>
          <w:rFonts w:ascii="Times New Roman" w:hAnsi="Times New Roman"/>
          <w:sz w:val="28"/>
          <w:szCs w:val="28"/>
        </w:rPr>
        <w:t>La SSRM Piatra Neamț probele anuale de muşchi de pământ  și sol de sub mușchi au fost recoltate din zona Bisericani. Probele au fost pregătite pentru măsurare la SSRM Piatra Neamț. S-a determinat activitatea beta globală a probelor şi apoi au fost trimise la SLR/LNRR pentru efectuarea de determinări gama spectrometrice şi/sau radiochimice.</w:t>
      </w:r>
    </w:p>
    <w:p w:rsidR="004B0C42" w:rsidRDefault="004B0C42" w:rsidP="004B0C42">
      <w:pPr>
        <w:jc w:val="both"/>
        <w:rPr>
          <w:rFonts w:ascii="Times New Roman" w:hAnsi="Times New Roman"/>
          <w:sz w:val="28"/>
          <w:szCs w:val="28"/>
        </w:rPr>
      </w:pPr>
    </w:p>
    <w:p w:rsidR="004B0C42" w:rsidRDefault="004B0C42" w:rsidP="004B0C42">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iulie 2023 privind radioactivitatea factorilor de mediu monitorizaţi la cele două staţii din judeţul Neamţ. </w:t>
      </w:r>
    </w:p>
    <w:p w:rsidR="004B0C42" w:rsidRPr="0034528B" w:rsidRDefault="004B0C42" w:rsidP="004B0C42">
      <w:pPr>
        <w:pStyle w:val="Style1"/>
        <w:adjustRightInd/>
        <w:jc w:val="both"/>
        <w:rPr>
          <w:sz w:val="28"/>
          <w:szCs w:val="28"/>
        </w:rPr>
      </w:pPr>
      <w:r>
        <w:rPr>
          <w:sz w:val="28"/>
          <w:szCs w:val="28"/>
        </w:rPr>
        <w:t>Nu s-au primit de la SLR-LNRR sau APM Iaşi invalidări ale unor date transmise  anterior şi nici rezultatele măsurătorilor gama spectrometrice sau radiochimice  efectuate pe probele trimise până acum.</w:t>
      </w:r>
    </w:p>
    <w:p w:rsidR="009E1340" w:rsidRPr="0034528B" w:rsidRDefault="009E1340" w:rsidP="009E1340">
      <w:pPr>
        <w:ind w:left="360"/>
        <w:jc w:val="center"/>
        <w:rPr>
          <w:rFonts w:ascii="Times New Roman" w:hAnsi="Times New Roman"/>
          <w:b/>
          <w:sz w:val="28"/>
          <w:szCs w:val="28"/>
        </w:rPr>
      </w:pPr>
    </w:p>
    <w:p w:rsidR="008A0CB4" w:rsidRDefault="008A0CB4" w:rsidP="00964773">
      <w:pPr>
        <w:jc w:val="both"/>
        <w:rPr>
          <w:rFonts w:ascii="Times New Roman" w:hAnsi="Times New Roman"/>
          <w:b/>
          <w:color w:val="0000FF"/>
          <w:sz w:val="28"/>
          <w:szCs w:val="28"/>
        </w:rPr>
      </w:pPr>
    </w:p>
    <w:p w:rsidR="00FC3EED" w:rsidRDefault="00FC3EED" w:rsidP="00964773">
      <w:pPr>
        <w:jc w:val="both"/>
        <w:rPr>
          <w:rFonts w:ascii="Times New Roman" w:hAnsi="Times New Roman"/>
          <w:b/>
          <w:color w:val="0000FF"/>
          <w:sz w:val="28"/>
          <w:szCs w:val="28"/>
        </w:rPr>
      </w:pPr>
    </w:p>
    <w:p w:rsidR="00FC3EED" w:rsidRDefault="00FC3EED" w:rsidP="00964773">
      <w:pPr>
        <w:jc w:val="both"/>
        <w:rPr>
          <w:rFonts w:ascii="Times New Roman" w:hAnsi="Times New Roman"/>
          <w:b/>
          <w:color w:val="0000FF"/>
          <w:sz w:val="28"/>
          <w:szCs w:val="28"/>
        </w:rPr>
      </w:pPr>
    </w:p>
    <w:p w:rsidR="00FC3EED" w:rsidRDefault="00FC3EED" w:rsidP="00964773">
      <w:pPr>
        <w:jc w:val="both"/>
        <w:rPr>
          <w:rFonts w:ascii="Times New Roman" w:hAnsi="Times New Roman"/>
          <w:b/>
          <w:color w:val="0000FF"/>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8A0CB4">
        <w:rPr>
          <w:rFonts w:ascii="Times New Roman" w:hAnsi="Times New Roman"/>
          <w:b/>
          <w:sz w:val="28"/>
          <w:szCs w:val="28"/>
        </w:rPr>
        <w:t>iul</w:t>
      </w:r>
      <w:r w:rsidR="00C2747A">
        <w:rPr>
          <w:rFonts w:ascii="Times New Roman" w:hAnsi="Times New Roman"/>
          <w:b/>
          <w:sz w:val="28"/>
          <w:szCs w:val="28"/>
        </w:rPr>
        <w:t>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37368" w:rsidRDefault="00437368" w:rsidP="00437368">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36</w:t>
      </w:r>
      <w:r w:rsidRPr="00CC27D5">
        <w:rPr>
          <w:rFonts w:ascii="Times New Roman" w:hAnsi="Times New Roman"/>
          <w:sz w:val="28"/>
          <w:szCs w:val="28"/>
        </w:rPr>
        <w:t xml:space="preserve"> puncte de vedere);</w:t>
      </w:r>
    </w:p>
    <w:p w:rsidR="00437368" w:rsidRPr="00116DE0" w:rsidRDefault="00437368" w:rsidP="00437368">
      <w:pPr>
        <w:numPr>
          <w:ilvl w:val="0"/>
          <w:numId w:val="5"/>
        </w:numPr>
        <w:tabs>
          <w:tab w:val="clear" w:pos="10142"/>
          <w:tab w:val="num" w:pos="360"/>
        </w:tabs>
        <w:ind w:left="360"/>
        <w:jc w:val="both"/>
        <w:rPr>
          <w:rFonts w:ascii="Times New Roman" w:hAnsi="Times New Roman"/>
          <w:sz w:val="28"/>
          <w:szCs w:val="28"/>
        </w:rPr>
      </w:pPr>
      <w:r w:rsidRPr="00CC27D5">
        <w:rPr>
          <w:rFonts w:ascii="Times New Roman" w:hAnsi="Times New Roman"/>
          <w:sz w:val="28"/>
          <w:szCs w:val="28"/>
        </w:rPr>
        <w:t xml:space="preserve">S-au emis puncte de vedere legate de amplasarea anumitor perimetre de </w:t>
      </w:r>
      <w:r w:rsidRPr="00116DE0">
        <w:rPr>
          <w:rFonts w:ascii="Times New Roman" w:hAnsi="Times New Roman"/>
          <w:sz w:val="28"/>
          <w:szCs w:val="28"/>
        </w:rPr>
        <w:t xml:space="preserve">exploatare agregate minerale sau exploatare carieră de piatră vis-a-vis de ariile naturale protejate; </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S-au verificat coordonatele STEREO 1970 ale notificarilor privind eliberarea actelor de reglementare;</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 xml:space="preserve">S-a participat în perioada 10-13 iulie la sesiunea de instruire privind </w:t>
      </w:r>
      <w:r w:rsidRPr="00116DE0">
        <w:rPr>
          <w:rFonts w:ascii="Times New Roman" w:hAnsi="Times New Roman"/>
          <w:sz w:val="28"/>
          <w:szCs w:val="28"/>
          <w:lang w:val="en-US"/>
        </w:rPr>
        <w:t>“</w:t>
      </w:r>
      <w:r w:rsidRPr="00116DE0">
        <w:rPr>
          <w:rFonts w:ascii="Times New Roman" w:hAnsi="Times New Roman"/>
          <w:i/>
          <w:sz w:val="28"/>
          <w:szCs w:val="28"/>
        </w:rPr>
        <w:t>Managementul adecvat al speciilor invazive din România, în conformitate cu Regulamentul UE 1143/2014 referitor la prevenirea și gestionarea introducerii și răspândirii speciilor alogene invazive</w:t>
      </w:r>
      <w:r w:rsidRPr="00116DE0">
        <w:rPr>
          <w:rFonts w:ascii="Times New Roman" w:hAnsi="Times New Roman"/>
          <w:sz w:val="28"/>
          <w:szCs w:val="28"/>
        </w:rPr>
        <w:t>”, organizat de către Ministerul Mediului, și Pădurilor la Suceava;</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S-au eliberat două Declarații ale Autorității Responsabile cu Monitorizarea Siturilor Natura 2000;</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Au fost emise 4 autorizații pentru recoltarea plantelor din flora sălbatică/ capturarea de animale din fauna sălbatică;</w:t>
      </w:r>
    </w:p>
    <w:p w:rsidR="00437368" w:rsidRPr="00116DE0" w:rsidRDefault="00437368" w:rsidP="00437368">
      <w:pPr>
        <w:numPr>
          <w:ilvl w:val="0"/>
          <w:numId w:val="5"/>
        </w:numPr>
        <w:tabs>
          <w:tab w:val="clear" w:pos="10142"/>
          <w:tab w:val="num" w:pos="360"/>
        </w:tabs>
        <w:ind w:left="360"/>
        <w:jc w:val="both"/>
        <w:rPr>
          <w:rFonts w:ascii="Times New Roman" w:hAnsi="Times New Roman"/>
          <w:bCs/>
          <w:sz w:val="28"/>
          <w:szCs w:val="28"/>
        </w:rPr>
      </w:pPr>
      <w:r w:rsidRPr="00116DE0">
        <w:rPr>
          <w:rFonts w:ascii="Times New Roman" w:hAnsi="Times New Roman"/>
          <w:sz w:val="28"/>
          <w:szCs w:val="28"/>
        </w:rPr>
        <w:t>S-a participat la 11 comisii de evaluare și constatare a pagubelor produse de animale de interes cinegetic și s-au încheiat 19 procese verbale de constatare în vederea acordării despăgubirilor.</w:t>
      </w:r>
    </w:p>
    <w:p w:rsidR="00437368" w:rsidRPr="00CC27D5" w:rsidRDefault="00437368" w:rsidP="00437368">
      <w:pPr>
        <w:jc w:val="both"/>
        <w:rPr>
          <w:rFonts w:ascii="Times New Roman" w:hAnsi="Times New Roman"/>
          <w:sz w:val="28"/>
          <w:szCs w:val="28"/>
        </w:rPr>
      </w:pPr>
    </w:p>
    <w:p w:rsidR="006F375B" w:rsidRDefault="006F375B" w:rsidP="002D10D2">
      <w:pPr>
        <w:jc w:val="both"/>
        <w:rPr>
          <w:rFonts w:ascii="Times New Roman" w:hAnsi="Times New Roman"/>
          <w:b/>
          <w:color w:val="0000FF"/>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Default="002D10D2" w:rsidP="00E05462">
      <w:pPr>
        <w:tabs>
          <w:tab w:val="left" w:pos="8325"/>
        </w:tabs>
        <w:jc w:val="both"/>
        <w:rPr>
          <w:rFonts w:ascii="Times New Roman" w:hAnsi="Times New Roman"/>
          <w:sz w:val="28"/>
          <w:szCs w:val="28"/>
        </w:rPr>
      </w:pPr>
      <w:r w:rsidRPr="00E01AEA">
        <w:rPr>
          <w:rFonts w:ascii="Times New Roman" w:hAnsi="Times New Roman"/>
          <w:sz w:val="28"/>
          <w:szCs w:val="28"/>
        </w:rPr>
        <w:t xml:space="preserve">În cursul lunii </w:t>
      </w:r>
      <w:r w:rsidRPr="00E01AEA">
        <w:rPr>
          <w:rFonts w:ascii="Times New Roman" w:hAnsi="Times New Roman"/>
          <w:b/>
          <w:sz w:val="28"/>
          <w:szCs w:val="28"/>
        </w:rPr>
        <w:t xml:space="preserve"> </w:t>
      </w:r>
      <w:r w:rsidR="008A0CB4">
        <w:rPr>
          <w:rFonts w:ascii="Times New Roman" w:hAnsi="Times New Roman"/>
          <w:b/>
          <w:sz w:val="28"/>
          <w:szCs w:val="28"/>
        </w:rPr>
        <w:t>iul</w:t>
      </w:r>
      <w:r w:rsidR="00C2747A">
        <w:rPr>
          <w:rFonts w:ascii="Times New Roman" w:hAnsi="Times New Roman"/>
          <w:b/>
          <w:sz w:val="28"/>
          <w:szCs w:val="28"/>
        </w:rPr>
        <w:t>ie</w:t>
      </w:r>
      <w:r w:rsidR="00E161F3" w:rsidRPr="00E01AEA">
        <w:rPr>
          <w:rFonts w:ascii="Times New Roman" w:hAnsi="Times New Roman"/>
          <w:b/>
          <w:sz w:val="28"/>
          <w:szCs w:val="28"/>
        </w:rPr>
        <w:t xml:space="preserve"> </w:t>
      </w:r>
      <w:r w:rsidRPr="00E01AEA">
        <w:rPr>
          <w:rFonts w:ascii="Times New Roman" w:hAnsi="Times New Roman"/>
          <w:sz w:val="28"/>
          <w:szCs w:val="28"/>
        </w:rPr>
        <w:t>s-au realizat următoarele activităţi mai importante:</w:t>
      </w:r>
    </w:p>
    <w:p w:rsidR="009E1340" w:rsidRPr="009E1340" w:rsidRDefault="009E1340" w:rsidP="009E1340">
      <w:pPr>
        <w:pStyle w:val="ListBullet"/>
        <w:tabs>
          <w:tab w:val="clear" w:pos="0"/>
        </w:tabs>
        <w:ind w:left="720"/>
      </w:pPr>
    </w:p>
    <w:p w:rsidR="00EF3670"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81289A">
        <w:rPr>
          <w:rFonts w:ascii="Times New Roman" w:hAnsi="Times New Roman"/>
          <w:sz w:val="25"/>
          <w:szCs w:val="25"/>
        </w:rPr>
        <w:t>Verificare</w:t>
      </w:r>
      <w:r>
        <w:rPr>
          <w:rFonts w:ascii="Times New Roman" w:hAnsi="Times New Roman"/>
          <w:sz w:val="25"/>
          <w:szCs w:val="25"/>
        </w:rPr>
        <w:t>/actualizare</w:t>
      </w:r>
      <w:r w:rsidRPr="0081289A">
        <w:rPr>
          <w:rFonts w:ascii="Times New Roman" w:hAnsi="Times New Roman"/>
          <w:sz w:val="25"/>
          <w:szCs w:val="25"/>
        </w:rPr>
        <w:t xml:space="preserve"> date transmise de către operatori</w:t>
      </w:r>
      <w:r>
        <w:rPr>
          <w:rFonts w:ascii="Times New Roman" w:hAnsi="Times New Roman"/>
          <w:sz w:val="25"/>
          <w:szCs w:val="25"/>
        </w:rPr>
        <w:t xml:space="preserve"> economici cu privire la gestionareaVSU;</w:t>
      </w:r>
    </w:p>
    <w:p w:rsidR="00EF3670"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EF3670">
        <w:rPr>
          <w:rFonts w:ascii="Times New Roman" w:hAnsi="Times New Roman"/>
          <w:sz w:val="25"/>
          <w:szCs w:val="25"/>
        </w:rPr>
        <w:t>Verificare raportari transmise de către operatori economici pentru anul 2022 cu privire la gestionarea VSU;</w:t>
      </w:r>
    </w:p>
    <w:p w:rsidR="00EF3670"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EF3670">
        <w:rPr>
          <w:rFonts w:ascii="Times New Roman" w:hAnsi="Times New Roman"/>
          <w:sz w:val="25"/>
          <w:szCs w:val="25"/>
        </w:rPr>
        <w:t>Verificare date transmise de către operatori economici pentru anul 2022 cu privire la gestionarea uleiurilor utilizate si uleiurilor uzate;</w:t>
      </w:r>
    </w:p>
    <w:p w:rsidR="00EF3670"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EF3670">
        <w:rPr>
          <w:rFonts w:ascii="Times New Roman" w:hAnsi="Times New Roman"/>
          <w:sz w:val="25"/>
          <w:szCs w:val="25"/>
        </w:rPr>
        <w:t>Verificare si validare date transmise de către operatori economici pentru anul 2022 cu privire la gestionarea substantelor/amestecurilor chimice periculoase;</w:t>
      </w:r>
    </w:p>
    <w:p w:rsidR="00EF3670"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EF3670">
        <w:rPr>
          <w:rFonts w:ascii="Times New Roman" w:hAnsi="Times New Roman"/>
          <w:sz w:val="25"/>
          <w:szCs w:val="25"/>
        </w:rPr>
        <w:t>Rap</w:t>
      </w:r>
      <w:r>
        <w:rPr>
          <w:rFonts w:ascii="Times New Roman" w:hAnsi="Times New Roman"/>
          <w:sz w:val="25"/>
          <w:szCs w:val="25"/>
        </w:rPr>
        <w:t>ortare semestrială</w:t>
      </w:r>
      <w:r w:rsidRPr="00EF3670">
        <w:rPr>
          <w:rFonts w:ascii="Times New Roman" w:hAnsi="Times New Roman"/>
          <w:sz w:val="25"/>
          <w:szCs w:val="25"/>
        </w:rPr>
        <w:t xml:space="preserve"> la ANPM   privind Inventarul amplasamentelor Seveso din judetul Neamț;</w:t>
      </w:r>
    </w:p>
    <w:p w:rsidR="00EF3670" w:rsidRPr="00635738" w:rsidRDefault="00EF3670" w:rsidP="00EF3670">
      <w:pPr>
        <w:numPr>
          <w:ilvl w:val="0"/>
          <w:numId w:val="23"/>
        </w:numPr>
        <w:tabs>
          <w:tab w:val="clear" w:pos="9291"/>
          <w:tab w:val="num" w:pos="0"/>
          <w:tab w:val="left" w:pos="142"/>
        </w:tabs>
        <w:ind w:left="0" w:firstLine="0"/>
        <w:jc w:val="both"/>
        <w:rPr>
          <w:rFonts w:ascii="Times New Roman" w:hAnsi="Times New Roman"/>
          <w:sz w:val="25"/>
          <w:szCs w:val="25"/>
        </w:rPr>
      </w:pPr>
      <w:r w:rsidRPr="00EF3670">
        <w:rPr>
          <w:rFonts w:ascii="Times New Roman" w:hAnsi="Times New Roman"/>
          <w:sz w:val="25"/>
          <w:szCs w:val="25"/>
        </w:rPr>
        <w:t xml:space="preserve">Raportare la ANPM: </w:t>
      </w:r>
      <w:r w:rsidRPr="00EF3670">
        <w:rPr>
          <w:rFonts w:ascii="Times New Roman" w:hAnsi="Times New Roman"/>
          <w:bCs/>
          <w:sz w:val="25"/>
          <w:szCs w:val="25"/>
        </w:rPr>
        <w:t>Chestionar Raport de țară perioada 2019-2020;</w:t>
      </w:r>
    </w:p>
    <w:p w:rsidR="00635738" w:rsidRDefault="00635738" w:rsidP="00635738">
      <w:pPr>
        <w:tabs>
          <w:tab w:val="left" w:pos="142"/>
        </w:tabs>
        <w:jc w:val="both"/>
        <w:rPr>
          <w:rFonts w:ascii="Times New Roman" w:hAnsi="Times New Roman"/>
          <w:bCs/>
          <w:sz w:val="25"/>
          <w:szCs w:val="25"/>
        </w:rPr>
      </w:pPr>
    </w:p>
    <w:p w:rsidR="00635738" w:rsidRPr="00EF3670" w:rsidRDefault="00635738" w:rsidP="00635738">
      <w:pPr>
        <w:tabs>
          <w:tab w:val="left" w:pos="142"/>
        </w:tabs>
        <w:jc w:val="both"/>
        <w:rPr>
          <w:rFonts w:ascii="Times New Roman" w:hAnsi="Times New Roman"/>
          <w:sz w:val="25"/>
          <w:szCs w:val="25"/>
        </w:rPr>
      </w:pPr>
      <w:r w:rsidRPr="00635738">
        <w:rPr>
          <w:rFonts w:ascii="Times New Roman" w:hAnsi="Times New Roman"/>
          <w:noProof/>
          <w:sz w:val="25"/>
          <w:szCs w:val="25"/>
          <w:lang w:val="en-GB" w:eastAsia="en-GB"/>
        </w:rPr>
        <w:lastRenderedPageBreak/>
        <w:drawing>
          <wp:inline distT="0" distB="0" distL="0" distR="0">
            <wp:extent cx="6261811" cy="852159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7061" cy="8528739"/>
                    </a:xfrm>
                    <a:prstGeom prst="rect">
                      <a:avLst/>
                    </a:prstGeom>
                    <a:noFill/>
                    <a:ln>
                      <a:noFill/>
                    </a:ln>
                  </pic:spPr>
                </pic:pic>
              </a:graphicData>
            </a:graphic>
          </wp:inline>
        </w:drawing>
      </w:r>
      <w:bookmarkStart w:id="0" w:name="_GoBack"/>
      <w:bookmarkEnd w:id="0"/>
    </w:p>
    <w:sectPr w:rsidR="00635738" w:rsidRPr="00EF3670" w:rsidSect="00791022">
      <w:headerReference w:type="default" r:id="rId19"/>
      <w:footerReference w:type="even" r:id="rId20"/>
      <w:footerReference w:type="default" r:id="rId21"/>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557" w:rsidRDefault="002B3557">
      <w:r>
        <w:separator/>
      </w:r>
    </w:p>
    <w:p w:rsidR="002B3557" w:rsidRDefault="002B3557"/>
  </w:endnote>
  <w:endnote w:type="continuationSeparator" w:id="0">
    <w:p w:rsidR="002B3557" w:rsidRDefault="002B3557">
      <w:r>
        <w:continuationSeparator/>
      </w:r>
    </w:p>
    <w:p w:rsidR="002B3557" w:rsidRDefault="002B35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635738">
          <w:rPr>
            <w:noProof/>
          </w:rPr>
          <w:t>12</w:t>
        </w:r>
        <w:r>
          <w:rPr>
            <w:noProof/>
          </w:rPr>
          <w:fldChar w:fldCharType="end"/>
        </w:r>
      </w:p>
    </w:sdtContent>
  </w:sdt>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557" w:rsidRDefault="002B3557">
      <w:r>
        <w:separator/>
      </w:r>
    </w:p>
    <w:p w:rsidR="002B3557" w:rsidRDefault="002B3557"/>
  </w:footnote>
  <w:footnote w:type="continuationSeparator" w:id="0">
    <w:p w:rsidR="002B3557" w:rsidRDefault="002B3557">
      <w:r>
        <w:continuationSeparator/>
      </w:r>
    </w:p>
    <w:p w:rsidR="002B3557" w:rsidRDefault="002B35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CD08F2"/>
    <w:multiLevelType w:val="hybridMultilevel"/>
    <w:tmpl w:val="441E8A74"/>
    <w:lvl w:ilvl="0" w:tplc="CFEC4BDE">
      <w:numFmt w:val="bullet"/>
      <w:lvlText w:val="-"/>
      <w:lvlJc w:val="left"/>
      <w:pPr>
        <w:tabs>
          <w:tab w:val="num" w:pos="9291"/>
        </w:tabs>
        <w:ind w:left="9291" w:hanging="360"/>
      </w:pPr>
      <w:rPr>
        <w:rFonts w:ascii="Times New Roman" w:eastAsia="Times New Roman" w:hAnsi="Times New Roman" w:cs="Times New Roman" w:hint="default"/>
      </w:rPr>
    </w:lvl>
    <w:lvl w:ilvl="1" w:tplc="04090003">
      <w:start w:val="1"/>
      <w:numFmt w:val="bullet"/>
      <w:lvlText w:val="o"/>
      <w:lvlJc w:val="left"/>
      <w:pPr>
        <w:tabs>
          <w:tab w:val="num" w:pos="5409"/>
        </w:tabs>
        <w:ind w:left="5409" w:hanging="360"/>
      </w:pPr>
      <w:rPr>
        <w:rFonts w:ascii="Courier New" w:hAnsi="Courier New" w:cs="Courier New" w:hint="default"/>
      </w:rPr>
    </w:lvl>
    <w:lvl w:ilvl="2" w:tplc="04090005">
      <w:start w:val="1"/>
      <w:numFmt w:val="decimal"/>
      <w:lvlText w:val="%3."/>
      <w:lvlJc w:val="left"/>
      <w:pPr>
        <w:tabs>
          <w:tab w:val="num" w:pos="6129"/>
        </w:tabs>
        <w:ind w:left="6129" w:hanging="360"/>
      </w:pPr>
    </w:lvl>
    <w:lvl w:ilvl="3" w:tplc="04090001">
      <w:start w:val="1"/>
      <w:numFmt w:val="decimal"/>
      <w:lvlText w:val="%4."/>
      <w:lvlJc w:val="left"/>
      <w:pPr>
        <w:tabs>
          <w:tab w:val="num" w:pos="6849"/>
        </w:tabs>
        <w:ind w:left="6849" w:hanging="360"/>
      </w:pPr>
    </w:lvl>
    <w:lvl w:ilvl="4" w:tplc="04090003">
      <w:start w:val="1"/>
      <w:numFmt w:val="decimal"/>
      <w:lvlText w:val="%5."/>
      <w:lvlJc w:val="left"/>
      <w:pPr>
        <w:tabs>
          <w:tab w:val="num" w:pos="7569"/>
        </w:tabs>
        <w:ind w:left="7569" w:hanging="360"/>
      </w:pPr>
    </w:lvl>
    <w:lvl w:ilvl="5" w:tplc="04090005">
      <w:start w:val="1"/>
      <w:numFmt w:val="decimal"/>
      <w:lvlText w:val="%6."/>
      <w:lvlJc w:val="left"/>
      <w:pPr>
        <w:tabs>
          <w:tab w:val="num" w:pos="8289"/>
        </w:tabs>
        <w:ind w:left="8289" w:hanging="360"/>
      </w:pPr>
    </w:lvl>
    <w:lvl w:ilvl="6" w:tplc="04090001">
      <w:start w:val="1"/>
      <w:numFmt w:val="decimal"/>
      <w:lvlText w:val="%7."/>
      <w:lvlJc w:val="left"/>
      <w:pPr>
        <w:tabs>
          <w:tab w:val="num" w:pos="9009"/>
        </w:tabs>
        <w:ind w:left="9009" w:hanging="360"/>
      </w:pPr>
    </w:lvl>
    <w:lvl w:ilvl="7" w:tplc="04090003">
      <w:start w:val="1"/>
      <w:numFmt w:val="decimal"/>
      <w:lvlText w:val="%8."/>
      <w:lvlJc w:val="left"/>
      <w:pPr>
        <w:tabs>
          <w:tab w:val="num" w:pos="9729"/>
        </w:tabs>
        <w:ind w:left="9729" w:hanging="360"/>
      </w:pPr>
    </w:lvl>
    <w:lvl w:ilvl="8" w:tplc="04090005">
      <w:start w:val="1"/>
      <w:numFmt w:val="decimal"/>
      <w:lvlText w:val="%9."/>
      <w:lvlJc w:val="left"/>
      <w:pPr>
        <w:tabs>
          <w:tab w:val="num" w:pos="10449"/>
        </w:tabs>
        <w:ind w:left="10449" w:hanging="360"/>
      </w:pPr>
    </w:lvl>
  </w:abstractNum>
  <w:abstractNum w:abstractNumId="17"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6"/>
  </w:num>
  <w:num w:numId="33">
    <w:abstractNumId w:val="18"/>
  </w:num>
  <w:num w:numId="34">
    <w:abstractNumId w:val="22"/>
  </w:num>
  <w:num w:numId="35">
    <w:abstractNumId w:val="35"/>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355"/>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373"/>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9B3"/>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038"/>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31"/>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8A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1D05"/>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AA"/>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5AA"/>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549"/>
    <w:rsid w:val="00162845"/>
    <w:rsid w:val="001629A5"/>
    <w:rsid w:val="00163067"/>
    <w:rsid w:val="00163288"/>
    <w:rsid w:val="001632CB"/>
    <w:rsid w:val="001635DD"/>
    <w:rsid w:val="001639D2"/>
    <w:rsid w:val="00163CF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5D2"/>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3C"/>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4F6"/>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A57"/>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57"/>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680"/>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098"/>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173"/>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A1F"/>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56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22D"/>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3F74"/>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489"/>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726"/>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368"/>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AA9"/>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42"/>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2C07"/>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0FB"/>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35"/>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106"/>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AA0"/>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6F2"/>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38"/>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6E38"/>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569"/>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75B"/>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139"/>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EF0"/>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4D4"/>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167"/>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860"/>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0BC9"/>
    <w:rsid w:val="008A0CB4"/>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659"/>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12D"/>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340"/>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53B"/>
    <w:rsid w:val="009E6547"/>
    <w:rsid w:val="009E65FC"/>
    <w:rsid w:val="009E66FF"/>
    <w:rsid w:val="009E6873"/>
    <w:rsid w:val="009E6C70"/>
    <w:rsid w:val="009E73FE"/>
    <w:rsid w:val="009E74BA"/>
    <w:rsid w:val="009E75D7"/>
    <w:rsid w:val="009E78C5"/>
    <w:rsid w:val="009E7BC5"/>
    <w:rsid w:val="009E7F18"/>
    <w:rsid w:val="009F036D"/>
    <w:rsid w:val="009F047D"/>
    <w:rsid w:val="009F0661"/>
    <w:rsid w:val="009F0A16"/>
    <w:rsid w:val="009F0EE0"/>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892"/>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16E"/>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3F0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3FC"/>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69"/>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B1C"/>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47A"/>
    <w:rsid w:val="00C278B9"/>
    <w:rsid w:val="00C27ABD"/>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A60"/>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76F"/>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B11"/>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1E8"/>
    <w:rsid w:val="00DB4218"/>
    <w:rsid w:val="00DB4239"/>
    <w:rsid w:val="00DB45C9"/>
    <w:rsid w:val="00DB49E6"/>
    <w:rsid w:val="00DB4A68"/>
    <w:rsid w:val="00DB4A77"/>
    <w:rsid w:val="00DB4BF0"/>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B06"/>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3C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7E1"/>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67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0F08"/>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EED"/>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14:docId w14:val="40E55D1D"/>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8A0BC9"/>
    <w:pPr>
      <w:tabs>
        <w:tab w:val="num" w:pos="0"/>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3\INDICI%20LUNARI%202023.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INDICE GENERAL NT3</a:t>
            </a:r>
          </a:p>
        </c:rich>
      </c:tx>
      <c:layout>
        <c:manualLayout>
          <c:xMode val="edge"/>
          <c:yMode val="edge"/>
          <c:x val="0.14061684397090246"/>
          <c:y val="3.4972677595628415E-2"/>
        </c:manualLayout>
      </c:layout>
      <c:overlay val="0"/>
      <c:spPr>
        <a:noFill/>
        <a:ln w="25400">
          <a:noFill/>
        </a:ln>
      </c:spPr>
    </c:title>
    <c:autoTitleDeleted val="0"/>
    <c:plotArea>
      <c:layout>
        <c:manualLayout>
          <c:layoutTarget val="inner"/>
          <c:xMode val="edge"/>
          <c:yMode val="edge"/>
          <c:x val="0.12401050976806922"/>
          <c:y val="0.17158469945355187"/>
          <c:w val="0.85412071293056135"/>
          <c:h val="0.50319349425584092"/>
        </c:manualLayout>
      </c:layout>
      <c:lineChart>
        <c:grouping val="standard"/>
        <c:varyColors val="0"/>
        <c:ser>
          <c:idx val="0"/>
          <c:order val="0"/>
          <c:tx>
            <c:strRef>
              <c:f>'07'!$C$71</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'07'!$B$72:$B$102</c:f>
              <c:numCache>
                <c:formatCode>m/d/yyyy</c:formatCode>
                <c:ptCount val="31"/>
                <c:pt idx="0">
                  <c:v>45108</c:v>
                </c:pt>
                <c:pt idx="1">
                  <c:v>45109</c:v>
                </c:pt>
                <c:pt idx="2">
                  <c:v>45110</c:v>
                </c:pt>
                <c:pt idx="3">
                  <c:v>45111</c:v>
                </c:pt>
                <c:pt idx="4">
                  <c:v>45112</c:v>
                </c:pt>
                <c:pt idx="5">
                  <c:v>45113</c:v>
                </c:pt>
                <c:pt idx="6">
                  <c:v>45114</c:v>
                </c:pt>
                <c:pt idx="7">
                  <c:v>45115</c:v>
                </c:pt>
                <c:pt idx="8">
                  <c:v>45116</c:v>
                </c:pt>
                <c:pt idx="9">
                  <c:v>45117</c:v>
                </c:pt>
                <c:pt idx="10">
                  <c:v>45118</c:v>
                </c:pt>
                <c:pt idx="11">
                  <c:v>45119</c:v>
                </c:pt>
                <c:pt idx="12">
                  <c:v>45120</c:v>
                </c:pt>
                <c:pt idx="13">
                  <c:v>45121</c:v>
                </c:pt>
                <c:pt idx="14">
                  <c:v>45122</c:v>
                </c:pt>
                <c:pt idx="15">
                  <c:v>45123</c:v>
                </c:pt>
                <c:pt idx="16">
                  <c:v>45124</c:v>
                </c:pt>
                <c:pt idx="17">
                  <c:v>45125</c:v>
                </c:pt>
                <c:pt idx="18">
                  <c:v>45126</c:v>
                </c:pt>
                <c:pt idx="19">
                  <c:v>45127</c:v>
                </c:pt>
                <c:pt idx="20">
                  <c:v>45128</c:v>
                </c:pt>
                <c:pt idx="21">
                  <c:v>45129</c:v>
                </c:pt>
                <c:pt idx="22">
                  <c:v>45130</c:v>
                </c:pt>
                <c:pt idx="23">
                  <c:v>45131</c:v>
                </c:pt>
                <c:pt idx="24">
                  <c:v>45132</c:v>
                </c:pt>
                <c:pt idx="25">
                  <c:v>45133</c:v>
                </c:pt>
                <c:pt idx="26">
                  <c:v>45134</c:v>
                </c:pt>
                <c:pt idx="27">
                  <c:v>45135</c:v>
                </c:pt>
                <c:pt idx="28">
                  <c:v>45136</c:v>
                </c:pt>
                <c:pt idx="29">
                  <c:v>45137</c:v>
                </c:pt>
                <c:pt idx="30">
                  <c:v>45138</c:v>
                </c:pt>
              </c:numCache>
            </c:numRef>
          </c:cat>
          <c:val>
            <c:numRef>
              <c:f>'07'!$C$72:$C$102</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576-48B7-8F70-5595C53D6E9D}"/>
            </c:ext>
          </c:extLst>
        </c:ser>
        <c:dLbls>
          <c:showLegendKey val="0"/>
          <c:showVal val="0"/>
          <c:showCatName val="0"/>
          <c:showSerName val="0"/>
          <c:showPercent val="0"/>
          <c:showBubbleSize val="0"/>
        </c:dLbls>
        <c:marker val="1"/>
        <c:smooth val="0"/>
        <c:axId val="146474496"/>
        <c:axId val="146476416"/>
      </c:lineChart>
      <c:dateAx>
        <c:axId val="146474496"/>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146476416"/>
        <c:crosses val="autoZero"/>
        <c:auto val="1"/>
        <c:lblOffset val="100"/>
        <c:baseTimeUnit val="days"/>
        <c:majorUnit val="2"/>
        <c:majorTimeUnit val="days"/>
        <c:minorUnit val="2"/>
        <c:minorTimeUnit val="days"/>
      </c:dateAx>
      <c:valAx>
        <c:axId val="14647641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647449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708345001024398"/>
          <c:y val="2.4043715846994756E-2"/>
          <c:w val="0.3879872222377897"/>
          <c:h val="0.1213114754098360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Iulie</a:t>
            </a:r>
            <a:r>
              <a:rPr lang="ro-RO" sz="1200" b="0" i="0" strike="noStrike" baseline="0">
                <a:solidFill>
                  <a:srgbClr val="000000"/>
                </a:solidFill>
                <a:latin typeface="Times New Roman"/>
                <a:cs typeface="Times New Roman"/>
              </a:rPr>
              <a:t> </a:t>
            </a:r>
            <a:r>
              <a:rPr lang="ro-RO" sz="1200" b="0" i="0" strike="noStrike">
                <a:solidFill>
                  <a:srgbClr val="000000"/>
                </a:solidFill>
                <a:latin typeface="Times New Roman"/>
                <a:cs typeface="Times New Roman"/>
              </a:rPr>
              <a:t> 202</a:t>
            </a:r>
            <a:r>
              <a:rPr lang="en-US" sz="1200" b="0" i="0" strike="noStrike">
                <a:solidFill>
                  <a:srgbClr val="000000"/>
                </a:solidFill>
                <a:latin typeface="Times New Roman"/>
                <a:cs typeface="Times New Roman"/>
              </a:rPr>
              <a:t>3</a:t>
            </a:r>
            <a:endParaRPr lang="vi-VN" sz="1200" b="0" i="0" strike="noStrike">
              <a:solidFill>
                <a:srgbClr val="000000"/>
              </a:solidFill>
              <a:latin typeface="Times New Roman"/>
              <a:cs typeface="Times New Roman"/>
            </a:endParaRPr>
          </a:p>
        </c:rich>
      </c:tx>
      <c:layout>
        <c:manualLayout>
          <c:xMode val="edge"/>
          <c:yMode val="edge"/>
          <c:x val="7.4226222915452986E-2"/>
          <c:y val="1.6942856146447891E-3"/>
        </c:manualLayout>
      </c:layout>
      <c:overlay val="0"/>
      <c:spPr>
        <a:noFill/>
        <a:ln w="25400">
          <a:noFill/>
        </a:ln>
      </c:spPr>
    </c:title>
    <c:autoTitleDeleted val="0"/>
    <c:plotArea>
      <c:layout>
        <c:manualLayout>
          <c:layoutTarget val="inner"/>
          <c:xMode val="edge"/>
          <c:yMode val="edge"/>
          <c:x val="7.4797391397504576E-2"/>
          <c:y val="0.12541291957222853"/>
          <c:w val="0.69808766899883079"/>
          <c:h val="0.70542841590208505"/>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2.21</c:v>
                </c:pt>
                <c:pt idx="1">
                  <c:v>2.5</c:v>
                </c:pt>
                <c:pt idx="2">
                  <c:v>1.7</c:v>
                </c:pt>
                <c:pt idx="3">
                  <c:v>2.35</c:v>
                </c:pt>
                <c:pt idx="4">
                  <c:v>2.2000000000000002</c:v>
                </c:pt>
                <c:pt idx="5">
                  <c:v>2.25</c:v>
                </c:pt>
                <c:pt idx="6">
                  <c:v>1.51</c:v>
                </c:pt>
                <c:pt idx="7">
                  <c:v>0.35</c:v>
                </c:pt>
                <c:pt idx="8">
                  <c:v>1.56</c:v>
                </c:pt>
                <c:pt idx="9">
                  <c:v>2.2000000000000002</c:v>
                </c:pt>
                <c:pt idx="10">
                  <c:v>1.97</c:v>
                </c:pt>
                <c:pt idx="11">
                  <c:v>2.38</c:v>
                </c:pt>
                <c:pt idx="12">
                  <c:v>2.2200000000000002</c:v>
                </c:pt>
                <c:pt idx="13">
                  <c:v>1.43</c:v>
                </c:pt>
                <c:pt idx="14">
                  <c:v>1.25</c:v>
                </c:pt>
                <c:pt idx="15">
                  <c:v>2.95</c:v>
                </c:pt>
                <c:pt idx="16">
                  <c:v>3.53</c:v>
                </c:pt>
                <c:pt idx="17">
                  <c:v>1.88</c:v>
                </c:pt>
                <c:pt idx="18">
                  <c:v>2.72</c:v>
                </c:pt>
                <c:pt idx="19">
                  <c:v>2.2200000000000002</c:v>
                </c:pt>
                <c:pt idx="20">
                  <c:v>2.61</c:v>
                </c:pt>
                <c:pt idx="21">
                  <c:v>1.9</c:v>
                </c:pt>
                <c:pt idx="22">
                  <c:v>2.66</c:v>
                </c:pt>
                <c:pt idx="23">
                  <c:v>1.98</c:v>
                </c:pt>
                <c:pt idx="24">
                  <c:v>2.67</c:v>
                </c:pt>
                <c:pt idx="25">
                  <c:v>2.96</c:v>
                </c:pt>
                <c:pt idx="26">
                  <c:v>0.78</c:v>
                </c:pt>
                <c:pt idx="27">
                  <c:v>1.06</c:v>
                </c:pt>
                <c:pt idx="28">
                  <c:v>2.02</c:v>
                </c:pt>
                <c:pt idx="29">
                  <c:v>2.4300000000000002</c:v>
                </c:pt>
                <c:pt idx="30">
                  <c:v>2.14</c:v>
                </c:pt>
              </c:numCache>
            </c:numRef>
          </c:val>
          <c:smooth val="0"/>
          <c:extLst>
            <c:ext xmlns:c16="http://schemas.microsoft.com/office/drawing/2014/chart" uri="{C3380CC4-5D6E-409C-BE32-E72D297353CC}">
              <c16:uniqueId val="{00000000-C2E6-4CE0-821F-08CF10FA22C0}"/>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0.79</c:v>
                </c:pt>
                <c:pt idx="1">
                  <c:v>1.04</c:v>
                </c:pt>
                <c:pt idx="2">
                  <c:v>0.8</c:v>
                </c:pt>
                <c:pt idx="3">
                  <c:v>0.96</c:v>
                </c:pt>
                <c:pt idx="4">
                  <c:v>1.1599999999999999</c:v>
                </c:pt>
                <c:pt idx="5">
                  <c:v>0.7</c:v>
                </c:pt>
                <c:pt idx="6">
                  <c:v>0.61</c:v>
                </c:pt>
                <c:pt idx="7">
                  <c:v>0.27</c:v>
                </c:pt>
                <c:pt idx="8">
                  <c:v>0.33</c:v>
                </c:pt>
                <c:pt idx="9">
                  <c:v>0.47</c:v>
                </c:pt>
                <c:pt idx="10">
                  <c:v>0.6</c:v>
                </c:pt>
                <c:pt idx="11">
                  <c:v>1.08</c:v>
                </c:pt>
                <c:pt idx="12">
                  <c:v>1.1200000000000001</c:v>
                </c:pt>
                <c:pt idx="13">
                  <c:v>0.54</c:v>
                </c:pt>
                <c:pt idx="14">
                  <c:v>0.56000000000000005</c:v>
                </c:pt>
                <c:pt idx="15">
                  <c:v>1.22</c:v>
                </c:pt>
                <c:pt idx="16">
                  <c:v>1.38</c:v>
                </c:pt>
                <c:pt idx="17">
                  <c:v>1.05</c:v>
                </c:pt>
                <c:pt idx="18">
                  <c:v>1.44</c:v>
                </c:pt>
                <c:pt idx="19">
                  <c:v>1.33</c:v>
                </c:pt>
                <c:pt idx="20">
                  <c:v>1</c:v>
                </c:pt>
                <c:pt idx="21">
                  <c:v>0.7</c:v>
                </c:pt>
                <c:pt idx="22">
                  <c:v>0.84</c:v>
                </c:pt>
                <c:pt idx="23">
                  <c:v>0.8</c:v>
                </c:pt>
                <c:pt idx="24">
                  <c:v>0.59</c:v>
                </c:pt>
                <c:pt idx="25">
                  <c:v>1.01</c:v>
                </c:pt>
                <c:pt idx="26">
                  <c:v>0.49</c:v>
                </c:pt>
                <c:pt idx="27">
                  <c:v>0.39</c:v>
                </c:pt>
                <c:pt idx="28">
                  <c:v>0.7</c:v>
                </c:pt>
                <c:pt idx="29">
                  <c:v>0.71</c:v>
                </c:pt>
                <c:pt idx="30">
                  <c:v>1.3</c:v>
                </c:pt>
              </c:numCache>
            </c:numRef>
          </c:val>
          <c:smooth val="0"/>
          <c:extLst>
            <c:ext xmlns:c16="http://schemas.microsoft.com/office/drawing/2014/chart" uri="{C3380CC4-5D6E-409C-BE32-E72D297353CC}">
              <c16:uniqueId val="{00000001-C2E6-4CE0-821F-08CF10FA22C0}"/>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0.44</c:v>
                </c:pt>
                <c:pt idx="1">
                  <c:v>0.77</c:v>
                </c:pt>
                <c:pt idx="2">
                  <c:v>0.89</c:v>
                </c:pt>
                <c:pt idx="3">
                  <c:v>0.57999999999999996</c:v>
                </c:pt>
                <c:pt idx="4">
                  <c:v>0.7</c:v>
                </c:pt>
                <c:pt idx="5">
                  <c:v>0.49</c:v>
                </c:pt>
                <c:pt idx="6">
                  <c:v>0.46</c:v>
                </c:pt>
                <c:pt idx="7">
                  <c:v>0.26</c:v>
                </c:pt>
                <c:pt idx="8">
                  <c:v>0.28999999999999998</c:v>
                </c:pt>
                <c:pt idx="9">
                  <c:v>0.64</c:v>
                </c:pt>
                <c:pt idx="10">
                  <c:v>0.66</c:v>
                </c:pt>
                <c:pt idx="11">
                  <c:v>0.83</c:v>
                </c:pt>
                <c:pt idx="12">
                  <c:v>0.49</c:v>
                </c:pt>
                <c:pt idx="13">
                  <c:v>0.32</c:v>
                </c:pt>
                <c:pt idx="14">
                  <c:v>0.2</c:v>
                </c:pt>
                <c:pt idx="15">
                  <c:v>0.72</c:v>
                </c:pt>
                <c:pt idx="16">
                  <c:v>0.5</c:v>
                </c:pt>
                <c:pt idx="17">
                  <c:v>0.64</c:v>
                </c:pt>
                <c:pt idx="18">
                  <c:v>0.94</c:v>
                </c:pt>
                <c:pt idx="19">
                  <c:v>1.0124822114719618</c:v>
                </c:pt>
                <c:pt idx="20">
                  <c:v>0.85321622859102819</c:v>
                </c:pt>
                <c:pt idx="21">
                  <c:v>0.60424009823330571</c:v>
                </c:pt>
                <c:pt idx="22">
                  <c:v>0.86756008354583103</c:v>
                </c:pt>
                <c:pt idx="23">
                  <c:v>0.63615998280706498</c:v>
                </c:pt>
                <c:pt idx="24">
                  <c:v>0.78276806194905557</c:v>
                </c:pt>
                <c:pt idx="25">
                  <c:v>1.3782901778618268</c:v>
                </c:pt>
                <c:pt idx="26">
                  <c:v>0.15207433728890343</c:v>
                </c:pt>
                <c:pt idx="27">
                  <c:v>0.40104701471604787</c:v>
                </c:pt>
                <c:pt idx="28">
                  <c:v>0.64730496600687082</c:v>
                </c:pt>
                <c:pt idx="29">
                  <c:v>0.83884290511480819</c:v>
                </c:pt>
                <c:pt idx="30">
                  <c:v>0.50738985939906622</c:v>
                </c:pt>
              </c:numCache>
            </c:numRef>
          </c:val>
          <c:smooth val="0"/>
          <c:extLst>
            <c:ext xmlns:c16="http://schemas.microsoft.com/office/drawing/2014/chart" uri="{C3380CC4-5D6E-409C-BE32-E72D297353CC}">
              <c16:uniqueId val="{00000002-C2E6-4CE0-821F-08CF10FA22C0}"/>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0.74782710816329412</c:v>
                </c:pt>
                <c:pt idx="1">
                  <c:v>1.0259125790414616</c:v>
                </c:pt>
                <c:pt idx="2">
                  <c:v>1.0594940886858373</c:v>
                </c:pt>
                <c:pt idx="3">
                  <c:v>1.1430937020552054</c:v>
                </c:pt>
                <c:pt idx="4">
                  <c:v>1.1516098493569309</c:v>
                </c:pt>
                <c:pt idx="5">
                  <c:v>0.77315455187381432</c:v>
                </c:pt>
                <c:pt idx="6">
                  <c:v>0.78803291667258535</c:v>
                </c:pt>
                <c:pt idx="7">
                  <c:v>0.2972955071650954</c:v>
                </c:pt>
                <c:pt idx="8">
                  <c:v>0.42075660268187681</c:v>
                </c:pt>
                <c:pt idx="9">
                  <c:v>0.63643664192439509</c:v>
                </c:pt>
                <c:pt idx="10">
                  <c:v>0.898616080082975</c:v>
                </c:pt>
                <c:pt idx="11">
                  <c:v>0.67485454391396371</c:v>
                </c:pt>
                <c:pt idx="12">
                  <c:v>0.48285412823500679</c:v>
                </c:pt>
                <c:pt idx="13">
                  <c:v>0.90182116598451245</c:v>
                </c:pt>
                <c:pt idx="14">
                  <c:v>0.70594440407294456</c:v>
                </c:pt>
                <c:pt idx="15">
                  <c:v>0.71828951044543399</c:v>
                </c:pt>
                <c:pt idx="16">
                  <c:v>1.2540671823543506</c:v>
                </c:pt>
                <c:pt idx="17">
                  <c:v>0.83101975613636481</c:v>
                </c:pt>
                <c:pt idx="18">
                  <c:v>1.1630760378835152</c:v>
                </c:pt>
                <c:pt idx="19">
                  <c:v>0.80964573765571968</c:v>
                </c:pt>
                <c:pt idx="20">
                  <c:v>0.71898999080612291</c:v>
                </c:pt>
                <c:pt idx="21">
                  <c:v>0.70135297229941163</c:v>
                </c:pt>
                <c:pt idx="22">
                  <c:v>1.174740450044077</c:v>
                </c:pt>
                <c:pt idx="23">
                  <c:v>0.733781354761189</c:v>
                </c:pt>
                <c:pt idx="24">
                  <c:v>0.61463198818377063</c:v>
                </c:pt>
                <c:pt idx="25">
                  <c:v>0.98431105352215476</c:v>
                </c:pt>
                <c:pt idx="26">
                  <c:v>0.445643440360738</c:v>
                </c:pt>
                <c:pt idx="27">
                  <c:v>0.43896149626283948</c:v>
                </c:pt>
                <c:pt idx="28">
                  <c:v>0.86823581783727832</c:v>
                </c:pt>
                <c:pt idx="29">
                  <c:v>0.9917353419710695</c:v>
                </c:pt>
                <c:pt idx="30">
                  <c:v>0.56011865406444872</c:v>
                </c:pt>
              </c:numCache>
            </c:numRef>
          </c:val>
          <c:smooth val="0"/>
          <c:extLst>
            <c:ext xmlns:c16="http://schemas.microsoft.com/office/drawing/2014/chart" uri="{C3380CC4-5D6E-409C-BE32-E72D297353CC}">
              <c16:uniqueId val="{00000003-C2E6-4CE0-821F-08CF10FA22C0}"/>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0.74743289102885579</c:v>
                </c:pt>
                <c:pt idx="1">
                  <c:v>0.87057734501483086</c:v>
                </c:pt>
                <c:pt idx="2">
                  <c:v>1.0439228543804704</c:v>
                </c:pt>
                <c:pt idx="3">
                  <c:v>0.8137903831615414</c:v>
                </c:pt>
                <c:pt idx="4">
                  <c:v>0.58251037113503001</c:v>
                </c:pt>
                <c:pt idx="5">
                  <c:v>0.68088507860492276</c:v>
                </c:pt>
                <c:pt idx="6">
                  <c:v>0.24791877161325798</c:v>
                </c:pt>
                <c:pt idx="7">
                  <c:v>0.26701779950245941</c:v>
                </c:pt>
                <c:pt idx="8">
                  <c:v>0.42684751494024242</c:v>
                </c:pt>
                <c:pt idx="9">
                  <c:v>0.49658191349930569</c:v>
                </c:pt>
                <c:pt idx="10">
                  <c:v>0.43136910386108818</c:v>
                </c:pt>
                <c:pt idx="11">
                  <c:v>0.66536213780817366</c:v>
                </c:pt>
                <c:pt idx="12">
                  <c:v>0.70883960039069183</c:v>
                </c:pt>
                <c:pt idx="13">
                  <c:v>0.43635525216788495</c:v>
                </c:pt>
                <c:pt idx="14">
                  <c:v>0.8733609265974458</c:v>
                </c:pt>
                <c:pt idx="15">
                  <c:v>1.1520960625428505</c:v>
                </c:pt>
                <c:pt idx="16">
                  <c:v>1.5612756322520671</c:v>
                </c:pt>
                <c:pt idx="17">
                  <c:v>0.78748691418231487</c:v>
                </c:pt>
                <c:pt idx="18">
                  <c:v>0.88408045911838684</c:v>
                </c:pt>
                <c:pt idx="19">
                  <c:v>0.90627551979317367</c:v>
                </c:pt>
                <c:pt idx="20">
                  <c:v>1.3170131518391435</c:v>
                </c:pt>
                <c:pt idx="21">
                  <c:v>0.67878184799826324</c:v>
                </c:pt>
                <c:pt idx="22">
                  <c:v>0.94447720313022021</c:v>
                </c:pt>
                <c:pt idx="23">
                  <c:v>0.77013888538886566</c:v>
                </c:pt>
                <c:pt idx="24">
                  <c:v>0.99791822849666922</c:v>
                </c:pt>
                <c:pt idx="25">
                  <c:v>0.75538450907962973</c:v>
                </c:pt>
                <c:pt idx="26">
                  <c:v>0.27142599724497379</c:v>
                </c:pt>
                <c:pt idx="27">
                  <c:v>0.65903496717436572</c:v>
                </c:pt>
                <c:pt idx="28">
                  <c:v>0.73691562007103473</c:v>
                </c:pt>
                <c:pt idx="29">
                  <c:v>0.78786495814957735</c:v>
                </c:pt>
                <c:pt idx="30">
                  <c:v>0.67270354102949814</c:v>
                </c:pt>
              </c:numCache>
            </c:numRef>
          </c:val>
          <c:smooth val="0"/>
          <c:extLst>
            <c:ext xmlns:c16="http://schemas.microsoft.com/office/drawing/2014/chart" uri="{C3380CC4-5D6E-409C-BE32-E72D297353CC}">
              <c16:uniqueId val="{00000004-C2E6-4CE0-821F-08CF10FA22C0}"/>
            </c:ext>
          </c:extLst>
        </c:ser>
        <c:ser>
          <c:idx val="5"/>
          <c:order val="5"/>
          <c:tx>
            <c:strRef>
              <c:f>Sheet1!$G$3</c:f>
              <c:strCache>
                <c:ptCount val="1"/>
                <c:pt idx="0">
                  <c:v>SSRM Toaca - aspiraţia 20-01</c:v>
                </c:pt>
              </c:strCache>
            </c:strRef>
          </c:tx>
          <c:val>
            <c:numRef>
              <c:f>Sheet1!$G$4:$G$34</c:f>
              <c:numCache>
                <c:formatCode>0.00</c:formatCode>
                <c:ptCount val="31"/>
                <c:pt idx="0">
                  <c:v>0.68625654266967195</c:v>
                </c:pt>
                <c:pt idx="1">
                  <c:v>0.72319999316481964</c:v>
                </c:pt>
                <c:pt idx="2">
                  <c:v>1.049817601396559</c:v>
                </c:pt>
                <c:pt idx="3">
                  <c:v>0.59612165558355434</c:v>
                </c:pt>
                <c:pt idx="4">
                  <c:v>0.75468714016766181</c:v>
                </c:pt>
                <c:pt idx="5">
                  <c:v>0.47692736925427998</c:v>
                </c:pt>
                <c:pt idx="6">
                  <c:v>0.16276212900886217</c:v>
                </c:pt>
                <c:pt idx="7">
                  <c:v>0.33652399669120708</c:v>
                </c:pt>
                <c:pt idx="8">
                  <c:v>0.86652474364176679</c:v>
                </c:pt>
                <c:pt idx="9">
                  <c:v>0.68580163587839738</c:v>
                </c:pt>
                <c:pt idx="10">
                  <c:v>0.68862656837657255</c:v>
                </c:pt>
                <c:pt idx="11">
                  <c:v>0.4943562848497795</c:v>
                </c:pt>
                <c:pt idx="12">
                  <c:v>0.63337549148627237</c:v>
                </c:pt>
                <c:pt idx="13">
                  <c:v>0.21506938003000547</c:v>
                </c:pt>
                <c:pt idx="14">
                  <c:v>0.77559697639038672</c:v>
                </c:pt>
                <c:pt idx="15">
                  <c:v>1.1197001743466899</c:v>
                </c:pt>
                <c:pt idx="16">
                  <c:v>0.66535437466109504</c:v>
                </c:pt>
                <c:pt idx="17">
                  <c:v>1.0003592402320765</c:v>
                </c:pt>
                <c:pt idx="18">
                  <c:v>0.90107574893864639</c:v>
                </c:pt>
                <c:pt idx="19">
                  <c:v>0.86610546249309162</c:v>
                </c:pt>
                <c:pt idx="20">
                  <c:v>1.0793658067522374</c:v>
                </c:pt>
                <c:pt idx="21">
                  <c:v>0.65393061972505995</c:v>
                </c:pt>
                <c:pt idx="22">
                  <c:v>0.63205371619047479</c:v>
                </c:pt>
                <c:pt idx="23">
                  <c:v>0.8293313458118603</c:v>
                </c:pt>
                <c:pt idx="24">
                  <c:v>0.5163966041691801</c:v>
                </c:pt>
                <c:pt idx="25">
                  <c:v>0.56827697085550422</c:v>
                </c:pt>
                <c:pt idx="26">
                  <c:v>0.31765891912466054</c:v>
                </c:pt>
                <c:pt idx="27">
                  <c:v>0.68583672279336627</c:v>
                </c:pt>
                <c:pt idx="28">
                  <c:v>1.0404350598502703</c:v>
                </c:pt>
                <c:pt idx="29">
                  <c:v>0.69692894321467858</c:v>
                </c:pt>
                <c:pt idx="30">
                  <c:v>0.72152700620656729</c:v>
                </c:pt>
              </c:numCache>
            </c:numRef>
          </c:val>
          <c:smooth val="0"/>
          <c:extLst>
            <c:ext xmlns:c16="http://schemas.microsoft.com/office/drawing/2014/chart" uri="{C3380CC4-5D6E-409C-BE32-E72D297353CC}">
              <c16:uniqueId val="{00000005-C2E6-4CE0-821F-08CF10FA22C0}"/>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7798053597559924"/>
          <c:y val="0.13221150725843173"/>
          <c:w val="0.20525321125354298"/>
          <c:h val="0.74744773021223299"/>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baseline="0">
                <a:solidFill>
                  <a:srgbClr val="000000"/>
                </a:solidFill>
                <a:latin typeface="Times New Roman"/>
                <a:cs typeface="Times New Roman"/>
              </a:rPr>
              <a:t>Iulie 202</a:t>
            </a:r>
            <a:r>
              <a:rPr lang="en-US" sz="1200" b="0" i="0" strike="noStrike" baseline="0">
                <a:solidFill>
                  <a:srgbClr val="000000"/>
                </a:solidFill>
                <a:latin typeface="Times New Roman"/>
                <a:cs typeface="Times New Roman"/>
              </a:rPr>
              <a:t>3</a:t>
            </a:r>
            <a:endParaRPr lang="ro-RO" sz="1200" b="0" i="0" strike="noStrike" baseline="0">
              <a:solidFill>
                <a:srgbClr val="000000"/>
              </a:solidFill>
              <a:latin typeface="Times New Roman"/>
              <a:cs typeface="Times New Roman"/>
            </a:endParaRPr>
          </a:p>
        </c:rich>
      </c:tx>
      <c:layout>
        <c:manualLayout>
          <c:xMode val="edge"/>
          <c:yMode val="edge"/>
          <c:x val="0.1937506281155553"/>
          <c:y val="8.6084746741620626E-3"/>
        </c:manualLayout>
      </c:layout>
      <c:overlay val="0"/>
      <c:spPr>
        <a:noFill/>
        <a:ln w="25400">
          <a:noFill/>
        </a:ln>
      </c:spPr>
    </c:title>
    <c:autoTitleDeleted val="0"/>
    <c:plotArea>
      <c:layout>
        <c:manualLayout>
          <c:layoutTarget val="inner"/>
          <c:xMode val="edge"/>
          <c:yMode val="edge"/>
          <c:x val="8.8815061332924244E-2"/>
          <c:y val="0.15126197429017121"/>
          <c:w val="0.68867512760448368"/>
          <c:h val="0.71241062636830899"/>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c:v>
                </c:pt>
                <c:pt idx="1">
                  <c:v>1.7</c:v>
                </c:pt>
                <c:pt idx="2">
                  <c:v>0</c:v>
                </c:pt>
                <c:pt idx="3">
                  <c:v>0.93</c:v>
                </c:pt>
                <c:pt idx="4">
                  <c:v>0.52</c:v>
                </c:pt>
                <c:pt idx="5">
                  <c:v>0.57999999999999996</c:v>
                </c:pt>
                <c:pt idx="6">
                  <c:v>0.52</c:v>
                </c:pt>
                <c:pt idx="7">
                  <c:v>0.52</c:v>
                </c:pt>
                <c:pt idx="8">
                  <c:v>0.56000000000000005</c:v>
                </c:pt>
                <c:pt idx="9">
                  <c:v>0.54</c:v>
                </c:pt>
                <c:pt idx="10">
                  <c:v>0.53</c:v>
                </c:pt>
                <c:pt idx="11">
                  <c:v>0.57999999999999996</c:v>
                </c:pt>
                <c:pt idx="12">
                  <c:v>2.61</c:v>
                </c:pt>
                <c:pt idx="13">
                  <c:v>0.81</c:v>
                </c:pt>
                <c:pt idx="14">
                  <c:v>0.62</c:v>
                </c:pt>
                <c:pt idx="15">
                  <c:v>0</c:v>
                </c:pt>
                <c:pt idx="16">
                  <c:v>0.53</c:v>
                </c:pt>
                <c:pt idx="17">
                  <c:v>0.56000000000000005</c:v>
                </c:pt>
                <c:pt idx="18">
                  <c:v>0.55000000000000004</c:v>
                </c:pt>
                <c:pt idx="19">
                  <c:v>0.55000000000000004</c:v>
                </c:pt>
                <c:pt idx="20">
                  <c:v>0.56000000000000005</c:v>
                </c:pt>
                <c:pt idx="21">
                  <c:v>0.56999999999999995</c:v>
                </c:pt>
                <c:pt idx="22">
                  <c:v>0.55000000000000004</c:v>
                </c:pt>
                <c:pt idx="23">
                  <c:v>0.54</c:v>
                </c:pt>
                <c:pt idx="24">
                  <c:v>0.56000000000000005</c:v>
                </c:pt>
                <c:pt idx="25">
                  <c:v>5.92</c:v>
                </c:pt>
                <c:pt idx="26">
                  <c:v>0.57999999999999996</c:v>
                </c:pt>
                <c:pt idx="27">
                  <c:v>0.56999999999999995</c:v>
                </c:pt>
                <c:pt idx="28">
                  <c:v>0.56000000000000005</c:v>
                </c:pt>
                <c:pt idx="29">
                  <c:v>2.0699999999999998</c:v>
                </c:pt>
                <c:pt idx="30">
                  <c:v>0.56999999999999995</c:v>
                </c:pt>
              </c:numCache>
            </c:numRef>
          </c:val>
          <c:smooth val="0"/>
          <c:extLst>
            <c:ext xmlns:c16="http://schemas.microsoft.com/office/drawing/2014/chart" uri="{C3380CC4-5D6E-409C-BE32-E72D297353CC}">
              <c16:uniqueId val="{00000000-F0EE-46C9-A976-E3DA09C07FD9}"/>
            </c:ext>
          </c:extLst>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0.39</c:v>
                </c:pt>
                <c:pt idx="1">
                  <c:v>0</c:v>
                </c:pt>
                <c:pt idx="2">
                  <c:v>0.38</c:v>
                </c:pt>
                <c:pt idx="3">
                  <c:v>0.4</c:v>
                </c:pt>
                <c:pt idx="4">
                  <c:v>0.38</c:v>
                </c:pt>
                <c:pt idx="5">
                  <c:v>0.39</c:v>
                </c:pt>
                <c:pt idx="6">
                  <c:v>0.39</c:v>
                </c:pt>
                <c:pt idx="7">
                  <c:v>0.39</c:v>
                </c:pt>
                <c:pt idx="8">
                  <c:v>0.39</c:v>
                </c:pt>
                <c:pt idx="9">
                  <c:v>0.4</c:v>
                </c:pt>
                <c:pt idx="10">
                  <c:v>0.38</c:v>
                </c:pt>
                <c:pt idx="11">
                  <c:v>0.38</c:v>
                </c:pt>
                <c:pt idx="12">
                  <c:v>0.86</c:v>
                </c:pt>
                <c:pt idx="13">
                  <c:v>0.38</c:v>
                </c:pt>
                <c:pt idx="14">
                  <c:v>0.39</c:v>
                </c:pt>
                <c:pt idx="15">
                  <c:v>0.39</c:v>
                </c:pt>
                <c:pt idx="16">
                  <c:v>0.4</c:v>
                </c:pt>
                <c:pt idx="17">
                  <c:v>0.39</c:v>
                </c:pt>
                <c:pt idx="18">
                  <c:v>0.38</c:v>
                </c:pt>
                <c:pt idx="19">
                  <c:v>0.41</c:v>
                </c:pt>
                <c:pt idx="20">
                  <c:v>0.38</c:v>
                </c:pt>
                <c:pt idx="21">
                  <c:v>0.41</c:v>
                </c:pt>
                <c:pt idx="22">
                  <c:v>0.41</c:v>
                </c:pt>
                <c:pt idx="23">
                  <c:v>0.4</c:v>
                </c:pt>
                <c:pt idx="24">
                  <c:v>0.39</c:v>
                </c:pt>
                <c:pt idx="25">
                  <c:v>0.62</c:v>
                </c:pt>
                <c:pt idx="26">
                  <c:v>0.38</c:v>
                </c:pt>
                <c:pt idx="27">
                  <c:v>0.38</c:v>
                </c:pt>
                <c:pt idx="28">
                  <c:v>0.38</c:v>
                </c:pt>
                <c:pt idx="29">
                  <c:v>1.0900000000000001</c:v>
                </c:pt>
                <c:pt idx="30">
                  <c:v>0.4</c:v>
                </c:pt>
              </c:numCache>
            </c:numRef>
          </c:val>
          <c:smooth val="0"/>
          <c:extLst>
            <c:ext xmlns:c16="http://schemas.microsoft.com/office/drawing/2014/chart" uri="{C3380CC4-5D6E-409C-BE32-E72D297353CC}">
              <c16:uniqueId val="{00000001-F0EE-46C9-A976-E3DA09C07FD9}"/>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1.99</c:v>
                </c:pt>
                <c:pt idx="1">
                  <c:v>1.67</c:v>
                </c:pt>
                <c:pt idx="2">
                  <c:v>1.41</c:v>
                </c:pt>
                <c:pt idx="3">
                  <c:v>2.5099999999999998</c:v>
                </c:pt>
                <c:pt idx="4">
                  <c:v>0.86</c:v>
                </c:pt>
                <c:pt idx="5">
                  <c:v>0.68</c:v>
                </c:pt>
                <c:pt idx="6">
                  <c:v>0.68</c:v>
                </c:pt>
                <c:pt idx="7">
                  <c:v>0.79</c:v>
                </c:pt>
                <c:pt idx="8">
                  <c:v>0.88</c:v>
                </c:pt>
                <c:pt idx="9">
                  <c:v>1.05</c:v>
                </c:pt>
                <c:pt idx="10">
                  <c:v>0.69</c:v>
                </c:pt>
                <c:pt idx="11">
                  <c:v>1.1100000000000001</c:v>
                </c:pt>
                <c:pt idx="12">
                  <c:v>1.31</c:v>
                </c:pt>
                <c:pt idx="13">
                  <c:v>2.06</c:v>
                </c:pt>
                <c:pt idx="14">
                  <c:v>1.62</c:v>
                </c:pt>
                <c:pt idx="15">
                  <c:v>0.68</c:v>
                </c:pt>
                <c:pt idx="16">
                  <c:v>1.01</c:v>
                </c:pt>
                <c:pt idx="17">
                  <c:v>1.06</c:v>
                </c:pt>
                <c:pt idx="18">
                  <c:v>0.72</c:v>
                </c:pt>
                <c:pt idx="19">
                  <c:v>1.08</c:v>
                </c:pt>
                <c:pt idx="20">
                  <c:v>1.17</c:v>
                </c:pt>
                <c:pt idx="21">
                  <c:v>1.26</c:v>
                </c:pt>
                <c:pt idx="22">
                  <c:v>1.37</c:v>
                </c:pt>
                <c:pt idx="23">
                  <c:v>0.85</c:v>
                </c:pt>
                <c:pt idx="24">
                  <c:v>0.71</c:v>
                </c:pt>
                <c:pt idx="25">
                  <c:v>3.15</c:v>
                </c:pt>
                <c:pt idx="26">
                  <c:v>1.37</c:v>
                </c:pt>
                <c:pt idx="27">
                  <c:v>0.73</c:v>
                </c:pt>
                <c:pt idx="28">
                  <c:v>0.7</c:v>
                </c:pt>
                <c:pt idx="29">
                  <c:v>2.57</c:v>
                </c:pt>
                <c:pt idx="30">
                  <c:v>0.71</c:v>
                </c:pt>
              </c:numCache>
            </c:numRef>
          </c:val>
          <c:smooth val="0"/>
          <c:extLst>
            <c:ext xmlns:c16="http://schemas.microsoft.com/office/drawing/2014/chart" uri="{C3380CC4-5D6E-409C-BE32-E72D297353CC}">
              <c16:uniqueId val="{00000002-F0EE-46C9-A976-E3DA09C07FD9}"/>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1.57</c:v>
                </c:pt>
                <c:pt idx="1">
                  <c:v>3.75</c:v>
                </c:pt>
                <c:pt idx="2">
                  <c:v>1.1100000000000001</c:v>
                </c:pt>
                <c:pt idx="3">
                  <c:v>1.74</c:v>
                </c:pt>
                <c:pt idx="4">
                  <c:v>0.73</c:v>
                </c:pt>
                <c:pt idx="5">
                  <c:v>0.5</c:v>
                </c:pt>
                <c:pt idx="6">
                  <c:v>0.48</c:v>
                </c:pt>
                <c:pt idx="7">
                  <c:v>0.51</c:v>
                </c:pt>
                <c:pt idx="8">
                  <c:v>0.56999999999999995</c:v>
                </c:pt>
                <c:pt idx="9">
                  <c:v>0.57999999999999996</c:v>
                </c:pt>
                <c:pt idx="10">
                  <c:v>0.49</c:v>
                </c:pt>
                <c:pt idx="11">
                  <c:v>0.51</c:v>
                </c:pt>
                <c:pt idx="12">
                  <c:v>1.26</c:v>
                </c:pt>
                <c:pt idx="13">
                  <c:v>2.77</c:v>
                </c:pt>
                <c:pt idx="14">
                  <c:v>1.46</c:v>
                </c:pt>
                <c:pt idx="15">
                  <c:v>0.49</c:v>
                </c:pt>
                <c:pt idx="16">
                  <c:v>0.51</c:v>
                </c:pt>
                <c:pt idx="17">
                  <c:v>0.82</c:v>
                </c:pt>
                <c:pt idx="18">
                  <c:v>0.83</c:v>
                </c:pt>
                <c:pt idx="19">
                  <c:v>0.76</c:v>
                </c:pt>
                <c:pt idx="20">
                  <c:v>0.8</c:v>
                </c:pt>
                <c:pt idx="21">
                  <c:v>0.74</c:v>
                </c:pt>
                <c:pt idx="22">
                  <c:v>1.04</c:v>
                </c:pt>
                <c:pt idx="23">
                  <c:v>0.5</c:v>
                </c:pt>
                <c:pt idx="24">
                  <c:v>0.52</c:v>
                </c:pt>
                <c:pt idx="25">
                  <c:v>1.73</c:v>
                </c:pt>
                <c:pt idx="26">
                  <c:v>1.31</c:v>
                </c:pt>
                <c:pt idx="27">
                  <c:v>0.49</c:v>
                </c:pt>
                <c:pt idx="28">
                  <c:v>0.5</c:v>
                </c:pt>
                <c:pt idx="29">
                  <c:v>1.75</c:v>
                </c:pt>
                <c:pt idx="30">
                  <c:v>0.52</c:v>
                </c:pt>
              </c:numCache>
            </c:numRef>
          </c:val>
          <c:smooth val="0"/>
          <c:extLst>
            <c:ext xmlns:c16="http://schemas.microsoft.com/office/drawing/2014/chart" uri="{C3380CC4-5D6E-409C-BE32-E72D297353CC}">
              <c16:uniqueId val="{00000003-F0EE-46C9-A976-E3DA09C07FD9}"/>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832518042746991"/>
          <c:y val="0.14840305719731245"/>
          <c:w val="0.1919614281897444"/>
          <c:h val="0.8087927073146797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ro-RO" sz="1200"/>
              <a:t>Iulie</a:t>
            </a:r>
            <a:r>
              <a:rPr lang="en-US" sz="1200" baseline="0"/>
              <a:t> </a:t>
            </a:r>
            <a:r>
              <a:rPr lang="ro-RO" sz="1200" baseline="0"/>
              <a:t> 202</a:t>
            </a:r>
            <a:r>
              <a:rPr lang="en-US" sz="1200" baseline="0"/>
              <a:t>3</a:t>
            </a:r>
            <a:endParaRPr lang="en-GB" sz="1200"/>
          </a:p>
        </c:rich>
      </c:tx>
      <c:layout>
        <c:manualLayout>
          <c:xMode val="edge"/>
          <c:yMode val="edge"/>
          <c:x val="0.15027607400649931"/>
          <c:y val="1.8084185308818241E-2"/>
        </c:manualLayout>
      </c:layout>
      <c:overlay val="0"/>
      <c:spPr>
        <a:noFill/>
        <a:ln w="25400">
          <a:noFill/>
        </a:ln>
      </c:spPr>
    </c:title>
    <c:autoTitleDeleted val="0"/>
    <c:plotArea>
      <c:layout>
        <c:manualLayout>
          <c:layoutTarget val="inner"/>
          <c:xMode val="edge"/>
          <c:yMode val="edge"/>
          <c:x val="0.14094545548484744"/>
          <c:y val="0.16370163022518716"/>
          <c:w val="0.81087098108059064"/>
          <c:h val="0.6642870095341229"/>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9.8000000000000004E-2</c:v>
                </c:pt>
                <c:pt idx="1">
                  <c:v>0.105</c:v>
                </c:pt>
                <c:pt idx="2">
                  <c:v>0.10199999999999999</c:v>
                </c:pt>
                <c:pt idx="3">
                  <c:v>0.10299999999999999</c:v>
                </c:pt>
                <c:pt idx="4">
                  <c:v>0.10199999999999999</c:v>
                </c:pt>
                <c:pt idx="5">
                  <c:v>0.104</c:v>
                </c:pt>
                <c:pt idx="6">
                  <c:v>0.10100000000000001</c:v>
                </c:pt>
                <c:pt idx="7">
                  <c:v>0.10199999999999999</c:v>
                </c:pt>
                <c:pt idx="8">
                  <c:v>0.108</c:v>
                </c:pt>
                <c:pt idx="9">
                  <c:v>0.10299999999999999</c:v>
                </c:pt>
                <c:pt idx="10">
                  <c:v>0.106</c:v>
                </c:pt>
                <c:pt idx="11">
                  <c:v>0.109</c:v>
                </c:pt>
                <c:pt idx="12">
                  <c:v>0.106</c:v>
                </c:pt>
                <c:pt idx="13">
                  <c:v>0.10299999999999999</c:v>
                </c:pt>
                <c:pt idx="14">
                  <c:v>0.10299999999999999</c:v>
                </c:pt>
                <c:pt idx="15">
                  <c:v>0.107</c:v>
                </c:pt>
                <c:pt idx="16">
                  <c:v>0.105</c:v>
                </c:pt>
                <c:pt idx="17">
                  <c:v>0.10199999999999999</c:v>
                </c:pt>
                <c:pt idx="18">
                  <c:v>0.108</c:v>
                </c:pt>
                <c:pt idx="19">
                  <c:v>0.105</c:v>
                </c:pt>
                <c:pt idx="20">
                  <c:v>0.105</c:v>
                </c:pt>
                <c:pt idx="21">
                  <c:v>0.104</c:v>
                </c:pt>
                <c:pt idx="22">
                  <c:v>0.10199999999999999</c:v>
                </c:pt>
                <c:pt idx="23">
                  <c:v>0.106</c:v>
                </c:pt>
                <c:pt idx="24">
                  <c:v>0.10100000000000001</c:v>
                </c:pt>
                <c:pt idx="25">
                  <c:v>0.106</c:v>
                </c:pt>
                <c:pt idx="26">
                  <c:v>0.10299999999999999</c:v>
                </c:pt>
                <c:pt idx="27">
                  <c:v>0.105</c:v>
                </c:pt>
                <c:pt idx="28">
                  <c:v>0.10299999999999999</c:v>
                </c:pt>
                <c:pt idx="29">
                  <c:v>0.109</c:v>
                </c:pt>
                <c:pt idx="30">
                  <c:v>0.107</c:v>
                </c:pt>
              </c:numCache>
            </c:numRef>
          </c:val>
          <c:extLst>
            <c:ext xmlns:c16="http://schemas.microsoft.com/office/drawing/2014/chart" uri="{C3380CC4-5D6E-409C-BE32-E72D297353CC}">
              <c16:uniqueId val="{00000000-EE0F-4065-BBD5-3F9488F8BCE0}"/>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0.122</c:v>
                </c:pt>
                <c:pt idx="1">
                  <c:v>0.121</c:v>
                </c:pt>
                <c:pt idx="2">
                  <c:v>0.11799999999999999</c:v>
                </c:pt>
                <c:pt idx="3">
                  <c:v>0.122</c:v>
                </c:pt>
                <c:pt idx="4">
                  <c:v>0.121</c:v>
                </c:pt>
                <c:pt idx="5">
                  <c:v>0.11899999999999999</c:v>
                </c:pt>
                <c:pt idx="6">
                  <c:v>0.122</c:v>
                </c:pt>
                <c:pt idx="7">
                  <c:v>0.114</c:v>
                </c:pt>
                <c:pt idx="8">
                  <c:v>0.11600000000000001</c:v>
                </c:pt>
                <c:pt idx="9">
                  <c:v>0.11899999999999999</c:v>
                </c:pt>
                <c:pt idx="10">
                  <c:v>0.11899999999999999</c:v>
                </c:pt>
                <c:pt idx="11">
                  <c:v>0.121</c:v>
                </c:pt>
                <c:pt idx="12">
                  <c:v>0.123</c:v>
                </c:pt>
                <c:pt idx="13">
                  <c:v>0.11600000000000001</c:v>
                </c:pt>
                <c:pt idx="14">
                  <c:v>0.121</c:v>
                </c:pt>
                <c:pt idx="15">
                  <c:v>0.12</c:v>
                </c:pt>
                <c:pt idx="16">
                  <c:v>0.11600000000000001</c:v>
                </c:pt>
                <c:pt idx="17">
                  <c:v>0.11899999999999999</c:v>
                </c:pt>
                <c:pt idx="18">
                  <c:v>0.11799999999999999</c:v>
                </c:pt>
                <c:pt idx="19">
                  <c:v>0.121</c:v>
                </c:pt>
                <c:pt idx="20">
                  <c:v>0.124</c:v>
                </c:pt>
                <c:pt idx="21">
                  <c:v>0.12</c:v>
                </c:pt>
                <c:pt idx="22">
                  <c:v>0.123</c:v>
                </c:pt>
                <c:pt idx="23">
                  <c:v>0.121</c:v>
                </c:pt>
                <c:pt idx="24">
                  <c:v>0.122</c:v>
                </c:pt>
                <c:pt idx="25">
                  <c:v>0.126</c:v>
                </c:pt>
                <c:pt idx="26">
                  <c:v>0.11700000000000001</c:v>
                </c:pt>
                <c:pt idx="27">
                  <c:v>0.115</c:v>
                </c:pt>
                <c:pt idx="28">
                  <c:v>0.121</c:v>
                </c:pt>
                <c:pt idx="29">
                  <c:v>0.125</c:v>
                </c:pt>
                <c:pt idx="30">
                  <c:v>0.121</c:v>
                </c:pt>
              </c:numCache>
            </c:numRef>
          </c:val>
          <c:extLst>
            <c:ext xmlns:c16="http://schemas.microsoft.com/office/drawing/2014/chart" uri="{C3380CC4-5D6E-409C-BE32-E72D297353CC}">
              <c16:uniqueId val="{00000001-EE0F-4065-BBD5-3F9488F8BCE0}"/>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3311734914095841E-2"/>
          <c:w val="0.2466369243750865"/>
          <c:h val="0.1137914037099563"/>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25B9A-E259-4651-8962-2550F7325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1709</TotalTime>
  <Pages>12</Pages>
  <Words>2555</Words>
  <Characters>14565</Characters>
  <Application>Microsoft Office Word</Application>
  <DocSecurity>0</DocSecurity>
  <Lines>121</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250</cp:revision>
  <cp:lastPrinted>2023-04-12T05:33:00Z</cp:lastPrinted>
  <dcterms:created xsi:type="dcterms:W3CDTF">2022-04-15T07:36:00Z</dcterms:created>
  <dcterms:modified xsi:type="dcterms:W3CDTF">2023-08-17T06:09:00Z</dcterms:modified>
</cp:coreProperties>
</file>