
<file path=[Content_Types].xml><?xml version="1.0" encoding="utf-8"?>
<Types xmlns="http://schemas.openxmlformats.org/package/2006/content-types">
  <Override PartName="/word/charts/chart10.xml" ContentType="application/vnd.openxmlformats-officedocument.drawingml.chart+xml"/>
  <Override PartName="/word/theme/themeOverride5.xml" ContentType="application/vnd.openxmlformats-officedocument.themeOverride+xml"/>
  <Override PartName="/word/theme/themeOverride15.xml" ContentType="application/vnd.openxmlformats-officedocument.themeOverride+xml"/>
  <Override PartName="/word/theme/themeOverride26.xml" ContentType="application/vnd.openxmlformats-officedocument.themeOverride+xml"/>
  <Override PartName="/customXml/itemProps1.xml" ContentType="application/vnd.openxmlformats-officedocument.customXmlProperties+xml"/>
  <Override PartName="/word/theme/themeOverride3.xml" ContentType="application/vnd.openxmlformats-officedocument.themeOverride+xml"/>
  <Override PartName="/word/theme/themeOverride13.xml" ContentType="application/vnd.openxmlformats-officedocument.themeOverride+xml"/>
  <Override PartName="/word/theme/themeOverride22.xml" ContentType="application/vnd.openxmlformats-officedocument.themeOverride+xml"/>
  <Override PartName="/word/theme/themeOverride3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20.xml" ContentType="application/vnd.openxmlformats-officedocument.themeOverride+xml"/>
  <Override PartName="/word/theme/themeOverride3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footer1.xml" ContentType="application/vnd.openxmlformats-officedocument.wordprocessingml.footer+xml"/>
  <Default Extension="xlsx" ContentType="application/vnd.openxmlformats-officedocument.spreadsheetml.sheet"/>
  <Override PartName="/word/charts/chart3.xml" ContentType="application/vnd.openxmlformats-officedocument.drawingml.chart+xml"/>
  <Override PartName="/word/charts/chart13.xml" ContentType="application/vnd.openxmlformats-officedocument.drawingml.chart+xml"/>
  <Override PartName="/word/theme/themeOverride8.xml" ContentType="application/vnd.openxmlformats-officedocument.themeOverride+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theme/themeOverride29.xml" ContentType="application/vnd.openxmlformats-officedocument.themeOverride+xml"/>
  <Override PartName="/word/charts/chart42.xml" ContentType="application/vnd.openxmlformats-officedocument.drawingml.chart+xml"/>
  <Override PartName="/word/charts/chart1.xml" ContentType="application/vnd.openxmlformats-officedocument.drawingml.chart+xml"/>
  <Override PartName="/word/charts/chart11.xml" ContentType="application/vnd.openxmlformats-officedocument.drawingml.chart+xml"/>
  <Override PartName="/word/theme/themeOverride6.xml" ContentType="application/vnd.openxmlformats-officedocument.themeOverride+xml"/>
  <Override PartName="/word/charts/chart20.xml" ContentType="application/vnd.openxmlformats-officedocument.drawingml.chart+xml"/>
  <Override PartName="/word/theme/themeOverride18.xml" ContentType="application/vnd.openxmlformats-officedocument.themeOverride+xml"/>
  <Override PartName="/word/theme/themeOverride27.xml" ContentType="application/vnd.openxmlformats-officedocument.themeOverride+xml"/>
  <Override PartName="/word/charts/chart40.xml" ContentType="application/vnd.openxmlformats-officedocument.drawingml.chart+xml"/>
  <Override PartName="/word/theme/themeOverride4.xml" ContentType="application/vnd.openxmlformats-officedocument.themeOverride+xml"/>
  <Override PartName="/word/theme/themeOverride16.xml" ContentType="application/vnd.openxmlformats-officedocument.themeOverride+xml"/>
  <Override PartName="/word/theme/themeOverride25.xml" ContentType="application/vnd.openxmlformats-officedocument.themeOverride+xml"/>
  <Override PartName="/word/theme/themeOverride34.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Override PartName="/word/theme/themeOverride23.xml" ContentType="application/vnd.openxmlformats-officedocument.themeOverride+xml"/>
  <Override PartName="/word/theme/themeOverride32.xml" ContentType="application/vnd.openxmlformats-officedocument.themeOverride+xml"/>
  <Default Extension="jpeg" ContentType="image/jpeg"/>
  <Override PartName="/word/theme/themeOverride12.xml" ContentType="application/vnd.openxmlformats-officedocument.themeOverride+xml"/>
  <Override PartName="/word/theme/themeOverride21.xml" ContentType="application/vnd.openxmlformats-officedocument.themeOverride+xml"/>
  <Override PartName="/word/theme/themeOverride30.xml" ContentType="application/vnd.openxmlformats-officedocument.themeOverride+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theme/themeOverride10.xml" ContentType="application/vnd.openxmlformats-officedocument.themeOverride+xml"/>
  <Override PartName="/word/charts/chart29.xml" ContentType="application/vnd.openxmlformats-officedocument.drawingml.chart+xml"/>
  <Override PartName="/word/charts/chart3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theme/themeOverride9.xml" ContentType="application/vnd.openxmlformats-officedocument.themeOverride+xml"/>
  <Override PartName="/word/charts/chart23.xml" ContentType="application/vnd.openxmlformats-officedocument.drawingml.chart+xml"/>
  <Override PartName="/word/theme/themeOverride19.xml" ContentType="application/vnd.openxmlformats-officedocument.themeOverride+xml"/>
  <Override PartName="/word/charts/chart32.xml" ContentType="application/vnd.openxmlformats-officedocument.drawingml.chart+xml"/>
  <Override PartName="/word/charts/chart4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2.xml" ContentType="application/vnd.openxmlformats-officedocument.drawingml.chart+xml"/>
  <Override PartName="/word/theme/themeOverride7.xml" ContentType="application/vnd.openxmlformats-officedocument.themeOverride+xml"/>
  <Override PartName="/word/charts/chart21.xml" ContentType="application/vnd.openxmlformats-officedocument.drawingml.chart+xml"/>
  <Override PartName="/word/theme/themeOverride17.xml" ContentType="application/vnd.openxmlformats-officedocument.themeOverride+xml"/>
  <Override PartName="/word/charts/chart30.xml" ContentType="application/vnd.openxmlformats-officedocument.drawingml.chart+xml"/>
  <Override PartName="/word/theme/themeOverride28.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theme/themeOverride24.xml" ContentType="application/vnd.openxmlformats-officedocument.themeOverride+xml"/>
  <Override PartName="/word/theme/themeOverride35.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FCC" w:rsidRPr="00DF4B1A" w:rsidRDefault="00350FCC" w:rsidP="00152F86">
      <w:pPr>
        <w:widowControl w:val="0"/>
        <w:spacing w:after="0" w:line="240" w:lineRule="auto"/>
        <w:rPr>
          <w:rFonts w:ascii="Arial" w:hAnsi="Arial" w:cs="Arial"/>
          <w:sz w:val="24"/>
          <w:szCs w:val="24"/>
          <w:lang w:val="ro-RO"/>
        </w:rPr>
      </w:pPr>
    </w:p>
    <w:p w:rsidR="00350FCC" w:rsidRPr="00DF4B1A" w:rsidRDefault="00350FCC" w:rsidP="00152F86">
      <w:pPr>
        <w:widowControl w:val="0"/>
        <w:spacing w:after="0" w:line="240" w:lineRule="auto"/>
        <w:rPr>
          <w:rFonts w:ascii="Arial" w:hAnsi="Arial" w:cs="Arial"/>
          <w:sz w:val="24"/>
          <w:szCs w:val="24"/>
          <w:lang w:val="ro-RO"/>
        </w:rPr>
      </w:pPr>
    </w:p>
    <w:p w:rsidR="006F1C78" w:rsidRPr="00DF4B1A" w:rsidRDefault="006F1C78" w:rsidP="00152F86">
      <w:pPr>
        <w:widowControl w:val="0"/>
        <w:spacing w:after="0" w:line="240" w:lineRule="auto"/>
        <w:jc w:val="center"/>
        <w:rPr>
          <w:rFonts w:ascii="Arial" w:hAnsi="Arial" w:cs="Arial"/>
          <w:b/>
          <w:sz w:val="24"/>
          <w:szCs w:val="24"/>
          <w:lang w:val="ro-RO"/>
        </w:rPr>
      </w:pPr>
      <w:r w:rsidRPr="00DF4B1A">
        <w:rPr>
          <w:rFonts w:ascii="Arial" w:hAnsi="Arial" w:cs="Arial"/>
          <w:b/>
          <w:sz w:val="24"/>
          <w:szCs w:val="24"/>
          <w:lang w:val="ro-RO"/>
        </w:rPr>
        <w:t>I.</w:t>
      </w:r>
      <w:r w:rsidR="00032F3D" w:rsidRPr="00DF4B1A">
        <w:rPr>
          <w:rFonts w:ascii="Arial" w:hAnsi="Arial" w:cs="Arial"/>
          <w:b/>
          <w:sz w:val="24"/>
          <w:szCs w:val="24"/>
          <w:lang w:val="ro-RO"/>
        </w:rPr>
        <w:t xml:space="preserve"> CALITATEA ŞI POLUAREA AERULUI Î</w:t>
      </w:r>
      <w:r w:rsidRPr="00DF4B1A">
        <w:rPr>
          <w:rFonts w:ascii="Arial" w:hAnsi="Arial" w:cs="Arial"/>
          <w:b/>
          <w:sz w:val="24"/>
          <w:szCs w:val="24"/>
          <w:lang w:val="ro-RO"/>
        </w:rPr>
        <w:t>NCONJURĂTOR</w:t>
      </w:r>
    </w:p>
    <w:p w:rsidR="00E50B79" w:rsidRPr="00DF4B1A" w:rsidRDefault="00E50B79" w:rsidP="00152F86">
      <w:pPr>
        <w:widowControl w:val="0"/>
        <w:spacing w:after="0" w:line="240" w:lineRule="auto"/>
        <w:jc w:val="center"/>
        <w:rPr>
          <w:rFonts w:ascii="Arial" w:hAnsi="Arial" w:cs="Arial"/>
          <w:b/>
          <w:sz w:val="24"/>
          <w:szCs w:val="24"/>
          <w:lang w:val="ro-RO"/>
        </w:rPr>
      </w:pPr>
    </w:p>
    <w:p w:rsidR="00350FCC" w:rsidRPr="00DF4B1A" w:rsidRDefault="00350FCC" w:rsidP="00152F86">
      <w:pPr>
        <w:widowControl w:val="0"/>
        <w:spacing w:after="0" w:line="240" w:lineRule="auto"/>
        <w:jc w:val="center"/>
        <w:rPr>
          <w:rFonts w:ascii="Arial" w:hAnsi="Arial" w:cs="Arial"/>
          <w:b/>
          <w:sz w:val="24"/>
          <w:szCs w:val="24"/>
          <w:lang w:val="ro-RO"/>
        </w:rPr>
      </w:pPr>
    </w:p>
    <w:p w:rsidR="006F1C78" w:rsidRPr="00DF4B1A" w:rsidRDefault="006F1C78" w:rsidP="00152F86">
      <w:pPr>
        <w:widowControl w:val="0"/>
        <w:spacing w:after="0" w:line="240" w:lineRule="auto"/>
        <w:rPr>
          <w:rFonts w:ascii="Arial" w:hAnsi="Arial" w:cs="Arial"/>
          <w:b/>
          <w:sz w:val="24"/>
          <w:szCs w:val="24"/>
          <w:lang w:val="ro-RO"/>
        </w:rPr>
      </w:pPr>
      <w:r w:rsidRPr="00DF4B1A">
        <w:rPr>
          <w:rFonts w:ascii="Arial" w:hAnsi="Arial" w:cs="Arial"/>
          <w:b/>
          <w:sz w:val="24"/>
          <w:szCs w:val="24"/>
          <w:lang w:val="ro-RO"/>
        </w:rPr>
        <w:t>I.1. Calitatea aerului înconjurător:</w:t>
      </w:r>
      <w:r w:rsidR="008537E8" w:rsidRPr="00DF4B1A">
        <w:rPr>
          <w:rFonts w:ascii="Arial" w:hAnsi="Arial" w:cs="Arial"/>
          <w:b/>
          <w:sz w:val="24"/>
          <w:szCs w:val="24"/>
          <w:lang w:val="ro-RO"/>
        </w:rPr>
        <w:t xml:space="preserve"> </w:t>
      </w:r>
      <w:r w:rsidRPr="00DF4B1A">
        <w:rPr>
          <w:rFonts w:ascii="Arial" w:hAnsi="Arial" w:cs="Arial"/>
          <w:b/>
          <w:sz w:val="24"/>
          <w:szCs w:val="24"/>
          <w:lang w:val="ro-RO"/>
        </w:rPr>
        <w:t>stare şi consecinţe</w:t>
      </w:r>
    </w:p>
    <w:p w:rsidR="00350FCC" w:rsidRPr="00DF4B1A" w:rsidRDefault="00350FCC" w:rsidP="00152F86">
      <w:pPr>
        <w:widowControl w:val="0"/>
        <w:spacing w:after="0" w:line="240" w:lineRule="auto"/>
        <w:rPr>
          <w:rFonts w:ascii="Arial" w:hAnsi="Arial" w:cs="Arial"/>
          <w:sz w:val="24"/>
          <w:szCs w:val="24"/>
          <w:lang w:val="ro-RO"/>
        </w:rPr>
      </w:pPr>
    </w:p>
    <w:p w:rsidR="003426DB" w:rsidRPr="00DF4B1A" w:rsidRDefault="006F1C78" w:rsidP="00152F86">
      <w:pPr>
        <w:widowControl w:val="0"/>
        <w:spacing w:after="0" w:line="240" w:lineRule="auto"/>
        <w:rPr>
          <w:rFonts w:ascii="Arial" w:hAnsi="Arial" w:cs="Arial"/>
          <w:b/>
          <w:i/>
          <w:sz w:val="24"/>
          <w:szCs w:val="24"/>
          <w:lang w:val="ro-RO"/>
        </w:rPr>
      </w:pPr>
      <w:r w:rsidRPr="00DF4B1A">
        <w:rPr>
          <w:rFonts w:ascii="Arial" w:hAnsi="Arial" w:cs="Arial"/>
          <w:b/>
          <w:i/>
          <w:sz w:val="24"/>
          <w:szCs w:val="24"/>
          <w:lang w:val="ro-RO"/>
        </w:rPr>
        <w:t>I.1.1. Starea de calitate a aerului înconjurător</w:t>
      </w:r>
    </w:p>
    <w:p w:rsidR="006F1C78" w:rsidRPr="00DF4B1A" w:rsidRDefault="006F1C78" w:rsidP="00152F86">
      <w:pPr>
        <w:widowControl w:val="0"/>
        <w:spacing w:after="0" w:line="240" w:lineRule="auto"/>
        <w:rPr>
          <w:rFonts w:ascii="Arial" w:hAnsi="Arial" w:cs="Arial"/>
          <w:sz w:val="20"/>
          <w:szCs w:val="20"/>
          <w:lang w:val="ro-RO"/>
        </w:rPr>
      </w:pPr>
      <w:r w:rsidRPr="00DF4B1A">
        <w:rPr>
          <w:rFonts w:ascii="Arial" w:hAnsi="Arial" w:cs="Arial"/>
          <w:sz w:val="20"/>
          <w:szCs w:val="20"/>
          <w:lang w:val="ro-RO"/>
        </w:rPr>
        <w:tab/>
      </w:r>
    </w:p>
    <w:p w:rsidR="00152F86" w:rsidRPr="00DF4B1A" w:rsidRDefault="00152F86" w:rsidP="00152F86">
      <w:pPr>
        <w:widowControl w:val="0"/>
        <w:autoSpaceDE w:val="0"/>
        <w:autoSpaceDN w:val="0"/>
        <w:adjustRightInd w:val="0"/>
        <w:spacing w:after="0" w:line="240" w:lineRule="auto"/>
        <w:ind w:firstLine="706"/>
        <w:jc w:val="both"/>
        <w:rPr>
          <w:rFonts w:ascii="Arial" w:hAnsi="Arial" w:cs="Arial"/>
          <w:sz w:val="10"/>
          <w:szCs w:val="10"/>
          <w:lang w:val="ro-RO" w:eastAsia="ro-RO"/>
        </w:rPr>
      </w:pPr>
    </w:p>
    <w:p w:rsidR="0030671C" w:rsidRDefault="003426DB" w:rsidP="0030671C">
      <w:pPr>
        <w:widowControl w:val="0"/>
        <w:spacing w:after="0" w:line="240" w:lineRule="auto"/>
        <w:ind w:firstLine="720"/>
        <w:jc w:val="both"/>
        <w:rPr>
          <w:rFonts w:ascii="Arial" w:hAnsi="Arial" w:cs="Arial"/>
          <w:sz w:val="24"/>
          <w:szCs w:val="24"/>
          <w:lang w:val="ro-RO" w:eastAsia="ro-RO"/>
        </w:rPr>
      </w:pPr>
      <w:r w:rsidRPr="00DF4B1A">
        <w:rPr>
          <w:rFonts w:ascii="Arial" w:hAnsi="Arial" w:cs="Arial"/>
          <w:sz w:val="24"/>
          <w:szCs w:val="24"/>
          <w:lang w:val="ro-RO"/>
        </w:rPr>
        <w:t xml:space="preserve">Calitatea aerului este reglementată în România prin </w:t>
      </w:r>
      <w:r w:rsidRPr="00DF4B1A">
        <w:rPr>
          <w:rFonts w:ascii="Arial" w:hAnsi="Arial" w:cs="Arial"/>
          <w:b/>
          <w:sz w:val="24"/>
          <w:szCs w:val="24"/>
          <w:lang w:val="ro-RO"/>
        </w:rPr>
        <w:t>Legea nr. 104/2011</w:t>
      </w:r>
      <w:r w:rsidRPr="00DF4B1A">
        <w:rPr>
          <w:rFonts w:ascii="Arial" w:hAnsi="Arial" w:cs="Arial"/>
          <w:sz w:val="24"/>
          <w:szCs w:val="24"/>
          <w:lang w:val="ro-RO"/>
        </w:rPr>
        <w:t xml:space="preserve"> privind calitatea aerului înconjurător, </w:t>
      </w:r>
      <w:r w:rsidR="00E538BB">
        <w:rPr>
          <w:rFonts w:ascii="Arial" w:hAnsi="Arial" w:cs="Arial"/>
          <w:sz w:val="24"/>
          <w:szCs w:val="24"/>
          <w:lang w:val="ro-RO"/>
        </w:rPr>
        <w:t xml:space="preserve">lege </w:t>
      </w:r>
      <w:r w:rsidRPr="00DF4B1A">
        <w:rPr>
          <w:rFonts w:ascii="Arial" w:hAnsi="Arial" w:cs="Arial"/>
          <w:sz w:val="24"/>
          <w:szCs w:val="24"/>
          <w:lang w:val="ro-RO" w:eastAsia="ro-RO"/>
        </w:rPr>
        <w:t xml:space="preserve">care transpune </w:t>
      </w:r>
      <w:r w:rsidRPr="00DF4B1A">
        <w:rPr>
          <w:rFonts w:ascii="Arial" w:hAnsi="Arial" w:cs="Arial"/>
          <w:i/>
          <w:sz w:val="24"/>
          <w:szCs w:val="24"/>
          <w:lang w:val="ro-RO" w:eastAsia="ro-RO"/>
        </w:rPr>
        <w:t xml:space="preserve">Directiva 2008/50/CE </w:t>
      </w:r>
      <w:r w:rsidR="00A114CF" w:rsidRPr="00DF4B1A">
        <w:rPr>
          <w:rFonts w:ascii="Arial" w:hAnsi="Arial" w:cs="Arial"/>
          <w:i/>
          <w:sz w:val="24"/>
          <w:szCs w:val="24"/>
          <w:lang w:val="ro-RO" w:eastAsia="ro-RO"/>
        </w:rPr>
        <w:t xml:space="preserve"> </w:t>
      </w:r>
      <w:r w:rsidR="00A114CF" w:rsidRPr="0030671C">
        <w:rPr>
          <w:rFonts w:ascii="Arial" w:hAnsi="Arial" w:cs="Arial"/>
          <w:sz w:val="24"/>
          <w:szCs w:val="24"/>
          <w:lang w:val="ro-RO" w:eastAsia="ro-RO"/>
        </w:rPr>
        <w:t xml:space="preserve">a Parlamentului European și a Consiliului </w:t>
      </w:r>
      <w:r w:rsidRPr="0030671C">
        <w:rPr>
          <w:rFonts w:ascii="Arial" w:hAnsi="Arial" w:cs="Arial"/>
          <w:sz w:val="24"/>
          <w:szCs w:val="24"/>
          <w:lang w:val="ro-RO" w:eastAsia="ro-RO"/>
        </w:rPr>
        <w:t>privind calitatea aerului şi un aer mai curat în Europa</w:t>
      </w:r>
      <w:r w:rsidRPr="00DF4B1A">
        <w:rPr>
          <w:rFonts w:ascii="Arial" w:hAnsi="Arial" w:cs="Arial"/>
          <w:sz w:val="24"/>
          <w:szCs w:val="24"/>
          <w:lang w:val="ro-RO" w:eastAsia="ro-RO"/>
        </w:rPr>
        <w:t xml:space="preserve"> şi </w:t>
      </w:r>
      <w:r w:rsidRPr="00DF4B1A">
        <w:rPr>
          <w:rFonts w:ascii="Arial" w:hAnsi="Arial" w:cs="Arial"/>
          <w:i/>
          <w:sz w:val="24"/>
          <w:szCs w:val="24"/>
          <w:lang w:val="ro-RO" w:eastAsia="ro-RO"/>
        </w:rPr>
        <w:t>Directiva 2004/107/CE</w:t>
      </w:r>
      <w:r w:rsidR="00A114CF" w:rsidRPr="00DF4B1A">
        <w:rPr>
          <w:rFonts w:ascii="Arial" w:hAnsi="Arial" w:cs="Arial"/>
          <w:i/>
          <w:sz w:val="24"/>
          <w:szCs w:val="24"/>
          <w:lang w:val="ro-RO" w:eastAsia="ro-RO"/>
        </w:rPr>
        <w:t xml:space="preserve"> </w:t>
      </w:r>
      <w:r w:rsidR="00A114CF" w:rsidRPr="0030671C">
        <w:rPr>
          <w:rFonts w:ascii="Arial" w:hAnsi="Arial" w:cs="Arial"/>
          <w:sz w:val="24"/>
          <w:szCs w:val="24"/>
          <w:lang w:val="ro-RO" w:eastAsia="ro-RO"/>
        </w:rPr>
        <w:t>a Parlamentului European și a Consiliului</w:t>
      </w:r>
      <w:r w:rsidRPr="0030671C">
        <w:rPr>
          <w:rFonts w:ascii="Arial" w:hAnsi="Arial" w:cs="Arial"/>
          <w:sz w:val="24"/>
          <w:szCs w:val="24"/>
          <w:lang w:val="ro-RO" w:eastAsia="ro-RO"/>
        </w:rPr>
        <w:t xml:space="preserve"> privind arsenul, cadmiul, mercurul, nichelul şi hidrocarburile policiclice aromatice în aerul ambiental</w:t>
      </w:r>
      <w:r w:rsidRPr="00DF4B1A">
        <w:rPr>
          <w:rFonts w:ascii="Arial" w:hAnsi="Arial" w:cs="Arial"/>
          <w:sz w:val="24"/>
          <w:szCs w:val="24"/>
          <w:lang w:val="ro-RO" w:eastAsia="ro-RO"/>
        </w:rPr>
        <w:t xml:space="preserve">. </w:t>
      </w:r>
    </w:p>
    <w:p w:rsidR="0030671C" w:rsidRPr="0030671C" w:rsidRDefault="0030671C" w:rsidP="0030671C">
      <w:pPr>
        <w:widowControl w:val="0"/>
        <w:spacing w:after="0" w:line="240" w:lineRule="auto"/>
        <w:ind w:firstLine="720"/>
        <w:jc w:val="both"/>
        <w:rPr>
          <w:rFonts w:ascii="Arial" w:hAnsi="Arial" w:cs="Arial"/>
          <w:sz w:val="24"/>
          <w:szCs w:val="24"/>
          <w:lang w:val="ro-RO"/>
        </w:rPr>
      </w:pPr>
      <w:r w:rsidRPr="0030671C">
        <w:rPr>
          <w:rFonts w:ascii="Arial" w:hAnsi="Arial" w:cs="Arial"/>
          <w:sz w:val="24"/>
          <w:szCs w:val="24"/>
          <w:lang w:val="ro-RO"/>
        </w:rPr>
        <w:t>Legea este pusă în aplicare prin</w:t>
      </w:r>
      <w:r>
        <w:rPr>
          <w:rFonts w:ascii="Arial" w:hAnsi="Arial" w:cs="Arial"/>
          <w:sz w:val="24"/>
          <w:szCs w:val="24"/>
          <w:lang w:val="ro-RO"/>
        </w:rPr>
        <w:t xml:space="preserve"> intermediul</w:t>
      </w:r>
      <w:r w:rsidRPr="0030671C">
        <w:rPr>
          <w:rFonts w:ascii="Arial" w:hAnsi="Arial" w:cs="Arial"/>
          <w:sz w:val="24"/>
          <w:szCs w:val="24"/>
          <w:lang w:val="ro-RO"/>
        </w:rPr>
        <w:t xml:space="preserve"> </w:t>
      </w:r>
      <w:r w:rsidRPr="0030671C">
        <w:rPr>
          <w:rFonts w:ascii="Arial" w:hAnsi="Arial" w:cs="Arial"/>
          <w:i/>
          <w:sz w:val="24"/>
          <w:szCs w:val="24"/>
          <w:lang w:val="ro-RO"/>
        </w:rPr>
        <w:t>Sistemul</w:t>
      </w:r>
      <w:r>
        <w:rPr>
          <w:rFonts w:ascii="Arial" w:hAnsi="Arial" w:cs="Arial"/>
          <w:i/>
          <w:sz w:val="24"/>
          <w:szCs w:val="24"/>
          <w:lang w:val="ro-RO"/>
        </w:rPr>
        <w:t>ui</w:t>
      </w:r>
      <w:r w:rsidRPr="0030671C">
        <w:rPr>
          <w:rFonts w:ascii="Arial" w:hAnsi="Arial" w:cs="Arial"/>
          <w:i/>
          <w:sz w:val="24"/>
          <w:szCs w:val="24"/>
          <w:lang w:val="ro-RO"/>
        </w:rPr>
        <w:t xml:space="preserve"> Naţional de Evaluare şi Gestionare Integrată a Calităţii Aerului</w:t>
      </w:r>
      <w:r>
        <w:rPr>
          <w:rFonts w:ascii="Arial" w:hAnsi="Arial" w:cs="Arial"/>
          <w:i/>
          <w:sz w:val="24"/>
          <w:szCs w:val="24"/>
          <w:lang w:val="ro-RO"/>
        </w:rPr>
        <w:t xml:space="preserve"> </w:t>
      </w:r>
      <w:r w:rsidRPr="0030671C">
        <w:rPr>
          <w:rFonts w:ascii="Arial" w:hAnsi="Arial" w:cs="Arial"/>
          <w:sz w:val="24"/>
          <w:szCs w:val="24"/>
          <w:lang w:val="ro-RO"/>
        </w:rPr>
        <w:t>(SNEGICA), care cuprinde, ca părţi integrante, următoarele două sisteme:</w:t>
      </w:r>
    </w:p>
    <w:p w:rsidR="0030671C" w:rsidRPr="0030671C" w:rsidRDefault="0030671C" w:rsidP="0030671C">
      <w:pPr>
        <w:widowControl w:val="0"/>
        <w:spacing w:after="0" w:line="240" w:lineRule="auto"/>
        <w:ind w:firstLine="720"/>
        <w:jc w:val="both"/>
        <w:rPr>
          <w:rFonts w:ascii="Arial" w:hAnsi="Arial" w:cs="Arial"/>
          <w:sz w:val="24"/>
          <w:szCs w:val="24"/>
          <w:lang w:val="ro-RO"/>
        </w:rPr>
      </w:pPr>
      <w:r w:rsidRPr="0030671C">
        <w:rPr>
          <w:rFonts w:ascii="Arial" w:hAnsi="Arial" w:cs="Arial"/>
          <w:sz w:val="24"/>
          <w:szCs w:val="24"/>
          <w:lang w:val="ro-RO"/>
        </w:rPr>
        <w:t xml:space="preserve">a) </w:t>
      </w:r>
      <w:r w:rsidRPr="0030671C">
        <w:rPr>
          <w:rFonts w:ascii="Arial" w:hAnsi="Arial" w:cs="Arial"/>
          <w:i/>
          <w:sz w:val="24"/>
          <w:szCs w:val="24"/>
          <w:lang w:val="ro-RO"/>
        </w:rPr>
        <w:t>Sistemul Naţional de Monitorizare a Calităţii Aerului</w:t>
      </w:r>
      <w:r>
        <w:rPr>
          <w:rFonts w:ascii="Arial" w:hAnsi="Arial" w:cs="Arial"/>
          <w:i/>
          <w:sz w:val="24"/>
          <w:szCs w:val="24"/>
          <w:lang w:val="ro-RO"/>
        </w:rPr>
        <w:t xml:space="preserve"> (</w:t>
      </w:r>
      <w:r w:rsidRPr="0030671C">
        <w:rPr>
          <w:rFonts w:ascii="Arial" w:hAnsi="Arial" w:cs="Arial"/>
          <w:sz w:val="24"/>
          <w:szCs w:val="24"/>
          <w:lang w:val="ro-RO"/>
        </w:rPr>
        <w:t xml:space="preserve">SNMCA), denumit în continuare SNMCA, care asigură cadrul organizatoric, instituţional şi legal pentru desfăşurarea activităţilor de monitorizare a calităţii aerului înconjurător, în mod unitar, pe teritoriul României, prin </w:t>
      </w:r>
      <w:r w:rsidRPr="0030671C">
        <w:rPr>
          <w:rFonts w:ascii="Arial" w:hAnsi="Arial" w:cs="Arial"/>
          <w:b/>
          <w:sz w:val="24"/>
          <w:szCs w:val="24"/>
          <w:lang w:val="ro-RO"/>
        </w:rPr>
        <w:t>Reţeaua Naţională de Monitorizare a Calităţii Aerului</w:t>
      </w:r>
      <w:r w:rsidRPr="0030671C">
        <w:rPr>
          <w:rFonts w:ascii="Arial" w:hAnsi="Arial" w:cs="Arial"/>
          <w:sz w:val="24"/>
          <w:szCs w:val="24"/>
          <w:lang w:val="ro-RO"/>
        </w:rPr>
        <w:t xml:space="preserve"> (RNMCA);</w:t>
      </w:r>
    </w:p>
    <w:p w:rsidR="0030671C" w:rsidRPr="0030671C" w:rsidRDefault="0030671C" w:rsidP="0030671C">
      <w:pPr>
        <w:widowControl w:val="0"/>
        <w:spacing w:after="0" w:line="240" w:lineRule="auto"/>
        <w:ind w:firstLine="720"/>
        <w:jc w:val="both"/>
        <w:rPr>
          <w:rFonts w:ascii="Arial" w:hAnsi="Arial" w:cs="Arial"/>
          <w:sz w:val="24"/>
          <w:szCs w:val="24"/>
          <w:lang w:val="ro-RO"/>
        </w:rPr>
      </w:pPr>
      <w:r w:rsidRPr="0030671C">
        <w:rPr>
          <w:rFonts w:ascii="Arial" w:hAnsi="Arial" w:cs="Arial"/>
          <w:sz w:val="24"/>
          <w:szCs w:val="24"/>
          <w:lang w:val="ro-RO"/>
        </w:rPr>
        <w:t xml:space="preserve">b) </w:t>
      </w:r>
      <w:r w:rsidRPr="0030671C">
        <w:rPr>
          <w:rFonts w:ascii="Arial" w:hAnsi="Arial" w:cs="Arial"/>
          <w:i/>
          <w:sz w:val="24"/>
          <w:szCs w:val="24"/>
          <w:lang w:val="ro-RO"/>
        </w:rPr>
        <w:t>Sistemul Naţional de Inventariere a Emisiilor de Poluanţi Atmosferici</w:t>
      </w:r>
      <w:r>
        <w:rPr>
          <w:rFonts w:ascii="Arial" w:hAnsi="Arial" w:cs="Arial"/>
          <w:i/>
          <w:sz w:val="24"/>
          <w:szCs w:val="24"/>
          <w:lang w:val="ro-RO"/>
        </w:rPr>
        <w:t xml:space="preserve"> </w:t>
      </w:r>
      <w:r w:rsidRPr="0030671C">
        <w:rPr>
          <w:rFonts w:ascii="Arial" w:hAnsi="Arial" w:cs="Arial"/>
          <w:sz w:val="24"/>
          <w:szCs w:val="24"/>
          <w:lang w:val="ro-RO"/>
        </w:rPr>
        <w:t>(SNIEPA), care asigură cadrul organizatoric, instituţional şi legal pentru realizarea inventarelor privind emisiile de poluanţi în atmosferă, în mod unitar, pe întreg teritoriul ţării.</w:t>
      </w:r>
    </w:p>
    <w:p w:rsidR="0030671C" w:rsidRPr="0030671C" w:rsidRDefault="0030671C" w:rsidP="0030671C">
      <w:pPr>
        <w:widowControl w:val="0"/>
        <w:spacing w:after="0" w:line="240" w:lineRule="auto"/>
        <w:ind w:firstLine="720"/>
        <w:jc w:val="both"/>
        <w:rPr>
          <w:rFonts w:ascii="Arial" w:hAnsi="Arial" w:cs="Arial"/>
          <w:sz w:val="24"/>
          <w:szCs w:val="24"/>
          <w:lang w:val="ro-RO"/>
        </w:rPr>
      </w:pPr>
      <w:r w:rsidRPr="0030671C">
        <w:rPr>
          <w:rFonts w:ascii="Arial" w:hAnsi="Arial" w:cs="Arial"/>
          <w:sz w:val="24"/>
          <w:szCs w:val="24"/>
          <w:lang w:val="ro-RO"/>
        </w:rPr>
        <w:t>Evaluarea calităţii aerului</w:t>
      </w:r>
      <w:r w:rsidR="00E538BB">
        <w:rPr>
          <w:rFonts w:ascii="Arial" w:hAnsi="Arial" w:cs="Arial"/>
          <w:sz w:val="24"/>
          <w:szCs w:val="24"/>
          <w:lang w:val="ro-RO"/>
        </w:rPr>
        <w:t xml:space="preserve"> pe teritoriul naţional</w:t>
      </w:r>
      <w:r w:rsidRPr="0030671C">
        <w:rPr>
          <w:rFonts w:ascii="Arial" w:hAnsi="Arial" w:cs="Arial"/>
          <w:sz w:val="24"/>
          <w:szCs w:val="24"/>
          <w:lang w:val="ro-RO"/>
        </w:rPr>
        <w:t xml:space="preserve"> se  realizează pe baza unor metode şi criterii comune, stabilite la nivel european, prin:</w:t>
      </w:r>
    </w:p>
    <w:p w:rsidR="0030671C" w:rsidRPr="0030671C" w:rsidRDefault="0030671C" w:rsidP="00E538BB">
      <w:pPr>
        <w:widowControl w:val="0"/>
        <w:spacing w:after="0" w:line="240" w:lineRule="auto"/>
        <w:jc w:val="both"/>
        <w:rPr>
          <w:rFonts w:ascii="Arial" w:hAnsi="Arial" w:cs="Arial"/>
          <w:sz w:val="24"/>
          <w:szCs w:val="24"/>
          <w:lang w:val="ro-RO"/>
        </w:rPr>
      </w:pPr>
      <w:r w:rsidRPr="0030671C">
        <w:rPr>
          <w:rFonts w:ascii="Arial" w:hAnsi="Arial" w:cs="Arial"/>
          <w:sz w:val="24"/>
          <w:szCs w:val="24"/>
          <w:lang w:val="ro-RO"/>
        </w:rPr>
        <w:t>- măsurări în puncte fixe a poluanţilor reglementaţi prin legea 104/2011</w:t>
      </w:r>
      <w:r>
        <w:rPr>
          <w:rFonts w:ascii="Arial" w:hAnsi="Arial" w:cs="Arial"/>
          <w:sz w:val="24"/>
          <w:szCs w:val="24"/>
          <w:lang w:val="ro-RO"/>
        </w:rPr>
        <w:t xml:space="preserve">, realizate continuu, </w:t>
      </w:r>
      <w:r w:rsidRPr="0030671C">
        <w:rPr>
          <w:rFonts w:ascii="Arial" w:hAnsi="Arial" w:cs="Arial"/>
          <w:sz w:val="24"/>
          <w:szCs w:val="24"/>
          <w:lang w:val="ro-RO"/>
        </w:rPr>
        <w:t xml:space="preserve">în staţiile automate de monitorizare aparţinând RNMCA. </w:t>
      </w:r>
    </w:p>
    <w:p w:rsidR="0030671C" w:rsidRPr="0030671C" w:rsidRDefault="0030671C" w:rsidP="00E538BB">
      <w:pPr>
        <w:widowControl w:val="0"/>
        <w:spacing w:after="0" w:line="240" w:lineRule="auto"/>
        <w:jc w:val="both"/>
        <w:rPr>
          <w:rFonts w:ascii="Arial" w:hAnsi="Arial" w:cs="Arial"/>
          <w:sz w:val="24"/>
          <w:szCs w:val="24"/>
          <w:lang w:val="ro-RO"/>
        </w:rPr>
      </w:pPr>
      <w:r w:rsidRPr="0030671C">
        <w:rPr>
          <w:rFonts w:ascii="Arial" w:hAnsi="Arial" w:cs="Arial"/>
          <w:sz w:val="24"/>
          <w:szCs w:val="24"/>
          <w:lang w:val="ro-RO"/>
        </w:rPr>
        <w:t xml:space="preserve">- tehnici de modelare </w:t>
      </w:r>
    </w:p>
    <w:p w:rsidR="0030671C" w:rsidRPr="0030671C" w:rsidRDefault="0030671C" w:rsidP="00E538BB">
      <w:pPr>
        <w:widowControl w:val="0"/>
        <w:spacing w:after="0" w:line="240" w:lineRule="auto"/>
        <w:jc w:val="both"/>
        <w:rPr>
          <w:rFonts w:ascii="Arial" w:hAnsi="Arial" w:cs="Arial"/>
          <w:sz w:val="24"/>
          <w:szCs w:val="24"/>
          <w:lang w:val="ro-RO"/>
        </w:rPr>
      </w:pPr>
      <w:r w:rsidRPr="0030671C">
        <w:rPr>
          <w:rFonts w:ascii="Arial" w:hAnsi="Arial" w:cs="Arial"/>
          <w:sz w:val="24"/>
          <w:szCs w:val="24"/>
          <w:lang w:val="ro-RO"/>
        </w:rPr>
        <w:t>- măsurări indicative</w:t>
      </w:r>
    </w:p>
    <w:p w:rsidR="0030671C" w:rsidRDefault="0030671C" w:rsidP="0030671C">
      <w:pPr>
        <w:widowControl w:val="0"/>
        <w:tabs>
          <w:tab w:val="num" w:pos="220"/>
        </w:tabs>
        <w:overflowPunct w:val="0"/>
        <w:autoSpaceDE w:val="0"/>
        <w:autoSpaceDN w:val="0"/>
        <w:adjustRightInd w:val="0"/>
        <w:spacing w:after="0" w:line="240" w:lineRule="auto"/>
        <w:ind w:firstLine="720"/>
        <w:jc w:val="both"/>
        <w:textAlignment w:val="baseline"/>
        <w:rPr>
          <w:rFonts w:ascii="Arial" w:eastAsia="Times New Roman" w:hAnsi="Arial" w:cs="Arial"/>
          <w:sz w:val="24"/>
          <w:szCs w:val="24"/>
          <w:lang w:val="ro-RO"/>
        </w:rPr>
      </w:pPr>
      <w:r w:rsidRPr="0030671C">
        <w:rPr>
          <w:rFonts w:ascii="Arial" w:eastAsia="Times New Roman" w:hAnsi="Arial" w:cs="Arial"/>
          <w:sz w:val="24"/>
          <w:szCs w:val="24"/>
          <w:lang w:val="ro-RO"/>
        </w:rPr>
        <w:t>Legea nr. 104/2011 reglementează, pentru anumiţi poluanţi prevăzuţi de lege: SO</w:t>
      </w:r>
      <w:r w:rsidRPr="0030671C">
        <w:rPr>
          <w:rFonts w:ascii="Arial" w:eastAsia="Times New Roman" w:hAnsi="Arial" w:cs="Arial"/>
          <w:sz w:val="24"/>
          <w:szCs w:val="24"/>
          <w:vertAlign w:val="subscript"/>
          <w:lang w:val="ro-RO"/>
        </w:rPr>
        <w:t>2</w:t>
      </w:r>
      <w:r w:rsidRPr="0030671C">
        <w:rPr>
          <w:rFonts w:ascii="Arial" w:eastAsia="Times New Roman" w:hAnsi="Arial" w:cs="Arial"/>
          <w:sz w:val="24"/>
          <w:szCs w:val="24"/>
          <w:lang w:val="ro-RO"/>
        </w:rPr>
        <w:t>, NO</w:t>
      </w:r>
      <w:r w:rsidRPr="0030671C">
        <w:rPr>
          <w:rFonts w:ascii="Arial" w:eastAsia="Times New Roman" w:hAnsi="Arial" w:cs="Arial"/>
          <w:sz w:val="24"/>
          <w:szCs w:val="24"/>
          <w:vertAlign w:val="subscript"/>
          <w:lang w:val="ro-RO"/>
        </w:rPr>
        <w:t>2</w:t>
      </w:r>
      <w:r w:rsidRPr="0030671C">
        <w:rPr>
          <w:rFonts w:ascii="Arial" w:eastAsia="Times New Roman" w:hAnsi="Arial" w:cs="Arial"/>
          <w:sz w:val="24"/>
          <w:szCs w:val="24"/>
          <w:lang w:val="ro-RO"/>
        </w:rPr>
        <w:t>, CO, O</w:t>
      </w:r>
      <w:r w:rsidRPr="0030671C">
        <w:rPr>
          <w:rFonts w:ascii="Arial" w:eastAsia="Times New Roman" w:hAnsi="Arial" w:cs="Arial"/>
          <w:sz w:val="24"/>
          <w:szCs w:val="24"/>
          <w:vertAlign w:val="subscript"/>
          <w:lang w:val="ro-RO"/>
        </w:rPr>
        <w:t>3</w:t>
      </w:r>
      <w:r w:rsidRPr="0030671C">
        <w:rPr>
          <w:rFonts w:ascii="Arial" w:eastAsia="Times New Roman" w:hAnsi="Arial" w:cs="Arial"/>
          <w:sz w:val="24"/>
          <w:szCs w:val="24"/>
          <w:lang w:val="ro-RO"/>
        </w:rPr>
        <w:t>, benzen, PM10, PM2,5 şi Pb, Cd, As şi Ni din PM10, benzo(a)piren, o serie de obiective de calitate</w:t>
      </w:r>
      <w:r w:rsidRPr="00DF4B1A">
        <w:rPr>
          <w:rFonts w:ascii="Arial" w:hAnsi="Arial" w:cs="Arial"/>
          <w:sz w:val="24"/>
          <w:szCs w:val="24"/>
          <w:lang w:val="ro-RO"/>
        </w:rPr>
        <w:t>, şi anume:</w:t>
      </w:r>
      <w:r w:rsidRPr="0030671C">
        <w:rPr>
          <w:rFonts w:ascii="Arial" w:eastAsia="Times New Roman" w:hAnsi="Arial" w:cs="Arial"/>
          <w:sz w:val="24"/>
          <w:szCs w:val="24"/>
          <w:lang w:val="ro-RO"/>
        </w:rPr>
        <w:t xml:space="preserve"> </w:t>
      </w:r>
    </w:p>
    <w:p w:rsidR="0030671C" w:rsidRPr="00DF4B1A" w:rsidRDefault="0030671C" w:rsidP="0030671C">
      <w:pPr>
        <w:widowControl w:val="0"/>
        <w:numPr>
          <w:ilvl w:val="0"/>
          <w:numId w:val="11"/>
        </w:numPr>
        <w:tabs>
          <w:tab w:val="clear" w:pos="720"/>
          <w:tab w:val="num" w:pos="220"/>
        </w:tabs>
        <w:spacing w:after="0" w:line="240" w:lineRule="auto"/>
        <w:ind w:left="220" w:hanging="220"/>
        <w:jc w:val="both"/>
        <w:rPr>
          <w:rFonts w:ascii="Arial" w:hAnsi="Arial" w:cs="Arial"/>
          <w:sz w:val="24"/>
          <w:szCs w:val="24"/>
          <w:lang w:val="ro-RO"/>
        </w:rPr>
      </w:pPr>
      <w:r>
        <w:rPr>
          <w:rFonts w:ascii="Arial" w:hAnsi="Arial" w:cs="Arial"/>
          <w:sz w:val="24"/>
          <w:szCs w:val="24"/>
          <w:lang w:val="ro-RO"/>
        </w:rPr>
        <w:t>valori</w:t>
      </w:r>
      <w:r w:rsidRPr="00DF4B1A">
        <w:rPr>
          <w:rFonts w:ascii="Arial" w:hAnsi="Arial" w:cs="Arial"/>
          <w:sz w:val="24"/>
          <w:szCs w:val="24"/>
          <w:lang w:val="ro-RO"/>
        </w:rPr>
        <w:t xml:space="preserve"> limită (VL) pentru protecţia sănătăţii umane</w:t>
      </w:r>
      <w:r w:rsidRPr="00DF4B1A">
        <w:rPr>
          <w:rStyle w:val="FootnoteReference"/>
          <w:rFonts w:ascii="Arial" w:hAnsi="Arial" w:cs="Arial"/>
          <w:sz w:val="24"/>
          <w:szCs w:val="24"/>
          <w:lang w:val="ro-RO"/>
        </w:rPr>
        <w:footnoteReference w:id="1"/>
      </w:r>
      <w:r w:rsidRPr="00DF4B1A">
        <w:rPr>
          <w:rFonts w:ascii="Arial" w:hAnsi="Arial" w:cs="Arial"/>
          <w:sz w:val="24"/>
          <w:szCs w:val="24"/>
          <w:lang w:val="ro-RO"/>
        </w:rPr>
        <w:t xml:space="preserve"> la poluanţii: SO</w:t>
      </w:r>
      <w:r w:rsidRPr="00DF4B1A">
        <w:rPr>
          <w:rFonts w:ascii="Arial" w:hAnsi="Arial" w:cs="Arial"/>
          <w:sz w:val="24"/>
          <w:szCs w:val="24"/>
          <w:vertAlign w:val="subscript"/>
          <w:lang w:val="ro-RO"/>
        </w:rPr>
        <w:t>2</w:t>
      </w:r>
      <w:r w:rsidRPr="00DF4B1A">
        <w:rPr>
          <w:rFonts w:ascii="Arial" w:hAnsi="Arial" w:cs="Arial"/>
          <w:sz w:val="24"/>
          <w:szCs w:val="24"/>
          <w:lang w:val="ro-RO"/>
        </w:rPr>
        <w:t>, NO</w:t>
      </w:r>
      <w:r w:rsidRPr="00DF4B1A">
        <w:rPr>
          <w:rFonts w:ascii="Arial" w:hAnsi="Arial" w:cs="Arial"/>
          <w:sz w:val="24"/>
          <w:szCs w:val="24"/>
          <w:vertAlign w:val="subscript"/>
          <w:lang w:val="ro-RO"/>
        </w:rPr>
        <w:t>2</w:t>
      </w:r>
      <w:r w:rsidRPr="00DF4B1A">
        <w:rPr>
          <w:rFonts w:ascii="Arial" w:hAnsi="Arial" w:cs="Arial"/>
          <w:sz w:val="24"/>
          <w:szCs w:val="24"/>
          <w:lang w:val="ro-RO"/>
        </w:rPr>
        <w:t xml:space="preserve">, CO, </w:t>
      </w:r>
      <w:r w:rsidRPr="00DF4B1A">
        <w:rPr>
          <w:rFonts w:ascii="Arial" w:hAnsi="Arial" w:cs="Arial"/>
          <w:sz w:val="24"/>
          <w:szCs w:val="24"/>
          <w:lang w:val="ro-RO" w:eastAsia="ro-RO"/>
        </w:rPr>
        <w:t>PM10</w:t>
      </w:r>
      <w:r w:rsidRPr="00DF4B1A">
        <w:rPr>
          <w:rStyle w:val="FootnoteReference"/>
          <w:rFonts w:ascii="Arial" w:hAnsi="Arial" w:cs="Arial"/>
          <w:sz w:val="24"/>
          <w:szCs w:val="24"/>
          <w:lang w:val="ro-RO" w:eastAsia="ro-RO"/>
        </w:rPr>
        <w:footnoteReference w:id="2"/>
      </w:r>
      <w:r w:rsidRPr="00DF4B1A">
        <w:rPr>
          <w:rFonts w:ascii="Arial" w:hAnsi="Arial" w:cs="Arial"/>
          <w:sz w:val="24"/>
          <w:szCs w:val="24"/>
          <w:lang w:val="ro-RO"/>
        </w:rPr>
        <w:t xml:space="preserve">, </w:t>
      </w:r>
      <w:r w:rsidRPr="00DF4B1A">
        <w:rPr>
          <w:rFonts w:ascii="Arial" w:hAnsi="Arial" w:cs="Arial"/>
          <w:sz w:val="24"/>
          <w:szCs w:val="24"/>
          <w:lang w:val="ro-RO" w:eastAsia="ro-RO"/>
        </w:rPr>
        <w:t>PM2,5</w:t>
      </w:r>
      <w:r w:rsidRPr="00DF4B1A">
        <w:rPr>
          <w:rStyle w:val="FootnoteReference"/>
          <w:rFonts w:ascii="Arial" w:hAnsi="Arial" w:cs="Arial"/>
          <w:sz w:val="24"/>
          <w:szCs w:val="24"/>
          <w:lang w:val="ro-RO" w:eastAsia="ro-RO"/>
        </w:rPr>
        <w:footnoteReference w:id="3"/>
      </w:r>
      <w:r w:rsidRPr="00DF4B1A">
        <w:rPr>
          <w:rFonts w:ascii="Arial" w:hAnsi="Arial" w:cs="Arial"/>
          <w:sz w:val="24"/>
          <w:szCs w:val="24"/>
          <w:lang w:val="ro-RO" w:eastAsia="ro-RO"/>
        </w:rPr>
        <w:t xml:space="preserve"> </w:t>
      </w:r>
      <w:r w:rsidRPr="00DF4B1A">
        <w:rPr>
          <w:rFonts w:ascii="Arial" w:hAnsi="Arial" w:cs="Arial"/>
          <w:sz w:val="24"/>
          <w:szCs w:val="24"/>
          <w:lang w:val="ro-RO"/>
        </w:rPr>
        <w:t>şi Pb din PM10;</w:t>
      </w:r>
    </w:p>
    <w:p w:rsidR="0030671C" w:rsidRPr="00DF4B1A" w:rsidRDefault="0030671C" w:rsidP="0030671C">
      <w:pPr>
        <w:widowControl w:val="0"/>
        <w:numPr>
          <w:ilvl w:val="0"/>
          <w:numId w:val="11"/>
        </w:numPr>
        <w:tabs>
          <w:tab w:val="clear" w:pos="720"/>
          <w:tab w:val="num" w:pos="220"/>
        </w:tabs>
        <w:spacing w:after="0" w:line="240" w:lineRule="auto"/>
        <w:ind w:left="220" w:hanging="220"/>
        <w:jc w:val="both"/>
        <w:rPr>
          <w:rFonts w:ascii="Arial" w:hAnsi="Arial" w:cs="Arial"/>
          <w:sz w:val="24"/>
          <w:szCs w:val="24"/>
          <w:lang w:val="ro-RO"/>
        </w:rPr>
      </w:pPr>
      <w:r>
        <w:rPr>
          <w:rFonts w:ascii="Arial" w:hAnsi="Arial" w:cs="Arial"/>
          <w:sz w:val="24"/>
          <w:szCs w:val="24"/>
          <w:lang w:val="ro-RO"/>
        </w:rPr>
        <w:t>valori</w:t>
      </w:r>
      <w:r w:rsidRPr="00DF4B1A">
        <w:rPr>
          <w:rFonts w:ascii="Arial" w:hAnsi="Arial" w:cs="Arial"/>
          <w:sz w:val="24"/>
          <w:szCs w:val="24"/>
          <w:lang w:val="ro-RO"/>
        </w:rPr>
        <w:t xml:space="preserve"> ţintă</w:t>
      </w:r>
      <w:r w:rsidRPr="00DF4B1A">
        <w:rPr>
          <w:rStyle w:val="FootnoteReference"/>
          <w:rFonts w:ascii="Arial" w:hAnsi="Arial" w:cs="Arial"/>
          <w:sz w:val="24"/>
          <w:szCs w:val="24"/>
          <w:lang w:val="ro-RO"/>
        </w:rPr>
        <w:footnoteReference w:id="4"/>
      </w:r>
      <w:r w:rsidRPr="00DF4B1A">
        <w:rPr>
          <w:rFonts w:ascii="Arial" w:hAnsi="Arial" w:cs="Arial"/>
          <w:sz w:val="24"/>
          <w:szCs w:val="24"/>
          <w:lang w:val="ro-RO"/>
        </w:rPr>
        <w:t xml:space="preserve"> (VT) pentru Cd, As, Ni din PM10, PM2,5 şi la O</w:t>
      </w:r>
      <w:r w:rsidRPr="00DF4B1A">
        <w:rPr>
          <w:rFonts w:ascii="Arial" w:hAnsi="Arial" w:cs="Arial"/>
          <w:sz w:val="24"/>
          <w:szCs w:val="24"/>
          <w:vertAlign w:val="subscript"/>
          <w:lang w:val="ro-RO"/>
        </w:rPr>
        <w:t xml:space="preserve">3 </w:t>
      </w:r>
      <w:r w:rsidRPr="00DF4B1A">
        <w:rPr>
          <w:rFonts w:ascii="Arial" w:hAnsi="Arial" w:cs="Arial"/>
          <w:sz w:val="24"/>
          <w:szCs w:val="24"/>
          <w:lang w:val="ro-RO"/>
        </w:rPr>
        <w:t xml:space="preserve">(pentru protecţia sănătăţii umane şi a vegetaţiei, după caz) </w:t>
      </w:r>
    </w:p>
    <w:p w:rsidR="0030671C" w:rsidRPr="00DF4B1A" w:rsidRDefault="0030671C" w:rsidP="0030671C">
      <w:pPr>
        <w:widowControl w:val="0"/>
        <w:numPr>
          <w:ilvl w:val="0"/>
          <w:numId w:val="11"/>
        </w:numPr>
        <w:tabs>
          <w:tab w:val="clear" w:pos="720"/>
          <w:tab w:val="num" w:pos="220"/>
        </w:tabs>
        <w:spacing w:after="0" w:line="240" w:lineRule="auto"/>
        <w:ind w:left="220" w:hanging="220"/>
        <w:jc w:val="both"/>
        <w:rPr>
          <w:rFonts w:ascii="Arial" w:hAnsi="Arial" w:cs="Arial"/>
          <w:sz w:val="24"/>
          <w:szCs w:val="24"/>
          <w:lang w:val="ro-RO"/>
        </w:rPr>
      </w:pPr>
      <w:r w:rsidRPr="00DF4B1A">
        <w:rPr>
          <w:rFonts w:ascii="Arial" w:hAnsi="Arial" w:cs="Arial"/>
          <w:sz w:val="24"/>
          <w:szCs w:val="24"/>
          <w:lang w:val="ro-RO"/>
        </w:rPr>
        <w:t>niveluri critice pentru protecţia vegetaţiei</w:t>
      </w:r>
      <w:r w:rsidRPr="00DF4B1A">
        <w:rPr>
          <w:rStyle w:val="FootnoteReference"/>
          <w:rFonts w:ascii="Arial" w:hAnsi="Arial" w:cs="Arial"/>
          <w:sz w:val="24"/>
          <w:szCs w:val="24"/>
          <w:lang w:val="ro-RO"/>
        </w:rPr>
        <w:footnoteReference w:id="5"/>
      </w:r>
      <w:r w:rsidRPr="00DF4B1A">
        <w:rPr>
          <w:rFonts w:ascii="Arial" w:hAnsi="Arial" w:cs="Arial"/>
          <w:sz w:val="24"/>
          <w:szCs w:val="24"/>
          <w:lang w:val="ro-RO"/>
        </w:rPr>
        <w:t xml:space="preserve"> la SO</w:t>
      </w:r>
      <w:r w:rsidRPr="00DF4B1A">
        <w:rPr>
          <w:rFonts w:ascii="Arial" w:hAnsi="Arial" w:cs="Arial"/>
          <w:sz w:val="24"/>
          <w:szCs w:val="24"/>
          <w:vertAlign w:val="subscript"/>
          <w:lang w:val="ro-RO"/>
        </w:rPr>
        <w:t>2</w:t>
      </w:r>
      <w:r w:rsidRPr="00DF4B1A">
        <w:rPr>
          <w:rFonts w:ascii="Arial" w:hAnsi="Arial" w:cs="Arial"/>
          <w:sz w:val="24"/>
          <w:szCs w:val="24"/>
          <w:lang w:val="ro-RO"/>
        </w:rPr>
        <w:t xml:space="preserve"> şi NO</w:t>
      </w:r>
      <w:r w:rsidRPr="00DF4B1A">
        <w:rPr>
          <w:rFonts w:ascii="Arial" w:hAnsi="Arial" w:cs="Arial"/>
          <w:sz w:val="24"/>
          <w:szCs w:val="24"/>
          <w:vertAlign w:val="subscript"/>
          <w:lang w:val="ro-RO"/>
        </w:rPr>
        <w:t>x</w:t>
      </w:r>
      <w:r w:rsidRPr="00DF4B1A">
        <w:rPr>
          <w:rFonts w:ascii="Arial" w:hAnsi="Arial" w:cs="Arial"/>
          <w:sz w:val="24"/>
          <w:szCs w:val="24"/>
          <w:lang w:val="ro-RO"/>
        </w:rPr>
        <w:t xml:space="preserve">, </w:t>
      </w:r>
    </w:p>
    <w:p w:rsidR="0030671C" w:rsidRPr="00DF4B1A" w:rsidRDefault="0030671C" w:rsidP="0030671C">
      <w:pPr>
        <w:widowControl w:val="0"/>
        <w:numPr>
          <w:ilvl w:val="0"/>
          <w:numId w:val="11"/>
        </w:numPr>
        <w:tabs>
          <w:tab w:val="clear" w:pos="720"/>
          <w:tab w:val="num" w:pos="220"/>
        </w:tabs>
        <w:spacing w:after="0" w:line="240" w:lineRule="auto"/>
        <w:ind w:left="220" w:hanging="220"/>
        <w:jc w:val="both"/>
        <w:rPr>
          <w:rFonts w:ascii="Arial" w:hAnsi="Arial" w:cs="Arial"/>
          <w:sz w:val="24"/>
          <w:szCs w:val="24"/>
          <w:lang w:val="ro-RO"/>
        </w:rPr>
      </w:pPr>
      <w:r>
        <w:rPr>
          <w:rFonts w:ascii="Arial" w:hAnsi="Arial" w:cs="Arial"/>
          <w:sz w:val="24"/>
          <w:szCs w:val="24"/>
          <w:lang w:val="ro-RO"/>
        </w:rPr>
        <w:t>obiective</w:t>
      </w:r>
      <w:r w:rsidRPr="00DF4B1A">
        <w:rPr>
          <w:rFonts w:ascii="Arial" w:hAnsi="Arial" w:cs="Arial"/>
          <w:sz w:val="24"/>
          <w:szCs w:val="24"/>
          <w:lang w:val="ro-RO"/>
        </w:rPr>
        <w:t xml:space="preserve"> pe termen lung pentru protecţia sănătăţii şi a vegetaţiei la ozon</w:t>
      </w:r>
      <w:r w:rsidRPr="00DF4B1A">
        <w:rPr>
          <w:rStyle w:val="FootnoteReference"/>
          <w:rFonts w:ascii="Arial" w:hAnsi="Arial" w:cs="Arial"/>
          <w:sz w:val="24"/>
          <w:szCs w:val="24"/>
          <w:lang w:val="ro-RO"/>
        </w:rPr>
        <w:footnoteReference w:id="6"/>
      </w:r>
    </w:p>
    <w:p w:rsidR="0030671C" w:rsidRPr="00DF4B1A" w:rsidRDefault="0030671C" w:rsidP="0030671C">
      <w:pPr>
        <w:widowControl w:val="0"/>
        <w:numPr>
          <w:ilvl w:val="0"/>
          <w:numId w:val="11"/>
        </w:numPr>
        <w:tabs>
          <w:tab w:val="clear" w:pos="720"/>
          <w:tab w:val="num" w:pos="220"/>
        </w:tabs>
        <w:spacing w:after="0" w:line="240" w:lineRule="auto"/>
        <w:ind w:left="220" w:hanging="220"/>
        <w:jc w:val="both"/>
        <w:rPr>
          <w:rFonts w:ascii="Arial" w:hAnsi="Arial" w:cs="Arial"/>
          <w:sz w:val="24"/>
          <w:szCs w:val="24"/>
          <w:lang w:val="ro-RO"/>
        </w:rPr>
      </w:pPr>
      <w:r>
        <w:rPr>
          <w:rFonts w:ascii="Arial" w:hAnsi="Arial" w:cs="Arial"/>
          <w:sz w:val="24"/>
          <w:szCs w:val="24"/>
          <w:lang w:val="ro-RO"/>
        </w:rPr>
        <w:lastRenderedPageBreak/>
        <w:t>prag</w:t>
      </w:r>
      <w:r w:rsidRPr="00DF4B1A">
        <w:rPr>
          <w:rFonts w:ascii="Arial" w:hAnsi="Arial" w:cs="Arial"/>
          <w:sz w:val="24"/>
          <w:szCs w:val="24"/>
          <w:lang w:val="ro-RO"/>
        </w:rPr>
        <w:t xml:space="preserve"> de informare (PI)  a publicului la ozon</w:t>
      </w:r>
      <w:r w:rsidRPr="00DF4B1A">
        <w:rPr>
          <w:rStyle w:val="FootnoteReference"/>
          <w:rFonts w:ascii="Arial" w:hAnsi="Arial" w:cs="Arial"/>
          <w:sz w:val="24"/>
          <w:szCs w:val="24"/>
          <w:lang w:val="ro-RO"/>
        </w:rPr>
        <w:footnoteReference w:id="7"/>
      </w:r>
      <w:r w:rsidRPr="00DF4B1A">
        <w:rPr>
          <w:rFonts w:ascii="Arial" w:hAnsi="Arial" w:cs="Arial"/>
          <w:sz w:val="24"/>
          <w:szCs w:val="24"/>
          <w:lang w:val="ro-RO"/>
        </w:rPr>
        <w:t xml:space="preserve"> </w:t>
      </w:r>
    </w:p>
    <w:p w:rsidR="0030671C" w:rsidRPr="00DF4B1A" w:rsidRDefault="0030671C" w:rsidP="0030671C">
      <w:pPr>
        <w:widowControl w:val="0"/>
        <w:numPr>
          <w:ilvl w:val="0"/>
          <w:numId w:val="11"/>
        </w:numPr>
        <w:tabs>
          <w:tab w:val="clear" w:pos="720"/>
          <w:tab w:val="num" w:pos="220"/>
        </w:tabs>
        <w:spacing w:after="0" w:line="240" w:lineRule="auto"/>
        <w:ind w:left="220" w:hanging="220"/>
        <w:jc w:val="both"/>
        <w:rPr>
          <w:rFonts w:ascii="Arial" w:hAnsi="Arial" w:cs="Arial"/>
          <w:sz w:val="24"/>
          <w:szCs w:val="24"/>
          <w:lang w:val="ro-RO"/>
        </w:rPr>
      </w:pPr>
      <w:r w:rsidRPr="00DF4B1A">
        <w:rPr>
          <w:rFonts w:ascii="Arial" w:hAnsi="Arial" w:cs="Arial"/>
          <w:sz w:val="24"/>
          <w:szCs w:val="24"/>
          <w:lang w:val="ro-RO"/>
        </w:rPr>
        <w:t>praguri de alertă</w:t>
      </w:r>
      <w:r w:rsidRPr="00DF4B1A">
        <w:rPr>
          <w:rStyle w:val="FootnoteReference"/>
          <w:rFonts w:ascii="Arial" w:hAnsi="Arial" w:cs="Arial"/>
          <w:sz w:val="24"/>
          <w:szCs w:val="24"/>
          <w:lang w:val="ro-RO"/>
        </w:rPr>
        <w:footnoteReference w:id="8"/>
      </w:r>
      <w:r w:rsidRPr="00DF4B1A">
        <w:rPr>
          <w:rFonts w:ascii="Arial" w:hAnsi="Arial" w:cs="Arial"/>
          <w:sz w:val="24"/>
          <w:szCs w:val="24"/>
          <w:lang w:val="ro-RO"/>
        </w:rPr>
        <w:t xml:space="preserve"> (PA) la O</w:t>
      </w:r>
      <w:r w:rsidRPr="00DF4B1A">
        <w:rPr>
          <w:rFonts w:ascii="Arial" w:hAnsi="Arial" w:cs="Arial"/>
          <w:sz w:val="24"/>
          <w:szCs w:val="24"/>
          <w:vertAlign w:val="subscript"/>
          <w:lang w:val="ro-RO"/>
        </w:rPr>
        <w:t>3</w:t>
      </w:r>
      <w:r w:rsidRPr="00DF4B1A">
        <w:rPr>
          <w:rFonts w:ascii="Arial" w:hAnsi="Arial" w:cs="Arial"/>
          <w:sz w:val="24"/>
          <w:szCs w:val="24"/>
          <w:lang w:val="ro-RO"/>
        </w:rPr>
        <w:t>, SO</w:t>
      </w:r>
      <w:r w:rsidRPr="00DF4B1A">
        <w:rPr>
          <w:rFonts w:ascii="Arial" w:hAnsi="Arial" w:cs="Arial"/>
          <w:sz w:val="24"/>
          <w:szCs w:val="24"/>
          <w:vertAlign w:val="subscript"/>
          <w:lang w:val="ro-RO"/>
        </w:rPr>
        <w:t>2</w:t>
      </w:r>
      <w:r w:rsidRPr="00DF4B1A">
        <w:rPr>
          <w:rFonts w:ascii="Arial" w:hAnsi="Arial" w:cs="Arial"/>
          <w:sz w:val="24"/>
          <w:szCs w:val="24"/>
          <w:lang w:val="ro-RO"/>
        </w:rPr>
        <w:t xml:space="preserve"> şi NO</w:t>
      </w:r>
      <w:r w:rsidRPr="00DF4B1A">
        <w:rPr>
          <w:rFonts w:ascii="Arial" w:hAnsi="Arial" w:cs="Arial"/>
          <w:sz w:val="24"/>
          <w:szCs w:val="24"/>
          <w:vertAlign w:val="subscript"/>
          <w:lang w:val="ro-RO"/>
        </w:rPr>
        <w:t>2</w:t>
      </w:r>
      <w:r w:rsidRPr="00DF4B1A">
        <w:rPr>
          <w:rFonts w:ascii="Arial" w:hAnsi="Arial" w:cs="Arial"/>
          <w:sz w:val="24"/>
          <w:szCs w:val="24"/>
          <w:lang w:val="ro-RO"/>
        </w:rPr>
        <w:t xml:space="preserve">. </w:t>
      </w:r>
    </w:p>
    <w:p w:rsidR="0030671C" w:rsidRPr="00DF4B1A" w:rsidRDefault="0030671C" w:rsidP="0030671C">
      <w:pPr>
        <w:widowControl w:val="0"/>
        <w:spacing w:after="0" w:line="240" w:lineRule="auto"/>
        <w:jc w:val="both"/>
        <w:rPr>
          <w:rFonts w:ascii="Arial" w:hAnsi="Arial" w:cs="Arial"/>
          <w:color w:val="FF0000"/>
          <w:sz w:val="6"/>
          <w:szCs w:val="6"/>
          <w:lang w:val="ro-RO"/>
        </w:rPr>
      </w:pPr>
    </w:p>
    <w:p w:rsidR="0030671C" w:rsidRPr="0030671C" w:rsidRDefault="001D5146" w:rsidP="0030671C">
      <w:pPr>
        <w:widowControl w:val="0"/>
        <w:tabs>
          <w:tab w:val="num" w:pos="220"/>
        </w:tabs>
        <w:overflowPunct w:val="0"/>
        <w:autoSpaceDE w:val="0"/>
        <w:autoSpaceDN w:val="0"/>
        <w:adjustRightInd w:val="0"/>
        <w:spacing w:after="0" w:line="240" w:lineRule="auto"/>
        <w:ind w:firstLine="720"/>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Prin legea 104/2011 m</w:t>
      </w:r>
      <w:r w:rsidR="0030671C" w:rsidRPr="0030671C">
        <w:rPr>
          <w:rFonts w:ascii="Arial" w:eastAsia="Times New Roman" w:hAnsi="Arial" w:cs="Arial"/>
          <w:sz w:val="24"/>
          <w:szCs w:val="24"/>
          <w:lang w:val="ro-RO"/>
        </w:rPr>
        <w:t>ai sunt reglementate</w:t>
      </w:r>
      <w:r w:rsidR="0030671C">
        <w:rPr>
          <w:rFonts w:ascii="Arial" w:eastAsia="Times New Roman" w:hAnsi="Arial" w:cs="Arial"/>
          <w:sz w:val="24"/>
          <w:szCs w:val="24"/>
          <w:lang w:val="ro-RO"/>
        </w:rPr>
        <w:t xml:space="preserve"> </w:t>
      </w:r>
      <w:r>
        <w:rPr>
          <w:rFonts w:ascii="Arial" w:eastAsia="Times New Roman" w:hAnsi="Arial" w:cs="Arial"/>
          <w:sz w:val="24"/>
          <w:szCs w:val="24"/>
          <w:lang w:val="ro-RO"/>
        </w:rPr>
        <w:t xml:space="preserve">pentru fiecare poluant </w:t>
      </w:r>
      <w:r w:rsidR="0030671C">
        <w:rPr>
          <w:rFonts w:ascii="Arial" w:eastAsia="Times New Roman" w:hAnsi="Arial" w:cs="Arial"/>
          <w:sz w:val="24"/>
          <w:szCs w:val="24"/>
          <w:lang w:val="ro-RO"/>
        </w:rPr>
        <w:t>şi</w:t>
      </w:r>
      <w:r w:rsidR="0030671C" w:rsidRPr="0030671C">
        <w:rPr>
          <w:rFonts w:ascii="Arial" w:eastAsia="Times New Roman" w:hAnsi="Arial" w:cs="Arial"/>
          <w:sz w:val="24"/>
          <w:szCs w:val="24"/>
          <w:lang w:val="ro-RO"/>
        </w:rPr>
        <w:t xml:space="preserve"> </w:t>
      </w:r>
      <w:r>
        <w:rPr>
          <w:rFonts w:ascii="Arial" w:eastAsia="Times New Roman" w:hAnsi="Arial" w:cs="Arial"/>
          <w:sz w:val="24"/>
          <w:szCs w:val="24"/>
          <w:lang w:val="ro-RO"/>
        </w:rPr>
        <w:t xml:space="preserve">anumite </w:t>
      </w:r>
      <w:r w:rsidR="0030671C" w:rsidRPr="0030671C">
        <w:rPr>
          <w:rFonts w:ascii="Arial" w:eastAsia="Times New Roman" w:hAnsi="Arial" w:cs="Arial"/>
          <w:sz w:val="24"/>
          <w:szCs w:val="24"/>
          <w:lang w:val="ro-RO"/>
        </w:rPr>
        <w:t xml:space="preserve">praguri superioare şi inferioare de evaluare (PSE şi PIE), niveluri relevante privind încadrarea </w:t>
      </w:r>
      <w:r w:rsidR="0030671C">
        <w:rPr>
          <w:rFonts w:ascii="Arial" w:eastAsia="Times New Roman" w:hAnsi="Arial" w:cs="Arial"/>
          <w:sz w:val="24"/>
          <w:szCs w:val="24"/>
          <w:lang w:val="ro-RO"/>
        </w:rPr>
        <w:t xml:space="preserve">zonelor şi aglomerărilor </w:t>
      </w:r>
      <w:r w:rsidR="0030671C" w:rsidRPr="0030671C">
        <w:rPr>
          <w:rFonts w:ascii="Arial" w:eastAsia="Times New Roman" w:hAnsi="Arial" w:cs="Arial"/>
          <w:sz w:val="24"/>
          <w:szCs w:val="24"/>
          <w:lang w:val="ro-RO"/>
        </w:rPr>
        <w:t>în regimuri de evaluare a calităţii aerului. Sub PSE, pentru a evalua calitatea aerului înconjurător, se poate utiliza o combinaţie de măsurări fixe şi tehnici de modelare şi/sau măsurări indicative, iar sub PIE este suficientă utilizarea tehnicilor de modelare sau de estimare obiectivă.</w:t>
      </w:r>
    </w:p>
    <w:p w:rsidR="001D5AC2" w:rsidRPr="008A5545" w:rsidRDefault="001D5AC2" w:rsidP="00152F86">
      <w:pPr>
        <w:widowControl w:val="0"/>
        <w:spacing w:after="0" w:line="240" w:lineRule="auto"/>
        <w:ind w:firstLine="720"/>
        <w:jc w:val="both"/>
        <w:rPr>
          <w:rFonts w:ascii="Arial" w:hAnsi="Arial" w:cs="Arial"/>
          <w:sz w:val="10"/>
          <w:szCs w:val="10"/>
          <w:lang w:val="ro-RO" w:eastAsia="ro-RO"/>
        </w:rPr>
      </w:pPr>
    </w:p>
    <w:p w:rsidR="003426DB" w:rsidRPr="00DF4B1A" w:rsidRDefault="003426DB" w:rsidP="00152F86">
      <w:pPr>
        <w:widowControl w:val="0"/>
        <w:autoSpaceDE w:val="0"/>
        <w:autoSpaceDN w:val="0"/>
        <w:adjustRightInd w:val="0"/>
        <w:spacing w:after="0" w:line="240" w:lineRule="auto"/>
        <w:ind w:firstLine="708"/>
        <w:jc w:val="both"/>
        <w:rPr>
          <w:rFonts w:ascii="Arial" w:hAnsi="Arial" w:cs="Arial"/>
          <w:lang w:val="ro-RO" w:eastAsia="ro-RO"/>
        </w:rPr>
      </w:pPr>
      <w:r w:rsidRPr="00DF4B1A">
        <w:rPr>
          <w:rFonts w:ascii="Arial" w:hAnsi="Arial" w:cs="Arial"/>
          <w:sz w:val="24"/>
          <w:szCs w:val="24"/>
          <w:lang w:val="ro-RO" w:eastAsia="ro-RO"/>
        </w:rPr>
        <w:t xml:space="preserve">Pentru informarea mai facilă a publicului cu privire la calitatea aerului înconjurător, în România </w:t>
      </w:r>
      <w:r w:rsidR="008537E8" w:rsidRPr="00DF4B1A">
        <w:rPr>
          <w:rFonts w:ascii="Arial" w:hAnsi="Arial" w:cs="Arial"/>
          <w:sz w:val="24"/>
          <w:szCs w:val="24"/>
          <w:lang w:val="ro-RO" w:eastAsia="ro-RO"/>
        </w:rPr>
        <w:t xml:space="preserve">sunt </w:t>
      </w:r>
      <w:r w:rsidRPr="00DF4B1A">
        <w:rPr>
          <w:rFonts w:ascii="Arial" w:hAnsi="Arial" w:cs="Arial"/>
          <w:sz w:val="24"/>
          <w:szCs w:val="24"/>
          <w:lang w:val="ro-RO" w:eastAsia="ro-RO"/>
        </w:rPr>
        <w:t>utiliza</w:t>
      </w:r>
      <w:r w:rsidR="008537E8" w:rsidRPr="00DF4B1A">
        <w:rPr>
          <w:rFonts w:ascii="Arial" w:hAnsi="Arial" w:cs="Arial"/>
          <w:sz w:val="24"/>
          <w:szCs w:val="24"/>
          <w:lang w:val="ro-RO" w:eastAsia="ro-RO"/>
        </w:rPr>
        <w:t xml:space="preserve">ţi </w:t>
      </w:r>
      <w:r w:rsidR="008537E8" w:rsidRPr="00DF4B1A">
        <w:rPr>
          <w:rFonts w:ascii="Arial" w:hAnsi="Arial" w:cs="Arial"/>
          <w:b/>
          <w:sz w:val="24"/>
          <w:szCs w:val="24"/>
          <w:lang w:val="ro-RO" w:eastAsia="ro-RO"/>
        </w:rPr>
        <w:t>indicii</w:t>
      </w:r>
      <w:r w:rsidR="008537E8" w:rsidRPr="00DF4B1A">
        <w:rPr>
          <w:rFonts w:ascii="Arial" w:hAnsi="Arial" w:cs="Arial"/>
          <w:sz w:val="24"/>
          <w:szCs w:val="24"/>
          <w:lang w:val="ro-RO" w:eastAsia="ro-RO"/>
        </w:rPr>
        <w:t xml:space="preserve"> </w:t>
      </w:r>
      <w:r w:rsidR="008537E8" w:rsidRPr="00DF4B1A">
        <w:rPr>
          <w:rFonts w:ascii="Arial" w:hAnsi="Arial" w:cs="Arial"/>
          <w:b/>
          <w:sz w:val="24"/>
          <w:szCs w:val="24"/>
          <w:lang w:val="ro-RO" w:eastAsia="ro-RO"/>
        </w:rPr>
        <w:t>de calitate a aerului</w:t>
      </w:r>
      <w:r w:rsidRPr="00DF4B1A">
        <w:rPr>
          <w:rFonts w:ascii="Arial" w:hAnsi="Arial" w:cs="Arial"/>
          <w:sz w:val="24"/>
          <w:szCs w:val="24"/>
          <w:lang w:val="ro-RO" w:eastAsia="ro-RO"/>
        </w:rPr>
        <w:t xml:space="preserve">, conform </w:t>
      </w:r>
      <w:r w:rsidRPr="00DF4B1A">
        <w:rPr>
          <w:rFonts w:ascii="Arial" w:hAnsi="Arial" w:cs="Arial"/>
          <w:i/>
          <w:sz w:val="24"/>
          <w:szCs w:val="24"/>
          <w:lang w:val="ro-RO" w:eastAsia="ro-RO"/>
        </w:rPr>
        <w:t>Ordinului M.M.D.D. nr. 1095/2007 pentru aprobarea Normativului privind stabilirea indicilor de calitate a aerului în vederea facilitării informării publicului</w:t>
      </w:r>
      <w:r w:rsidRPr="00DF4B1A">
        <w:rPr>
          <w:rFonts w:ascii="Arial" w:hAnsi="Arial" w:cs="Arial"/>
          <w:sz w:val="24"/>
          <w:szCs w:val="24"/>
          <w:lang w:val="ro-RO" w:eastAsia="ro-RO"/>
        </w:rPr>
        <w:t xml:space="preserve">. </w:t>
      </w:r>
      <w:r w:rsidR="008537E8" w:rsidRPr="00DF4B1A">
        <w:rPr>
          <w:rFonts w:ascii="Arial" w:hAnsi="Arial" w:cs="Arial"/>
          <w:sz w:val="24"/>
          <w:szCs w:val="24"/>
          <w:lang w:val="ro-RO" w:eastAsia="ro-RO"/>
        </w:rPr>
        <w:t>Astfel</w:t>
      </w:r>
      <w:r w:rsidRPr="00DF4B1A">
        <w:rPr>
          <w:rFonts w:ascii="Arial" w:hAnsi="Arial" w:cs="Arial"/>
          <w:sz w:val="24"/>
          <w:szCs w:val="24"/>
          <w:lang w:val="ro-RO" w:eastAsia="ro-RO"/>
        </w:rPr>
        <w:t xml:space="preserve">, </w:t>
      </w:r>
      <w:r w:rsidR="008537E8" w:rsidRPr="00DF4B1A">
        <w:rPr>
          <w:rFonts w:ascii="Arial" w:hAnsi="Arial" w:cs="Arial"/>
          <w:sz w:val="24"/>
          <w:szCs w:val="24"/>
          <w:lang w:val="ro-RO" w:eastAsia="ro-RO"/>
        </w:rPr>
        <w:t>p</w:t>
      </w:r>
      <w:r w:rsidRPr="00DF4B1A">
        <w:rPr>
          <w:rFonts w:ascii="Arial" w:hAnsi="Arial" w:cs="Arial"/>
          <w:sz w:val="24"/>
          <w:szCs w:val="24"/>
          <w:lang w:val="ro-RO" w:eastAsia="ro-RO"/>
        </w:rPr>
        <w:t>e baza concentraţiilor măsurate pentru fiecare dintre poluanţi</w:t>
      </w:r>
      <w:r w:rsidR="008537E8" w:rsidRPr="00DF4B1A">
        <w:rPr>
          <w:rFonts w:ascii="Arial" w:hAnsi="Arial" w:cs="Arial"/>
          <w:sz w:val="24"/>
          <w:szCs w:val="24"/>
          <w:lang w:val="ro-RO" w:eastAsia="ro-RO"/>
        </w:rPr>
        <w:t>i</w:t>
      </w:r>
      <w:r w:rsidRPr="00DF4B1A">
        <w:rPr>
          <w:rFonts w:ascii="Arial" w:hAnsi="Arial" w:cs="Arial"/>
          <w:sz w:val="24"/>
          <w:szCs w:val="24"/>
          <w:lang w:val="ro-RO" w:eastAsia="ro-RO"/>
        </w:rPr>
        <w:t xml:space="preserve"> atmosferici monitorizaţi</w:t>
      </w:r>
      <w:r w:rsidR="008537E8" w:rsidRPr="00DF4B1A">
        <w:rPr>
          <w:rFonts w:ascii="Arial" w:hAnsi="Arial" w:cs="Arial"/>
          <w:sz w:val="24"/>
          <w:szCs w:val="24"/>
          <w:lang w:val="ro-RO" w:eastAsia="ro-RO"/>
        </w:rPr>
        <w:t>,</w:t>
      </w:r>
      <w:r w:rsidRPr="00DF4B1A">
        <w:rPr>
          <w:rFonts w:ascii="Arial" w:hAnsi="Arial" w:cs="Arial"/>
          <w:sz w:val="24"/>
          <w:szCs w:val="24"/>
          <w:lang w:val="ro-RO" w:eastAsia="ro-RO"/>
        </w:rPr>
        <w:t xml:space="preserve"> se stabileşte </w:t>
      </w:r>
      <w:r w:rsidRPr="00DF4B1A">
        <w:rPr>
          <w:rFonts w:ascii="Arial" w:hAnsi="Arial" w:cs="Arial"/>
          <w:b/>
          <w:sz w:val="24"/>
          <w:szCs w:val="24"/>
          <w:lang w:val="ro-RO" w:eastAsia="ro-RO"/>
        </w:rPr>
        <w:t>indicele specific</w:t>
      </w:r>
      <w:r w:rsidRPr="00DF4B1A">
        <w:rPr>
          <w:rFonts w:ascii="Arial" w:hAnsi="Arial" w:cs="Arial"/>
          <w:sz w:val="24"/>
          <w:szCs w:val="24"/>
          <w:lang w:val="ro-RO" w:eastAsia="ro-RO"/>
        </w:rPr>
        <w:t xml:space="preserve"> fiecărui poluant. Fiecare indice</w:t>
      </w:r>
      <w:r w:rsidR="008537E8" w:rsidRPr="00DF4B1A">
        <w:rPr>
          <w:rFonts w:ascii="Arial" w:hAnsi="Arial" w:cs="Arial"/>
          <w:sz w:val="24"/>
          <w:szCs w:val="24"/>
          <w:lang w:val="ro-RO" w:eastAsia="ro-RO"/>
        </w:rPr>
        <w:t xml:space="preserve">, de la 1 la 6, </w:t>
      </w:r>
      <w:r w:rsidRPr="00DF4B1A">
        <w:rPr>
          <w:rFonts w:ascii="Arial" w:hAnsi="Arial" w:cs="Arial"/>
          <w:sz w:val="24"/>
          <w:szCs w:val="24"/>
          <w:lang w:val="ro-RO" w:eastAsia="ro-RO"/>
        </w:rPr>
        <w:t>corespunde unui calificativ</w:t>
      </w:r>
      <w:r w:rsidR="008537E8" w:rsidRPr="00DF4B1A">
        <w:rPr>
          <w:rFonts w:ascii="Arial" w:hAnsi="Arial" w:cs="Arial"/>
          <w:sz w:val="24"/>
          <w:szCs w:val="24"/>
          <w:lang w:val="ro-RO" w:eastAsia="ro-RO"/>
        </w:rPr>
        <w:t>, de la excelent la foarte rău</w:t>
      </w:r>
      <w:r w:rsidR="00665B20" w:rsidRPr="00DF4B1A">
        <w:rPr>
          <w:rFonts w:ascii="Arial" w:hAnsi="Arial" w:cs="Arial"/>
          <w:sz w:val="24"/>
          <w:szCs w:val="24"/>
          <w:lang w:val="ro-RO" w:eastAsia="ro-RO"/>
        </w:rPr>
        <w:t>,</w:t>
      </w:r>
      <w:r w:rsidRPr="00DF4B1A">
        <w:rPr>
          <w:rFonts w:ascii="Arial" w:hAnsi="Arial" w:cs="Arial"/>
          <w:sz w:val="24"/>
          <w:szCs w:val="24"/>
          <w:lang w:val="ro-RO" w:eastAsia="ro-RO"/>
        </w:rPr>
        <w:t xml:space="preserve"> </w:t>
      </w:r>
      <w:r w:rsidR="00665B20" w:rsidRPr="00DF4B1A">
        <w:rPr>
          <w:rFonts w:ascii="Arial" w:hAnsi="Arial" w:cs="Arial"/>
          <w:sz w:val="24"/>
          <w:szCs w:val="24"/>
          <w:lang w:val="ro-RO" w:eastAsia="ro-RO"/>
        </w:rPr>
        <w:t>acestora</w:t>
      </w:r>
      <w:r w:rsidRPr="00DF4B1A">
        <w:rPr>
          <w:rFonts w:ascii="Arial" w:hAnsi="Arial" w:cs="Arial"/>
          <w:sz w:val="24"/>
          <w:szCs w:val="24"/>
          <w:lang w:val="ro-RO" w:eastAsia="ro-RO"/>
        </w:rPr>
        <w:t xml:space="preserve"> </w:t>
      </w:r>
      <w:r w:rsidR="00665B20" w:rsidRPr="00DF4B1A">
        <w:rPr>
          <w:rFonts w:ascii="Arial" w:hAnsi="Arial" w:cs="Arial"/>
          <w:sz w:val="24"/>
          <w:szCs w:val="24"/>
          <w:lang w:val="ro-RO" w:eastAsia="ro-RO"/>
        </w:rPr>
        <w:t xml:space="preserve">fiindu-le </w:t>
      </w:r>
      <w:r w:rsidRPr="00DF4B1A">
        <w:rPr>
          <w:rFonts w:ascii="Arial" w:hAnsi="Arial" w:cs="Arial"/>
          <w:sz w:val="24"/>
          <w:szCs w:val="24"/>
          <w:lang w:val="ro-RO" w:eastAsia="ro-RO"/>
        </w:rPr>
        <w:t>asociat de asemenea un cod de culori:</w:t>
      </w:r>
      <w:r w:rsidRPr="00DF4B1A">
        <w:rPr>
          <w:rFonts w:ascii="Arial" w:hAnsi="Arial" w:cs="Arial"/>
          <w:lang w:val="ro-RO" w:eastAsia="ro-RO"/>
        </w:rPr>
        <w:t xml:space="preserve"> </w:t>
      </w:r>
    </w:p>
    <w:p w:rsidR="003426DB" w:rsidRPr="00DF4B1A" w:rsidRDefault="003426DB" w:rsidP="00152F86">
      <w:pPr>
        <w:widowControl w:val="0"/>
        <w:autoSpaceDE w:val="0"/>
        <w:autoSpaceDN w:val="0"/>
        <w:adjustRightInd w:val="0"/>
        <w:spacing w:after="0" w:line="240" w:lineRule="auto"/>
        <w:ind w:firstLine="708"/>
        <w:jc w:val="both"/>
        <w:rPr>
          <w:rFonts w:ascii="Arial" w:hAnsi="Arial" w:cs="Arial"/>
          <w:sz w:val="6"/>
          <w:szCs w:val="6"/>
          <w:lang w:val="ro-RO" w:eastAsia="ro-RO"/>
        </w:rPr>
      </w:pPr>
    </w:p>
    <w:tbl>
      <w:tblPr>
        <w:tblStyle w:val="TableGrid"/>
        <w:tblW w:w="0" w:type="auto"/>
        <w:jc w:val="center"/>
        <w:tblInd w:w="188" w:type="dxa"/>
        <w:tblLook w:val="04A0"/>
      </w:tblPr>
      <w:tblGrid>
        <w:gridCol w:w="1763"/>
        <w:gridCol w:w="1992"/>
      </w:tblGrid>
      <w:tr w:rsidR="00152F86" w:rsidRPr="00DF4B1A" w:rsidTr="00152F86">
        <w:trPr>
          <w:trHeight w:val="206"/>
          <w:jc w:val="center"/>
        </w:trPr>
        <w:tc>
          <w:tcPr>
            <w:tcW w:w="1763" w:type="dxa"/>
            <w:shd w:val="clear" w:color="auto" w:fill="FFFF99"/>
          </w:tcPr>
          <w:p w:rsidR="00152F86" w:rsidRPr="00DF4B1A" w:rsidRDefault="00152F86" w:rsidP="00152F86">
            <w:pPr>
              <w:widowControl w:val="0"/>
              <w:autoSpaceDE w:val="0"/>
              <w:autoSpaceDN w:val="0"/>
              <w:adjustRightInd w:val="0"/>
              <w:spacing w:before="40" w:after="40" w:line="240" w:lineRule="auto"/>
              <w:jc w:val="center"/>
              <w:rPr>
                <w:rFonts w:ascii="Arial" w:hAnsi="Arial" w:cs="Arial"/>
                <w:b/>
                <w:lang w:val="ro-RO" w:eastAsia="ro-RO"/>
              </w:rPr>
            </w:pPr>
            <w:r w:rsidRPr="00DF4B1A">
              <w:rPr>
                <w:rFonts w:ascii="Arial" w:hAnsi="Arial" w:cs="Arial"/>
                <w:b/>
                <w:lang w:val="ro-RO" w:eastAsia="ro-RO"/>
              </w:rPr>
              <w:t>Indice</w:t>
            </w:r>
          </w:p>
        </w:tc>
        <w:tc>
          <w:tcPr>
            <w:tcW w:w="1992" w:type="dxa"/>
            <w:shd w:val="clear" w:color="auto" w:fill="FFFF99"/>
          </w:tcPr>
          <w:p w:rsidR="00152F86" w:rsidRPr="00DF4B1A" w:rsidRDefault="00152F86" w:rsidP="00152F86">
            <w:pPr>
              <w:widowControl w:val="0"/>
              <w:autoSpaceDE w:val="0"/>
              <w:autoSpaceDN w:val="0"/>
              <w:adjustRightInd w:val="0"/>
              <w:spacing w:before="40" w:after="40" w:line="240" w:lineRule="auto"/>
              <w:rPr>
                <w:rFonts w:ascii="Arial" w:hAnsi="Arial" w:cs="Arial"/>
                <w:b/>
                <w:lang w:val="ro-RO" w:eastAsia="ro-RO"/>
              </w:rPr>
            </w:pPr>
            <w:r w:rsidRPr="00DF4B1A">
              <w:rPr>
                <w:rFonts w:ascii="Arial" w:hAnsi="Arial" w:cs="Arial"/>
                <w:b/>
                <w:lang w:val="ro-RO" w:eastAsia="ro-RO"/>
              </w:rPr>
              <w:t>Calificativ</w:t>
            </w:r>
          </w:p>
        </w:tc>
      </w:tr>
      <w:tr w:rsidR="00152F86" w:rsidRPr="00DF4B1A" w:rsidTr="00152F86">
        <w:trPr>
          <w:trHeight w:val="206"/>
          <w:jc w:val="center"/>
        </w:trPr>
        <w:tc>
          <w:tcPr>
            <w:tcW w:w="1763" w:type="dxa"/>
          </w:tcPr>
          <w:p w:rsidR="00152F86" w:rsidRPr="00DF4B1A" w:rsidRDefault="00152F86" w:rsidP="00152F86">
            <w:pPr>
              <w:widowControl w:val="0"/>
              <w:autoSpaceDE w:val="0"/>
              <w:autoSpaceDN w:val="0"/>
              <w:adjustRightInd w:val="0"/>
              <w:spacing w:before="40" w:after="40" w:line="240" w:lineRule="auto"/>
              <w:jc w:val="center"/>
              <w:rPr>
                <w:rFonts w:ascii="Arial" w:hAnsi="Arial" w:cs="Arial"/>
                <w:b/>
                <w:lang w:val="ro-RO" w:eastAsia="ro-RO"/>
              </w:rPr>
            </w:pPr>
            <w:r w:rsidRPr="00DF4B1A">
              <w:rPr>
                <w:rFonts w:ascii="Arial" w:hAnsi="Arial" w:cs="Arial"/>
                <w:b/>
                <w:lang w:val="ro-RO" w:eastAsia="ro-RO"/>
              </w:rPr>
              <w:t>1</w:t>
            </w:r>
          </w:p>
        </w:tc>
        <w:tc>
          <w:tcPr>
            <w:tcW w:w="1992" w:type="dxa"/>
          </w:tcPr>
          <w:p w:rsidR="00152F86" w:rsidRPr="00DF4B1A" w:rsidRDefault="00152F86" w:rsidP="00152F86">
            <w:pPr>
              <w:widowControl w:val="0"/>
              <w:autoSpaceDE w:val="0"/>
              <w:autoSpaceDN w:val="0"/>
              <w:adjustRightInd w:val="0"/>
              <w:spacing w:before="40" w:after="40" w:line="240" w:lineRule="auto"/>
              <w:jc w:val="both"/>
              <w:rPr>
                <w:rFonts w:ascii="Arial" w:hAnsi="Arial" w:cs="Arial"/>
                <w:lang w:val="ro-RO" w:eastAsia="ro-RO"/>
              </w:rPr>
            </w:pPr>
            <w:r w:rsidRPr="00DF4B1A">
              <w:rPr>
                <w:rFonts w:ascii="Arial" w:hAnsi="Arial" w:cs="Arial"/>
                <w:lang w:val="ro-RO" w:eastAsia="ro-RO"/>
              </w:rPr>
              <w:t>Excelent</w:t>
            </w:r>
          </w:p>
        </w:tc>
      </w:tr>
      <w:tr w:rsidR="00152F86" w:rsidRPr="00DF4B1A" w:rsidTr="00152F86">
        <w:trPr>
          <w:trHeight w:val="206"/>
          <w:jc w:val="center"/>
        </w:trPr>
        <w:tc>
          <w:tcPr>
            <w:tcW w:w="1763" w:type="dxa"/>
          </w:tcPr>
          <w:p w:rsidR="00152F86" w:rsidRPr="00DF4B1A" w:rsidRDefault="00152F86" w:rsidP="00152F86">
            <w:pPr>
              <w:widowControl w:val="0"/>
              <w:autoSpaceDE w:val="0"/>
              <w:autoSpaceDN w:val="0"/>
              <w:adjustRightInd w:val="0"/>
              <w:spacing w:before="40" w:after="40" w:line="240" w:lineRule="auto"/>
              <w:jc w:val="center"/>
              <w:rPr>
                <w:rFonts w:ascii="Arial" w:hAnsi="Arial" w:cs="Arial"/>
                <w:b/>
                <w:lang w:val="ro-RO" w:eastAsia="ro-RO"/>
              </w:rPr>
            </w:pPr>
            <w:r w:rsidRPr="00DF4B1A">
              <w:rPr>
                <w:rFonts w:ascii="Arial" w:hAnsi="Arial" w:cs="Arial"/>
                <w:b/>
                <w:lang w:val="ro-RO" w:eastAsia="ro-RO"/>
              </w:rPr>
              <w:t>2</w:t>
            </w:r>
          </w:p>
        </w:tc>
        <w:tc>
          <w:tcPr>
            <w:tcW w:w="1992" w:type="dxa"/>
          </w:tcPr>
          <w:p w:rsidR="00152F86" w:rsidRPr="00DF4B1A" w:rsidRDefault="00152F86" w:rsidP="00152F86">
            <w:pPr>
              <w:widowControl w:val="0"/>
              <w:autoSpaceDE w:val="0"/>
              <w:autoSpaceDN w:val="0"/>
              <w:adjustRightInd w:val="0"/>
              <w:spacing w:before="40" w:after="40" w:line="240" w:lineRule="auto"/>
              <w:jc w:val="both"/>
              <w:rPr>
                <w:rFonts w:ascii="Arial" w:hAnsi="Arial" w:cs="Arial"/>
                <w:lang w:val="ro-RO" w:eastAsia="ro-RO"/>
              </w:rPr>
            </w:pPr>
            <w:r w:rsidRPr="00DF4B1A">
              <w:rPr>
                <w:rFonts w:ascii="Arial" w:hAnsi="Arial" w:cs="Arial"/>
                <w:lang w:val="ro-RO" w:eastAsia="ro-RO"/>
              </w:rPr>
              <w:t>Foarte bun</w:t>
            </w:r>
          </w:p>
        </w:tc>
      </w:tr>
      <w:tr w:rsidR="00152F86" w:rsidRPr="00DF4B1A" w:rsidTr="00152F86">
        <w:trPr>
          <w:trHeight w:val="206"/>
          <w:jc w:val="center"/>
        </w:trPr>
        <w:tc>
          <w:tcPr>
            <w:tcW w:w="1763" w:type="dxa"/>
          </w:tcPr>
          <w:p w:rsidR="00152F86" w:rsidRPr="00DF4B1A" w:rsidRDefault="00152F86" w:rsidP="00152F86">
            <w:pPr>
              <w:widowControl w:val="0"/>
              <w:autoSpaceDE w:val="0"/>
              <w:autoSpaceDN w:val="0"/>
              <w:adjustRightInd w:val="0"/>
              <w:spacing w:before="40" w:after="40" w:line="240" w:lineRule="auto"/>
              <w:jc w:val="center"/>
              <w:rPr>
                <w:rFonts w:ascii="Arial" w:hAnsi="Arial" w:cs="Arial"/>
                <w:b/>
                <w:lang w:val="ro-RO" w:eastAsia="ro-RO"/>
              </w:rPr>
            </w:pPr>
            <w:r w:rsidRPr="00DF4B1A">
              <w:rPr>
                <w:rFonts w:ascii="Arial" w:hAnsi="Arial" w:cs="Arial"/>
                <w:b/>
                <w:lang w:val="ro-RO" w:eastAsia="ro-RO"/>
              </w:rPr>
              <w:t>3</w:t>
            </w:r>
          </w:p>
        </w:tc>
        <w:tc>
          <w:tcPr>
            <w:tcW w:w="1992" w:type="dxa"/>
          </w:tcPr>
          <w:p w:rsidR="00152F86" w:rsidRPr="00DF4B1A" w:rsidRDefault="00152F86" w:rsidP="00152F86">
            <w:pPr>
              <w:widowControl w:val="0"/>
              <w:autoSpaceDE w:val="0"/>
              <w:autoSpaceDN w:val="0"/>
              <w:adjustRightInd w:val="0"/>
              <w:spacing w:before="40" w:after="40" w:line="240" w:lineRule="auto"/>
              <w:jc w:val="both"/>
              <w:rPr>
                <w:rFonts w:ascii="Arial" w:hAnsi="Arial" w:cs="Arial"/>
                <w:lang w:val="ro-RO" w:eastAsia="ro-RO"/>
              </w:rPr>
            </w:pPr>
            <w:r w:rsidRPr="00DF4B1A">
              <w:rPr>
                <w:rFonts w:ascii="Arial" w:hAnsi="Arial" w:cs="Arial"/>
                <w:lang w:val="ro-RO" w:eastAsia="ro-RO"/>
              </w:rPr>
              <w:t>Bun</w:t>
            </w:r>
          </w:p>
        </w:tc>
      </w:tr>
      <w:tr w:rsidR="00152F86" w:rsidRPr="00DF4B1A" w:rsidTr="00152F86">
        <w:trPr>
          <w:trHeight w:val="206"/>
          <w:jc w:val="center"/>
        </w:trPr>
        <w:tc>
          <w:tcPr>
            <w:tcW w:w="1763" w:type="dxa"/>
          </w:tcPr>
          <w:p w:rsidR="00152F86" w:rsidRPr="00DF4B1A" w:rsidRDefault="00152F86" w:rsidP="00152F86">
            <w:pPr>
              <w:widowControl w:val="0"/>
              <w:autoSpaceDE w:val="0"/>
              <w:autoSpaceDN w:val="0"/>
              <w:adjustRightInd w:val="0"/>
              <w:spacing w:before="40" w:after="40" w:line="240" w:lineRule="auto"/>
              <w:jc w:val="center"/>
              <w:rPr>
                <w:rFonts w:ascii="Arial" w:hAnsi="Arial" w:cs="Arial"/>
                <w:b/>
                <w:lang w:val="ro-RO" w:eastAsia="ro-RO"/>
              </w:rPr>
            </w:pPr>
            <w:r w:rsidRPr="00DF4B1A">
              <w:rPr>
                <w:rFonts w:ascii="Arial" w:hAnsi="Arial" w:cs="Arial"/>
                <w:b/>
                <w:lang w:val="ro-RO" w:eastAsia="ro-RO"/>
              </w:rPr>
              <w:t>4</w:t>
            </w:r>
          </w:p>
        </w:tc>
        <w:tc>
          <w:tcPr>
            <w:tcW w:w="1992" w:type="dxa"/>
          </w:tcPr>
          <w:p w:rsidR="00152F86" w:rsidRPr="00DF4B1A" w:rsidRDefault="00152F86" w:rsidP="00152F86">
            <w:pPr>
              <w:widowControl w:val="0"/>
              <w:autoSpaceDE w:val="0"/>
              <w:autoSpaceDN w:val="0"/>
              <w:adjustRightInd w:val="0"/>
              <w:spacing w:before="40" w:after="40" w:line="240" w:lineRule="auto"/>
              <w:jc w:val="both"/>
              <w:rPr>
                <w:rFonts w:ascii="Arial" w:hAnsi="Arial" w:cs="Arial"/>
                <w:lang w:val="ro-RO" w:eastAsia="ro-RO"/>
              </w:rPr>
            </w:pPr>
            <w:r w:rsidRPr="00DF4B1A">
              <w:rPr>
                <w:rFonts w:ascii="Arial" w:hAnsi="Arial" w:cs="Arial"/>
                <w:lang w:val="ro-RO" w:eastAsia="ro-RO"/>
              </w:rPr>
              <w:t>Mediu</w:t>
            </w:r>
          </w:p>
        </w:tc>
      </w:tr>
      <w:tr w:rsidR="00152F86" w:rsidRPr="00DF4B1A" w:rsidTr="00152F86">
        <w:trPr>
          <w:trHeight w:val="206"/>
          <w:jc w:val="center"/>
        </w:trPr>
        <w:tc>
          <w:tcPr>
            <w:tcW w:w="1763" w:type="dxa"/>
          </w:tcPr>
          <w:p w:rsidR="00152F86" w:rsidRPr="00DF4B1A" w:rsidRDefault="00152F86" w:rsidP="00152F86">
            <w:pPr>
              <w:widowControl w:val="0"/>
              <w:autoSpaceDE w:val="0"/>
              <w:autoSpaceDN w:val="0"/>
              <w:adjustRightInd w:val="0"/>
              <w:spacing w:before="40" w:after="40" w:line="240" w:lineRule="auto"/>
              <w:jc w:val="center"/>
              <w:rPr>
                <w:rFonts w:ascii="Arial" w:hAnsi="Arial" w:cs="Arial"/>
                <w:b/>
                <w:lang w:val="ro-RO" w:eastAsia="ro-RO"/>
              </w:rPr>
            </w:pPr>
            <w:r w:rsidRPr="00DF4B1A">
              <w:rPr>
                <w:rFonts w:ascii="Arial" w:hAnsi="Arial" w:cs="Arial"/>
                <w:b/>
                <w:lang w:val="ro-RO" w:eastAsia="ro-RO"/>
              </w:rPr>
              <w:t>5</w:t>
            </w:r>
          </w:p>
        </w:tc>
        <w:tc>
          <w:tcPr>
            <w:tcW w:w="1992" w:type="dxa"/>
          </w:tcPr>
          <w:p w:rsidR="00152F86" w:rsidRPr="00DF4B1A" w:rsidRDefault="00152F86" w:rsidP="00152F86">
            <w:pPr>
              <w:widowControl w:val="0"/>
              <w:autoSpaceDE w:val="0"/>
              <w:autoSpaceDN w:val="0"/>
              <w:adjustRightInd w:val="0"/>
              <w:spacing w:before="40" w:after="40" w:line="240" w:lineRule="auto"/>
              <w:jc w:val="both"/>
              <w:rPr>
                <w:rFonts w:ascii="Arial" w:hAnsi="Arial" w:cs="Arial"/>
                <w:lang w:val="ro-RO" w:eastAsia="ro-RO"/>
              </w:rPr>
            </w:pPr>
            <w:r w:rsidRPr="00DF4B1A">
              <w:rPr>
                <w:rFonts w:ascii="Arial" w:hAnsi="Arial" w:cs="Arial"/>
                <w:lang w:val="ro-RO" w:eastAsia="ro-RO"/>
              </w:rPr>
              <w:t>Rău</w:t>
            </w:r>
          </w:p>
        </w:tc>
      </w:tr>
      <w:tr w:rsidR="00152F86" w:rsidRPr="00DF4B1A" w:rsidTr="00152F86">
        <w:trPr>
          <w:trHeight w:val="206"/>
          <w:jc w:val="center"/>
        </w:trPr>
        <w:tc>
          <w:tcPr>
            <w:tcW w:w="1763" w:type="dxa"/>
          </w:tcPr>
          <w:p w:rsidR="00152F86" w:rsidRPr="00DF4B1A" w:rsidRDefault="00152F86" w:rsidP="00152F86">
            <w:pPr>
              <w:widowControl w:val="0"/>
              <w:autoSpaceDE w:val="0"/>
              <w:autoSpaceDN w:val="0"/>
              <w:adjustRightInd w:val="0"/>
              <w:spacing w:before="40" w:after="40" w:line="240" w:lineRule="auto"/>
              <w:jc w:val="center"/>
              <w:rPr>
                <w:rFonts w:ascii="Arial" w:hAnsi="Arial" w:cs="Arial"/>
                <w:b/>
                <w:lang w:val="ro-RO" w:eastAsia="ro-RO"/>
              </w:rPr>
            </w:pPr>
            <w:r w:rsidRPr="00DF4B1A">
              <w:rPr>
                <w:rFonts w:ascii="Arial" w:hAnsi="Arial" w:cs="Arial"/>
                <w:b/>
                <w:lang w:val="ro-RO" w:eastAsia="ro-RO"/>
              </w:rPr>
              <w:t>6</w:t>
            </w:r>
          </w:p>
        </w:tc>
        <w:tc>
          <w:tcPr>
            <w:tcW w:w="1992" w:type="dxa"/>
          </w:tcPr>
          <w:p w:rsidR="00152F86" w:rsidRPr="00DF4B1A" w:rsidRDefault="00152F86" w:rsidP="00152F86">
            <w:pPr>
              <w:widowControl w:val="0"/>
              <w:autoSpaceDE w:val="0"/>
              <w:autoSpaceDN w:val="0"/>
              <w:adjustRightInd w:val="0"/>
              <w:spacing w:before="40" w:after="40" w:line="240" w:lineRule="auto"/>
              <w:jc w:val="both"/>
              <w:rPr>
                <w:rFonts w:ascii="Arial" w:hAnsi="Arial" w:cs="Arial"/>
                <w:lang w:val="ro-RO" w:eastAsia="ro-RO"/>
              </w:rPr>
            </w:pPr>
            <w:r w:rsidRPr="00DF4B1A">
              <w:rPr>
                <w:rFonts w:ascii="Arial" w:hAnsi="Arial" w:cs="Arial"/>
                <w:lang w:val="ro-RO" w:eastAsia="ro-RO"/>
              </w:rPr>
              <w:t>Foarte rău</w:t>
            </w:r>
          </w:p>
        </w:tc>
      </w:tr>
    </w:tbl>
    <w:p w:rsidR="003426DB" w:rsidRPr="00DF4B1A" w:rsidRDefault="003426DB" w:rsidP="00152F86">
      <w:pPr>
        <w:widowControl w:val="0"/>
        <w:autoSpaceDE w:val="0"/>
        <w:autoSpaceDN w:val="0"/>
        <w:adjustRightInd w:val="0"/>
        <w:spacing w:after="0" w:line="240" w:lineRule="auto"/>
        <w:ind w:firstLine="708"/>
        <w:jc w:val="both"/>
        <w:rPr>
          <w:rFonts w:ascii="Arial" w:hAnsi="Arial" w:cs="Arial"/>
          <w:sz w:val="4"/>
          <w:szCs w:val="4"/>
          <w:lang w:val="ro-RO" w:eastAsia="ro-RO"/>
        </w:rPr>
      </w:pPr>
    </w:p>
    <w:p w:rsidR="001D0793" w:rsidRPr="001D5146" w:rsidRDefault="001D0793" w:rsidP="00152F86">
      <w:pPr>
        <w:widowControl w:val="0"/>
        <w:autoSpaceDE w:val="0"/>
        <w:autoSpaceDN w:val="0"/>
        <w:adjustRightInd w:val="0"/>
        <w:spacing w:after="0" w:line="240" w:lineRule="auto"/>
        <w:ind w:firstLine="708"/>
        <w:jc w:val="both"/>
        <w:rPr>
          <w:rFonts w:ascii="Arial" w:hAnsi="Arial" w:cs="Arial"/>
          <w:b/>
          <w:sz w:val="6"/>
          <w:szCs w:val="6"/>
          <w:lang w:val="ro-RO" w:eastAsia="ro-RO"/>
        </w:rPr>
      </w:pPr>
    </w:p>
    <w:p w:rsidR="003426DB" w:rsidRDefault="003426DB" w:rsidP="00152F86">
      <w:pPr>
        <w:widowControl w:val="0"/>
        <w:autoSpaceDE w:val="0"/>
        <w:autoSpaceDN w:val="0"/>
        <w:adjustRightInd w:val="0"/>
        <w:spacing w:after="0" w:line="240" w:lineRule="auto"/>
        <w:ind w:firstLine="708"/>
        <w:jc w:val="both"/>
        <w:rPr>
          <w:rFonts w:ascii="Arial" w:hAnsi="Arial" w:cs="Arial"/>
          <w:sz w:val="24"/>
          <w:szCs w:val="24"/>
          <w:lang w:val="ro-RO" w:eastAsia="ro-RO"/>
        </w:rPr>
      </w:pPr>
      <w:r w:rsidRPr="00DF4B1A">
        <w:rPr>
          <w:rFonts w:ascii="Arial" w:hAnsi="Arial" w:cs="Arial"/>
          <w:b/>
          <w:sz w:val="24"/>
          <w:szCs w:val="24"/>
          <w:lang w:val="ro-RO" w:eastAsia="ro-RO"/>
        </w:rPr>
        <w:t>Indicele general zilnic</w:t>
      </w:r>
      <w:r w:rsidRPr="00DF4B1A">
        <w:rPr>
          <w:rFonts w:ascii="Arial" w:hAnsi="Arial" w:cs="Arial"/>
          <w:sz w:val="24"/>
          <w:szCs w:val="24"/>
          <w:lang w:val="ro-RO" w:eastAsia="ro-RO"/>
        </w:rPr>
        <w:t xml:space="preserve"> se stabileşte ca fiind </w:t>
      </w:r>
      <w:r w:rsidRPr="00DF4B1A">
        <w:rPr>
          <w:rFonts w:ascii="Arial" w:hAnsi="Arial" w:cs="Arial"/>
          <w:b/>
          <w:sz w:val="24"/>
          <w:szCs w:val="24"/>
          <w:lang w:val="ro-RO" w:eastAsia="ro-RO"/>
        </w:rPr>
        <w:t>cel mai mare dintre indicii specifici</w:t>
      </w:r>
      <w:r w:rsidRPr="00DF4B1A">
        <w:rPr>
          <w:rFonts w:ascii="Arial" w:hAnsi="Arial" w:cs="Arial"/>
          <w:sz w:val="24"/>
          <w:szCs w:val="24"/>
          <w:lang w:val="ro-RO" w:eastAsia="ro-RO"/>
        </w:rPr>
        <w:t xml:space="preserve"> corespunzători poluanţilor monitorizaţi din acea zi, cu condiţia să fie disponibili </w:t>
      </w:r>
      <w:r w:rsidRPr="00DF4B1A">
        <w:rPr>
          <w:rFonts w:ascii="Arial" w:hAnsi="Arial" w:cs="Arial"/>
          <w:b/>
          <w:sz w:val="24"/>
          <w:szCs w:val="24"/>
          <w:lang w:val="ro-RO" w:eastAsia="ro-RO"/>
        </w:rPr>
        <w:t>cel puţin 3 dintre indicii specifici</w:t>
      </w:r>
      <w:r w:rsidRPr="00DF4B1A">
        <w:rPr>
          <w:rFonts w:ascii="Arial" w:hAnsi="Arial" w:cs="Arial"/>
          <w:sz w:val="24"/>
          <w:szCs w:val="24"/>
          <w:lang w:val="ro-RO" w:eastAsia="ro-RO"/>
        </w:rPr>
        <w:t xml:space="preserve"> corespunzători poluanţilor monitorizaţi.</w:t>
      </w:r>
    </w:p>
    <w:p w:rsidR="003426DB" w:rsidRPr="00DF4B1A" w:rsidRDefault="003426DB" w:rsidP="00152F86">
      <w:pPr>
        <w:widowControl w:val="0"/>
        <w:spacing w:after="0" w:line="240" w:lineRule="auto"/>
        <w:ind w:firstLine="720"/>
        <w:jc w:val="both"/>
        <w:rPr>
          <w:rFonts w:ascii="Arial" w:hAnsi="Arial" w:cs="Arial"/>
          <w:sz w:val="6"/>
          <w:szCs w:val="6"/>
          <w:lang w:val="ro-RO" w:eastAsia="ro-RO"/>
        </w:rPr>
      </w:pPr>
    </w:p>
    <w:p w:rsidR="008A5545" w:rsidRDefault="001D5AC2" w:rsidP="001D5AC2">
      <w:pPr>
        <w:widowControl w:val="0"/>
        <w:spacing w:after="0" w:line="240" w:lineRule="auto"/>
        <w:ind w:firstLine="720"/>
        <w:jc w:val="both"/>
        <w:rPr>
          <w:rFonts w:ascii="Arial" w:hAnsi="Arial" w:cs="Arial"/>
          <w:sz w:val="24"/>
          <w:szCs w:val="24"/>
          <w:lang w:val="ro-RO"/>
        </w:rPr>
      </w:pPr>
      <w:r w:rsidRPr="00DF4B1A">
        <w:rPr>
          <w:rFonts w:ascii="Arial" w:hAnsi="Arial" w:cs="Arial"/>
          <w:sz w:val="24"/>
          <w:szCs w:val="24"/>
          <w:lang w:val="ro-RO"/>
        </w:rPr>
        <w:t xml:space="preserve">Evaluarea calității aerului prin </w:t>
      </w:r>
      <w:r w:rsidR="00615E5A">
        <w:rPr>
          <w:rFonts w:ascii="Arial" w:hAnsi="Arial" w:cs="Arial"/>
          <w:sz w:val="24"/>
          <w:szCs w:val="24"/>
          <w:lang w:val="ro-RO"/>
        </w:rPr>
        <w:t>măsurători continue în puncte fixe</w:t>
      </w:r>
      <w:r w:rsidRPr="00DF4B1A">
        <w:rPr>
          <w:rFonts w:ascii="Arial" w:hAnsi="Arial" w:cs="Arial"/>
          <w:sz w:val="24"/>
          <w:szCs w:val="24"/>
          <w:lang w:val="ro-RO"/>
        </w:rPr>
        <w:t xml:space="preserve"> s-a realizat în anul 201</w:t>
      </w:r>
      <w:r w:rsidR="00066A25">
        <w:rPr>
          <w:rFonts w:ascii="Arial" w:hAnsi="Arial" w:cs="Arial"/>
          <w:sz w:val="24"/>
          <w:szCs w:val="24"/>
          <w:lang w:val="ro-RO"/>
        </w:rPr>
        <w:t>7</w:t>
      </w:r>
      <w:r w:rsidR="00E538BB">
        <w:rPr>
          <w:rFonts w:ascii="Arial" w:hAnsi="Arial" w:cs="Arial"/>
          <w:sz w:val="24"/>
          <w:szCs w:val="24"/>
          <w:lang w:val="ro-RO"/>
        </w:rPr>
        <w:t xml:space="preserve"> </w:t>
      </w:r>
      <w:r w:rsidRPr="00DF4B1A">
        <w:rPr>
          <w:rFonts w:ascii="Arial" w:hAnsi="Arial" w:cs="Arial"/>
          <w:sz w:val="24"/>
          <w:szCs w:val="24"/>
          <w:lang w:val="ro-RO"/>
        </w:rPr>
        <w:t>prin intermediul cel</w:t>
      </w:r>
      <w:r>
        <w:rPr>
          <w:rFonts w:ascii="Arial" w:hAnsi="Arial" w:cs="Arial"/>
          <w:sz w:val="24"/>
          <w:szCs w:val="24"/>
          <w:lang w:val="ro-RO"/>
        </w:rPr>
        <w:t>or</w:t>
      </w:r>
      <w:r w:rsidRPr="00DF4B1A">
        <w:rPr>
          <w:rFonts w:ascii="Arial" w:hAnsi="Arial" w:cs="Arial"/>
          <w:sz w:val="24"/>
          <w:szCs w:val="24"/>
          <w:lang w:val="ro-RO"/>
        </w:rPr>
        <w:t xml:space="preserve"> patru staţii automate de monitorizare aparţinând RNMCA</w:t>
      </w:r>
      <w:r w:rsidR="008A5545">
        <w:rPr>
          <w:rFonts w:ascii="Arial" w:hAnsi="Arial" w:cs="Arial"/>
          <w:sz w:val="24"/>
          <w:szCs w:val="24"/>
          <w:lang w:val="ro-RO"/>
        </w:rPr>
        <w:t xml:space="preserve">, </w:t>
      </w:r>
      <w:r w:rsidR="00615E5A">
        <w:rPr>
          <w:rFonts w:ascii="Arial" w:hAnsi="Arial" w:cs="Arial"/>
          <w:sz w:val="24"/>
          <w:szCs w:val="24"/>
          <w:lang w:val="ro-RO"/>
        </w:rPr>
        <w:t xml:space="preserve">a căror amplasare </w:t>
      </w:r>
      <w:r w:rsidR="004701E0">
        <w:rPr>
          <w:rFonts w:ascii="Arial" w:hAnsi="Arial" w:cs="Arial"/>
          <w:sz w:val="24"/>
          <w:szCs w:val="24"/>
          <w:lang w:val="ro-RO"/>
        </w:rPr>
        <w:t xml:space="preserve">pe teritoriul județului Suceava </w:t>
      </w:r>
      <w:r w:rsidR="00615E5A">
        <w:rPr>
          <w:rFonts w:ascii="Arial" w:hAnsi="Arial" w:cs="Arial"/>
          <w:sz w:val="24"/>
          <w:szCs w:val="24"/>
          <w:lang w:val="ro-RO"/>
        </w:rPr>
        <w:t xml:space="preserve">este indicată în fig. I.1.1, </w:t>
      </w:r>
      <w:r w:rsidR="008A5545">
        <w:rPr>
          <w:rFonts w:ascii="Arial" w:hAnsi="Arial" w:cs="Arial"/>
          <w:sz w:val="24"/>
          <w:szCs w:val="24"/>
          <w:lang w:val="ro-RO"/>
        </w:rPr>
        <w:t>şi anume:</w:t>
      </w:r>
      <w:r w:rsidRPr="00DF4B1A">
        <w:rPr>
          <w:rFonts w:ascii="Arial" w:hAnsi="Arial" w:cs="Arial"/>
          <w:sz w:val="24"/>
          <w:szCs w:val="24"/>
          <w:lang w:val="ro-RO"/>
        </w:rPr>
        <w:t xml:space="preserve"> </w:t>
      </w:r>
    </w:p>
    <w:p w:rsidR="008A5545" w:rsidRDefault="008A5545" w:rsidP="008A5545">
      <w:pPr>
        <w:widowControl w:val="0"/>
        <w:numPr>
          <w:ilvl w:val="0"/>
          <w:numId w:val="1"/>
        </w:numPr>
        <w:autoSpaceDE w:val="0"/>
        <w:autoSpaceDN w:val="0"/>
        <w:adjustRightInd w:val="0"/>
        <w:spacing w:after="0" w:line="240" w:lineRule="auto"/>
        <w:jc w:val="both"/>
        <w:rPr>
          <w:rFonts w:ascii="Arial" w:hAnsi="Arial" w:cs="Arial"/>
          <w:sz w:val="24"/>
          <w:szCs w:val="24"/>
          <w:lang w:val="ro-RO" w:eastAsia="ro-RO"/>
        </w:rPr>
      </w:pPr>
      <w:r w:rsidRPr="00DF4B1A">
        <w:rPr>
          <w:rFonts w:ascii="Arial" w:hAnsi="Arial" w:cs="Arial"/>
          <w:b/>
          <w:sz w:val="24"/>
          <w:szCs w:val="24"/>
          <w:lang w:val="ro-RO"/>
        </w:rPr>
        <w:t xml:space="preserve">Staţia de </w:t>
      </w:r>
      <w:r w:rsidRPr="00DF4B1A">
        <w:rPr>
          <w:rFonts w:ascii="Arial" w:hAnsi="Arial" w:cs="Arial"/>
          <w:b/>
          <w:sz w:val="24"/>
          <w:szCs w:val="24"/>
          <w:u w:val="single"/>
          <w:lang w:val="ro-RO"/>
        </w:rPr>
        <w:t>fond urban</w:t>
      </w:r>
      <w:r w:rsidRPr="00DF4B1A">
        <w:rPr>
          <w:rFonts w:ascii="Arial" w:hAnsi="Arial" w:cs="Arial"/>
          <w:b/>
          <w:sz w:val="24"/>
          <w:szCs w:val="24"/>
          <w:lang w:val="ro-RO"/>
        </w:rPr>
        <w:t xml:space="preserve"> </w:t>
      </w:r>
      <w:r w:rsidR="00615E5A">
        <w:rPr>
          <w:rFonts w:ascii="Arial" w:hAnsi="Arial" w:cs="Arial"/>
          <w:b/>
          <w:sz w:val="24"/>
          <w:szCs w:val="24"/>
          <w:lang w:val="ro-RO"/>
        </w:rPr>
        <w:t>SV1</w:t>
      </w:r>
      <w:r w:rsidR="00615E5A" w:rsidRPr="00615E5A">
        <w:rPr>
          <w:rFonts w:ascii="Arial" w:hAnsi="Arial" w:cs="Arial"/>
          <w:sz w:val="24"/>
          <w:szCs w:val="24"/>
          <w:lang w:val="ro-RO"/>
        </w:rPr>
        <w:t>, unde</w:t>
      </w:r>
      <w:r w:rsidRPr="00615E5A">
        <w:rPr>
          <w:rFonts w:ascii="Arial" w:hAnsi="Arial" w:cs="Arial"/>
          <w:sz w:val="24"/>
          <w:szCs w:val="24"/>
          <w:lang w:val="ro-RO"/>
        </w:rPr>
        <w:t xml:space="preserve"> </w:t>
      </w:r>
      <w:r w:rsidR="00615E5A" w:rsidRPr="00615E5A">
        <w:rPr>
          <w:rFonts w:ascii="Arial" w:hAnsi="Arial" w:cs="Arial"/>
          <w:sz w:val="24"/>
          <w:szCs w:val="24"/>
          <w:lang w:val="ro-RO"/>
        </w:rPr>
        <w:t>s-au monitorizat poluanţii:</w:t>
      </w:r>
      <w:r w:rsidR="00615E5A">
        <w:rPr>
          <w:rFonts w:ascii="Arial" w:hAnsi="Arial" w:cs="Arial"/>
          <w:b/>
          <w:sz w:val="24"/>
          <w:szCs w:val="24"/>
          <w:lang w:val="ro-RO"/>
        </w:rPr>
        <w:t xml:space="preserve"> </w:t>
      </w:r>
      <w:r w:rsidRPr="00DF4B1A">
        <w:rPr>
          <w:rFonts w:ascii="Arial" w:hAnsi="Arial" w:cs="Arial"/>
          <w:sz w:val="24"/>
          <w:szCs w:val="24"/>
          <w:lang w:val="ro-RO" w:eastAsia="ro-RO"/>
        </w:rPr>
        <w:t>dioxid de sulf (SO</w:t>
      </w:r>
      <w:r w:rsidRPr="00DF4B1A">
        <w:rPr>
          <w:rFonts w:ascii="Arial" w:hAnsi="Arial" w:cs="Arial"/>
          <w:sz w:val="24"/>
          <w:szCs w:val="24"/>
          <w:vertAlign w:val="subscript"/>
          <w:lang w:val="ro-RO" w:eastAsia="ro-RO"/>
        </w:rPr>
        <w:t>2</w:t>
      </w:r>
      <w:r w:rsidRPr="00DF4B1A">
        <w:rPr>
          <w:rFonts w:ascii="Arial" w:hAnsi="Arial" w:cs="Arial"/>
          <w:sz w:val="24"/>
          <w:szCs w:val="24"/>
          <w:lang w:val="ro-RO" w:eastAsia="ro-RO"/>
        </w:rPr>
        <w:t>), oxizi de azot (NO, NO</w:t>
      </w:r>
      <w:r w:rsidRPr="00DF4B1A">
        <w:rPr>
          <w:rFonts w:ascii="Arial" w:hAnsi="Arial" w:cs="Arial"/>
          <w:sz w:val="24"/>
          <w:szCs w:val="24"/>
          <w:vertAlign w:val="subscript"/>
          <w:lang w:val="ro-RO" w:eastAsia="ro-RO"/>
        </w:rPr>
        <w:t>2</w:t>
      </w:r>
      <w:r w:rsidRPr="00DF4B1A">
        <w:rPr>
          <w:rFonts w:ascii="Arial" w:hAnsi="Arial" w:cs="Arial"/>
          <w:sz w:val="24"/>
          <w:szCs w:val="24"/>
          <w:lang w:val="ro-RO" w:eastAsia="ro-RO"/>
        </w:rPr>
        <w:t>, NO</w:t>
      </w:r>
      <w:r w:rsidRPr="00DF4B1A">
        <w:rPr>
          <w:rFonts w:ascii="Arial" w:hAnsi="Arial" w:cs="Arial"/>
          <w:sz w:val="24"/>
          <w:szCs w:val="24"/>
          <w:vertAlign w:val="subscript"/>
          <w:lang w:val="ro-RO" w:eastAsia="ro-RO"/>
        </w:rPr>
        <w:t>x</w:t>
      </w:r>
      <w:r w:rsidRPr="00DF4B1A">
        <w:rPr>
          <w:rFonts w:ascii="Arial" w:hAnsi="Arial" w:cs="Arial"/>
          <w:sz w:val="24"/>
          <w:szCs w:val="24"/>
          <w:lang w:val="ro-RO" w:eastAsia="ro-RO"/>
        </w:rPr>
        <w:t>), monoxid de carbon (CO), ozon (O</w:t>
      </w:r>
      <w:r w:rsidRPr="00DF4B1A">
        <w:rPr>
          <w:rFonts w:ascii="Arial" w:hAnsi="Arial" w:cs="Arial"/>
          <w:sz w:val="24"/>
          <w:szCs w:val="24"/>
          <w:vertAlign w:val="subscript"/>
          <w:lang w:val="ro-RO" w:eastAsia="ro-RO"/>
        </w:rPr>
        <w:t>3</w:t>
      </w:r>
      <w:r w:rsidRPr="00DF4B1A">
        <w:rPr>
          <w:rFonts w:ascii="Arial" w:hAnsi="Arial" w:cs="Arial"/>
          <w:sz w:val="24"/>
          <w:szCs w:val="24"/>
          <w:lang w:val="ro-RO" w:eastAsia="ro-RO"/>
        </w:rPr>
        <w:t>), benzen (C</w:t>
      </w:r>
      <w:r w:rsidRPr="00DF4B1A">
        <w:rPr>
          <w:rFonts w:ascii="Arial" w:hAnsi="Arial" w:cs="Arial"/>
          <w:sz w:val="24"/>
          <w:szCs w:val="24"/>
          <w:vertAlign w:val="subscript"/>
          <w:lang w:val="ro-RO" w:eastAsia="ro-RO"/>
        </w:rPr>
        <w:t>6</w:t>
      </w:r>
      <w:r w:rsidRPr="00DF4B1A">
        <w:rPr>
          <w:rFonts w:ascii="Arial" w:hAnsi="Arial" w:cs="Arial"/>
          <w:sz w:val="24"/>
          <w:szCs w:val="24"/>
          <w:lang w:val="ro-RO" w:eastAsia="ro-RO"/>
        </w:rPr>
        <w:t>H</w:t>
      </w:r>
      <w:r w:rsidRPr="00DF4B1A">
        <w:rPr>
          <w:rFonts w:ascii="Arial" w:hAnsi="Arial" w:cs="Arial"/>
          <w:sz w:val="24"/>
          <w:szCs w:val="24"/>
          <w:vertAlign w:val="subscript"/>
          <w:lang w:val="ro-RO" w:eastAsia="ro-RO"/>
        </w:rPr>
        <w:t>6</w:t>
      </w:r>
      <w:r w:rsidRPr="00DF4B1A">
        <w:rPr>
          <w:rFonts w:ascii="Arial" w:hAnsi="Arial" w:cs="Arial"/>
          <w:sz w:val="24"/>
          <w:szCs w:val="24"/>
          <w:lang w:val="ro-RO" w:eastAsia="ro-RO"/>
        </w:rPr>
        <w:t>), toluen, etilbenzen,o-, m-, p-xileni, pulberi în suspensie PM10 (gravimetric şi automat)</w:t>
      </w:r>
      <w:r w:rsidR="008752A5">
        <w:rPr>
          <w:rFonts w:ascii="Arial" w:hAnsi="Arial" w:cs="Arial"/>
          <w:sz w:val="24"/>
          <w:szCs w:val="24"/>
          <w:lang w:val="ro-RO" w:eastAsia="ro-RO"/>
        </w:rPr>
        <w:t xml:space="preserve"> și PM2,5 (gravimetric)</w:t>
      </w:r>
      <w:r w:rsidRPr="00DF4B1A">
        <w:rPr>
          <w:rFonts w:ascii="Arial" w:hAnsi="Arial" w:cs="Arial"/>
          <w:sz w:val="24"/>
          <w:szCs w:val="24"/>
          <w:lang w:val="ro-RO" w:eastAsia="ro-RO"/>
        </w:rPr>
        <w:t xml:space="preserve">. </w:t>
      </w:r>
    </w:p>
    <w:p w:rsidR="008A5545" w:rsidRPr="005831AB" w:rsidRDefault="008A5545" w:rsidP="008A5545">
      <w:pPr>
        <w:widowControl w:val="0"/>
        <w:autoSpaceDE w:val="0"/>
        <w:autoSpaceDN w:val="0"/>
        <w:adjustRightInd w:val="0"/>
        <w:spacing w:after="0" w:line="240" w:lineRule="auto"/>
        <w:jc w:val="both"/>
        <w:rPr>
          <w:rFonts w:ascii="Arial" w:hAnsi="Arial" w:cs="Arial"/>
          <w:sz w:val="10"/>
          <w:szCs w:val="10"/>
          <w:lang w:val="ro-RO" w:eastAsia="ro-RO"/>
        </w:rPr>
      </w:pPr>
    </w:p>
    <w:p w:rsidR="008A5545" w:rsidRPr="00821472" w:rsidRDefault="008A5545" w:rsidP="008A5545">
      <w:pPr>
        <w:widowControl w:val="0"/>
        <w:numPr>
          <w:ilvl w:val="0"/>
          <w:numId w:val="1"/>
        </w:numPr>
        <w:autoSpaceDE w:val="0"/>
        <w:autoSpaceDN w:val="0"/>
        <w:adjustRightInd w:val="0"/>
        <w:spacing w:after="0" w:line="240" w:lineRule="auto"/>
        <w:jc w:val="both"/>
        <w:rPr>
          <w:rFonts w:ascii="Arial" w:hAnsi="Arial" w:cs="Arial"/>
          <w:sz w:val="24"/>
          <w:szCs w:val="24"/>
          <w:lang w:val="ro-RO" w:eastAsia="ro-RO"/>
        </w:rPr>
      </w:pPr>
      <w:r w:rsidRPr="00DF4B1A">
        <w:rPr>
          <w:rFonts w:ascii="Arial" w:hAnsi="Arial" w:cs="Arial"/>
          <w:b/>
          <w:sz w:val="24"/>
          <w:szCs w:val="24"/>
          <w:lang w:val="ro-RO"/>
        </w:rPr>
        <w:t xml:space="preserve">Staţia de </w:t>
      </w:r>
      <w:r>
        <w:rPr>
          <w:rFonts w:ascii="Arial" w:hAnsi="Arial" w:cs="Arial"/>
          <w:b/>
          <w:sz w:val="24"/>
          <w:szCs w:val="24"/>
          <w:u w:val="single"/>
          <w:lang w:val="ro-RO"/>
        </w:rPr>
        <w:t>tip</w:t>
      </w:r>
      <w:r w:rsidRPr="00DF4B1A">
        <w:rPr>
          <w:rFonts w:ascii="Arial" w:hAnsi="Arial" w:cs="Arial"/>
          <w:b/>
          <w:sz w:val="24"/>
          <w:szCs w:val="24"/>
          <w:u w:val="single"/>
          <w:lang w:val="ro-RO"/>
        </w:rPr>
        <w:t xml:space="preserve"> </w:t>
      </w:r>
      <w:r>
        <w:rPr>
          <w:rFonts w:ascii="Arial" w:hAnsi="Arial" w:cs="Arial"/>
          <w:b/>
          <w:sz w:val="24"/>
          <w:szCs w:val="24"/>
          <w:u w:val="single"/>
          <w:lang w:val="ro-RO"/>
        </w:rPr>
        <w:t>industrial</w:t>
      </w:r>
      <w:r w:rsidRPr="00DF4B1A">
        <w:rPr>
          <w:rFonts w:ascii="Arial" w:hAnsi="Arial" w:cs="Arial"/>
          <w:b/>
          <w:sz w:val="24"/>
          <w:szCs w:val="24"/>
          <w:lang w:val="ro-RO"/>
        </w:rPr>
        <w:t xml:space="preserve"> SV</w:t>
      </w:r>
      <w:r>
        <w:rPr>
          <w:rFonts w:ascii="Arial" w:hAnsi="Arial" w:cs="Arial"/>
          <w:b/>
          <w:sz w:val="24"/>
          <w:szCs w:val="24"/>
          <w:lang w:val="ro-RO"/>
        </w:rPr>
        <w:t>2</w:t>
      </w:r>
      <w:r w:rsidR="00615E5A" w:rsidRPr="00615E5A">
        <w:rPr>
          <w:rFonts w:ascii="Arial" w:hAnsi="Arial" w:cs="Arial"/>
          <w:sz w:val="24"/>
          <w:szCs w:val="24"/>
          <w:lang w:val="ro-RO"/>
        </w:rPr>
        <w:t>, unde s-au monitorizat poluanţii:</w:t>
      </w:r>
      <w:r w:rsidR="00615E5A">
        <w:rPr>
          <w:rFonts w:ascii="Arial" w:hAnsi="Arial" w:cs="Arial"/>
          <w:b/>
          <w:sz w:val="24"/>
          <w:szCs w:val="24"/>
          <w:lang w:val="ro-RO"/>
        </w:rPr>
        <w:t xml:space="preserve"> </w:t>
      </w:r>
      <w:r w:rsidRPr="00DF4B1A">
        <w:rPr>
          <w:rFonts w:ascii="Arial" w:hAnsi="Arial" w:cs="Arial"/>
          <w:sz w:val="24"/>
          <w:szCs w:val="24"/>
          <w:lang w:val="ro-RO" w:eastAsia="ro-RO"/>
        </w:rPr>
        <w:t>dioxid de sulf (SO</w:t>
      </w:r>
      <w:r w:rsidRPr="00DF4B1A">
        <w:rPr>
          <w:rFonts w:ascii="Arial" w:hAnsi="Arial" w:cs="Arial"/>
          <w:sz w:val="24"/>
          <w:szCs w:val="24"/>
          <w:vertAlign w:val="subscript"/>
          <w:lang w:val="ro-RO" w:eastAsia="ro-RO"/>
        </w:rPr>
        <w:t>2</w:t>
      </w:r>
      <w:r w:rsidRPr="00DF4B1A">
        <w:rPr>
          <w:rFonts w:ascii="Arial" w:hAnsi="Arial" w:cs="Arial"/>
          <w:sz w:val="24"/>
          <w:szCs w:val="24"/>
          <w:lang w:val="ro-RO" w:eastAsia="ro-RO"/>
        </w:rPr>
        <w:t>), oxizi de azot (NO, NO</w:t>
      </w:r>
      <w:r w:rsidRPr="00DF4B1A">
        <w:rPr>
          <w:rFonts w:ascii="Arial" w:hAnsi="Arial" w:cs="Arial"/>
          <w:sz w:val="24"/>
          <w:szCs w:val="24"/>
          <w:vertAlign w:val="subscript"/>
          <w:lang w:val="ro-RO" w:eastAsia="ro-RO"/>
        </w:rPr>
        <w:t>2</w:t>
      </w:r>
      <w:r w:rsidRPr="00DF4B1A">
        <w:rPr>
          <w:rFonts w:ascii="Arial" w:hAnsi="Arial" w:cs="Arial"/>
          <w:sz w:val="24"/>
          <w:szCs w:val="24"/>
          <w:lang w:val="ro-RO" w:eastAsia="ro-RO"/>
        </w:rPr>
        <w:t>, NO</w:t>
      </w:r>
      <w:r w:rsidRPr="00DF4B1A">
        <w:rPr>
          <w:rFonts w:ascii="Arial" w:hAnsi="Arial" w:cs="Arial"/>
          <w:sz w:val="24"/>
          <w:szCs w:val="24"/>
          <w:vertAlign w:val="subscript"/>
          <w:lang w:val="ro-RO" w:eastAsia="ro-RO"/>
        </w:rPr>
        <w:t>x</w:t>
      </w:r>
      <w:r w:rsidRPr="00DF4B1A">
        <w:rPr>
          <w:rFonts w:ascii="Arial" w:hAnsi="Arial" w:cs="Arial"/>
          <w:sz w:val="24"/>
          <w:szCs w:val="24"/>
          <w:lang w:val="ro-RO" w:eastAsia="ro-RO"/>
        </w:rPr>
        <w:t>), monoxid de carbon (CO), ozon (O</w:t>
      </w:r>
      <w:r w:rsidRPr="00DF4B1A">
        <w:rPr>
          <w:rFonts w:ascii="Arial" w:hAnsi="Arial" w:cs="Arial"/>
          <w:sz w:val="24"/>
          <w:szCs w:val="24"/>
          <w:vertAlign w:val="subscript"/>
          <w:lang w:val="ro-RO" w:eastAsia="ro-RO"/>
        </w:rPr>
        <w:t>3</w:t>
      </w:r>
      <w:r w:rsidR="00615E5A">
        <w:rPr>
          <w:rFonts w:ascii="Arial" w:hAnsi="Arial" w:cs="Arial"/>
          <w:sz w:val="24"/>
          <w:szCs w:val="24"/>
          <w:lang w:val="ro-RO" w:eastAsia="ro-RO"/>
        </w:rPr>
        <w:t>)</w:t>
      </w:r>
      <w:r w:rsidR="008752A5">
        <w:rPr>
          <w:rFonts w:ascii="Arial" w:hAnsi="Arial" w:cs="Arial"/>
          <w:sz w:val="24"/>
          <w:szCs w:val="24"/>
          <w:lang w:val="ro-RO" w:eastAsia="ro-RO"/>
        </w:rPr>
        <w:t xml:space="preserve">, </w:t>
      </w:r>
      <w:r w:rsidR="008752A5" w:rsidRPr="00DF4B1A">
        <w:rPr>
          <w:rFonts w:ascii="Arial" w:hAnsi="Arial" w:cs="Arial"/>
          <w:sz w:val="24"/>
          <w:szCs w:val="24"/>
          <w:lang w:val="ro-RO" w:eastAsia="ro-RO"/>
        </w:rPr>
        <w:t>pulberi în suspensie PM10 (gravimetric şi automat)</w:t>
      </w:r>
      <w:r w:rsidRPr="00DF4B1A">
        <w:rPr>
          <w:rFonts w:ascii="Arial" w:hAnsi="Arial" w:cs="Arial"/>
          <w:sz w:val="24"/>
          <w:szCs w:val="24"/>
          <w:lang w:val="ro-RO" w:eastAsia="ro-RO"/>
        </w:rPr>
        <w:t xml:space="preserve">. </w:t>
      </w:r>
      <w:r w:rsidRPr="00DF4B1A">
        <w:rPr>
          <w:rFonts w:ascii="Arial" w:hAnsi="Arial" w:cs="Arial"/>
          <w:sz w:val="24"/>
          <w:szCs w:val="24"/>
          <w:lang w:val="ro-RO"/>
        </w:rPr>
        <w:t xml:space="preserve"> </w:t>
      </w:r>
    </w:p>
    <w:p w:rsidR="008A5545" w:rsidRPr="00DF4B1A" w:rsidRDefault="008A5545" w:rsidP="008A5545">
      <w:pPr>
        <w:widowControl w:val="0"/>
        <w:spacing w:after="0" w:line="240" w:lineRule="auto"/>
        <w:ind w:firstLine="706"/>
        <w:jc w:val="both"/>
        <w:rPr>
          <w:rFonts w:ascii="Arial" w:hAnsi="Arial" w:cs="Arial"/>
          <w:sz w:val="10"/>
          <w:szCs w:val="10"/>
          <w:lang w:val="ro-RO"/>
        </w:rPr>
      </w:pPr>
    </w:p>
    <w:p w:rsidR="008A5545" w:rsidRPr="00DF4B1A" w:rsidRDefault="008A5545" w:rsidP="008A5545">
      <w:pPr>
        <w:widowControl w:val="0"/>
        <w:numPr>
          <w:ilvl w:val="0"/>
          <w:numId w:val="1"/>
        </w:numPr>
        <w:autoSpaceDE w:val="0"/>
        <w:autoSpaceDN w:val="0"/>
        <w:adjustRightInd w:val="0"/>
        <w:spacing w:after="0" w:line="240" w:lineRule="auto"/>
        <w:jc w:val="both"/>
        <w:rPr>
          <w:rFonts w:ascii="Arial" w:hAnsi="Arial" w:cs="Arial"/>
          <w:sz w:val="24"/>
          <w:szCs w:val="24"/>
          <w:lang w:val="ro-RO" w:eastAsia="ro-RO"/>
        </w:rPr>
      </w:pPr>
      <w:r w:rsidRPr="00DF4B1A">
        <w:rPr>
          <w:rFonts w:ascii="Arial" w:hAnsi="Arial" w:cs="Arial"/>
          <w:b/>
          <w:sz w:val="24"/>
          <w:szCs w:val="24"/>
          <w:lang w:val="ro-RO"/>
        </w:rPr>
        <w:t xml:space="preserve">Staţia de </w:t>
      </w:r>
      <w:r w:rsidRPr="00DF4B1A">
        <w:rPr>
          <w:rFonts w:ascii="Arial" w:hAnsi="Arial" w:cs="Arial"/>
          <w:b/>
          <w:sz w:val="24"/>
          <w:szCs w:val="24"/>
          <w:u w:val="single"/>
          <w:lang w:val="ro-RO"/>
        </w:rPr>
        <w:t>tip trafic</w:t>
      </w:r>
      <w:r w:rsidRPr="00DF4B1A">
        <w:rPr>
          <w:rFonts w:ascii="Arial" w:hAnsi="Arial" w:cs="Arial"/>
          <w:b/>
          <w:sz w:val="24"/>
          <w:szCs w:val="24"/>
          <w:lang w:val="ro-RO"/>
        </w:rPr>
        <w:t xml:space="preserve"> SV3</w:t>
      </w:r>
      <w:r w:rsidR="00615E5A" w:rsidRPr="00615E5A">
        <w:rPr>
          <w:rFonts w:ascii="Arial" w:hAnsi="Arial" w:cs="Arial"/>
          <w:sz w:val="24"/>
          <w:szCs w:val="24"/>
          <w:lang w:val="ro-RO"/>
        </w:rPr>
        <w:t>, unde s-au monitorizat poluanţii:</w:t>
      </w:r>
      <w:r w:rsidR="00AF6481" w:rsidRPr="00AF6481">
        <w:rPr>
          <w:rFonts w:ascii="Arial" w:hAnsi="Arial" w:cs="Arial"/>
          <w:sz w:val="24"/>
          <w:szCs w:val="24"/>
          <w:lang w:val="ro-RO" w:eastAsia="ro-RO"/>
        </w:rPr>
        <w:t xml:space="preserve"> </w:t>
      </w:r>
      <w:r w:rsidR="008752A5" w:rsidRPr="00DF4B1A">
        <w:rPr>
          <w:rFonts w:ascii="Arial" w:hAnsi="Arial" w:cs="Arial"/>
          <w:sz w:val="24"/>
          <w:szCs w:val="24"/>
          <w:lang w:val="ro-RO" w:eastAsia="ro-RO"/>
        </w:rPr>
        <w:t>dioxid de sulf (SO</w:t>
      </w:r>
      <w:r w:rsidR="008752A5" w:rsidRPr="00DF4B1A">
        <w:rPr>
          <w:rFonts w:ascii="Arial" w:hAnsi="Arial" w:cs="Arial"/>
          <w:sz w:val="24"/>
          <w:szCs w:val="24"/>
          <w:vertAlign w:val="subscript"/>
          <w:lang w:val="ro-RO" w:eastAsia="ro-RO"/>
        </w:rPr>
        <w:t>2</w:t>
      </w:r>
      <w:r w:rsidR="008752A5" w:rsidRPr="00DF4B1A">
        <w:rPr>
          <w:rFonts w:ascii="Arial" w:hAnsi="Arial" w:cs="Arial"/>
          <w:sz w:val="24"/>
          <w:szCs w:val="24"/>
          <w:lang w:val="ro-RO" w:eastAsia="ro-RO"/>
        </w:rPr>
        <w:t>), oxizi de azot (NO, NO</w:t>
      </w:r>
      <w:r w:rsidR="008752A5" w:rsidRPr="00DF4B1A">
        <w:rPr>
          <w:rFonts w:ascii="Arial" w:hAnsi="Arial" w:cs="Arial"/>
          <w:sz w:val="24"/>
          <w:szCs w:val="24"/>
          <w:vertAlign w:val="subscript"/>
          <w:lang w:val="ro-RO" w:eastAsia="ro-RO"/>
        </w:rPr>
        <w:t>2</w:t>
      </w:r>
      <w:r w:rsidR="008752A5" w:rsidRPr="00DF4B1A">
        <w:rPr>
          <w:rFonts w:ascii="Arial" w:hAnsi="Arial" w:cs="Arial"/>
          <w:sz w:val="24"/>
          <w:szCs w:val="24"/>
          <w:lang w:val="ro-RO" w:eastAsia="ro-RO"/>
        </w:rPr>
        <w:t>, NO</w:t>
      </w:r>
      <w:r w:rsidR="008752A5" w:rsidRPr="00DF4B1A">
        <w:rPr>
          <w:rFonts w:ascii="Arial" w:hAnsi="Arial" w:cs="Arial"/>
          <w:sz w:val="24"/>
          <w:szCs w:val="24"/>
          <w:vertAlign w:val="subscript"/>
          <w:lang w:val="ro-RO" w:eastAsia="ro-RO"/>
        </w:rPr>
        <w:t>x</w:t>
      </w:r>
      <w:r w:rsidR="008752A5" w:rsidRPr="00DF4B1A">
        <w:rPr>
          <w:rFonts w:ascii="Arial" w:hAnsi="Arial" w:cs="Arial"/>
          <w:sz w:val="24"/>
          <w:szCs w:val="24"/>
          <w:lang w:val="ro-RO" w:eastAsia="ro-RO"/>
        </w:rPr>
        <w:t>),</w:t>
      </w:r>
      <w:r w:rsidR="008752A5" w:rsidRPr="0089461C">
        <w:rPr>
          <w:rFonts w:ascii="Arial" w:hAnsi="Arial" w:cs="Arial"/>
          <w:sz w:val="24"/>
          <w:szCs w:val="24"/>
          <w:lang w:val="ro-RO" w:eastAsia="ro-RO"/>
        </w:rPr>
        <w:t xml:space="preserve"> </w:t>
      </w:r>
      <w:r w:rsidR="008752A5" w:rsidRPr="00DF4B1A">
        <w:rPr>
          <w:rFonts w:ascii="Arial" w:hAnsi="Arial" w:cs="Arial"/>
          <w:sz w:val="24"/>
          <w:szCs w:val="24"/>
          <w:lang w:val="ro-RO" w:eastAsia="ro-RO"/>
        </w:rPr>
        <w:t>monoxid de carbon (CO),</w:t>
      </w:r>
      <w:r w:rsidR="008752A5">
        <w:rPr>
          <w:rFonts w:ascii="Arial" w:hAnsi="Arial" w:cs="Arial"/>
          <w:sz w:val="24"/>
          <w:szCs w:val="24"/>
          <w:lang w:val="ro-RO" w:eastAsia="ro-RO"/>
        </w:rPr>
        <w:t xml:space="preserve"> dar capturile de date au fost insuficiente pentru o corectă caracterizare a calității aerului în această stație</w:t>
      </w:r>
    </w:p>
    <w:p w:rsidR="008A5545" w:rsidRPr="00DF4B1A" w:rsidRDefault="008A5545" w:rsidP="008A5545">
      <w:pPr>
        <w:widowControl w:val="0"/>
        <w:spacing w:after="0" w:line="240" w:lineRule="auto"/>
        <w:ind w:firstLine="706"/>
        <w:jc w:val="both"/>
        <w:rPr>
          <w:rFonts w:ascii="Arial" w:hAnsi="Arial" w:cs="Arial"/>
          <w:sz w:val="10"/>
          <w:szCs w:val="10"/>
          <w:lang w:val="ro-RO"/>
        </w:rPr>
      </w:pPr>
    </w:p>
    <w:p w:rsidR="00E538BB" w:rsidRDefault="008A5545" w:rsidP="008A5545">
      <w:pPr>
        <w:widowControl w:val="0"/>
        <w:numPr>
          <w:ilvl w:val="0"/>
          <w:numId w:val="1"/>
        </w:numPr>
        <w:autoSpaceDE w:val="0"/>
        <w:autoSpaceDN w:val="0"/>
        <w:adjustRightInd w:val="0"/>
        <w:spacing w:after="0" w:line="240" w:lineRule="auto"/>
        <w:jc w:val="both"/>
        <w:rPr>
          <w:rFonts w:ascii="Arial" w:hAnsi="Arial" w:cs="Arial"/>
          <w:sz w:val="24"/>
          <w:szCs w:val="24"/>
          <w:lang w:val="ro-RO" w:eastAsia="ro-RO"/>
        </w:rPr>
      </w:pPr>
      <w:r w:rsidRPr="00DF4B1A">
        <w:rPr>
          <w:rFonts w:ascii="Arial" w:hAnsi="Arial" w:cs="Arial"/>
          <w:b/>
          <w:sz w:val="24"/>
          <w:szCs w:val="24"/>
          <w:lang w:val="ro-RO"/>
        </w:rPr>
        <w:t xml:space="preserve">Staţia de </w:t>
      </w:r>
      <w:r w:rsidRPr="00DF4B1A">
        <w:rPr>
          <w:rFonts w:ascii="Arial" w:hAnsi="Arial" w:cs="Arial"/>
          <w:b/>
          <w:sz w:val="24"/>
          <w:szCs w:val="24"/>
          <w:u w:val="single"/>
          <w:lang w:val="ro-RO"/>
        </w:rPr>
        <w:t>fond regional EMEP</w:t>
      </w:r>
      <w:r w:rsidRPr="00DF4B1A">
        <w:rPr>
          <w:rFonts w:ascii="Arial" w:hAnsi="Arial" w:cs="Arial"/>
          <w:b/>
          <w:sz w:val="24"/>
          <w:szCs w:val="24"/>
          <w:lang w:val="ro-RO"/>
        </w:rPr>
        <w:t xml:space="preserve"> EM3</w:t>
      </w:r>
      <w:r w:rsidR="00615E5A" w:rsidRPr="00615E5A">
        <w:rPr>
          <w:rFonts w:ascii="Arial" w:hAnsi="Arial" w:cs="Arial"/>
          <w:sz w:val="24"/>
          <w:szCs w:val="24"/>
          <w:lang w:val="ro-RO"/>
        </w:rPr>
        <w:t>, unde s-au monitorizat poluanţii:</w:t>
      </w:r>
      <w:r w:rsidR="00615E5A">
        <w:rPr>
          <w:rFonts w:ascii="Arial" w:hAnsi="Arial" w:cs="Arial"/>
          <w:b/>
          <w:sz w:val="24"/>
          <w:szCs w:val="24"/>
          <w:lang w:val="ro-RO"/>
        </w:rPr>
        <w:t xml:space="preserve"> </w:t>
      </w:r>
      <w:r w:rsidR="008752A5" w:rsidRPr="00DF4B1A">
        <w:rPr>
          <w:rFonts w:ascii="Arial" w:hAnsi="Arial" w:cs="Arial"/>
          <w:sz w:val="24"/>
          <w:szCs w:val="24"/>
          <w:lang w:val="ro-RO" w:eastAsia="ro-RO"/>
        </w:rPr>
        <w:t>dioxid de sulf (SO</w:t>
      </w:r>
      <w:r w:rsidR="008752A5" w:rsidRPr="00DF4B1A">
        <w:rPr>
          <w:rFonts w:ascii="Arial" w:hAnsi="Arial" w:cs="Arial"/>
          <w:sz w:val="24"/>
          <w:szCs w:val="24"/>
          <w:vertAlign w:val="subscript"/>
          <w:lang w:val="ro-RO" w:eastAsia="ro-RO"/>
        </w:rPr>
        <w:t>2</w:t>
      </w:r>
      <w:r w:rsidR="008752A5" w:rsidRPr="00DF4B1A">
        <w:rPr>
          <w:rFonts w:ascii="Arial" w:hAnsi="Arial" w:cs="Arial"/>
          <w:sz w:val="24"/>
          <w:szCs w:val="24"/>
          <w:lang w:val="ro-RO" w:eastAsia="ro-RO"/>
        </w:rPr>
        <w:t>), oxizi de azot (NO, NO</w:t>
      </w:r>
      <w:r w:rsidR="008752A5" w:rsidRPr="00DF4B1A">
        <w:rPr>
          <w:rFonts w:ascii="Arial" w:hAnsi="Arial" w:cs="Arial"/>
          <w:sz w:val="24"/>
          <w:szCs w:val="24"/>
          <w:vertAlign w:val="subscript"/>
          <w:lang w:val="ro-RO" w:eastAsia="ro-RO"/>
        </w:rPr>
        <w:t>2</w:t>
      </w:r>
      <w:r w:rsidR="008752A5" w:rsidRPr="00DF4B1A">
        <w:rPr>
          <w:rFonts w:ascii="Arial" w:hAnsi="Arial" w:cs="Arial"/>
          <w:sz w:val="24"/>
          <w:szCs w:val="24"/>
          <w:lang w:val="ro-RO" w:eastAsia="ro-RO"/>
        </w:rPr>
        <w:t>, NO</w:t>
      </w:r>
      <w:r w:rsidR="008752A5" w:rsidRPr="00DF4B1A">
        <w:rPr>
          <w:rFonts w:ascii="Arial" w:hAnsi="Arial" w:cs="Arial"/>
          <w:sz w:val="24"/>
          <w:szCs w:val="24"/>
          <w:vertAlign w:val="subscript"/>
          <w:lang w:val="ro-RO" w:eastAsia="ro-RO"/>
        </w:rPr>
        <w:t>x</w:t>
      </w:r>
      <w:r w:rsidR="008752A5" w:rsidRPr="00DF4B1A">
        <w:rPr>
          <w:rFonts w:ascii="Arial" w:hAnsi="Arial" w:cs="Arial"/>
          <w:sz w:val="24"/>
          <w:szCs w:val="24"/>
          <w:lang w:val="ro-RO" w:eastAsia="ro-RO"/>
        </w:rPr>
        <w:t>),</w:t>
      </w:r>
      <w:r w:rsidR="008752A5" w:rsidRPr="0089461C">
        <w:rPr>
          <w:rFonts w:ascii="Arial" w:hAnsi="Arial" w:cs="Arial"/>
          <w:sz w:val="24"/>
          <w:szCs w:val="24"/>
          <w:lang w:val="ro-RO" w:eastAsia="ro-RO"/>
        </w:rPr>
        <w:t xml:space="preserve"> </w:t>
      </w:r>
      <w:r w:rsidR="008752A5" w:rsidRPr="00DF4B1A">
        <w:rPr>
          <w:rFonts w:ascii="Arial" w:hAnsi="Arial" w:cs="Arial"/>
          <w:sz w:val="24"/>
          <w:szCs w:val="24"/>
          <w:lang w:val="ro-RO" w:eastAsia="ro-RO"/>
        </w:rPr>
        <w:t>monoxid de carbon (CO),</w:t>
      </w:r>
      <w:r w:rsidR="008752A5">
        <w:rPr>
          <w:rFonts w:ascii="Arial" w:hAnsi="Arial" w:cs="Arial"/>
          <w:sz w:val="24"/>
          <w:szCs w:val="24"/>
          <w:lang w:val="ro-RO" w:eastAsia="ro-RO"/>
        </w:rPr>
        <w:t xml:space="preserve"> </w:t>
      </w:r>
      <w:r w:rsidR="008752A5" w:rsidRPr="00DF4B1A">
        <w:rPr>
          <w:rFonts w:ascii="Arial" w:hAnsi="Arial" w:cs="Arial"/>
          <w:sz w:val="24"/>
          <w:szCs w:val="24"/>
          <w:lang w:val="ro-RO" w:eastAsia="ro-RO"/>
        </w:rPr>
        <w:t>ozon (O</w:t>
      </w:r>
      <w:r w:rsidR="008752A5" w:rsidRPr="00DF4B1A">
        <w:rPr>
          <w:rFonts w:ascii="Arial" w:hAnsi="Arial" w:cs="Arial"/>
          <w:sz w:val="24"/>
          <w:szCs w:val="24"/>
          <w:vertAlign w:val="subscript"/>
          <w:lang w:val="ro-RO" w:eastAsia="ro-RO"/>
        </w:rPr>
        <w:t>3</w:t>
      </w:r>
      <w:r w:rsidR="008752A5" w:rsidRPr="00DF4B1A">
        <w:rPr>
          <w:rFonts w:ascii="Arial" w:hAnsi="Arial" w:cs="Arial"/>
          <w:sz w:val="24"/>
          <w:szCs w:val="24"/>
          <w:lang w:val="ro-RO" w:eastAsia="ro-RO"/>
        </w:rPr>
        <w:t xml:space="preserve">), benzen </w:t>
      </w:r>
      <w:r w:rsidR="008752A5" w:rsidRPr="00DF4B1A">
        <w:rPr>
          <w:rFonts w:ascii="Arial" w:hAnsi="Arial" w:cs="Arial"/>
          <w:sz w:val="24"/>
          <w:szCs w:val="24"/>
          <w:lang w:val="ro-RO" w:eastAsia="ro-RO"/>
        </w:rPr>
        <w:lastRenderedPageBreak/>
        <w:t>(C</w:t>
      </w:r>
      <w:r w:rsidR="008752A5" w:rsidRPr="00DF4B1A">
        <w:rPr>
          <w:rFonts w:ascii="Arial" w:hAnsi="Arial" w:cs="Arial"/>
          <w:sz w:val="24"/>
          <w:szCs w:val="24"/>
          <w:vertAlign w:val="subscript"/>
          <w:lang w:val="ro-RO" w:eastAsia="ro-RO"/>
        </w:rPr>
        <w:t>6</w:t>
      </w:r>
      <w:r w:rsidR="008752A5" w:rsidRPr="00DF4B1A">
        <w:rPr>
          <w:rFonts w:ascii="Arial" w:hAnsi="Arial" w:cs="Arial"/>
          <w:sz w:val="24"/>
          <w:szCs w:val="24"/>
          <w:lang w:val="ro-RO" w:eastAsia="ro-RO"/>
        </w:rPr>
        <w:t>H</w:t>
      </w:r>
      <w:r w:rsidR="008752A5" w:rsidRPr="00DF4B1A">
        <w:rPr>
          <w:rFonts w:ascii="Arial" w:hAnsi="Arial" w:cs="Arial"/>
          <w:sz w:val="24"/>
          <w:szCs w:val="24"/>
          <w:vertAlign w:val="subscript"/>
          <w:lang w:val="ro-RO" w:eastAsia="ro-RO"/>
        </w:rPr>
        <w:t>6</w:t>
      </w:r>
      <w:r w:rsidR="008752A5" w:rsidRPr="00DF4B1A">
        <w:rPr>
          <w:rFonts w:ascii="Arial" w:hAnsi="Arial" w:cs="Arial"/>
          <w:sz w:val="24"/>
          <w:szCs w:val="24"/>
          <w:lang w:val="ro-RO" w:eastAsia="ro-RO"/>
        </w:rPr>
        <w:t xml:space="preserve">), toluen, etilbenzen,o-, m-, p-xileni, </w:t>
      </w:r>
      <w:r w:rsidR="008752A5">
        <w:rPr>
          <w:rFonts w:ascii="Arial" w:hAnsi="Arial" w:cs="Arial"/>
          <w:sz w:val="24"/>
          <w:szCs w:val="24"/>
          <w:lang w:val="ro-RO" w:eastAsia="ro-RO"/>
        </w:rPr>
        <w:t>dar capturile de date la CO și compușii organici (benzen etc.) au fost insuficiente</w:t>
      </w:r>
      <w:r w:rsidRPr="00DF4B1A">
        <w:rPr>
          <w:rFonts w:ascii="Arial" w:hAnsi="Arial" w:cs="Arial"/>
          <w:sz w:val="24"/>
          <w:szCs w:val="24"/>
          <w:lang w:val="ro-RO" w:eastAsia="ro-RO"/>
        </w:rPr>
        <w:t>.</w:t>
      </w:r>
    </w:p>
    <w:p w:rsidR="00E538BB" w:rsidRPr="004701E0" w:rsidRDefault="00E538BB" w:rsidP="00E538BB">
      <w:pPr>
        <w:pStyle w:val="ListParagraph"/>
        <w:rPr>
          <w:rFonts w:ascii="Arial" w:hAnsi="Arial" w:cs="Arial"/>
          <w:sz w:val="10"/>
          <w:szCs w:val="10"/>
          <w:lang w:val="ro-RO" w:eastAsia="ro-RO"/>
        </w:rPr>
      </w:pPr>
    </w:p>
    <w:p w:rsidR="008A5545" w:rsidRPr="00DF4B1A" w:rsidRDefault="00E538BB" w:rsidP="00E538BB">
      <w:pPr>
        <w:widowControl w:val="0"/>
        <w:autoSpaceDE w:val="0"/>
        <w:autoSpaceDN w:val="0"/>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 xml:space="preserve">În fiecare stație de monitorizare </w:t>
      </w:r>
      <w:r w:rsidR="008752A5">
        <w:rPr>
          <w:rFonts w:ascii="Arial" w:hAnsi="Arial" w:cs="Arial"/>
          <w:sz w:val="24"/>
          <w:szCs w:val="24"/>
          <w:lang w:val="ro-RO" w:eastAsia="ro-RO"/>
        </w:rPr>
        <w:t xml:space="preserve">a calității aerului se monitorizează și anumiți </w:t>
      </w:r>
      <w:r w:rsidRPr="00DF4B1A">
        <w:rPr>
          <w:rFonts w:ascii="Arial" w:hAnsi="Arial" w:cs="Arial"/>
          <w:sz w:val="24"/>
          <w:szCs w:val="24"/>
          <w:lang w:val="ro-RO" w:eastAsia="ro-RO"/>
        </w:rPr>
        <w:t>parametri meteo</w:t>
      </w:r>
      <w:r w:rsidR="008752A5">
        <w:rPr>
          <w:rFonts w:ascii="Arial" w:hAnsi="Arial" w:cs="Arial"/>
          <w:sz w:val="24"/>
          <w:szCs w:val="24"/>
          <w:lang w:val="ro-RO" w:eastAsia="ro-RO"/>
        </w:rPr>
        <w:t>:</w:t>
      </w:r>
      <w:r w:rsidRPr="00DF4B1A">
        <w:rPr>
          <w:rFonts w:ascii="Arial" w:hAnsi="Arial" w:cs="Arial"/>
          <w:sz w:val="24"/>
          <w:szCs w:val="24"/>
          <w:lang w:val="ro-RO" w:eastAsia="ro-RO"/>
        </w:rPr>
        <w:t xml:space="preserve"> direcţia şi viteza vântului, presiune, temperatura, radiaţia solară, u</w:t>
      </w:r>
      <w:r w:rsidR="008752A5">
        <w:rPr>
          <w:rFonts w:ascii="Arial" w:hAnsi="Arial" w:cs="Arial"/>
          <w:sz w:val="24"/>
          <w:szCs w:val="24"/>
          <w:lang w:val="ro-RO" w:eastAsia="ro-RO"/>
        </w:rPr>
        <w:t>miditate relativă, precipitaţii.</w:t>
      </w:r>
      <w:r w:rsidR="008A5545" w:rsidRPr="00DF4B1A">
        <w:rPr>
          <w:rFonts w:ascii="Arial" w:hAnsi="Arial" w:cs="Arial"/>
          <w:sz w:val="24"/>
          <w:szCs w:val="24"/>
          <w:lang w:val="ro-RO" w:eastAsia="ro-RO"/>
        </w:rPr>
        <w:t xml:space="preserve"> </w:t>
      </w:r>
    </w:p>
    <w:p w:rsidR="001D0793" w:rsidRPr="00DF4B1A" w:rsidRDefault="001D0793" w:rsidP="00152F86">
      <w:pPr>
        <w:widowControl w:val="0"/>
        <w:spacing w:after="0" w:line="240" w:lineRule="auto"/>
        <w:jc w:val="both"/>
        <w:rPr>
          <w:rFonts w:ascii="Arial" w:hAnsi="Arial" w:cs="Arial"/>
          <w:sz w:val="10"/>
          <w:szCs w:val="10"/>
          <w:lang w:val="ro-RO" w:eastAsia="ro-RO"/>
        </w:rPr>
      </w:pPr>
    </w:p>
    <w:p w:rsidR="00665B20" w:rsidRPr="00DF4B1A" w:rsidRDefault="00665B20" w:rsidP="00152F86">
      <w:pPr>
        <w:widowControl w:val="0"/>
        <w:spacing w:after="0" w:line="240" w:lineRule="auto"/>
        <w:jc w:val="center"/>
        <w:rPr>
          <w:rFonts w:ascii="Arial" w:hAnsi="Arial" w:cs="Arial"/>
          <w:lang w:val="ro-RO"/>
        </w:rPr>
      </w:pPr>
      <w:r w:rsidRPr="00DF4B1A">
        <w:rPr>
          <w:rFonts w:ascii="Arial" w:hAnsi="Arial" w:cs="Arial"/>
          <w:lang w:val="ro-RO"/>
        </w:rPr>
        <w:t>Fig. I.1.1. Amplasarea staţiilor de monitorizare a calit</w:t>
      </w:r>
      <w:r w:rsidRPr="00DF4B1A">
        <w:rPr>
          <w:rFonts w:ascii="Arial" w:hAnsi="Arial" w:cs="Arial"/>
          <w:lang w:val="ro-RO" w:eastAsia="ro-RO"/>
        </w:rPr>
        <w:t>ă</w:t>
      </w:r>
      <w:r w:rsidRPr="00DF4B1A">
        <w:rPr>
          <w:rFonts w:ascii="Arial" w:hAnsi="Arial" w:cs="Arial"/>
          <w:lang w:val="ro-RO"/>
        </w:rPr>
        <w:t>ţii aerului din judeţul Suceava</w:t>
      </w:r>
    </w:p>
    <w:p w:rsidR="00665B20" w:rsidRPr="00DF4B1A" w:rsidRDefault="00665B20" w:rsidP="00152F86">
      <w:pPr>
        <w:widowControl w:val="0"/>
        <w:spacing w:after="0" w:line="240" w:lineRule="auto"/>
        <w:jc w:val="both"/>
        <w:rPr>
          <w:rFonts w:ascii="Arial" w:hAnsi="Arial" w:cs="Arial"/>
          <w:color w:val="FF0000"/>
          <w:sz w:val="6"/>
          <w:szCs w:val="6"/>
          <w:lang w:val="ro-RO"/>
        </w:rPr>
      </w:pPr>
    </w:p>
    <w:tbl>
      <w:tblPr>
        <w:tblW w:w="10138" w:type="dxa"/>
        <w:jc w:val="center"/>
        <w:tblLayout w:type="fixed"/>
        <w:tblLook w:val="04A0"/>
      </w:tblPr>
      <w:tblGrid>
        <w:gridCol w:w="6228"/>
        <w:gridCol w:w="3910"/>
      </w:tblGrid>
      <w:tr w:rsidR="00665B20" w:rsidRPr="00DF4B1A" w:rsidTr="00E907C4">
        <w:trPr>
          <w:jc w:val="center"/>
        </w:trPr>
        <w:tc>
          <w:tcPr>
            <w:tcW w:w="6228" w:type="dxa"/>
          </w:tcPr>
          <w:p w:rsidR="00665B20" w:rsidRPr="00DF4B1A" w:rsidRDefault="00665B20" w:rsidP="00152F86">
            <w:pPr>
              <w:widowControl w:val="0"/>
              <w:spacing w:after="0" w:line="240" w:lineRule="auto"/>
              <w:jc w:val="center"/>
              <w:rPr>
                <w:rFonts w:ascii="Arial" w:hAnsi="Arial" w:cs="Arial"/>
                <w:color w:val="FF0000"/>
                <w:lang w:val="ro-RO"/>
              </w:rPr>
            </w:pPr>
            <w:r w:rsidRPr="00DF4B1A">
              <w:rPr>
                <w:rFonts w:ascii="Arial" w:hAnsi="Arial" w:cs="Arial"/>
                <w:noProof/>
                <w:color w:val="FF0000"/>
                <w:lang w:val="ro-RO" w:eastAsia="ro-RO"/>
              </w:rPr>
              <w:drawing>
                <wp:inline distT="0" distB="0" distL="0" distR="0">
                  <wp:extent cx="3667125" cy="2945588"/>
                  <wp:effectExtent l="19050" t="0" r="952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75628" cy="2952418"/>
                          </a:xfrm>
                          <a:prstGeom prst="rect">
                            <a:avLst/>
                          </a:prstGeom>
                          <a:noFill/>
                          <a:ln w="9525">
                            <a:noFill/>
                            <a:miter lim="800000"/>
                            <a:headEnd/>
                            <a:tailEnd/>
                          </a:ln>
                        </pic:spPr>
                      </pic:pic>
                    </a:graphicData>
                  </a:graphic>
                </wp:inline>
              </w:drawing>
            </w:r>
          </w:p>
        </w:tc>
        <w:tc>
          <w:tcPr>
            <w:tcW w:w="3910" w:type="dxa"/>
          </w:tcPr>
          <w:p w:rsidR="00665B20" w:rsidRPr="00DF4B1A" w:rsidRDefault="00665B20" w:rsidP="00152F86">
            <w:pPr>
              <w:widowControl w:val="0"/>
              <w:spacing w:after="0" w:line="240" w:lineRule="auto"/>
              <w:jc w:val="center"/>
              <w:rPr>
                <w:rFonts w:ascii="Arial" w:hAnsi="Arial" w:cs="Arial"/>
                <w:b/>
                <w:sz w:val="24"/>
                <w:szCs w:val="24"/>
                <w:lang w:val="ro-RO"/>
              </w:rPr>
            </w:pPr>
          </w:p>
          <w:p w:rsidR="00665B20" w:rsidRPr="00DF4B1A" w:rsidRDefault="00C2024F" w:rsidP="00152F86">
            <w:pPr>
              <w:widowControl w:val="0"/>
              <w:spacing w:after="0" w:line="240" w:lineRule="auto"/>
              <w:jc w:val="center"/>
              <w:rPr>
                <w:rFonts w:ascii="Arial" w:hAnsi="Arial" w:cs="Arial"/>
                <w:b/>
                <w:sz w:val="24"/>
                <w:szCs w:val="24"/>
                <w:lang w:val="ro-RO"/>
              </w:rPr>
            </w:pPr>
            <w:r>
              <w:rPr>
                <w:rFonts w:ascii="Arial" w:hAnsi="Arial" w:cs="Arial"/>
                <w:b/>
                <w:sz w:val="24"/>
                <w:szCs w:val="24"/>
                <w:lang w:val="ro-RO"/>
              </w:rPr>
              <w:pict>
                <v:shapetype id="_x0000_t202" coordsize="21600,21600" o:spt="202" path="m,l,21600r21600,l21600,xe">
                  <v:stroke joinstyle="miter"/>
                  <v:path gradientshapeok="t" o:connecttype="rect"/>
                </v:shapetype>
                <v:shape id="_x0000_s1029" type="#_x0000_t202" style="position:absolute;left:0;text-align:left;margin-left:300.7pt;margin-top:75.15pt;width:25.7pt;height:13.65pt;z-index:251656704;mso-width-relative:margin;mso-height-relative:margin">
                  <v:textbox style="mso-next-textbox:#_x0000_s1029">
                    <w:txbxContent>
                      <w:p w:rsidR="0087725B" w:rsidRPr="00EC47DC" w:rsidRDefault="0087725B" w:rsidP="00665B20">
                        <w:pPr>
                          <w:rPr>
                            <w:b/>
                            <w:color w:val="00B050"/>
                            <w:sz w:val="10"/>
                            <w:szCs w:val="10"/>
                          </w:rPr>
                        </w:pPr>
                        <w:r>
                          <w:rPr>
                            <w:b/>
                            <w:color w:val="00B050"/>
                            <w:sz w:val="10"/>
                            <w:szCs w:val="10"/>
                          </w:rPr>
                          <w:t>CJ-5</w:t>
                        </w:r>
                      </w:p>
                    </w:txbxContent>
                  </v:textbox>
                </v:shape>
              </w:pict>
            </w:r>
            <w:r w:rsidRPr="00C2024F">
              <w:rPr>
                <w:rFonts w:ascii="Arial" w:hAnsi="Arial" w:cs="Arial"/>
                <w:b/>
                <w:bCs/>
                <w:sz w:val="24"/>
                <w:szCs w:val="24"/>
                <w:lang w:val="ro-RO"/>
              </w:rPr>
              <w:pict>
                <v:shape id="_x0000_s1030" type="#_x0000_t202" style="position:absolute;left:0;text-align:left;margin-left:253.1pt;margin-top:173pt;width:25.7pt;height:13.65pt;z-index:251657728;mso-width-relative:margin;mso-height-relative:margin">
                  <v:textbox style="mso-next-textbox:#_x0000_s1030">
                    <w:txbxContent>
                      <w:p w:rsidR="0087725B" w:rsidRPr="00EC47DC" w:rsidRDefault="0087725B" w:rsidP="00665B20">
                        <w:pPr>
                          <w:rPr>
                            <w:b/>
                            <w:color w:val="00B050"/>
                            <w:sz w:val="10"/>
                            <w:szCs w:val="10"/>
                          </w:rPr>
                        </w:pPr>
                        <w:r>
                          <w:rPr>
                            <w:b/>
                            <w:color w:val="00B050"/>
                            <w:sz w:val="10"/>
                            <w:szCs w:val="10"/>
                          </w:rPr>
                          <w:t>CJ-2</w:t>
                        </w:r>
                      </w:p>
                    </w:txbxContent>
                  </v:textbox>
                </v:shape>
              </w:pict>
            </w:r>
            <w:r w:rsidR="00665B20" w:rsidRPr="00DF4B1A">
              <w:rPr>
                <w:rFonts w:ascii="Arial" w:hAnsi="Arial" w:cs="Arial"/>
                <w:b/>
                <w:sz w:val="24"/>
                <w:szCs w:val="24"/>
                <w:lang w:val="ro-RO"/>
              </w:rPr>
              <w:t>Legendă:</w:t>
            </w:r>
          </w:p>
          <w:p w:rsidR="00665B20" w:rsidRPr="00DF4B1A" w:rsidRDefault="00665B20" w:rsidP="00152F86">
            <w:pPr>
              <w:widowControl w:val="0"/>
              <w:spacing w:after="0" w:line="240" w:lineRule="auto"/>
              <w:jc w:val="center"/>
              <w:rPr>
                <w:rFonts w:ascii="Arial" w:hAnsi="Arial" w:cs="Arial"/>
                <w:b/>
                <w:sz w:val="10"/>
                <w:szCs w:val="10"/>
                <w:lang w:val="ro-RO"/>
              </w:rPr>
            </w:pPr>
          </w:p>
          <w:p w:rsidR="00A43FC0" w:rsidRPr="00DF4B1A" w:rsidRDefault="00A43FC0" w:rsidP="00152F86">
            <w:pPr>
              <w:widowControl w:val="0"/>
              <w:spacing w:after="0" w:line="240" w:lineRule="auto"/>
              <w:jc w:val="center"/>
              <w:rPr>
                <w:rFonts w:ascii="Arial" w:hAnsi="Arial" w:cs="Arial"/>
                <w:b/>
                <w:sz w:val="10"/>
                <w:szCs w:val="10"/>
                <w:lang w:val="ro-RO"/>
              </w:rPr>
            </w:pPr>
          </w:p>
          <w:p w:rsidR="00A43FC0" w:rsidRPr="00DF4B1A" w:rsidRDefault="00A43FC0" w:rsidP="00152F86">
            <w:pPr>
              <w:widowControl w:val="0"/>
              <w:spacing w:after="0" w:line="240" w:lineRule="auto"/>
              <w:jc w:val="center"/>
              <w:rPr>
                <w:rFonts w:ascii="Arial" w:hAnsi="Arial" w:cs="Arial"/>
                <w:b/>
                <w:sz w:val="10"/>
                <w:szCs w:val="10"/>
                <w:lang w:val="ro-RO"/>
              </w:rPr>
            </w:pPr>
          </w:p>
          <w:p w:rsidR="00665B20" w:rsidRPr="00DF4B1A" w:rsidRDefault="00665B20" w:rsidP="00152F86">
            <w:pPr>
              <w:widowControl w:val="0"/>
              <w:spacing w:after="0" w:line="240" w:lineRule="auto"/>
              <w:jc w:val="center"/>
              <w:rPr>
                <w:rFonts w:ascii="Arial" w:hAnsi="Arial" w:cs="Arial"/>
                <w:b/>
                <w:sz w:val="10"/>
                <w:szCs w:val="10"/>
                <w:lang w:val="ro-RO"/>
              </w:rPr>
            </w:pPr>
          </w:p>
          <w:p w:rsidR="00665B20" w:rsidRPr="00DF4B1A" w:rsidRDefault="00665B20" w:rsidP="00152F86">
            <w:pPr>
              <w:widowControl w:val="0"/>
              <w:spacing w:after="0" w:line="240" w:lineRule="auto"/>
              <w:jc w:val="both"/>
              <w:rPr>
                <w:rFonts w:ascii="Arial" w:hAnsi="Arial" w:cs="Arial"/>
                <w:lang w:val="ro-RO"/>
              </w:rPr>
            </w:pPr>
            <w:r w:rsidRPr="00DF4B1A">
              <w:rPr>
                <w:rFonts w:ascii="Arial" w:hAnsi="Arial" w:cs="Arial"/>
                <w:b/>
                <w:lang w:val="ro-RO"/>
              </w:rPr>
              <w:t>SV1</w:t>
            </w:r>
            <w:r w:rsidRPr="00DF4B1A">
              <w:rPr>
                <w:rFonts w:ascii="Arial" w:hAnsi="Arial" w:cs="Arial"/>
                <w:lang w:val="ro-RO"/>
              </w:rPr>
              <w:t>: Suceava, str. Mărăşeşti nr. 57, la Colegiul Naţional "Mihai Eminescu"</w:t>
            </w:r>
          </w:p>
          <w:p w:rsidR="00665B20" w:rsidRPr="00DF4B1A" w:rsidRDefault="00665B20" w:rsidP="00152F86">
            <w:pPr>
              <w:widowControl w:val="0"/>
              <w:spacing w:after="0" w:line="240" w:lineRule="auto"/>
              <w:jc w:val="both"/>
              <w:rPr>
                <w:rFonts w:ascii="Arial" w:hAnsi="Arial" w:cs="Arial"/>
                <w:b/>
                <w:sz w:val="10"/>
                <w:szCs w:val="10"/>
                <w:lang w:val="ro-RO"/>
              </w:rPr>
            </w:pPr>
          </w:p>
          <w:p w:rsidR="00665B20" w:rsidRPr="00DF4B1A" w:rsidRDefault="00665B20" w:rsidP="00152F86">
            <w:pPr>
              <w:widowControl w:val="0"/>
              <w:spacing w:after="0" w:line="240" w:lineRule="auto"/>
              <w:jc w:val="both"/>
              <w:rPr>
                <w:rFonts w:ascii="Arial" w:hAnsi="Arial" w:cs="Arial"/>
                <w:lang w:val="ro-RO"/>
              </w:rPr>
            </w:pPr>
            <w:r w:rsidRPr="00DF4B1A">
              <w:rPr>
                <w:rFonts w:ascii="Arial" w:hAnsi="Arial" w:cs="Arial"/>
                <w:b/>
                <w:lang w:val="ro-RO"/>
              </w:rPr>
              <w:t>SV2</w:t>
            </w:r>
            <w:r w:rsidRPr="00DF4B1A">
              <w:rPr>
                <w:rFonts w:ascii="Arial" w:hAnsi="Arial" w:cs="Arial"/>
                <w:lang w:val="ro-RO"/>
              </w:rPr>
              <w:t xml:space="preserve">: Suceava, str. Tineretului f.n (cartier Cuza Vodă), la Grădiniţa nr. 12 "Ţăndărică" </w:t>
            </w:r>
          </w:p>
          <w:p w:rsidR="00665B20" w:rsidRPr="00DF4B1A" w:rsidRDefault="00665B20" w:rsidP="00152F86">
            <w:pPr>
              <w:widowControl w:val="0"/>
              <w:spacing w:after="0" w:line="240" w:lineRule="auto"/>
              <w:jc w:val="both"/>
              <w:rPr>
                <w:rFonts w:ascii="Arial" w:hAnsi="Arial" w:cs="Arial"/>
                <w:b/>
                <w:sz w:val="10"/>
                <w:szCs w:val="10"/>
                <w:lang w:val="ro-RO"/>
              </w:rPr>
            </w:pPr>
          </w:p>
          <w:p w:rsidR="00665B20" w:rsidRPr="00DF4B1A" w:rsidRDefault="00665B20" w:rsidP="00152F86">
            <w:pPr>
              <w:widowControl w:val="0"/>
              <w:spacing w:after="0" w:line="240" w:lineRule="auto"/>
              <w:jc w:val="both"/>
              <w:rPr>
                <w:rFonts w:ascii="Arial" w:hAnsi="Arial" w:cs="Arial"/>
                <w:lang w:val="ro-RO"/>
              </w:rPr>
            </w:pPr>
            <w:r w:rsidRPr="00DF4B1A">
              <w:rPr>
                <w:rFonts w:ascii="Arial" w:hAnsi="Arial" w:cs="Arial"/>
                <w:b/>
                <w:lang w:val="ro-RO"/>
              </w:rPr>
              <w:t>SV3</w:t>
            </w:r>
            <w:r w:rsidR="00615E5A">
              <w:rPr>
                <w:rFonts w:ascii="Arial" w:hAnsi="Arial" w:cs="Arial"/>
                <w:lang w:val="ro-RO"/>
              </w:rPr>
              <w:t>:</w:t>
            </w:r>
            <w:r w:rsidRPr="00DF4B1A">
              <w:rPr>
                <w:rFonts w:ascii="Arial" w:hAnsi="Arial" w:cs="Arial"/>
                <w:lang w:val="ro-RO"/>
              </w:rPr>
              <w:t xml:space="preserve"> Siret, str. Alexandru cel bun f.n.</w:t>
            </w:r>
          </w:p>
          <w:p w:rsidR="00665B20" w:rsidRPr="00DF4B1A" w:rsidRDefault="00665B20" w:rsidP="00152F86">
            <w:pPr>
              <w:widowControl w:val="0"/>
              <w:spacing w:after="0" w:line="240" w:lineRule="auto"/>
              <w:jc w:val="both"/>
              <w:rPr>
                <w:rFonts w:ascii="Arial" w:hAnsi="Arial" w:cs="Arial"/>
                <w:b/>
                <w:sz w:val="10"/>
                <w:szCs w:val="10"/>
                <w:lang w:val="ro-RO"/>
              </w:rPr>
            </w:pPr>
          </w:p>
          <w:p w:rsidR="00665B20" w:rsidRPr="00DF4B1A" w:rsidRDefault="00615E5A" w:rsidP="00615E5A">
            <w:pPr>
              <w:widowControl w:val="0"/>
              <w:spacing w:after="0" w:line="240" w:lineRule="auto"/>
              <w:jc w:val="both"/>
              <w:rPr>
                <w:rFonts w:ascii="Arial" w:hAnsi="Arial" w:cs="Arial"/>
                <w:color w:val="FF0000"/>
                <w:lang w:val="ro-RO"/>
              </w:rPr>
            </w:pPr>
            <w:r>
              <w:rPr>
                <w:rFonts w:ascii="Arial" w:hAnsi="Arial" w:cs="Arial"/>
                <w:b/>
                <w:lang w:val="ro-RO"/>
              </w:rPr>
              <w:t>EM</w:t>
            </w:r>
            <w:r w:rsidR="00665B20" w:rsidRPr="00DF4B1A">
              <w:rPr>
                <w:rFonts w:ascii="Arial" w:hAnsi="Arial" w:cs="Arial"/>
                <w:b/>
                <w:lang w:val="ro-RO"/>
              </w:rPr>
              <w:t>3</w:t>
            </w:r>
            <w:r>
              <w:rPr>
                <w:rFonts w:ascii="Arial" w:hAnsi="Arial" w:cs="Arial"/>
                <w:lang w:val="ro-RO"/>
              </w:rPr>
              <w:t>:</w:t>
            </w:r>
            <w:r w:rsidR="00665B20" w:rsidRPr="00DF4B1A">
              <w:rPr>
                <w:rFonts w:ascii="Arial" w:hAnsi="Arial" w:cs="Arial"/>
                <w:b/>
                <w:lang w:val="ro-RO"/>
              </w:rPr>
              <w:t xml:space="preserve"> </w:t>
            </w:r>
            <w:r w:rsidR="00665B20" w:rsidRPr="00DF4B1A">
              <w:rPr>
                <w:rFonts w:ascii="Arial" w:hAnsi="Arial" w:cs="Arial"/>
                <w:lang w:val="ro-RO"/>
              </w:rPr>
              <w:t>Poiana Stampei (lângă staţia meteo INM)</w:t>
            </w:r>
          </w:p>
        </w:tc>
      </w:tr>
    </w:tbl>
    <w:p w:rsidR="00665B20" w:rsidRPr="00DF4B1A" w:rsidRDefault="00665B20" w:rsidP="00152F86">
      <w:pPr>
        <w:widowControl w:val="0"/>
        <w:spacing w:after="0" w:line="240" w:lineRule="auto"/>
        <w:jc w:val="center"/>
        <w:rPr>
          <w:rFonts w:ascii="Arial" w:hAnsi="Arial" w:cs="Arial"/>
          <w:sz w:val="10"/>
          <w:szCs w:val="10"/>
          <w:lang w:val="ro-RO"/>
        </w:rPr>
      </w:pPr>
    </w:p>
    <w:p w:rsidR="00E907C4" w:rsidRPr="00DF4B1A" w:rsidRDefault="00C76521" w:rsidP="00152F86">
      <w:pPr>
        <w:widowControl w:val="0"/>
        <w:spacing w:after="0" w:line="240" w:lineRule="auto"/>
        <w:ind w:firstLine="720"/>
        <w:jc w:val="both"/>
        <w:rPr>
          <w:rFonts w:ascii="Arial" w:hAnsi="Arial" w:cs="Arial"/>
          <w:sz w:val="24"/>
          <w:szCs w:val="24"/>
          <w:lang w:val="ro-RO"/>
        </w:rPr>
      </w:pPr>
      <w:r w:rsidRPr="00DF4B1A">
        <w:rPr>
          <w:rFonts w:ascii="Arial" w:hAnsi="Arial" w:cs="Arial"/>
          <w:sz w:val="24"/>
          <w:szCs w:val="24"/>
          <w:lang w:val="ro-RO"/>
        </w:rPr>
        <w:t>Conform anexei 4 la Legea nr. 104/2011, obiectivul de calitate a datelor din monitorizare în ceea ce priveşte captura minimă de date pe perioada de mediere de un an, pentru toţi poluanţii monitorizaţi, este de 90%. Având în vedere că cerința de captură minimă de 90% nu include pierderile de date datorate calibrării, verificărilor și întreținerilor curente, sunt considerate co</w:t>
      </w:r>
      <w:r w:rsidR="0031750F" w:rsidRPr="00DF4B1A">
        <w:rPr>
          <w:rFonts w:ascii="Arial" w:hAnsi="Arial" w:cs="Arial"/>
          <w:sz w:val="24"/>
          <w:szCs w:val="24"/>
          <w:lang w:val="ro-RO"/>
        </w:rPr>
        <w:t>nforme capturile de date valid</w:t>
      </w:r>
      <w:r w:rsidRPr="00DF4B1A">
        <w:rPr>
          <w:rFonts w:ascii="Arial" w:hAnsi="Arial" w:cs="Arial"/>
          <w:sz w:val="24"/>
          <w:szCs w:val="24"/>
          <w:lang w:val="ro-RO"/>
        </w:rPr>
        <w:t xml:space="preserve">e de minimum 75%. </w:t>
      </w:r>
    </w:p>
    <w:p w:rsidR="001D0793" w:rsidRPr="00B24DB4" w:rsidRDefault="00E907C4" w:rsidP="00152F86">
      <w:pPr>
        <w:widowControl w:val="0"/>
        <w:spacing w:after="0" w:line="240" w:lineRule="auto"/>
        <w:ind w:firstLine="720"/>
        <w:jc w:val="both"/>
        <w:rPr>
          <w:rFonts w:ascii="Arial" w:hAnsi="Arial" w:cs="Arial"/>
          <w:b/>
          <w:color w:val="FF0000"/>
          <w:sz w:val="10"/>
          <w:szCs w:val="10"/>
          <w:lang w:val="ro-RO"/>
        </w:rPr>
      </w:pPr>
      <w:r w:rsidRPr="00B24DB4">
        <w:rPr>
          <w:rFonts w:ascii="Arial" w:hAnsi="Arial" w:cs="Arial"/>
          <w:sz w:val="10"/>
          <w:szCs w:val="10"/>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7"/>
      </w:tblGrid>
      <w:tr w:rsidR="003426DB" w:rsidRPr="007F0C88" w:rsidTr="00AB3DBD">
        <w:tc>
          <w:tcPr>
            <w:tcW w:w="10107" w:type="dxa"/>
          </w:tcPr>
          <w:p w:rsidR="0031750F" w:rsidRPr="00255086" w:rsidRDefault="00B24DB4" w:rsidP="00152F86">
            <w:pPr>
              <w:widowControl w:val="0"/>
              <w:spacing w:after="0" w:line="240" w:lineRule="auto"/>
              <w:ind w:firstLine="720"/>
              <w:jc w:val="both"/>
              <w:rPr>
                <w:rFonts w:ascii="Arial" w:hAnsi="Arial" w:cs="Arial"/>
                <w:i/>
                <w:sz w:val="24"/>
                <w:szCs w:val="24"/>
                <w:u w:val="single"/>
                <w:lang w:val="ro-RO"/>
              </w:rPr>
            </w:pPr>
            <w:r w:rsidRPr="00DF4B1A">
              <w:rPr>
                <w:rFonts w:ascii="Arial" w:hAnsi="Arial" w:cs="Arial"/>
                <w:i/>
                <w:sz w:val="24"/>
                <w:szCs w:val="24"/>
                <w:lang w:val="ro-RO"/>
              </w:rPr>
              <w:t>În raport sunt prezentate doar datele care respectă criteriile de calitate conform Legii nr. 104/2011</w:t>
            </w:r>
            <w:r w:rsidR="0051390F">
              <w:rPr>
                <w:rFonts w:ascii="Arial" w:hAnsi="Arial" w:cs="Arial"/>
                <w:i/>
                <w:sz w:val="24"/>
                <w:szCs w:val="24"/>
                <w:lang w:val="ro-RO"/>
              </w:rPr>
              <w:t xml:space="preserve"> (</w:t>
            </w:r>
            <w:r w:rsidR="0031750F" w:rsidRPr="00DF4B1A">
              <w:rPr>
                <w:rFonts w:ascii="Arial" w:hAnsi="Arial" w:cs="Arial"/>
                <w:i/>
                <w:sz w:val="24"/>
                <w:szCs w:val="24"/>
                <w:lang w:val="ro-RO"/>
              </w:rPr>
              <w:t>capturi de date de minim 75%</w:t>
            </w:r>
            <w:r w:rsidR="0051390F">
              <w:rPr>
                <w:rFonts w:ascii="Arial" w:hAnsi="Arial" w:cs="Arial"/>
                <w:i/>
                <w:sz w:val="24"/>
                <w:szCs w:val="24"/>
                <w:lang w:val="ro-RO"/>
              </w:rPr>
              <w:t>)</w:t>
            </w:r>
            <w:r w:rsidR="0031750F" w:rsidRPr="00DF4B1A">
              <w:rPr>
                <w:rFonts w:ascii="Arial" w:hAnsi="Arial" w:cs="Arial"/>
                <w:i/>
                <w:sz w:val="24"/>
                <w:szCs w:val="24"/>
                <w:lang w:val="ro-RO"/>
              </w:rPr>
              <w:t>.</w:t>
            </w:r>
            <w:r w:rsidR="00583871">
              <w:rPr>
                <w:rFonts w:ascii="Arial" w:hAnsi="Arial" w:cs="Arial"/>
                <w:i/>
                <w:sz w:val="24"/>
                <w:szCs w:val="24"/>
                <w:lang w:val="ro-RO"/>
              </w:rPr>
              <w:t xml:space="preserve"> </w:t>
            </w:r>
            <w:r w:rsidR="0051390F">
              <w:rPr>
                <w:rFonts w:ascii="Arial" w:hAnsi="Arial" w:cs="Arial"/>
                <w:i/>
                <w:sz w:val="24"/>
                <w:szCs w:val="24"/>
                <w:lang w:val="ro-RO"/>
              </w:rPr>
              <w:t xml:space="preserve">Datele </w:t>
            </w:r>
            <w:r w:rsidR="00255086">
              <w:rPr>
                <w:rFonts w:ascii="Arial" w:hAnsi="Arial" w:cs="Arial"/>
                <w:i/>
                <w:sz w:val="24"/>
                <w:szCs w:val="24"/>
                <w:lang w:val="ro-RO"/>
              </w:rPr>
              <w:t>măsurate</w:t>
            </w:r>
            <w:r w:rsidR="0051390F">
              <w:rPr>
                <w:rFonts w:ascii="Arial" w:hAnsi="Arial" w:cs="Arial"/>
                <w:i/>
                <w:sz w:val="24"/>
                <w:szCs w:val="24"/>
                <w:lang w:val="ro-RO"/>
              </w:rPr>
              <w:t xml:space="preserve"> în stați</w:t>
            </w:r>
            <w:r w:rsidR="00C03D6A">
              <w:rPr>
                <w:rFonts w:ascii="Arial" w:hAnsi="Arial" w:cs="Arial"/>
                <w:i/>
                <w:sz w:val="24"/>
                <w:szCs w:val="24"/>
                <w:lang w:val="ro-RO"/>
              </w:rPr>
              <w:t>a</w:t>
            </w:r>
            <w:r w:rsidR="0051390F">
              <w:rPr>
                <w:rFonts w:ascii="Arial" w:hAnsi="Arial" w:cs="Arial"/>
                <w:i/>
                <w:sz w:val="24"/>
                <w:szCs w:val="24"/>
                <w:lang w:val="ro-RO"/>
              </w:rPr>
              <w:t xml:space="preserve"> </w:t>
            </w:r>
            <w:r w:rsidR="00821472">
              <w:rPr>
                <w:rFonts w:ascii="Arial" w:hAnsi="Arial" w:cs="Arial"/>
                <w:i/>
                <w:sz w:val="24"/>
                <w:szCs w:val="24"/>
                <w:lang w:val="ro-RO"/>
              </w:rPr>
              <w:t>SV</w:t>
            </w:r>
            <w:r w:rsidR="00C03D6A">
              <w:rPr>
                <w:rFonts w:ascii="Arial" w:hAnsi="Arial" w:cs="Arial"/>
                <w:i/>
                <w:sz w:val="24"/>
                <w:szCs w:val="24"/>
                <w:lang w:val="ro-RO"/>
              </w:rPr>
              <w:t>3</w:t>
            </w:r>
            <w:r w:rsidR="00821472">
              <w:rPr>
                <w:rFonts w:ascii="Arial" w:hAnsi="Arial" w:cs="Arial"/>
                <w:i/>
                <w:sz w:val="24"/>
                <w:szCs w:val="24"/>
                <w:lang w:val="ro-RO"/>
              </w:rPr>
              <w:t>, pentru toți poluanții, sunt insuficiente pentru a respecta criteriile de calitate conform legii 104/2011</w:t>
            </w:r>
            <w:r w:rsidR="0051390F">
              <w:rPr>
                <w:rFonts w:ascii="Arial" w:hAnsi="Arial" w:cs="Arial"/>
                <w:i/>
                <w:sz w:val="24"/>
                <w:szCs w:val="24"/>
                <w:lang w:val="ro-RO"/>
              </w:rPr>
              <w:t xml:space="preserve">, </w:t>
            </w:r>
            <w:r w:rsidR="00255086">
              <w:rPr>
                <w:rFonts w:ascii="Arial" w:hAnsi="Arial" w:cs="Arial"/>
                <w:i/>
                <w:sz w:val="24"/>
                <w:szCs w:val="24"/>
                <w:lang w:val="ro-RO"/>
              </w:rPr>
              <w:t xml:space="preserve">în consecinţă </w:t>
            </w:r>
            <w:r w:rsidR="00255086" w:rsidRPr="00255086">
              <w:rPr>
                <w:rFonts w:ascii="Arial" w:hAnsi="Arial" w:cs="Arial"/>
                <w:i/>
                <w:sz w:val="24"/>
                <w:szCs w:val="24"/>
                <w:u w:val="single"/>
                <w:lang w:val="ro-RO"/>
              </w:rPr>
              <w:t>staţi</w:t>
            </w:r>
            <w:r w:rsidR="00AF6481">
              <w:rPr>
                <w:rFonts w:ascii="Arial" w:hAnsi="Arial" w:cs="Arial"/>
                <w:i/>
                <w:sz w:val="24"/>
                <w:szCs w:val="24"/>
                <w:u w:val="single"/>
                <w:lang w:val="ro-RO"/>
              </w:rPr>
              <w:t>a</w:t>
            </w:r>
            <w:r w:rsidR="00255086" w:rsidRPr="00255086">
              <w:rPr>
                <w:rFonts w:ascii="Arial" w:hAnsi="Arial" w:cs="Arial"/>
                <w:i/>
                <w:sz w:val="24"/>
                <w:szCs w:val="24"/>
                <w:u w:val="single"/>
                <w:lang w:val="ro-RO"/>
              </w:rPr>
              <w:t xml:space="preserve"> SV</w:t>
            </w:r>
            <w:r w:rsidR="00AF6481">
              <w:rPr>
                <w:rFonts w:ascii="Arial" w:hAnsi="Arial" w:cs="Arial"/>
                <w:i/>
                <w:sz w:val="24"/>
                <w:szCs w:val="24"/>
                <w:u w:val="single"/>
                <w:lang w:val="ro-RO"/>
              </w:rPr>
              <w:t>3</w:t>
            </w:r>
            <w:r w:rsidR="00255086" w:rsidRPr="00255086">
              <w:rPr>
                <w:rFonts w:ascii="Arial" w:hAnsi="Arial" w:cs="Arial"/>
                <w:i/>
                <w:sz w:val="24"/>
                <w:szCs w:val="24"/>
                <w:u w:val="single"/>
                <w:lang w:val="ro-RO"/>
              </w:rPr>
              <w:t xml:space="preserve"> nu </w:t>
            </w:r>
            <w:r w:rsidR="00AF6481">
              <w:rPr>
                <w:rFonts w:ascii="Arial" w:hAnsi="Arial" w:cs="Arial"/>
                <w:i/>
                <w:sz w:val="24"/>
                <w:szCs w:val="24"/>
                <w:u w:val="single"/>
                <w:lang w:val="ro-RO"/>
              </w:rPr>
              <w:t>este</w:t>
            </w:r>
            <w:r w:rsidR="0051390F" w:rsidRPr="00255086">
              <w:rPr>
                <w:rFonts w:ascii="Arial" w:hAnsi="Arial" w:cs="Arial"/>
                <w:i/>
                <w:sz w:val="24"/>
                <w:szCs w:val="24"/>
                <w:u w:val="single"/>
                <w:lang w:val="ro-RO"/>
              </w:rPr>
              <w:t xml:space="preserve"> </w:t>
            </w:r>
            <w:r w:rsidR="00583871">
              <w:rPr>
                <w:rFonts w:ascii="Arial" w:hAnsi="Arial" w:cs="Arial"/>
                <w:i/>
                <w:sz w:val="24"/>
                <w:szCs w:val="24"/>
                <w:u w:val="single"/>
                <w:lang w:val="ro-RO"/>
              </w:rPr>
              <w:t xml:space="preserve">deloc </w:t>
            </w:r>
            <w:r w:rsidR="0051390F" w:rsidRPr="00255086">
              <w:rPr>
                <w:rFonts w:ascii="Arial" w:hAnsi="Arial" w:cs="Arial"/>
                <w:i/>
                <w:sz w:val="24"/>
                <w:szCs w:val="24"/>
                <w:u w:val="single"/>
                <w:lang w:val="ro-RO"/>
              </w:rPr>
              <w:t>inclus</w:t>
            </w:r>
            <w:r w:rsidR="00AF6481">
              <w:rPr>
                <w:rFonts w:ascii="Arial" w:hAnsi="Arial" w:cs="Arial"/>
                <w:i/>
                <w:sz w:val="24"/>
                <w:szCs w:val="24"/>
                <w:u w:val="single"/>
                <w:lang w:val="ro-RO"/>
              </w:rPr>
              <w:t>ă</w:t>
            </w:r>
            <w:r w:rsidR="0051390F" w:rsidRPr="00255086">
              <w:rPr>
                <w:rFonts w:ascii="Arial" w:hAnsi="Arial" w:cs="Arial"/>
                <w:i/>
                <w:sz w:val="24"/>
                <w:szCs w:val="24"/>
                <w:u w:val="single"/>
                <w:lang w:val="ro-RO"/>
              </w:rPr>
              <w:t xml:space="preserve"> în raport</w:t>
            </w:r>
            <w:r w:rsidR="00821472" w:rsidRPr="00255086">
              <w:rPr>
                <w:rFonts w:ascii="Arial" w:hAnsi="Arial" w:cs="Arial"/>
                <w:i/>
                <w:sz w:val="24"/>
                <w:szCs w:val="24"/>
                <w:u w:val="single"/>
                <w:lang w:val="ro-RO"/>
              </w:rPr>
              <w:t>.</w:t>
            </w:r>
          </w:p>
          <w:p w:rsidR="00152F86" w:rsidRPr="00615E5A" w:rsidRDefault="003426DB" w:rsidP="00615E5A">
            <w:pPr>
              <w:widowControl w:val="0"/>
              <w:spacing w:after="0" w:line="240" w:lineRule="auto"/>
              <w:ind w:firstLine="720"/>
              <w:jc w:val="both"/>
              <w:rPr>
                <w:rFonts w:ascii="Arial" w:hAnsi="Arial" w:cs="Arial"/>
                <w:i/>
                <w:sz w:val="24"/>
                <w:szCs w:val="24"/>
                <w:lang w:val="ro-RO"/>
              </w:rPr>
            </w:pPr>
            <w:r w:rsidRPr="00DF4B1A">
              <w:rPr>
                <w:rFonts w:ascii="Arial" w:hAnsi="Arial" w:cs="Arial"/>
                <w:i/>
                <w:sz w:val="24"/>
                <w:szCs w:val="24"/>
                <w:lang w:val="ro-RO"/>
              </w:rPr>
              <w:t>Datele au fost validate local dar nu au fost încă certificate la nivel naţional, având un caracter provizoriu. După certificarea datelor de către CECA - ANPM, se vor realiza eventualele modificări necesare.</w:t>
            </w:r>
          </w:p>
        </w:tc>
      </w:tr>
    </w:tbl>
    <w:p w:rsidR="00255086" w:rsidRDefault="00255086" w:rsidP="00152F86">
      <w:pPr>
        <w:widowControl w:val="0"/>
        <w:spacing w:after="0" w:line="240" w:lineRule="auto"/>
        <w:jc w:val="both"/>
        <w:rPr>
          <w:rFonts w:ascii="Arial" w:hAnsi="Arial" w:cs="Arial"/>
          <w:b/>
          <w:sz w:val="24"/>
          <w:szCs w:val="24"/>
          <w:lang w:val="ro-RO"/>
        </w:rPr>
      </w:pPr>
    </w:p>
    <w:p w:rsidR="00096C33" w:rsidRPr="00DF4B1A" w:rsidRDefault="00096C33" w:rsidP="00152F86">
      <w:pPr>
        <w:widowControl w:val="0"/>
        <w:spacing w:after="0" w:line="240" w:lineRule="auto"/>
        <w:jc w:val="both"/>
        <w:rPr>
          <w:rFonts w:ascii="Arial" w:hAnsi="Arial" w:cs="Arial"/>
          <w:b/>
          <w:sz w:val="24"/>
          <w:szCs w:val="24"/>
          <w:lang w:val="ro-RO"/>
        </w:rPr>
      </w:pPr>
      <w:r w:rsidRPr="00DF4B1A">
        <w:rPr>
          <w:rFonts w:ascii="Arial" w:hAnsi="Arial" w:cs="Arial"/>
          <w:b/>
          <w:sz w:val="24"/>
          <w:szCs w:val="24"/>
          <w:lang w:val="ro-RO"/>
        </w:rPr>
        <w:t>I.1.1.1. Nivelul concentrațiilor medii anuale ale poluanților atmosferici în aerul înconjurător</w:t>
      </w:r>
      <w:r w:rsidR="0032487C" w:rsidRPr="00DF4B1A">
        <w:rPr>
          <w:rFonts w:ascii="Arial" w:hAnsi="Arial" w:cs="Arial"/>
          <w:b/>
          <w:sz w:val="24"/>
          <w:szCs w:val="24"/>
          <w:lang w:val="ro-RO"/>
        </w:rPr>
        <w:t xml:space="preserve"> </w:t>
      </w:r>
    </w:p>
    <w:p w:rsidR="00A43FC0" w:rsidRPr="00DF4B1A" w:rsidRDefault="00A43FC0" w:rsidP="00152F86">
      <w:pPr>
        <w:widowControl w:val="0"/>
        <w:spacing w:after="0" w:line="240" w:lineRule="auto"/>
        <w:ind w:firstLine="720"/>
        <w:jc w:val="both"/>
        <w:rPr>
          <w:rFonts w:ascii="Arial" w:hAnsi="Arial" w:cs="Arial"/>
          <w:sz w:val="16"/>
          <w:szCs w:val="16"/>
          <w:lang w:val="ro-RO"/>
        </w:rPr>
      </w:pPr>
    </w:p>
    <w:p w:rsidR="00EE5AAF" w:rsidRPr="00DF4B1A" w:rsidRDefault="00E76EC6" w:rsidP="00152F86">
      <w:pPr>
        <w:widowControl w:val="0"/>
        <w:spacing w:after="0" w:line="240" w:lineRule="auto"/>
        <w:rPr>
          <w:rFonts w:ascii="Arial" w:hAnsi="Arial" w:cs="Arial"/>
          <w:b/>
          <w:i/>
          <w:sz w:val="24"/>
          <w:szCs w:val="24"/>
          <w:lang w:val="ro-RO"/>
        </w:rPr>
      </w:pPr>
      <w:r w:rsidRPr="00DF4B1A">
        <w:rPr>
          <w:rFonts w:ascii="Arial" w:hAnsi="Arial" w:cs="Arial"/>
          <w:b/>
          <w:i/>
          <w:sz w:val="24"/>
          <w:szCs w:val="24"/>
          <w:lang w:val="ro-RO"/>
        </w:rPr>
        <w:t>Dioxid</w:t>
      </w:r>
      <w:r w:rsidR="0032487C" w:rsidRPr="00DF4B1A">
        <w:rPr>
          <w:rFonts w:ascii="Arial" w:hAnsi="Arial" w:cs="Arial"/>
          <w:b/>
          <w:i/>
          <w:sz w:val="24"/>
          <w:szCs w:val="24"/>
          <w:lang w:val="ro-RO"/>
        </w:rPr>
        <w:t xml:space="preserve"> de azot (NO</w:t>
      </w:r>
      <w:r w:rsidR="0032487C" w:rsidRPr="00DF4B1A">
        <w:rPr>
          <w:rFonts w:ascii="Arial" w:hAnsi="Arial" w:cs="Arial"/>
          <w:b/>
          <w:i/>
          <w:sz w:val="24"/>
          <w:szCs w:val="24"/>
          <w:vertAlign w:val="subscript"/>
          <w:lang w:val="ro-RO"/>
        </w:rPr>
        <w:t>2</w:t>
      </w:r>
      <w:r w:rsidR="0032487C" w:rsidRPr="00DF4B1A">
        <w:rPr>
          <w:rFonts w:ascii="Arial" w:hAnsi="Arial" w:cs="Arial"/>
          <w:b/>
          <w:i/>
          <w:sz w:val="24"/>
          <w:szCs w:val="24"/>
          <w:lang w:val="ro-RO"/>
        </w:rPr>
        <w:t>)</w:t>
      </w:r>
    </w:p>
    <w:p w:rsidR="00E76EC6" w:rsidRPr="00DF4B1A" w:rsidRDefault="00E76EC6" w:rsidP="00152F86">
      <w:pPr>
        <w:widowControl w:val="0"/>
        <w:spacing w:after="0" w:line="240" w:lineRule="auto"/>
        <w:rPr>
          <w:rFonts w:ascii="Arial" w:hAnsi="Arial" w:cs="Arial"/>
          <w:b/>
          <w:i/>
          <w:sz w:val="10"/>
          <w:szCs w:val="10"/>
          <w:lang w:val="ro-RO"/>
        </w:rPr>
      </w:pPr>
    </w:p>
    <w:p w:rsidR="00583871" w:rsidRDefault="00152F86" w:rsidP="00152F86">
      <w:pPr>
        <w:widowControl w:val="0"/>
        <w:spacing w:after="0" w:line="240" w:lineRule="auto"/>
        <w:jc w:val="center"/>
        <w:rPr>
          <w:rFonts w:ascii="Arial" w:hAnsi="Arial" w:cs="Arial"/>
          <w:lang w:val="ro-RO"/>
        </w:rPr>
      </w:pPr>
      <w:r w:rsidRPr="00DF4B1A">
        <w:rPr>
          <w:rFonts w:ascii="Arial" w:hAnsi="Arial" w:cs="Arial"/>
          <w:lang w:val="ro-RO"/>
        </w:rPr>
        <w:t>Fig. I.1.1.1.</w:t>
      </w:r>
      <w:r w:rsidR="00E76EC6" w:rsidRPr="00DF4B1A">
        <w:rPr>
          <w:rFonts w:ascii="Arial" w:hAnsi="Arial" w:cs="Arial"/>
          <w:lang w:val="ro-RO"/>
        </w:rPr>
        <w:t>1.</w:t>
      </w:r>
      <w:r w:rsidRPr="00DF4B1A">
        <w:rPr>
          <w:rFonts w:ascii="Arial" w:hAnsi="Arial" w:cs="Arial"/>
          <w:lang w:val="ro-RO"/>
        </w:rPr>
        <w:t xml:space="preserve"> Concentraţii medii anuale de NO</w:t>
      </w:r>
      <w:r w:rsidRPr="00DF4B1A">
        <w:rPr>
          <w:rFonts w:ascii="Arial" w:hAnsi="Arial" w:cs="Arial"/>
          <w:vertAlign w:val="subscript"/>
          <w:lang w:val="ro-RO"/>
        </w:rPr>
        <w:t>2</w:t>
      </w:r>
      <w:r w:rsidRPr="00DF4B1A">
        <w:rPr>
          <w:rFonts w:ascii="Arial" w:hAnsi="Arial" w:cs="Arial"/>
          <w:lang w:val="ro-RO"/>
        </w:rPr>
        <w:t xml:space="preserve"> </w:t>
      </w:r>
    </w:p>
    <w:p w:rsidR="00152F86" w:rsidRPr="00DF4B1A" w:rsidRDefault="00152F86" w:rsidP="00152F86">
      <w:pPr>
        <w:widowControl w:val="0"/>
        <w:spacing w:after="0" w:line="240" w:lineRule="auto"/>
        <w:jc w:val="center"/>
        <w:rPr>
          <w:rFonts w:ascii="Arial" w:hAnsi="Arial" w:cs="Arial"/>
          <w:lang w:val="ro-RO"/>
        </w:rPr>
      </w:pPr>
      <w:r w:rsidRPr="00DF4B1A">
        <w:rPr>
          <w:rFonts w:ascii="Arial" w:hAnsi="Arial" w:cs="Arial"/>
          <w:lang w:val="ro-RO"/>
        </w:rPr>
        <w:t>înregistrate în anul 201</w:t>
      </w:r>
      <w:r w:rsidR="00AF6481">
        <w:rPr>
          <w:rFonts w:ascii="Arial" w:hAnsi="Arial" w:cs="Arial"/>
          <w:lang w:val="ro-RO"/>
        </w:rPr>
        <w:t>7</w:t>
      </w:r>
      <w:r w:rsidR="00583871">
        <w:rPr>
          <w:rFonts w:ascii="Arial" w:hAnsi="Arial" w:cs="Arial"/>
          <w:lang w:val="ro-RO"/>
        </w:rPr>
        <w:t xml:space="preserve"> </w:t>
      </w:r>
      <w:r w:rsidRPr="00DF4B1A">
        <w:rPr>
          <w:rFonts w:ascii="Arial" w:hAnsi="Arial" w:cs="Arial"/>
          <w:lang w:val="ro-RO"/>
        </w:rPr>
        <w:t>la staţiile de monitorizare din judeţul Suceava</w:t>
      </w:r>
    </w:p>
    <w:p w:rsidR="0032487C" w:rsidRPr="00DF4B1A" w:rsidRDefault="00EA3187" w:rsidP="00152F86">
      <w:pPr>
        <w:widowControl w:val="0"/>
        <w:spacing w:after="0" w:line="240" w:lineRule="auto"/>
        <w:jc w:val="center"/>
        <w:rPr>
          <w:rFonts w:ascii="Arial" w:hAnsi="Arial" w:cs="Arial"/>
          <w:sz w:val="24"/>
          <w:szCs w:val="24"/>
          <w:lang w:val="ro-RO"/>
        </w:rPr>
      </w:pPr>
      <w:r w:rsidRPr="00DF4B1A">
        <w:rPr>
          <w:rFonts w:ascii="Arial" w:hAnsi="Arial" w:cs="Arial"/>
          <w:noProof/>
          <w:sz w:val="24"/>
          <w:szCs w:val="24"/>
          <w:lang w:val="ro-RO" w:eastAsia="ro-RO"/>
        </w:rPr>
        <w:drawing>
          <wp:inline distT="0" distB="0" distL="0" distR="0">
            <wp:extent cx="4848225" cy="1019175"/>
            <wp:effectExtent l="0" t="0" r="0" b="0"/>
            <wp:docPr id="2"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2487C" w:rsidRPr="00DF4B1A" w:rsidRDefault="0032487C" w:rsidP="00152F86">
      <w:pPr>
        <w:widowControl w:val="0"/>
        <w:spacing w:after="0" w:line="240" w:lineRule="auto"/>
        <w:ind w:firstLine="706"/>
        <w:jc w:val="both"/>
        <w:rPr>
          <w:rFonts w:ascii="Arial" w:hAnsi="Arial" w:cs="Arial"/>
          <w:sz w:val="6"/>
          <w:szCs w:val="6"/>
          <w:lang w:val="ro-RO"/>
        </w:rPr>
      </w:pPr>
    </w:p>
    <w:p w:rsidR="0032487C" w:rsidRPr="00DF4B1A" w:rsidRDefault="0032487C" w:rsidP="00152F86">
      <w:pPr>
        <w:widowControl w:val="0"/>
        <w:spacing w:after="0" w:line="240" w:lineRule="auto"/>
        <w:ind w:firstLine="720"/>
        <w:jc w:val="both"/>
        <w:rPr>
          <w:rFonts w:ascii="Arial" w:hAnsi="Arial" w:cs="Arial"/>
          <w:sz w:val="24"/>
          <w:szCs w:val="24"/>
          <w:lang w:val="ro-RO"/>
        </w:rPr>
      </w:pPr>
      <w:r w:rsidRPr="00DF4B1A">
        <w:rPr>
          <w:rFonts w:ascii="Arial" w:hAnsi="Arial" w:cs="Arial"/>
          <w:sz w:val="24"/>
          <w:szCs w:val="24"/>
          <w:lang w:val="ro-RO"/>
        </w:rPr>
        <w:t>Concentraţ</w:t>
      </w:r>
      <w:r w:rsidR="00C27468" w:rsidRPr="00DF4B1A">
        <w:rPr>
          <w:rFonts w:ascii="Arial" w:hAnsi="Arial" w:cs="Arial"/>
          <w:sz w:val="24"/>
          <w:szCs w:val="24"/>
          <w:lang w:val="ro-RO"/>
        </w:rPr>
        <w:t>ia</w:t>
      </w:r>
      <w:r w:rsidRPr="00DF4B1A">
        <w:rPr>
          <w:rFonts w:ascii="Arial" w:hAnsi="Arial" w:cs="Arial"/>
          <w:sz w:val="24"/>
          <w:szCs w:val="24"/>
          <w:lang w:val="ro-RO"/>
        </w:rPr>
        <w:t xml:space="preserve"> </w:t>
      </w:r>
      <w:r w:rsidRPr="00632FDC">
        <w:rPr>
          <w:rFonts w:ascii="Arial" w:hAnsi="Arial" w:cs="Arial"/>
          <w:sz w:val="24"/>
          <w:szCs w:val="24"/>
          <w:lang w:val="ro-RO"/>
        </w:rPr>
        <w:t>medi</w:t>
      </w:r>
      <w:r w:rsidR="00C27468" w:rsidRPr="00632FDC">
        <w:rPr>
          <w:rFonts w:ascii="Arial" w:hAnsi="Arial" w:cs="Arial"/>
          <w:sz w:val="24"/>
          <w:szCs w:val="24"/>
          <w:lang w:val="ro-RO"/>
        </w:rPr>
        <w:t>e</w:t>
      </w:r>
      <w:r w:rsidRPr="00632FDC">
        <w:rPr>
          <w:rFonts w:ascii="Arial" w:hAnsi="Arial" w:cs="Arial"/>
          <w:sz w:val="24"/>
          <w:szCs w:val="24"/>
          <w:lang w:val="ro-RO"/>
        </w:rPr>
        <w:t xml:space="preserve"> anual</w:t>
      </w:r>
      <w:r w:rsidR="00C27468" w:rsidRPr="00632FDC">
        <w:rPr>
          <w:rFonts w:ascii="Arial" w:hAnsi="Arial" w:cs="Arial"/>
          <w:sz w:val="24"/>
          <w:szCs w:val="24"/>
          <w:lang w:val="ro-RO"/>
        </w:rPr>
        <w:t>ă</w:t>
      </w:r>
      <w:r w:rsidRPr="00632FDC">
        <w:rPr>
          <w:rFonts w:ascii="Arial" w:hAnsi="Arial" w:cs="Arial"/>
          <w:sz w:val="24"/>
          <w:szCs w:val="24"/>
          <w:lang w:val="ro-RO"/>
        </w:rPr>
        <w:t xml:space="preserve"> </w:t>
      </w:r>
      <w:r w:rsidR="00E10E2B" w:rsidRPr="00632FDC">
        <w:rPr>
          <w:rFonts w:ascii="Arial" w:hAnsi="Arial" w:cs="Arial"/>
          <w:sz w:val="24"/>
          <w:szCs w:val="24"/>
          <w:lang w:val="ro-RO"/>
        </w:rPr>
        <w:t>de</w:t>
      </w:r>
      <w:r w:rsidRPr="00DF4B1A">
        <w:rPr>
          <w:rFonts w:ascii="Arial" w:hAnsi="Arial" w:cs="Arial"/>
          <w:sz w:val="24"/>
          <w:szCs w:val="24"/>
          <w:lang w:val="ro-RO"/>
        </w:rPr>
        <w:t xml:space="preserve"> </w:t>
      </w:r>
      <w:r w:rsidRPr="00DF4B1A">
        <w:rPr>
          <w:rFonts w:ascii="Arial" w:hAnsi="Arial" w:cs="Arial"/>
          <w:b/>
          <w:sz w:val="24"/>
          <w:szCs w:val="24"/>
          <w:lang w:val="ro-RO"/>
        </w:rPr>
        <w:t>NO</w:t>
      </w:r>
      <w:r w:rsidRPr="00DF4B1A">
        <w:rPr>
          <w:rFonts w:ascii="Arial" w:hAnsi="Arial" w:cs="Arial"/>
          <w:b/>
          <w:sz w:val="24"/>
          <w:szCs w:val="24"/>
          <w:vertAlign w:val="subscript"/>
          <w:lang w:val="ro-RO"/>
        </w:rPr>
        <w:t>2</w:t>
      </w:r>
      <w:r w:rsidRPr="00DF4B1A">
        <w:rPr>
          <w:rFonts w:ascii="Arial" w:hAnsi="Arial" w:cs="Arial"/>
          <w:sz w:val="24"/>
          <w:szCs w:val="24"/>
          <w:lang w:val="ro-RO"/>
        </w:rPr>
        <w:t xml:space="preserve"> </w:t>
      </w:r>
      <w:r w:rsidRPr="00DF4B1A">
        <w:rPr>
          <w:rFonts w:ascii="Arial" w:hAnsi="Arial" w:cs="Arial"/>
          <w:b/>
          <w:sz w:val="24"/>
          <w:szCs w:val="24"/>
          <w:lang w:val="ro-RO"/>
        </w:rPr>
        <w:t>nu a</w:t>
      </w:r>
      <w:r w:rsidRPr="00DF4B1A">
        <w:rPr>
          <w:rFonts w:ascii="Arial" w:hAnsi="Arial" w:cs="Arial"/>
          <w:sz w:val="24"/>
          <w:szCs w:val="24"/>
          <w:lang w:val="ro-RO"/>
        </w:rPr>
        <w:t xml:space="preserve"> </w:t>
      </w:r>
      <w:r w:rsidRPr="00DF4B1A">
        <w:rPr>
          <w:rFonts w:ascii="Arial" w:hAnsi="Arial" w:cs="Arial"/>
          <w:b/>
          <w:sz w:val="24"/>
          <w:szCs w:val="24"/>
          <w:lang w:val="ro-RO"/>
        </w:rPr>
        <w:t xml:space="preserve">depăşit </w:t>
      </w:r>
      <w:r w:rsidR="0031750F" w:rsidRPr="00DF4B1A">
        <w:rPr>
          <w:rFonts w:ascii="Arial" w:hAnsi="Arial" w:cs="Arial"/>
          <w:b/>
          <w:sz w:val="24"/>
          <w:szCs w:val="24"/>
          <w:lang w:val="ro-RO"/>
        </w:rPr>
        <w:t xml:space="preserve">valoarea limită </w:t>
      </w:r>
      <w:r w:rsidRPr="00DF4B1A">
        <w:rPr>
          <w:rFonts w:ascii="Arial" w:hAnsi="Arial" w:cs="Arial"/>
          <w:b/>
          <w:sz w:val="24"/>
          <w:szCs w:val="24"/>
          <w:lang w:val="ro-RO"/>
        </w:rPr>
        <w:t>anuală pentru protecţia</w:t>
      </w:r>
      <w:r w:rsidRPr="00DF4B1A">
        <w:rPr>
          <w:rFonts w:ascii="Arial" w:hAnsi="Arial" w:cs="Arial"/>
          <w:sz w:val="24"/>
          <w:szCs w:val="24"/>
          <w:lang w:val="ro-RO"/>
        </w:rPr>
        <w:t xml:space="preserve"> </w:t>
      </w:r>
      <w:r w:rsidRPr="00DF4B1A">
        <w:rPr>
          <w:rFonts w:ascii="Arial" w:hAnsi="Arial" w:cs="Arial"/>
          <w:b/>
          <w:sz w:val="24"/>
          <w:szCs w:val="24"/>
          <w:lang w:val="ro-RO"/>
        </w:rPr>
        <w:t>sănătăţii umane</w:t>
      </w:r>
      <w:r w:rsidRPr="00DF4B1A">
        <w:rPr>
          <w:rFonts w:ascii="Arial" w:hAnsi="Arial" w:cs="Arial"/>
          <w:sz w:val="24"/>
          <w:szCs w:val="24"/>
          <w:lang w:val="ro-RO"/>
        </w:rPr>
        <w:t xml:space="preserve"> (40 </w:t>
      </w:r>
      <w:r w:rsidRPr="00DF4B1A">
        <w:rPr>
          <w:rFonts w:ascii="Arial" w:hAnsi="Arial" w:cs="Arial"/>
          <w:sz w:val="24"/>
          <w:szCs w:val="24"/>
          <w:lang w:val="ro-RO"/>
        </w:rPr>
        <w:sym w:font="Symbol" w:char="F06D"/>
      </w:r>
      <w:r w:rsidRPr="00DF4B1A">
        <w:rPr>
          <w:rFonts w:ascii="Arial" w:hAnsi="Arial" w:cs="Arial"/>
          <w:sz w:val="24"/>
          <w:szCs w:val="24"/>
          <w:lang w:val="ro-RO"/>
        </w:rPr>
        <w:t>g/m</w:t>
      </w:r>
      <w:r w:rsidRPr="00DF4B1A">
        <w:rPr>
          <w:rFonts w:ascii="Arial" w:hAnsi="Arial" w:cs="Arial"/>
          <w:sz w:val="24"/>
          <w:szCs w:val="24"/>
          <w:vertAlign w:val="superscript"/>
          <w:lang w:val="ro-RO"/>
        </w:rPr>
        <w:t>3</w:t>
      </w:r>
      <w:r w:rsidR="00C27468" w:rsidRPr="00DF4B1A">
        <w:rPr>
          <w:rFonts w:ascii="Arial" w:hAnsi="Arial" w:cs="Arial"/>
          <w:sz w:val="24"/>
          <w:szCs w:val="24"/>
          <w:lang w:val="ro-RO"/>
        </w:rPr>
        <w:t>)</w:t>
      </w:r>
      <w:r w:rsidR="0031750F" w:rsidRPr="00DF4B1A">
        <w:rPr>
          <w:rFonts w:ascii="Arial" w:hAnsi="Arial" w:cs="Arial"/>
          <w:sz w:val="24"/>
          <w:szCs w:val="24"/>
          <w:lang w:val="ro-RO"/>
        </w:rPr>
        <w:t>,</w:t>
      </w:r>
      <w:r w:rsidRPr="00DF4B1A">
        <w:rPr>
          <w:rFonts w:ascii="Arial" w:hAnsi="Arial" w:cs="Arial"/>
          <w:sz w:val="24"/>
          <w:szCs w:val="24"/>
          <w:lang w:val="ro-RO"/>
        </w:rPr>
        <w:t xml:space="preserve"> </w:t>
      </w:r>
      <w:r w:rsidR="00255086">
        <w:rPr>
          <w:rFonts w:ascii="Arial" w:hAnsi="Arial" w:cs="Arial"/>
          <w:sz w:val="24"/>
          <w:szCs w:val="24"/>
          <w:lang w:val="ro-RO"/>
        </w:rPr>
        <w:t>în niciuna dintre</w:t>
      </w:r>
      <w:r w:rsidR="00DA4BCA" w:rsidRPr="00DF4B1A">
        <w:rPr>
          <w:rFonts w:ascii="Arial" w:hAnsi="Arial" w:cs="Arial"/>
          <w:sz w:val="24"/>
          <w:szCs w:val="24"/>
          <w:lang w:val="ro-RO"/>
        </w:rPr>
        <w:t xml:space="preserve"> stați</w:t>
      </w:r>
      <w:r w:rsidR="00255086">
        <w:rPr>
          <w:rFonts w:ascii="Arial" w:hAnsi="Arial" w:cs="Arial"/>
          <w:sz w:val="24"/>
          <w:szCs w:val="24"/>
          <w:lang w:val="ro-RO"/>
        </w:rPr>
        <w:t>i</w:t>
      </w:r>
      <w:r w:rsidR="00DA4BCA" w:rsidRPr="00DF4B1A">
        <w:rPr>
          <w:rFonts w:ascii="Arial" w:hAnsi="Arial" w:cs="Arial"/>
          <w:sz w:val="24"/>
          <w:szCs w:val="24"/>
          <w:lang w:val="ro-RO"/>
        </w:rPr>
        <w:t>.</w:t>
      </w:r>
    </w:p>
    <w:p w:rsidR="00E907C4" w:rsidRPr="00DF4B1A" w:rsidRDefault="00E907C4" w:rsidP="00152F86">
      <w:pPr>
        <w:widowControl w:val="0"/>
        <w:spacing w:after="0" w:line="240" w:lineRule="auto"/>
        <w:rPr>
          <w:rFonts w:ascii="Arial" w:hAnsi="Arial" w:cs="Arial"/>
          <w:sz w:val="16"/>
          <w:szCs w:val="16"/>
          <w:lang w:val="ro-RO"/>
        </w:rPr>
      </w:pPr>
    </w:p>
    <w:p w:rsidR="0097335F" w:rsidRPr="00DF4B1A" w:rsidRDefault="00E76EC6" w:rsidP="00152F86">
      <w:pPr>
        <w:widowControl w:val="0"/>
        <w:spacing w:after="0" w:line="240" w:lineRule="auto"/>
        <w:rPr>
          <w:rFonts w:ascii="Arial" w:hAnsi="Arial" w:cs="Arial"/>
          <w:b/>
          <w:i/>
          <w:sz w:val="24"/>
          <w:szCs w:val="24"/>
          <w:lang w:val="ro-RO"/>
        </w:rPr>
      </w:pPr>
      <w:r w:rsidRPr="00DF4B1A">
        <w:rPr>
          <w:rFonts w:ascii="Arial" w:hAnsi="Arial" w:cs="Arial"/>
          <w:b/>
          <w:i/>
          <w:sz w:val="24"/>
          <w:szCs w:val="24"/>
          <w:lang w:val="ro-RO"/>
        </w:rPr>
        <w:lastRenderedPageBreak/>
        <w:t>Dioxid</w:t>
      </w:r>
      <w:r w:rsidR="0097335F" w:rsidRPr="00DF4B1A">
        <w:rPr>
          <w:rFonts w:ascii="Arial" w:hAnsi="Arial" w:cs="Arial"/>
          <w:b/>
          <w:i/>
          <w:sz w:val="24"/>
          <w:szCs w:val="24"/>
          <w:lang w:val="ro-RO"/>
        </w:rPr>
        <w:t xml:space="preserve"> de sulf (SO</w:t>
      </w:r>
      <w:r w:rsidR="0097335F" w:rsidRPr="00DF4B1A">
        <w:rPr>
          <w:rFonts w:ascii="Arial" w:hAnsi="Arial" w:cs="Arial"/>
          <w:b/>
          <w:i/>
          <w:sz w:val="24"/>
          <w:szCs w:val="24"/>
          <w:vertAlign w:val="subscript"/>
          <w:lang w:val="ro-RO"/>
        </w:rPr>
        <w:t>2</w:t>
      </w:r>
      <w:r w:rsidR="0097335F" w:rsidRPr="00DF4B1A">
        <w:rPr>
          <w:rFonts w:ascii="Arial" w:hAnsi="Arial" w:cs="Arial"/>
          <w:b/>
          <w:i/>
          <w:sz w:val="24"/>
          <w:szCs w:val="24"/>
          <w:lang w:val="ro-RO"/>
        </w:rPr>
        <w:t>)</w:t>
      </w:r>
    </w:p>
    <w:p w:rsidR="00E10E2B" w:rsidRPr="00DF4B1A" w:rsidRDefault="00E10E2B" w:rsidP="00152F86">
      <w:pPr>
        <w:widowControl w:val="0"/>
        <w:spacing w:after="0" w:line="240" w:lineRule="auto"/>
        <w:ind w:firstLine="720"/>
        <w:jc w:val="both"/>
        <w:rPr>
          <w:rFonts w:ascii="Arial" w:hAnsi="Arial" w:cs="Arial"/>
          <w:b/>
          <w:sz w:val="10"/>
          <w:szCs w:val="10"/>
          <w:u w:val="single"/>
          <w:lang w:val="ro-RO"/>
        </w:rPr>
      </w:pPr>
    </w:p>
    <w:p w:rsidR="00583871" w:rsidRDefault="0097335F" w:rsidP="00152F86">
      <w:pPr>
        <w:widowControl w:val="0"/>
        <w:spacing w:after="0" w:line="240" w:lineRule="auto"/>
        <w:jc w:val="center"/>
        <w:rPr>
          <w:rFonts w:ascii="Arial" w:hAnsi="Arial" w:cs="Arial"/>
          <w:lang w:val="ro-RO"/>
        </w:rPr>
      </w:pPr>
      <w:r w:rsidRPr="00DF4B1A">
        <w:rPr>
          <w:rFonts w:ascii="Arial" w:hAnsi="Arial" w:cs="Arial"/>
          <w:lang w:val="ro-RO"/>
        </w:rPr>
        <w:t>Fig. I.1.1.1.2</w:t>
      </w:r>
      <w:r w:rsidR="00E10E2B" w:rsidRPr="00DF4B1A">
        <w:rPr>
          <w:rFonts w:ascii="Arial" w:hAnsi="Arial" w:cs="Arial"/>
          <w:lang w:val="ro-RO"/>
        </w:rPr>
        <w:t>. Concentraţii</w:t>
      </w:r>
      <w:r w:rsidRPr="00DF4B1A">
        <w:rPr>
          <w:rFonts w:ascii="Arial" w:hAnsi="Arial" w:cs="Arial"/>
          <w:lang w:val="ro-RO"/>
        </w:rPr>
        <w:t xml:space="preserve"> medii</w:t>
      </w:r>
      <w:r w:rsidR="009A51D9" w:rsidRPr="00DF4B1A">
        <w:rPr>
          <w:rFonts w:ascii="Arial" w:hAnsi="Arial" w:cs="Arial"/>
          <w:lang w:val="ro-RO"/>
        </w:rPr>
        <w:t xml:space="preserve"> </w:t>
      </w:r>
      <w:r w:rsidRPr="00DF4B1A">
        <w:rPr>
          <w:rFonts w:ascii="Arial" w:hAnsi="Arial" w:cs="Arial"/>
          <w:lang w:val="ro-RO"/>
        </w:rPr>
        <w:t>anuale de SO</w:t>
      </w:r>
      <w:r w:rsidRPr="00DF4B1A">
        <w:rPr>
          <w:rFonts w:ascii="Arial" w:hAnsi="Arial" w:cs="Arial"/>
          <w:vertAlign w:val="subscript"/>
          <w:lang w:val="ro-RO"/>
        </w:rPr>
        <w:t>2</w:t>
      </w:r>
      <w:r w:rsidRPr="00DF4B1A">
        <w:rPr>
          <w:rFonts w:ascii="Arial" w:hAnsi="Arial" w:cs="Arial"/>
          <w:lang w:val="ro-RO"/>
        </w:rPr>
        <w:t xml:space="preserve"> </w:t>
      </w:r>
    </w:p>
    <w:p w:rsidR="0097335F" w:rsidRPr="00DF4B1A" w:rsidRDefault="0097335F" w:rsidP="00583871">
      <w:pPr>
        <w:widowControl w:val="0"/>
        <w:spacing w:after="0" w:line="240" w:lineRule="auto"/>
        <w:jc w:val="center"/>
        <w:rPr>
          <w:rFonts w:ascii="Arial" w:hAnsi="Arial" w:cs="Arial"/>
          <w:lang w:val="ro-RO"/>
        </w:rPr>
      </w:pPr>
      <w:r w:rsidRPr="00DF4B1A">
        <w:rPr>
          <w:rFonts w:ascii="Arial" w:hAnsi="Arial" w:cs="Arial"/>
          <w:lang w:val="ro-RO"/>
        </w:rPr>
        <w:t>înregistrate în anul 201</w:t>
      </w:r>
      <w:r w:rsidR="00AF6481">
        <w:rPr>
          <w:rFonts w:ascii="Arial" w:hAnsi="Arial" w:cs="Arial"/>
          <w:lang w:val="ro-RO"/>
        </w:rPr>
        <w:t>7</w:t>
      </w:r>
      <w:r w:rsidR="00583871">
        <w:rPr>
          <w:rFonts w:ascii="Arial" w:hAnsi="Arial" w:cs="Arial"/>
          <w:lang w:val="ro-RO"/>
        </w:rPr>
        <w:t xml:space="preserve"> </w:t>
      </w:r>
      <w:r w:rsidRPr="00DF4B1A">
        <w:rPr>
          <w:rFonts w:ascii="Arial" w:hAnsi="Arial" w:cs="Arial"/>
          <w:lang w:val="ro-RO"/>
        </w:rPr>
        <w:t>la staţiile de m</w:t>
      </w:r>
      <w:r w:rsidR="00E10E2B" w:rsidRPr="00DF4B1A">
        <w:rPr>
          <w:rFonts w:ascii="Arial" w:hAnsi="Arial" w:cs="Arial"/>
          <w:lang w:val="ro-RO"/>
        </w:rPr>
        <w:t>onitorizare din judeţul Suceava</w:t>
      </w:r>
    </w:p>
    <w:p w:rsidR="0097335F" w:rsidRPr="00DF4B1A" w:rsidRDefault="0097335F" w:rsidP="00152F86">
      <w:pPr>
        <w:widowControl w:val="0"/>
        <w:spacing w:after="0" w:line="240" w:lineRule="auto"/>
        <w:jc w:val="center"/>
        <w:rPr>
          <w:rFonts w:ascii="Arial" w:hAnsi="Arial" w:cs="Arial"/>
          <w:sz w:val="24"/>
          <w:szCs w:val="24"/>
          <w:lang w:val="ro-RO" w:eastAsia="ro-RO"/>
        </w:rPr>
      </w:pPr>
      <w:r w:rsidRPr="00DF4B1A">
        <w:rPr>
          <w:rFonts w:ascii="Arial" w:hAnsi="Arial" w:cs="Arial"/>
          <w:noProof/>
          <w:sz w:val="24"/>
          <w:szCs w:val="24"/>
          <w:lang w:val="ro-RO" w:eastAsia="ro-RO"/>
        </w:rPr>
        <w:drawing>
          <wp:inline distT="0" distB="0" distL="0" distR="0">
            <wp:extent cx="2314575" cy="904875"/>
            <wp:effectExtent l="0" t="0" r="0" b="0"/>
            <wp:docPr id="7"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32FDC" w:rsidRDefault="00A43FC0" w:rsidP="00152F86">
      <w:pPr>
        <w:widowControl w:val="0"/>
        <w:spacing w:after="0" w:line="240" w:lineRule="auto"/>
        <w:jc w:val="both"/>
        <w:rPr>
          <w:rFonts w:ascii="Arial" w:hAnsi="Arial" w:cs="Arial"/>
          <w:i/>
          <w:sz w:val="20"/>
          <w:szCs w:val="20"/>
          <w:lang w:val="ro-RO"/>
        </w:rPr>
      </w:pPr>
      <w:r w:rsidRPr="00DF4B1A">
        <w:rPr>
          <w:rFonts w:ascii="Arial" w:hAnsi="Arial" w:cs="Arial"/>
          <w:i/>
          <w:sz w:val="20"/>
          <w:szCs w:val="20"/>
          <w:lang w:val="ro-RO"/>
        </w:rPr>
        <w:t>Not</w:t>
      </w:r>
      <w:r w:rsidR="00632FDC">
        <w:rPr>
          <w:rFonts w:ascii="Arial" w:hAnsi="Arial" w:cs="Arial"/>
          <w:i/>
          <w:sz w:val="20"/>
          <w:szCs w:val="20"/>
          <w:lang w:val="ro-RO"/>
        </w:rPr>
        <w:t>e</w:t>
      </w:r>
      <w:r w:rsidRPr="00DF4B1A">
        <w:rPr>
          <w:rFonts w:ascii="Arial" w:hAnsi="Arial" w:cs="Arial"/>
          <w:i/>
          <w:sz w:val="20"/>
          <w:szCs w:val="20"/>
          <w:lang w:val="ro-RO"/>
        </w:rPr>
        <w:t>:</w:t>
      </w:r>
    </w:p>
    <w:p w:rsidR="00632FDC" w:rsidRDefault="00632FDC" w:rsidP="00152F86">
      <w:pPr>
        <w:widowControl w:val="0"/>
        <w:spacing w:after="0" w:line="240" w:lineRule="auto"/>
        <w:jc w:val="both"/>
        <w:rPr>
          <w:rFonts w:ascii="Arial" w:hAnsi="Arial" w:cs="Arial"/>
          <w:i/>
          <w:sz w:val="20"/>
          <w:szCs w:val="20"/>
          <w:lang w:val="ro-RO"/>
        </w:rPr>
      </w:pPr>
      <w:r>
        <w:rPr>
          <w:rFonts w:ascii="Arial" w:hAnsi="Arial" w:cs="Arial"/>
          <w:i/>
          <w:sz w:val="20"/>
          <w:szCs w:val="20"/>
          <w:lang w:val="ro-RO"/>
        </w:rPr>
        <w:t xml:space="preserve">1. </w:t>
      </w:r>
      <w:r w:rsidRPr="00DF4B1A">
        <w:rPr>
          <w:rFonts w:ascii="Arial" w:hAnsi="Arial" w:cs="Arial"/>
          <w:i/>
          <w:sz w:val="20"/>
          <w:szCs w:val="20"/>
          <w:lang w:val="ro-RO"/>
        </w:rPr>
        <w:t xml:space="preserve">Legea nr. 104/2011 nu stabileşte </w:t>
      </w:r>
      <w:r>
        <w:rPr>
          <w:rFonts w:ascii="Arial" w:hAnsi="Arial" w:cs="Arial"/>
          <w:i/>
          <w:sz w:val="20"/>
          <w:szCs w:val="20"/>
          <w:lang w:val="ro-RO"/>
        </w:rPr>
        <w:t xml:space="preserve">o </w:t>
      </w:r>
      <w:r w:rsidRPr="00DF4B1A">
        <w:rPr>
          <w:rFonts w:ascii="Arial" w:hAnsi="Arial" w:cs="Arial"/>
          <w:i/>
          <w:sz w:val="20"/>
          <w:szCs w:val="20"/>
          <w:lang w:val="ro-RO"/>
        </w:rPr>
        <w:t xml:space="preserve">VL </w:t>
      </w:r>
      <w:r w:rsidR="00954486" w:rsidRPr="00DF4B1A">
        <w:rPr>
          <w:rFonts w:ascii="Arial" w:hAnsi="Arial" w:cs="Arial"/>
          <w:i/>
          <w:sz w:val="20"/>
          <w:szCs w:val="20"/>
          <w:lang w:val="ro-RO"/>
        </w:rPr>
        <w:t xml:space="preserve">pentru concentraţia medie </w:t>
      </w:r>
      <w:r w:rsidRPr="00DF4B1A">
        <w:rPr>
          <w:rFonts w:ascii="Arial" w:hAnsi="Arial" w:cs="Arial"/>
          <w:i/>
          <w:sz w:val="20"/>
          <w:szCs w:val="20"/>
          <w:lang w:val="ro-RO"/>
        </w:rPr>
        <w:t xml:space="preserve">anuală </w:t>
      </w:r>
      <w:r w:rsidR="00954486">
        <w:rPr>
          <w:rFonts w:ascii="Arial" w:hAnsi="Arial" w:cs="Arial"/>
          <w:i/>
          <w:sz w:val="20"/>
          <w:szCs w:val="20"/>
          <w:lang w:val="ro-RO"/>
        </w:rPr>
        <w:t>de</w:t>
      </w:r>
      <w:r w:rsidRPr="00DF4B1A">
        <w:rPr>
          <w:rFonts w:ascii="Arial" w:hAnsi="Arial" w:cs="Arial"/>
          <w:i/>
          <w:sz w:val="20"/>
          <w:szCs w:val="20"/>
          <w:lang w:val="ro-RO"/>
        </w:rPr>
        <w:t xml:space="preserve"> </w:t>
      </w:r>
      <w:r w:rsidR="00221921">
        <w:rPr>
          <w:rFonts w:ascii="Arial" w:hAnsi="Arial" w:cs="Arial"/>
          <w:i/>
          <w:sz w:val="20"/>
          <w:szCs w:val="20"/>
          <w:lang w:val="ro-RO"/>
        </w:rPr>
        <w:t>SO</w:t>
      </w:r>
      <w:r w:rsidR="00221921" w:rsidRPr="00221921">
        <w:rPr>
          <w:rFonts w:ascii="Arial" w:hAnsi="Arial" w:cs="Arial"/>
          <w:i/>
          <w:sz w:val="20"/>
          <w:szCs w:val="20"/>
          <w:vertAlign w:val="subscript"/>
          <w:lang w:val="ro-RO"/>
        </w:rPr>
        <w:t>2</w:t>
      </w:r>
      <w:r w:rsidRPr="00DF4B1A">
        <w:rPr>
          <w:rFonts w:ascii="Arial" w:hAnsi="Arial" w:cs="Arial"/>
          <w:i/>
          <w:sz w:val="20"/>
          <w:szCs w:val="20"/>
          <w:lang w:val="ro-RO"/>
        </w:rPr>
        <w:t>.</w:t>
      </w:r>
    </w:p>
    <w:p w:rsidR="00E10E2B" w:rsidRPr="00DF4B1A" w:rsidRDefault="00632FDC" w:rsidP="00152F86">
      <w:pPr>
        <w:widowControl w:val="0"/>
        <w:spacing w:after="0" w:line="240" w:lineRule="auto"/>
        <w:jc w:val="both"/>
        <w:rPr>
          <w:rFonts w:ascii="Arial" w:hAnsi="Arial" w:cs="Arial"/>
          <w:i/>
          <w:sz w:val="20"/>
          <w:szCs w:val="20"/>
          <w:lang w:val="ro-RO"/>
        </w:rPr>
      </w:pPr>
      <w:r>
        <w:rPr>
          <w:rFonts w:ascii="Arial" w:hAnsi="Arial" w:cs="Arial"/>
          <w:i/>
          <w:sz w:val="20"/>
          <w:szCs w:val="20"/>
          <w:lang w:val="ro-RO"/>
        </w:rPr>
        <w:t>2.</w:t>
      </w:r>
      <w:r w:rsidR="00A43FC0" w:rsidRPr="00DF4B1A">
        <w:rPr>
          <w:rFonts w:ascii="Arial" w:hAnsi="Arial" w:cs="Arial"/>
          <w:i/>
          <w:sz w:val="20"/>
          <w:szCs w:val="20"/>
          <w:lang w:val="ro-RO"/>
        </w:rPr>
        <w:t xml:space="preserve"> </w:t>
      </w:r>
      <w:r>
        <w:rPr>
          <w:rFonts w:ascii="Arial" w:hAnsi="Arial" w:cs="Arial"/>
          <w:i/>
          <w:sz w:val="20"/>
          <w:szCs w:val="20"/>
          <w:lang w:val="ro-RO"/>
        </w:rPr>
        <w:t>D</w:t>
      </w:r>
      <w:r w:rsidR="00A43FC0" w:rsidRPr="00DF4B1A">
        <w:rPr>
          <w:rFonts w:ascii="Arial" w:hAnsi="Arial" w:cs="Arial"/>
          <w:i/>
          <w:sz w:val="20"/>
          <w:szCs w:val="20"/>
          <w:lang w:val="ro-RO"/>
        </w:rPr>
        <w:t>in motive tehnice</w:t>
      </w:r>
      <w:r w:rsidR="0031750F" w:rsidRPr="00DF4B1A">
        <w:rPr>
          <w:rFonts w:ascii="Arial" w:hAnsi="Arial" w:cs="Arial"/>
          <w:i/>
          <w:sz w:val="20"/>
          <w:szCs w:val="20"/>
          <w:lang w:val="ro-RO"/>
        </w:rPr>
        <w:t>,</w:t>
      </w:r>
      <w:r w:rsidR="00A43FC0" w:rsidRPr="00DF4B1A">
        <w:rPr>
          <w:rFonts w:ascii="Arial" w:hAnsi="Arial" w:cs="Arial"/>
          <w:i/>
          <w:sz w:val="20"/>
          <w:szCs w:val="20"/>
          <w:lang w:val="ro-RO"/>
        </w:rPr>
        <w:t xml:space="preserve"> date</w:t>
      </w:r>
      <w:r w:rsidR="00C03D6A">
        <w:rPr>
          <w:rFonts w:ascii="Arial" w:hAnsi="Arial" w:cs="Arial"/>
          <w:i/>
          <w:sz w:val="20"/>
          <w:szCs w:val="20"/>
          <w:lang w:val="ro-RO"/>
        </w:rPr>
        <w:t>le colectate</w:t>
      </w:r>
      <w:r w:rsidR="0031750F" w:rsidRPr="00DF4B1A">
        <w:rPr>
          <w:rFonts w:ascii="Arial" w:hAnsi="Arial" w:cs="Arial"/>
          <w:i/>
          <w:sz w:val="20"/>
          <w:szCs w:val="20"/>
          <w:lang w:val="ro-RO"/>
        </w:rPr>
        <w:t xml:space="preserve"> la </w:t>
      </w:r>
      <w:r w:rsidR="00987935">
        <w:rPr>
          <w:rFonts w:ascii="Arial" w:hAnsi="Arial" w:cs="Arial"/>
          <w:i/>
          <w:sz w:val="20"/>
          <w:szCs w:val="20"/>
          <w:lang w:val="ro-RO"/>
        </w:rPr>
        <w:t>EM3</w:t>
      </w:r>
      <w:r w:rsidR="00C03D6A">
        <w:rPr>
          <w:rFonts w:ascii="Arial" w:hAnsi="Arial" w:cs="Arial"/>
          <w:i/>
          <w:sz w:val="20"/>
          <w:szCs w:val="20"/>
          <w:lang w:val="ro-RO"/>
        </w:rPr>
        <w:t xml:space="preserve"> </w:t>
      </w:r>
      <w:r w:rsidR="00583871">
        <w:rPr>
          <w:rFonts w:ascii="Arial" w:hAnsi="Arial" w:cs="Arial"/>
          <w:i/>
          <w:sz w:val="20"/>
          <w:szCs w:val="20"/>
          <w:lang w:val="ro-RO"/>
        </w:rPr>
        <w:t xml:space="preserve">și SV3 </w:t>
      </w:r>
      <w:r w:rsidR="00C03D6A">
        <w:rPr>
          <w:rFonts w:ascii="Arial" w:hAnsi="Arial" w:cs="Arial"/>
          <w:i/>
          <w:sz w:val="20"/>
          <w:szCs w:val="20"/>
          <w:lang w:val="ro-RO"/>
        </w:rPr>
        <w:t>sunt insuficiente pentru a respecta criteriile de calitate conform Legii nr. 104/2011</w:t>
      </w:r>
      <w:r w:rsidR="00E10E2B" w:rsidRPr="00DF4B1A">
        <w:rPr>
          <w:rFonts w:ascii="Arial" w:hAnsi="Arial" w:cs="Arial"/>
          <w:i/>
          <w:sz w:val="20"/>
          <w:szCs w:val="20"/>
          <w:lang w:val="ro-RO"/>
        </w:rPr>
        <w:t xml:space="preserve">.  </w:t>
      </w:r>
    </w:p>
    <w:p w:rsidR="00487D3D" w:rsidRPr="00DF4B1A" w:rsidRDefault="00487D3D" w:rsidP="00152F86">
      <w:pPr>
        <w:widowControl w:val="0"/>
        <w:spacing w:after="0" w:line="240" w:lineRule="auto"/>
        <w:ind w:firstLine="720"/>
        <w:jc w:val="both"/>
        <w:rPr>
          <w:rFonts w:ascii="Arial" w:hAnsi="Arial" w:cs="Arial"/>
          <w:sz w:val="16"/>
          <w:szCs w:val="16"/>
          <w:lang w:val="ro-RO"/>
        </w:rPr>
      </w:pPr>
    </w:p>
    <w:p w:rsidR="00D672DA" w:rsidRPr="00DF4B1A" w:rsidRDefault="00D672DA" w:rsidP="00152F86">
      <w:pPr>
        <w:widowControl w:val="0"/>
        <w:spacing w:after="0" w:line="240" w:lineRule="auto"/>
        <w:rPr>
          <w:rFonts w:ascii="Arial" w:hAnsi="Arial" w:cs="Arial"/>
          <w:b/>
          <w:i/>
          <w:sz w:val="24"/>
          <w:szCs w:val="24"/>
          <w:lang w:val="ro-RO"/>
        </w:rPr>
      </w:pPr>
      <w:r w:rsidRPr="00DF4B1A">
        <w:rPr>
          <w:rFonts w:ascii="Arial" w:hAnsi="Arial" w:cs="Arial"/>
          <w:b/>
          <w:i/>
          <w:sz w:val="24"/>
          <w:szCs w:val="24"/>
          <w:lang w:val="ro-RO"/>
        </w:rPr>
        <w:t xml:space="preserve">Pulberi în suspensie </w:t>
      </w:r>
      <w:r w:rsidR="00487D3D" w:rsidRPr="00DF4B1A">
        <w:rPr>
          <w:rFonts w:ascii="Arial" w:hAnsi="Arial" w:cs="Arial"/>
          <w:b/>
          <w:i/>
          <w:sz w:val="24"/>
          <w:szCs w:val="24"/>
          <w:lang w:val="ro-RO"/>
        </w:rPr>
        <w:t xml:space="preserve">fracţia </w:t>
      </w:r>
      <w:r w:rsidRPr="00DF4B1A">
        <w:rPr>
          <w:rFonts w:ascii="Arial" w:hAnsi="Arial" w:cs="Arial"/>
          <w:b/>
          <w:i/>
          <w:sz w:val="24"/>
          <w:szCs w:val="24"/>
          <w:lang w:val="ro-RO"/>
        </w:rPr>
        <w:t>PM10</w:t>
      </w:r>
    </w:p>
    <w:p w:rsidR="00487D3D" w:rsidRPr="00DF4B1A" w:rsidRDefault="00487D3D" w:rsidP="00152F86">
      <w:pPr>
        <w:widowControl w:val="0"/>
        <w:spacing w:after="0" w:line="240" w:lineRule="auto"/>
        <w:ind w:firstLine="720"/>
        <w:jc w:val="both"/>
        <w:rPr>
          <w:rFonts w:ascii="Arial" w:hAnsi="Arial" w:cs="Arial"/>
          <w:sz w:val="16"/>
          <w:szCs w:val="16"/>
          <w:lang w:val="ro-RO"/>
        </w:rPr>
      </w:pPr>
    </w:p>
    <w:p w:rsidR="00DE6ED6" w:rsidRPr="00DF4B1A" w:rsidRDefault="00D672DA" w:rsidP="00152F86">
      <w:pPr>
        <w:widowControl w:val="0"/>
        <w:spacing w:after="0" w:line="240" w:lineRule="auto"/>
        <w:jc w:val="center"/>
        <w:rPr>
          <w:rFonts w:ascii="Arial" w:hAnsi="Arial" w:cs="Arial"/>
          <w:lang w:val="ro-RO"/>
        </w:rPr>
      </w:pPr>
      <w:r w:rsidRPr="00DF4B1A">
        <w:rPr>
          <w:rFonts w:ascii="Arial" w:hAnsi="Arial" w:cs="Arial"/>
          <w:lang w:val="ro-RO"/>
        </w:rPr>
        <w:t>Fig. I.1.1.1.3</w:t>
      </w:r>
      <w:r w:rsidR="00E907C4" w:rsidRPr="00DF4B1A">
        <w:rPr>
          <w:rFonts w:ascii="Arial" w:hAnsi="Arial" w:cs="Arial"/>
          <w:lang w:val="ro-RO"/>
        </w:rPr>
        <w:t>.</w:t>
      </w:r>
      <w:r w:rsidRPr="00DF4B1A">
        <w:rPr>
          <w:rFonts w:ascii="Arial" w:hAnsi="Arial" w:cs="Arial"/>
          <w:lang w:val="ro-RO"/>
        </w:rPr>
        <w:t xml:space="preserve"> Concentraţiile me</w:t>
      </w:r>
      <w:r w:rsidR="00487D3D" w:rsidRPr="00DF4B1A">
        <w:rPr>
          <w:rFonts w:ascii="Arial" w:hAnsi="Arial" w:cs="Arial"/>
          <w:lang w:val="ro-RO"/>
        </w:rPr>
        <w:t xml:space="preserve">dii anuale de PM10 determinate gravimetric, </w:t>
      </w:r>
    </w:p>
    <w:p w:rsidR="00D672DA" w:rsidRPr="00DF4B1A" w:rsidRDefault="00487D3D" w:rsidP="00152F86">
      <w:pPr>
        <w:widowControl w:val="0"/>
        <w:spacing w:after="0" w:line="240" w:lineRule="auto"/>
        <w:jc w:val="center"/>
        <w:rPr>
          <w:rFonts w:ascii="Arial" w:hAnsi="Arial" w:cs="Arial"/>
          <w:lang w:val="ro-RO"/>
        </w:rPr>
      </w:pPr>
      <w:r w:rsidRPr="00DF4B1A">
        <w:rPr>
          <w:rFonts w:ascii="Arial" w:hAnsi="Arial" w:cs="Arial"/>
          <w:lang w:val="ro-RO"/>
        </w:rPr>
        <w:t>înregistrate</w:t>
      </w:r>
      <w:r w:rsidR="00D672DA" w:rsidRPr="00DF4B1A">
        <w:rPr>
          <w:rFonts w:ascii="Arial" w:hAnsi="Arial" w:cs="Arial"/>
          <w:lang w:val="ro-RO"/>
        </w:rPr>
        <w:t xml:space="preserve"> în anul 201</w:t>
      </w:r>
      <w:r w:rsidR="003F66E1">
        <w:rPr>
          <w:rFonts w:ascii="Arial" w:hAnsi="Arial" w:cs="Arial"/>
          <w:lang w:val="ro-RO"/>
        </w:rPr>
        <w:t>7</w:t>
      </w:r>
      <w:r w:rsidR="00DE6ED6" w:rsidRPr="00DF4B1A">
        <w:rPr>
          <w:rFonts w:ascii="Arial" w:hAnsi="Arial" w:cs="Arial"/>
          <w:lang w:val="ro-RO"/>
        </w:rPr>
        <w:t xml:space="preserve"> </w:t>
      </w:r>
      <w:r w:rsidR="00D672DA" w:rsidRPr="00DF4B1A">
        <w:rPr>
          <w:rFonts w:ascii="Arial" w:hAnsi="Arial" w:cs="Arial"/>
          <w:lang w:val="ro-RO"/>
        </w:rPr>
        <w:t>la staţiile de monitorizare din judeţul Suceava</w:t>
      </w:r>
    </w:p>
    <w:p w:rsidR="00D672DA" w:rsidRPr="00DF4B1A" w:rsidRDefault="000B7BF0" w:rsidP="00152F86">
      <w:pPr>
        <w:widowControl w:val="0"/>
        <w:spacing w:after="0" w:line="240" w:lineRule="auto"/>
        <w:jc w:val="center"/>
        <w:rPr>
          <w:rFonts w:ascii="Arial" w:hAnsi="Arial" w:cs="Arial"/>
          <w:sz w:val="24"/>
          <w:szCs w:val="24"/>
          <w:lang w:val="ro-RO"/>
        </w:rPr>
      </w:pPr>
      <w:r>
        <w:rPr>
          <w:rFonts w:ascii="Arial" w:hAnsi="Arial" w:cs="Arial"/>
          <w:sz w:val="24"/>
          <w:szCs w:val="24"/>
          <w:lang w:val="ro-RO"/>
        </w:rPr>
        <w:t xml:space="preserve">                          </w:t>
      </w:r>
      <w:r w:rsidR="00D672DA" w:rsidRPr="00DF4B1A">
        <w:rPr>
          <w:rFonts w:ascii="Arial" w:hAnsi="Arial" w:cs="Arial"/>
          <w:noProof/>
          <w:sz w:val="24"/>
          <w:szCs w:val="24"/>
          <w:lang w:val="ro-RO" w:eastAsia="ro-RO"/>
        </w:rPr>
        <w:drawing>
          <wp:inline distT="0" distB="0" distL="0" distR="0">
            <wp:extent cx="4486275" cy="895350"/>
            <wp:effectExtent l="0" t="0" r="0" b="0"/>
            <wp:docPr id="11"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77E26" w:rsidRDefault="0031750F" w:rsidP="00152F86">
      <w:pPr>
        <w:widowControl w:val="0"/>
        <w:spacing w:after="0" w:line="240" w:lineRule="auto"/>
        <w:jc w:val="both"/>
        <w:rPr>
          <w:rFonts w:ascii="Arial" w:hAnsi="Arial" w:cs="Arial"/>
          <w:sz w:val="10"/>
          <w:szCs w:val="10"/>
          <w:lang w:val="ro-RO"/>
        </w:rPr>
      </w:pPr>
      <w:r w:rsidRPr="00DF4B1A">
        <w:rPr>
          <w:rFonts w:ascii="Arial" w:hAnsi="Arial" w:cs="Arial"/>
          <w:i/>
          <w:sz w:val="20"/>
          <w:szCs w:val="20"/>
          <w:lang w:val="ro-RO"/>
        </w:rPr>
        <w:t xml:space="preserve">Notă: </w:t>
      </w:r>
      <w:r w:rsidR="00B11A2A">
        <w:rPr>
          <w:rFonts w:ascii="Arial" w:hAnsi="Arial" w:cs="Arial"/>
          <w:i/>
          <w:sz w:val="20"/>
          <w:szCs w:val="20"/>
          <w:lang w:val="ro-RO"/>
        </w:rPr>
        <w:t>D</w:t>
      </w:r>
      <w:r w:rsidR="00B11A2A" w:rsidRPr="00DF4B1A">
        <w:rPr>
          <w:rFonts w:ascii="Arial" w:hAnsi="Arial" w:cs="Arial"/>
          <w:i/>
          <w:sz w:val="20"/>
          <w:szCs w:val="20"/>
          <w:lang w:val="ro-RO"/>
        </w:rPr>
        <w:t xml:space="preserve">in motive tehnice, pentru acest poluant nu există date la </w:t>
      </w:r>
      <w:r w:rsidR="00B11A2A">
        <w:rPr>
          <w:rFonts w:ascii="Arial" w:hAnsi="Arial" w:cs="Arial"/>
          <w:i/>
          <w:sz w:val="20"/>
          <w:szCs w:val="20"/>
          <w:lang w:val="ro-RO"/>
        </w:rPr>
        <w:t>EM3</w:t>
      </w:r>
      <w:r w:rsidR="00583871">
        <w:rPr>
          <w:rFonts w:ascii="Arial" w:hAnsi="Arial" w:cs="Arial"/>
          <w:i/>
          <w:sz w:val="20"/>
          <w:szCs w:val="20"/>
          <w:lang w:val="ro-RO"/>
        </w:rPr>
        <w:t xml:space="preserve"> și SV3,</w:t>
      </w:r>
      <w:r w:rsidR="00583871" w:rsidRPr="00583871">
        <w:rPr>
          <w:rFonts w:ascii="Arial" w:hAnsi="Arial" w:cs="Arial"/>
          <w:i/>
          <w:sz w:val="20"/>
          <w:szCs w:val="20"/>
          <w:lang w:val="ro-RO"/>
        </w:rPr>
        <w:t xml:space="preserve"> </w:t>
      </w:r>
      <w:r w:rsidR="00583871" w:rsidRPr="00DF4B1A">
        <w:rPr>
          <w:rFonts w:ascii="Arial" w:hAnsi="Arial" w:cs="Arial"/>
          <w:i/>
          <w:sz w:val="20"/>
          <w:szCs w:val="20"/>
          <w:lang w:val="ro-RO"/>
        </w:rPr>
        <w:t>în anul 201</w:t>
      </w:r>
      <w:r w:rsidR="00583871">
        <w:rPr>
          <w:rFonts w:ascii="Arial" w:hAnsi="Arial" w:cs="Arial"/>
          <w:i/>
          <w:sz w:val="20"/>
          <w:szCs w:val="20"/>
          <w:lang w:val="ro-RO"/>
        </w:rPr>
        <w:t>7</w:t>
      </w:r>
      <w:r w:rsidR="00B11A2A" w:rsidRPr="00DF4B1A">
        <w:rPr>
          <w:rFonts w:ascii="Arial" w:hAnsi="Arial" w:cs="Arial"/>
          <w:i/>
          <w:sz w:val="20"/>
          <w:szCs w:val="20"/>
          <w:lang w:val="ro-RO"/>
        </w:rPr>
        <w:t xml:space="preserve">.  </w:t>
      </w:r>
    </w:p>
    <w:p w:rsidR="00221921" w:rsidRPr="00DF4B1A" w:rsidRDefault="00221921" w:rsidP="00152F86">
      <w:pPr>
        <w:widowControl w:val="0"/>
        <w:spacing w:after="0" w:line="240" w:lineRule="auto"/>
        <w:jc w:val="both"/>
        <w:rPr>
          <w:rFonts w:ascii="Arial" w:hAnsi="Arial" w:cs="Arial"/>
          <w:sz w:val="10"/>
          <w:szCs w:val="10"/>
          <w:lang w:val="ro-RO"/>
        </w:rPr>
      </w:pPr>
    </w:p>
    <w:p w:rsidR="00D672DA" w:rsidRPr="00DF4B1A" w:rsidRDefault="00C77E26" w:rsidP="00152F86">
      <w:pPr>
        <w:widowControl w:val="0"/>
        <w:spacing w:after="0" w:line="240" w:lineRule="auto"/>
        <w:ind w:firstLine="720"/>
        <w:jc w:val="both"/>
        <w:rPr>
          <w:rFonts w:ascii="Arial" w:hAnsi="Arial" w:cs="Arial"/>
          <w:sz w:val="24"/>
          <w:szCs w:val="24"/>
          <w:lang w:val="ro-RO"/>
        </w:rPr>
      </w:pPr>
      <w:r w:rsidRPr="00DF4B1A">
        <w:rPr>
          <w:rFonts w:ascii="Arial" w:hAnsi="Arial" w:cs="Arial"/>
          <w:sz w:val="24"/>
          <w:szCs w:val="24"/>
          <w:lang w:val="ro-RO"/>
        </w:rPr>
        <w:t xml:space="preserve">Concentraţia </w:t>
      </w:r>
      <w:r w:rsidRPr="00221921">
        <w:rPr>
          <w:rFonts w:ascii="Arial" w:hAnsi="Arial" w:cs="Arial"/>
          <w:sz w:val="24"/>
          <w:szCs w:val="24"/>
          <w:lang w:val="ro-RO"/>
        </w:rPr>
        <w:t>medie anuală de</w:t>
      </w:r>
      <w:r w:rsidRPr="00DF4B1A">
        <w:rPr>
          <w:rFonts w:ascii="Arial" w:hAnsi="Arial" w:cs="Arial"/>
          <w:sz w:val="24"/>
          <w:szCs w:val="24"/>
          <w:lang w:val="ro-RO"/>
        </w:rPr>
        <w:t xml:space="preserve"> </w:t>
      </w:r>
      <w:r w:rsidRPr="00DF4B1A">
        <w:rPr>
          <w:rFonts w:ascii="Arial" w:hAnsi="Arial" w:cs="Arial"/>
          <w:b/>
          <w:sz w:val="24"/>
          <w:szCs w:val="24"/>
          <w:lang w:val="ro-RO"/>
        </w:rPr>
        <w:t>PM10</w:t>
      </w:r>
      <w:r w:rsidRPr="00DF4B1A">
        <w:rPr>
          <w:rFonts w:ascii="Arial" w:hAnsi="Arial" w:cs="Arial"/>
          <w:sz w:val="24"/>
          <w:szCs w:val="24"/>
          <w:lang w:val="ro-RO"/>
        </w:rPr>
        <w:t xml:space="preserve"> </w:t>
      </w:r>
      <w:r w:rsidRPr="00221921">
        <w:rPr>
          <w:rFonts w:ascii="Arial" w:hAnsi="Arial" w:cs="Arial"/>
          <w:b/>
          <w:sz w:val="24"/>
          <w:szCs w:val="24"/>
          <w:lang w:val="ro-RO"/>
        </w:rPr>
        <w:t>n</w:t>
      </w:r>
      <w:r w:rsidR="00D672DA" w:rsidRPr="00221921">
        <w:rPr>
          <w:rFonts w:ascii="Arial" w:hAnsi="Arial" w:cs="Arial"/>
          <w:b/>
          <w:sz w:val="24"/>
          <w:szCs w:val="24"/>
          <w:lang w:val="ro-RO"/>
        </w:rPr>
        <w:t xml:space="preserve">u a </w:t>
      </w:r>
      <w:r w:rsidRPr="00221921">
        <w:rPr>
          <w:rFonts w:ascii="Arial" w:hAnsi="Arial" w:cs="Arial"/>
          <w:b/>
          <w:sz w:val="24"/>
          <w:szCs w:val="24"/>
          <w:lang w:val="ro-RO"/>
        </w:rPr>
        <w:t>depășit</w:t>
      </w:r>
      <w:r w:rsidR="00D672DA" w:rsidRPr="00DF4B1A">
        <w:rPr>
          <w:rFonts w:ascii="Arial" w:hAnsi="Arial" w:cs="Arial"/>
          <w:sz w:val="24"/>
          <w:szCs w:val="24"/>
          <w:lang w:val="ro-RO"/>
        </w:rPr>
        <w:t xml:space="preserve"> </w:t>
      </w:r>
      <w:r w:rsidR="00D672DA" w:rsidRPr="00DF4B1A">
        <w:rPr>
          <w:rFonts w:ascii="Arial" w:hAnsi="Arial" w:cs="Arial"/>
          <w:b/>
          <w:sz w:val="24"/>
          <w:szCs w:val="24"/>
          <w:lang w:val="ro-RO"/>
        </w:rPr>
        <w:t>VL anuală pentru protecţia</w:t>
      </w:r>
      <w:r w:rsidR="00D672DA" w:rsidRPr="00DF4B1A">
        <w:rPr>
          <w:rFonts w:ascii="Arial" w:hAnsi="Arial" w:cs="Arial"/>
          <w:sz w:val="24"/>
          <w:szCs w:val="24"/>
          <w:lang w:val="ro-RO"/>
        </w:rPr>
        <w:t xml:space="preserve"> </w:t>
      </w:r>
      <w:r w:rsidR="00D672DA" w:rsidRPr="00DF4B1A">
        <w:rPr>
          <w:rFonts w:ascii="Arial" w:hAnsi="Arial" w:cs="Arial"/>
          <w:b/>
          <w:sz w:val="24"/>
          <w:szCs w:val="24"/>
          <w:lang w:val="ro-RO"/>
        </w:rPr>
        <w:t>sănătăţii umane</w:t>
      </w:r>
      <w:r w:rsidR="00D672DA" w:rsidRPr="00DF4B1A">
        <w:rPr>
          <w:rFonts w:ascii="Arial" w:hAnsi="Arial" w:cs="Arial"/>
          <w:sz w:val="24"/>
          <w:szCs w:val="24"/>
          <w:lang w:val="ro-RO"/>
        </w:rPr>
        <w:t xml:space="preserve"> (40 </w:t>
      </w:r>
      <w:r w:rsidR="00D672DA" w:rsidRPr="00DF4B1A">
        <w:rPr>
          <w:rFonts w:ascii="Arial" w:hAnsi="Arial" w:cs="Arial"/>
          <w:sz w:val="24"/>
          <w:szCs w:val="24"/>
          <w:lang w:val="ro-RO"/>
        </w:rPr>
        <w:sym w:font="Symbol" w:char="F06D"/>
      </w:r>
      <w:r w:rsidR="00D672DA" w:rsidRPr="00DF4B1A">
        <w:rPr>
          <w:rFonts w:ascii="Arial" w:hAnsi="Arial" w:cs="Arial"/>
          <w:sz w:val="24"/>
          <w:szCs w:val="24"/>
          <w:lang w:val="ro-RO"/>
        </w:rPr>
        <w:t>g/m</w:t>
      </w:r>
      <w:r w:rsidR="00D672DA" w:rsidRPr="00DF4B1A">
        <w:rPr>
          <w:rFonts w:ascii="Arial" w:hAnsi="Arial" w:cs="Arial"/>
          <w:sz w:val="24"/>
          <w:szCs w:val="24"/>
          <w:vertAlign w:val="superscript"/>
          <w:lang w:val="ro-RO"/>
        </w:rPr>
        <w:t>3</w:t>
      </w:r>
      <w:r w:rsidR="00221921">
        <w:rPr>
          <w:rFonts w:ascii="Arial" w:hAnsi="Arial" w:cs="Arial"/>
          <w:sz w:val="24"/>
          <w:szCs w:val="24"/>
          <w:lang w:val="ro-RO"/>
        </w:rPr>
        <w:t>)</w:t>
      </w:r>
      <w:r w:rsidR="00D672DA" w:rsidRPr="00DF4B1A">
        <w:rPr>
          <w:rFonts w:ascii="Arial" w:hAnsi="Arial" w:cs="Arial"/>
          <w:sz w:val="24"/>
          <w:szCs w:val="24"/>
          <w:lang w:val="ro-RO"/>
        </w:rPr>
        <w:t xml:space="preserve">. </w:t>
      </w:r>
    </w:p>
    <w:p w:rsidR="00E006CD" w:rsidRDefault="00E006CD" w:rsidP="00152F86">
      <w:pPr>
        <w:widowControl w:val="0"/>
        <w:spacing w:after="0" w:line="240" w:lineRule="auto"/>
        <w:rPr>
          <w:rFonts w:ascii="Arial" w:hAnsi="Arial" w:cs="Arial"/>
          <w:sz w:val="16"/>
          <w:szCs w:val="16"/>
          <w:lang w:val="ro-RO"/>
        </w:rPr>
      </w:pPr>
    </w:p>
    <w:p w:rsidR="004961C4" w:rsidRPr="00DF4B1A" w:rsidRDefault="004961C4" w:rsidP="00152F86">
      <w:pPr>
        <w:widowControl w:val="0"/>
        <w:spacing w:after="0" w:line="240" w:lineRule="auto"/>
        <w:rPr>
          <w:rFonts w:ascii="Arial" w:hAnsi="Arial" w:cs="Arial"/>
          <w:b/>
          <w:i/>
          <w:sz w:val="24"/>
          <w:szCs w:val="24"/>
          <w:lang w:val="ro-RO"/>
        </w:rPr>
      </w:pPr>
      <w:r w:rsidRPr="00DF4B1A">
        <w:rPr>
          <w:rFonts w:ascii="Arial" w:hAnsi="Arial" w:cs="Arial"/>
          <w:b/>
          <w:i/>
          <w:sz w:val="24"/>
          <w:szCs w:val="24"/>
          <w:lang w:val="ro-RO"/>
        </w:rPr>
        <w:t>Ozon (O</w:t>
      </w:r>
      <w:r w:rsidRPr="00DF4B1A">
        <w:rPr>
          <w:rFonts w:ascii="Arial" w:hAnsi="Arial" w:cs="Arial"/>
          <w:b/>
          <w:i/>
          <w:sz w:val="24"/>
          <w:szCs w:val="24"/>
          <w:vertAlign w:val="subscript"/>
          <w:lang w:val="ro-RO"/>
        </w:rPr>
        <w:t>3</w:t>
      </w:r>
      <w:r w:rsidRPr="00DF4B1A">
        <w:rPr>
          <w:rFonts w:ascii="Arial" w:hAnsi="Arial" w:cs="Arial"/>
          <w:b/>
          <w:i/>
          <w:sz w:val="24"/>
          <w:szCs w:val="24"/>
          <w:lang w:val="ro-RO"/>
        </w:rPr>
        <w:t>)</w:t>
      </w:r>
    </w:p>
    <w:p w:rsidR="00E76EC6" w:rsidRPr="00DF4B1A" w:rsidRDefault="00E76EC6" w:rsidP="00E76EC6">
      <w:pPr>
        <w:widowControl w:val="0"/>
        <w:spacing w:after="0" w:line="240" w:lineRule="auto"/>
        <w:ind w:firstLine="720"/>
        <w:jc w:val="both"/>
        <w:rPr>
          <w:rFonts w:ascii="Arial" w:hAnsi="Arial" w:cs="Arial"/>
          <w:sz w:val="16"/>
          <w:szCs w:val="16"/>
          <w:lang w:val="ro-RO"/>
        </w:rPr>
      </w:pPr>
    </w:p>
    <w:p w:rsidR="00747715" w:rsidRDefault="007F0C88" w:rsidP="007F0C88">
      <w:pPr>
        <w:widowControl w:val="0"/>
        <w:spacing w:after="0" w:line="240" w:lineRule="auto"/>
        <w:jc w:val="center"/>
        <w:rPr>
          <w:rFonts w:ascii="Arial" w:hAnsi="Arial" w:cs="Arial"/>
          <w:lang w:val="ro-RO"/>
        </w:rPr>
      </w:pPr>
      <w:r w:rsidRPr="00DF4B1A">
        <w:rPr>
          <w:rFonts w:ascii="Arial" w:hAnsi="Arial" w:cs="Arial"/>
          <w:lang w:val="ro-RO"/>
        </w:rPr>
        <w:t>Fig. I.1.1.1.</w:t>
      </w:r>
      <w:r w:rsidR="00357F34">
        <w:rPr>
          <w:rFonts w:ascii="Arial" w:hAnsi="Arial" w:cs="Arial"/>
          <w:lang w:val="ro-RO"/>
        </w:rPr>
        <w:t>4.</w:t>
      </w:r>
      <w:r w:rsidRPr="00DF4B1A">
        <w:rPr>
          <w:rFonts w:ascii="Arial" w:hAnsi="Arial" w:cs="Arial"/>
          <w:lang w:val="ro-RO"/>
        </w:rPr>
        <w:t xml:space="preserve"> </w:t>
      </w:r>
      <w:r w:rsidR="00357F34">
        <w:rPr>
          <w:rFonts w:ascii="Arial" w:hAnsi="Arial" w:cs="Arial"/>
          <w:lang w:val="ro-RO"/>
        </w:rPr>
        <w:t>Valori maxime</w:t>
      </w:r>
      <w:r w:rsidR="00357F34" w:rsidRPr="00DF4B1A">
        <w:rPr>
          <w:rFonts w:ascii="Arial" w:hAnsi="Arial" w:cs="Arial"/>
          <w:lang w:val="ro-RO"/>
        </w:rPr>
        <w:t xml:space="preserve"> anuale </w:t>
      </w:r>
      <w:r w:rsidR="00357F34">
        <w:rPr>
          <w:rFonts w:ascii="Arial" w:hAnsi="Arial" w:cs="Arial"/>
          <w:lang w:val="ro-RO"/>
        </w:rPr>
        <w:t>ale c</w:t>
      </w:r>
      <w:r w:rsidR="00357F34" w:rsidRPr="00DF4B1A">
        <w:rPr>
          <w:rFonts w:ascii="Arial" w:hAnsi="Arial" w:cs="Arial"/>
          <w:lang w:val="ro-RO"/>
        </w:rPr>
        <w:t>oncentraţii</w:t>
      </w:r>
      <w:r w:rsidR="00357F34">
        <w:rPr>
          <w:rFonts w:ascii="Arial" w:hAnsi="Arial" w:cs="Arial"/>
          <w:lang w:val="ro-RO"/>
        </w:rPr>
        <w:t>lor</w:t>
      </w:r>
      <w:r w:rsidR="00357F34" w:rsidRPr="00DF4B1A">
        <w:rPr>
          <w:rFonts w:ascii="Arial" w:hAnsi="Arial" w:cs="Arial"/>
          <w:lang w:val="ro-RO"/>
        </w:rPr>
        <w:t xml:space="preserve"> </w:t>
      </w:r>
      <w:r w:rsidR="00357F34">
        <w:rPr>
          <w:rFonts w:ascii="Arial" w:hAnsi="Arial" w:cs="Arial"/>
          <w:lang w:val="ro-RO"/>
        </w:rPr>
        <w:t xml:space="preserve">medii mobile de 8 ore </w:t>
      </w:r>
      <w:r w:rsidR="002D1CF6">
        <w:rPr>
          <w:rFonts w:ascii="Arial" w:hAnsi="Arial" w:cs="Arial"/>
          <w:lang w:val="ro-RO"/>
        </w:rPr>
        <w:t>de</w:t>
      </w:r>
      <w:r w:rsidRPr="00DF4B1A">
        <w:rPr>
          <w:rFonts w:ascii="Arial" w:hAnsi="Arial" w:cs="Arial"/>
          <w:lang w:val="ro-RO"/>
        </w:rPr>
        <w:t xml:space="preserve"> O</w:t>
      </w:r>
      <w:r w:rsidRPr="00DF4B1A">
        <w:rPr>
          <w:rFonts w:ascii="Arial" w:hAnsi="Arial" w:cs="Arial"/>
          <w:vertAlign w:val="subscript"/>
          <w:lang w:val="ro-RO"/>
        </w:rPr>
        <w:t>3</w:t>
      </w:r>
      <w:r w:rsidRPr="00DF4B1A">
        <w:rPr>
          <w:rFonts w:ascii="Arial" w:hAnsi="Arial" w:cs="Arial"/>
          <w:lang w:val="ro-RO"/>
        </w:rPr>
        <w:t xml:space="preserve"> </w:t>
      </w:r>
    </w:p>
    <w:p w:rsidR="007F0C88" w:rsidRDefault="007F0C88" w:rsidP="007F0C88">
      <w:pPr>
        <w:widowControl w:val="0"/>
        <w:spacing w:after="0" w:line="240" w:lineRule="auto"/>
        <w:jc w:val="center"/>
        <w:rPr>
          <w:rFonts w:ascii="Arial" w:hAnsi="Arial" w:cs="Arial"/>
          <w:lang w:val="ro-RO"/>
        </w:rPr>
      </w:pPr>
      <w:r w:rsidRPr="00DF4B1A">
        <w:rPr>
          <w:rFonts w:ascii="Arial" w:hAnsi="Arial" w:cs="Arial"/>
          <w:lang w:val="ro-RO"/>
        </w:rPr>
        <w:t>înregistrate în anul 201</w:t>
      </w:r>
      <w:r w:rsidR="00256B17">
        <w:rPr>
          <w:rFonts w:ascii="Arial" w:hAnsi="Arial" w:cs="Arial"/>
          <w:lang w:val="ro-RO"/>
        </w:rPr>
        <w:t>7</w:t>
      </w:r>
      <w:r w:rsidR="00747715">
        <w:rPr>
          <w:rFonts w:ascii="Arial" w:hAnsi="Arial" w:cs="Arial"/>
          <w:lang w:val="ro-RO"/>
        </w:rPr>
        <w:t xml:space="preserve"> </w:t>
      </w:r>
      <w:r w:rsidRPr="00DF4B1A">
        <w:rPr>
          <w:rFonts w:ascii="Arial" w:hAnsi="Arial" w:cs="Arial"/>
          <w:lang w:val="ro-RO"/>
        </w:rPr>
        <w:t>la staţiile de monitorizare din judeţul Suceava</w:t>
      </w:r>
    </w:p>
    <w:p w:rsidR="00357F34" w:rsidRDefault="000B7BF0" w:rsidP="009F234D">
      <w:pPr>
        <w:widowControl w:val="0"/>
        <w:spacing w:after="0" w:line="240" w:lineRule="auto"/>
        <w:jc w:val="center"/>
        <w:rPr>
          <w:rFonts w:ascii="Arial" w:hAnsi="Arial" w:cs="Arial"/>
          <w:sz w:val="16"/>
          <w:szCs w:val="16"/>
          <w:lang w:val="ro-RO"/>
        </w:rPr>
      </w:pPr>
      <w:r>
        <w:rPr>
          <w:rFonts w:ascii="Arial" w:hAnsi="Arial" w:cs="Arial"/>
          <w:sz w:val="16"/>
          <w:szCs w:val="16"/>
          <w:lang w:val="ro-RO"/>
        </w:rPr>
        <w:t xml:space="preserve">                                         </w:t>
      </w:r>
      <w:r w:rsidR="00357F34" w:rsidRPr="007F0C88">
        <w:rPr>
          <w:rFonts w:ascii="Arial" w:hAnsi="Arial" w:cs="Arial"/>
          <w:noProof/>
          <w:sz w:val="16"/>
          <w:szCs w:val="16"/>
          <w:lang w:val="ro-RO" w:eastAsia="ro-RO"/>
        </w:rPr>
        <w:drawing>
          <wp:inline distT="0" distB="0" distL="0" distR="0">
            <wp:extent cx="4457700" cy="885825"/>
            <wp:effectExtent l="0" t="0" r="0" b="0"/>
            <wp:docPr id="31"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D6B05" w:rsidRDefault="005D6B05" w:rsidP="005D6B05">
      <w:pPr>
        <w:widowControl w:val="0"/>
        <w:spacing w:after="0" w:line="240" w:lineRule="auto"/>
        <w:jc w:val="both"/>
        <w:rPr>
          <w:rFonts w:ascii="Arial" w:hAnsi="Arial" w:cs="Arial"/>
          <w:i/>
          <w:sz w:val="20"/>
          <w:szCs w:val="20"/>
          <w:lang w:val="ro-RO"/>
        </w:rPr>
      </w:pPr>
      <w:r w:rsidRPr="00DF4B1A">
        <w:rPr>
          <w:rFonts w:ascii="Arial" w:hAnsi="Arial" w:cs="Arial"/>
          <w:i/>
          <w:sz w:val="20"/>
          <w:szCs w:val="20"/>
          <w:lang w:val="ro-RO"/>
        </w:rPr>
        <w:t>Not</w:t>
      </w:r>
      <w:r>
        <w:rPr>
          <w:rFonts w:ascii="Arial" w:hAnsi="Arial" w:cs="Arial"/>
          <w:i/>
          <w:sz w:val="20"/>
          <w:szCs w:val="20"/>
          <w:lang w:val="ro-RO"/>
        </w:rPr>
        <w:t>e</w:t>
      </w:r>
      <w:r w:rsidRPr="00DF4B1A">
        <w:rPr>
          <w:rFonts w:ascii="Arial" w:hAnsi="Arial" w:cs="Arial"/>
          <w:i/>
          <w:sz w:val="20"/>
          <w:szCs w:val="20"/>
          <w:lang w:val="ro-RO"/>
        </w:rPr>
        <w:t>:</w:t>
      </w:r>
    </w:p>
    <w:p w:rsidR="005D6B05" w:rsidRDefault="005D6B05" w:rsidP="005D6B05">
      <w:pPr>
        <w:widowControl w:val="0"/>
        <w:spacing w:after="0" w:line="240" w:lineRule="auto"/>
        <w:jc w:val="both"/>
        <w:rPr>
          <w:rFonts w:ascii="Arial" w:hAnsi="Arial" w:cs="Arial"/>
          <w:i/>
          <w:sz w:val="20"/>
          <w:szCs w:val="20"/>
          <w:lang w:val="ro-RO"/>
        </w:rPr>
      </w:pPr>
      <w:r>
        <w:rPr>
          <w:rFonts w:ascii="Arial" w:hAnsi="Arial" w:cs="Arial"/>
          <w:i/>
          <w:sz w:val="20"/>
          <w:szCs w:val="20"/>
          <w:lang w:val="ro-RO"/>
        </w:rPr>
        <w:t xml:space="preserve">1. </w:t>
      </w:r>
      <w:r w:rsidR="00256B17">
        <w:rPr>
          <w:rFonts w:ascii="Arial" w:hAnsi="Arial" w:cs="Arial"/>
          <w:i/>
          <w:sz w:val="20"/>
          <w:szCs w:val="20"/>
          <w:lang w:val="ro-RO"/>
        </w:rPr>
        <w:t>Î</w:t>
      </w:r>
      <w:r w:rsidR="00256B17" w:rsidRPr="00DF4B1A">
        <w:rPr>
          <w:rFonts w:ascii="Arial" w:hAnsi="Arial" w:cs="Arial"/>
          <w:i/>
          <w:sz w:val="20"/>
          <w:szCs w:val="20"/>
          <w:lang w:val="ro-RO"/>
        </w:rPr>
        <w:t>n staţia SV3 acest poluant nu se monitorizează.</w:t>
      </w:r>
    </w:p>
    <w:p w:rsidR="005D6B05" w:rsidRPr="00025124" w:rsidRDefault="005D6B05" w:rsidP="00256B17">
      <w:pPr>
        <w:widowControl w:val="0"/>
        <w:spacing w:after="0" w:line="240" w:lineRule="auto"/>
        <w:jc w:val="both"/>
        <w:rPr>
          <w:rFonts w:ascii="Arial" w:hAnsi="Arial" w:cs="Arial"/>
          <w:i/>
          <w:sz w:val="20"/>
          <w:szCs w:val="20"/>
          <w:lang w:val="ro-RO"/>
        </w:rPr>
      </w:pPr>
      <w:r>
        <w:rPr>
          <w:rFonts w:ascii="Arial" w:hAnsi="Arial" w:cs="Arial"/>
          <w:i/>
          <w:sz w:val="20"/>
          <w:szCs w:val="20"/>
          <w:lang w:val="ro-RO"/>
        </w:rPr>
        <w:t>2.</w:t>
      </w:r>
      <w:r w:rsidRPr="00DF4B1A">
        <w:rPr>
          <w:rFonts w:ascii="Arial" w:hAnsi="Arial" w:cs="Arial"/>
          <w:i/>
          <w:sz w:val="20"/>
          <w:szCs w:val="20"/>
          <w:lang w:val="ro-RO"/>
        </w:rPr>
        <w:t xml:space="preserve"> </w:t>
      </w:r>
      <w:r w:rsidR="00256B17">
        <w:rPr>
          <w:rFonts w:ascii="Arial" w:hAnsi="Arial" w:cs="Arial"/>
          <w:i/>
          <w:sz w:val="20"/>
          <w:szCs w:val="20"/>
          <w:lang w:val="ro-RO"/>
        </w:rPr>
        <w:t>D</w:t>
      </w:r>
      <w:r w:rsidR="00256B17" w:rsidRPr="00DF4B1A">
        <w:rPr>
          <w:rFonts w:ascii="Arial" w:hAnsi="Arial" w:cs="Arial"/>
          <w:i/>
          <w:sz w:val="20"/>
          <w:szCs w:val="20"/>
          <w:lang w:val="ro-RO"/>
        </w:rPr>
        <w:t xml:space="preserve">in motive tehnice, datele colectate la </w:t>
      </w:r>
      <w:r w:rsidR="0017527E">
        <w:rPr>
          <w:rFonts w:ascii="Arial" w:hAnsi="Arial" w:cs="Arial"/>
          <w:i/>
          <w:sz w:val="20"/>
          <w:szCs w:val="20"/>
          <w:lang w:val="ro-RO"/>
        </w:rPr>
        <w:t>EM</w:t>
      </w:r>
      <w:r w:rsidR="00256B17">
        <w:rPr>
          <w:rFonts w:ascii="Arial" w:hAnsi="Arial" w:cs="Arial"/>
          <w:i/>
          <w:sz w:val="20"/>
          <w:szCs w:val="20"/>
          <w:lang w:val="ro-RO"/>
        </w:rPr>
        <w:t>3</w:t>
      </w:r>
      <w:r w:rsidR="00256B17" w:rsidRPr="00DF4B1A">
        <w:rPr>
          <w:rFonts w:ascii="Arial" w:hAnsi="Arial" w:cs="Arial"/>
          <w:i/>
          <w:sz w:val="20"/>
          <w:szCs w:val="20"/>
          <w:lang w:val="ro-RO"/>
        </w:rPr>
        <w:t xml:space="preserve"> sunt insuficiente pentru a respecta criteriile de calitate conform Legii 104/2011.</w:t>
      </w:r>
    </w:p>
    <w:p w:rsidR="00583871" w:rsidRPr="00583871" w:rsidRDefault="00583871" w:rsidP="005A51EE">
      <w:pPr>
        <w:widowControl w:val="0"/>
        <w:spacing w:after="0" w:line="240" w:lineRule="auto"/>
        <w:ind w:firstLine="720"/>
        <w:jc w:val="both"/>
        <w:rPr>
          <w:rFonts w:ascii="Arial" w:hAnsi="Arial" w:cs="Arial"/>
          <w:sz w:val="12"/>
          <w:szCs w:val="12"/>
          <w:lang w:val="ro-RO"/>
        </w:rPr>
      </w:pPr>
    </w:p>
    <w:p w:rsidR="005A51EE" w:rsidRDefault="005A51EE" w:rsidP="005A51EE">
      <w:pPr>
        <w:widowControl w:val="0"/>
        <w:spacing w:after="0" w:line="240" w:lineRule="auto"/>
        <w:ind w:firstLine="720"/>
        <w:jc w:val="both"/>
        <w:rPr>
          <w:rFonts w:ascii="Arial" w:hAnsi="Arial" w:cs="Arial"/>
          <w:sz w:val="24"/>
          <w:szCs w:val="24"/>
          <w:lang w:val="ro-RO"/>
        </w:rPr>
      </w:pPr>
      <w:r>
        <w:rPr>
          <w:rFonts w:ascii="Arial" w:hAnsi="Arial" w:cs="Arial"/>
          <w:sz w:val="24"/>
          <w:szCs w:val="24"/>
          <w:lang w:val="ro-RO"/>
        </w:rPr>
        <w:t>Nicio valoare maximă zilnică a mediilor</w:t>
      </w:r>
      <w:r w:rsidRPr="00221921">
        <w:rPr>
          <w:rFonts w:ascii="Arial" w:hAnsi="Arial" w:cs="Arial"/>
          <w:sz w:val="24"/>
          <w:szCs w:val="24"/>
          <w:lang w:val="ro-RO"/>
        </w:rPr>
        <w:t xml:space="preserve"> </w:t>
      </w:r>
      <w:r>
        <w:rPr>
          <w:rFonts w:ascii="Arial" w:hAnsi="Arial" w:cs="Arial"/>
          <w:sz w:val="24"/>
          <w:szCs w:val="24"/>
          <w:lang w:val="ro-RO"/>
        </w:rPr>
        <w:t>mobile</w:t>
      </w:r>
      <w:r w:rsidRPr="00221921">
        <w:rPr>
          <w:rFonts w:ascii="Arial" w:hAnsi="Arial" w:cs="Arial"/>
          <w:sz w:val="24"/>
          <w:szCs w:val="24"/>
          <w:lang w:val="ro-RO"/>
        </w:rPr>
        <w:t xml:space="preserve"> de</w:t>
      </w:r>
      <w:r>
        <w:rPr>
          <w:rFonts w:ascii="Arial" w:hAnsi="Arial" w:cs="Arial"/>
          <w:sz w:val="24"/>
          <w:szCs w:val="24"/>
          <w:lang w:val="ro-RO"/>
        </w:rPr>
        <w:t xml:space="preserve"> 8 ore la O</w:t>
      </w:r>
      <w:r w:rsidRPr="005A51EE">
        <w:rPr>
          <w:rFonts w:ascii="Arial" w:hAnsi="Arial" w:cs="Arial"/>
          <w:sz w:val="24"/>
          <w:szCs w:val="24"/>
          <w:vertAlign w:val="subscript"/>
          <w:lang w:val="ro-RO"/>
        </w:rPr>
        <w:t>3</w:t>
      </w:r>
      <w:r w:rsidRPr="00DF4B1A">
        <w:rPr>
          <w:rFonts w:ascii="Arial" w:hAnsi="Arial" w:cs="Arial"/>
          <w:sz w:val="24"/>
          <w:szCs w:val="24"/>
          <w:lang w:val="ro-RO"/>
        </w:rPr>
        <w:t xml:space="preserve"> </w:t>
      </w:r>
      <w:r w:rsidRPr="00221921">
        <w:rPr>
          <w:rFonts w:ascii="Arial" w:hAnsi="Arial" w:cs="Arial"/>
          <w:b/>
          <w:sz w:val="24"/>
          <w:szCs w:val="24"/>
          <w:lang w:val="ro-RO"/>
        </w:rPr>
        <w:t>nu a depășit</w:t>
      </w:r>
      <w:r w:rsidRPr="00DF4B1A">
        <w:rPr>
          <w:rFonts w:ascii="Arial" w:hAnsi="Arial" w:cs="Arial"/>
          <w:sz w:val="24"/>
          <w:szCs w:val="24"/>
          <w:lang w:val="ro-RO"/>
        </w:rPr>
        <w:t xml:space="preserve"> </w:t>
      </w:r>
      <w:r>
        <w:rPr>
          <w:rFonts w:ascii="Arial" w:hAnsi="Arial" w:cs="Arial"/>
          <w:b/>
          <w:sz w:val="24"/>
          <w:szCs w:val="24"/>
          <w:lang w:val="ro-RO"/>
        </w:rPr>
        <w:t>valoarea ţintă</w:t>
      </w:r>
      <w:r w:rsidRPr="00DF4B1A">
        <w:rPr>
          <w:rFonts w:ascii="Arial" w:hAnsi="Arial" w:cs="Arial"/>
          <w:b/>
          <w:sz w:val="24"/>
          <w:szCs w:val="24"/>
          <w:lang w:val="ro-RO"/>
        </w:rPr>
        <w:t xml:space="preserve"> pentru protecţia</w:t>
      </w:r>
      <w:r w:rsidRPr="00DF4B1A">
        <w:rPr>
          <w:rFonts w:ascii="Arial" w:hAnsi="Arial" w:cs="Arial"/>
          <w:sz w:val="24"/>
          <w:szCs w:val="24"/>
          <w:lang w:val="ro-RO"/>
        </w:rPr>
        <w:t xml:space="preserve"> </w:t>
      </w:r>
      <w:r w:rsidRPr="00DF4B1A">
        <w:rPr>
          <w:rFonts w:ascii="Arial" w:hAnsi="Arial" w:cs="Arial"/>
          <w:b/>
          <w:sz w:val="24"/>
          <w:szCs w:val="24"/>
          <w:lang w:val="ro-RO"/>
        </w:rPr>
        <w:t>sănătăţii umane</w:t>
      </w:r>
      <w:r>
        <w:rPr>
          <w:rFonts w:ascii="Arial" w:hAnsi="Arial" w:cs="Arial"/>
          <w:sz w:val="24"/>
          <w:szCs w:val="24"/>
          <w:lang w:val="ro-RO"/>
        </w:rPr>
        <w:t xml:space="preserve"> (12</w:t>
      </w:r>
      <w:r w:rsidRPr="00DF4B1A">
        <w:rPr>
          <w:rFonts w:ascii="Arial" w:hAnsi="Arial" w:cs="Arial"/>
          <w:sz w:val="24"/>
          <w:szCs w:val="24"/>
          <w:lang w:val="ro-RO"/>
        </w:rPr>
        <w:t xml:space="preserve">0 </w:t>
      </w:r>
      <w:r w:rsidRPr="00DF4B1A">
        <w:rPr>
          <w:rFonts w:ascii="Arial" w:hAnsi="Arial" w:cs="Arial"/>
          <w:sz w:val="24"/>
          <w:szCs w:val="24"/>
          <w:lang w:val="ro-RO"/>
        </w:rPr>
        <w:sym w:font="Symbol" w:char="F06D"/>
      </w:r>
      <w:r w:rsidRPr="00DF4B1A">
        <w:rPr>
          <w:rFonts w:ascii="Arial" w:hAnsi="Arial" w:cs="Arial"/>
          <w:sz w:val="24"/>
          <w:szCs w:val="24"/>
          <w:lang w:val="ro-RO"/>
        </w:rPr>
        <w:t>g/m</w:t>
      </w:r>
      <w:r w:rsidRPr="00DF4B1A">
        <w:rPr>
          <w:rFonts w:ascii="Arial" w:hAnsi="Arial" w:cs="Arial"/>
          <w:sz w:val="24"/>
          <w:szCs w:val="24"/>
          <w:vertAlign w:val="superscript"/>
          <w:lang w:val="ro-RO"/>
        </w:rPr>
        <w:t>3</w:t>
      </w:r>
      <w:r>
        <w:rPr>
          <w:rFonts w:ascii="Arial" w:hAnsi="Arial" w:cs="Arial"/>
          <w:sz w:val="24"/>
          <w:szCs w:val="24"/>
          <w:lang w:val="ro-RO"/>
        </w:rPr>
        <w:t>,</w:t>
      </w:r>
      <w:r w:rsidRPr="00DF4B1A">
        <w:rPr>
          <w:rFonts w:ascii="Arial" w:hAnsi="Arial" w:cs="Arial"/>
          <w:sz w:val="24"/>
          <w:szCs w:val="24"/>
          <w:lang w:val="ro-RO"/>
        </w:rPr>
        <w:t xml:space="preserve"> </w:t>
      </w:r>
      <w:r w:rsidRPr="005A51EE">
        <w:rPr>
          <w:rFonts w:ascii="Arial" w:hAnsi="Arial" w:cs="Arial"/>
          <w:sz w:val="24"/>
          <w:szCs w:val="24"/>
          <w:lang w:val="ro-RO"/>
        </w:rPr>
        <w:t>a nu se depăşi în mai mult de 25 de zile dintr-un an calendaristic, mediat pe 3 ani)</w:t>
      </w:r>
    </w:p>
    <w:p w:rsidR="007F0C88" w:rsidRPr="007F0C88" w:rsidRDefault="007F0C88" w:rsidP="00152F86">
      <w:pPr>
        <w:widowControl w:val="0"/>
        <w:spacing w:after="0" w:line="240" w:lineRule="auto"/>
        <w:rPr>
          <w:rFonts w:ascii="Arial" w:hAnsi="Arial" w:cs="Arial"/>
          <w:b/>
          <w:i/>
          <w:sz w:val="16"/>
          <w:szCs w:val="16"/>
          <w:vertAlign w:val="superscript"/>
          <w:lang w:val="ro-RO"/>
        </w:rPr>
      </w:pPr>
    </w:p>
    <w:p w:rsidR="00D672DA" w:rsidRDefault="00E76EC6" w:rsidP="00152F86">
      <w:pPr>
        <w:widowControl w:val="0"/>
        <w:spacing w:after="0" w:line="240" w:lineRule="auto"/>
        <w:rPr>
          <w:rFonts w:ascii="Arial" w:hAnsi="Arial" w:cs="Arial"/>
          <w:b/>
          <w:i/>
          <w:sz w:val="24"/>
          <w:szCs w:val="24"/>
          <w:lang w:val="ro-RO"/>
        </w:rPr>
      </w:pPr>
      <w:r w:rsidRPr="00DF4B1A">
        <w:rPr>
          <w:rFonts w:ascii="Arial" w:hAnsi="Arial" w:cs="Arial"/>
          <w:b/>
          <w:i/>
          <w:sz w:val="24"/>
          <w:szCs w:val="24"/>
          <w:lang w:val="ro-RO"/>
        </w:rPr>
        <w:t>Benzen</w:t>
      </w:r>
      <w:r w:rsidR="00D672DA" w:rsidRPr="00DF4B1A">
        <w:rPr>
          <w:rFonts w:ascii="Arial" w:hAnsi="Arial" w:cs="Arial"/>
          <w:b/>
          <w:i/>
          <w:sz w:val="24"/>
          <w:szCs w:val="24"/>
          <w:lang w:val="ro-RO"/>
        </w:rPr>
        <w:t xml:space="preserve">  (C</w:t>
      </w:r>
      <w:r w:rsidR="00D672DA" w:rsidRPr="00DF4B1A">
        <w:rPr>
          <w:rFonts w:ascii="Arial" w:hAnsi="Arial" w:cs="Arial"/>
          <w:b/>
          <w:i/>
          <w:sz w:val="24"/>
          <w:szCs w:val="24"/>
          <w:vertAlign w:val="subscript"/>
          <w:lang w:val="ro-RO"/>
        </w:rPr>
        <w:t>6</w:t>
      </w:r>
      <w:r w:rsidR="00D672DA" w:rsidRPr="00DF4B1A">
        <w:rPr>
          <w:rFonts w:ascii="Arial" w:hAnsi="Arial" w:cs="Arial"/>
          <w:b/>
          <w:i/>
          <w:sz w:val="24"/>
          <w:szCs w:val="24"/>
          <w:lang w:val="ro-RO"/>
        </w:rPr>
        <w:t>H</w:t>
      </w:r>
      <w:r w:rsidR="00D672DA" w:rsidRPr="00DF4B1A">
        <w:rPr>
          <w:rFonts w:ascii="Arial" w:hAnsi="Arial" w:cs="Arial"/>
          <w:b/>
          <w:i/>
          <w:sz w:val="24"/>
          <w:szCs w:val="24"/>
          <w:vertAlign w:val="subscript"/>
          <w:lang w:val="ro-RO"/>
        </w:rPr>
        <w:t>6</w:t>
      </w:r>
      <w:r w:rsidR="00D672DA" w:rsidRPr="00DF4B1A">
        <w:rPr>
          <w:rFonts w:ascii="Arial" w:hAnsi="Arial" w:cs="Arial"/>
          <w:b/>
          <w:i/>
          <w:sz w:val="24"/>
          <w:szCs w:val="24"/>
          <w:lang w:val="ro-RO"/>
        </w:rPr>
        <w:t>)</w:t>
      </w:r>
    </w:p>
    <w:p w:rsidR="00747715" w:rsidRPr="00747715" w:rsidRDefault="00747715" w:rsidP="00152F86">
      <w:pPr>
        <w:widowControl w:val="0"/>
        <w:spacing w:after="0" w:line="240" w:lineRule="auto"/>
        <w:rPr>
          <w:rFonts w:ascii="Arial" w:hAnsi="Arial" w:cs="Arial"/>
          <w:b/>
          <w:i/>
          <w:sz w:val="6"/>
          <w:szCs w:val="6"/>
          <w:lang w:val="ro-RO"/>
        </w:rPr>
      </w:pPr>
    </w:p>
    <w:p w:rsidR="00583871" w:rsidRDefault="00500037" w:rsidP="00583871">
      <w:pPr>
        <w:widowControl w:val="0"/>
        <w:spacing w:after="0" w:line="240" w:lineRule="auto"/>
        <w:jc w:val="center"/>
        <w:rPr>
          <w:rFonts w:ascii="Arial" w:hAnsi="Arial" w:cs="Arial"/>
          <w:lang w:val="ro-RO"/>
        </w:rPr>
      </w:pPr>
      <w:r w:rsidRPr="00DF4B1A">
        <w:rPr>
          <w:rFonts w:ascii="Arial" w:hAnsi="Arial" w:cs="Arial"/>
          <w:lang w:val="ro-RO"/>
        </w:rPr>
        <w:t>Fig. I.1.1.1.</w:t>
      </w:r>
      <w:r w:rsidR="009F234D">
        <w:rPr>
          <w:rFonts w:ascii="Arial" w:hAnsi="Arial" w:cs="Arial"/>
          <w:lang w:val="ro-RO"/>
        </w:rPr>
        <w:t>5</w:t>
      </w:r>
      <w:r w:rsidRPr="00DF4B1A">
        <w:rPr>
          <w:rFonts w:ascii="Arial" w:hAnsi="Arial" w:cs="Arial"/>
          <w:lang w:val="ro-RO"/>
        </w:rPr>
        <w:t xml:space="preserve">. Concentraţiile medii anuale de </w:t>
      </w:r>
      <w:r w:rsidR="00747715">
        <w:rPr>
          <w:rFonts w:ascii="Arial" w:hAnsi="Arial" w:cs="Arial"/>
          <w:lang w:val="ro-RO"/>
        </w:rPr>
        <w:t>b</w:t>
      </w:r>
      <w:r>
        <w:rPr>
          <w:rFonts w:ascii="Arial" w:hAnsi="Arial" w:cs="Arial"/>
          <w:lang w:val="ro-RO"/>
        </w:rPr>
        <w:t>enzen</w:t>
      </w:r>
      <w:r w:rsidRPr="00DF4B1A">
        <w:rPr>
          <w:rFonts w:ascii="Arial" w:hAnsi="Arial" w:cs="Arial"/>
          <w:lang w:val="ro-RO"/>
        </w:rPr>
        <w:t>,</w:t>
      </w:r>
      <w:r w:rsidR="00583871">
        <w:rPr>
          <w:rFonts w:ascii="Arial" w:hAnsi="Arial" w:cs="Arial"/>
          <w:lang w:val="ro-RO"/>
        </w:rPr>
        <w:t xml:space="preserve"> </w:t>
      </w:r>
    </w:p>
    <w:p w:rsidR="00500037" w:rsidRPr="00DF4B1A" w:rsidRDefault="00500037" w:rsidP="00583871">
      <w:pPr>
        <w:widowControl w:val="0"/>
        <w:spacing w:after="0" w:line="240" w:lineRule="auto"/>
        <w:jc w:val="center"/>
        <w:rPr>
          <w:rFonts w:ascii="Arial" w:hAnsi="Arial" w:cs="Arial"/>
          <w:lang w:val="ro-RO"/>
        </w:rPr>
      </w:pPr>
      <w:r w:rsidRPr="00DF4B1A">
        <w:rPr>
          <w:rFonts w:ascii="Arial" w:hAnsi="Arial" w:cs="Arial"/>
          <w:lang w:val="ro-RO"/>
        </w:rPr>
        <w:t>înregistrate în anul 201</w:t>
      </w:r>
      <w:r w:rsidR="0017527E">
        <w:rPr>
          <w:rFonts w:ascii="Arial" w:hAnsi="Arial" w:cs="Arial"/>
          <w:lang w:val="ro-RO"/>
        </w:rPr>
        <w:t>7</w:t>
      </w:r>
      <w:r w:rsidRPr="00DF4B1A">
        <w:rPr>
          <w:rFonts w:ascii="Arial" w:hAnsi="Arial" w:cs="Arial"/>
          <w:lang w:val="ro-RO"/>
        </w:rPr>
        <w:t xml:space="preserve"> la staţiile de monitorizare din judeţul Suceava</w:t>
      </w:r>
    </w:p>
    <w:p w:rsidR="000B7BF0" w:rsidRDefault="000B7BF0" w:rsidP="000B7BF0">
      <w:pPr>
        <w:widowControl w:val="0"/>
        <w:spacing w:after="0" w:line="240" w:lineRule="auto"/>
        <w:ind w:left="720" w:firstLine="720"/>
        <w:jc w:val="both"/>
        <w:rPr>
          <w:rFonts w:ascii="Arial" w:hAnsi="Arial" w:cs="Arial"/>
          <w:sz w:val="24"/>
          <w:szCs w:val="24"/>
          <w:lang w:val="ro-RO"/>
        </w:rPr>
      </w:pPr>
      <w:r>
        <w:rPr>
          <w:rFonts w:ascii="Arial" w:hAnsi="Arial" w:cs="Arial"/>
          <w:sz w:val="24"/>
          <w:szCs w:val="24"/>
          <w:lang w:val="ro-RO"/>
        </w:rPr>
        <w:t xml:space="preserve">   </w:t>
      </w:r>
      <w:r>
        <w:rPr>
          <w:rFonts w:ascii="Arial" w:hAnsi="Arial" w:cs="Arial"/>
          <w:sz w:val="24"/>
          <w:szCs w:val="24"/>
          <w:lang w:val="ro-RO"/>
        </w:rPr>
        <w:tab/>
        <w:t xml:space="preserve">  </w:t>
      </w:r>
      <w:r w:rsidR="00500037" w:rsidRPr="00500037">
        <w:rPr>
          <w:rFonts w:ascii="Arial" w:hAnsi="Arial" w:cs="Arial"/>
          <w:noProof/>
          <w:sz w:val="24"/>
          <w:szCs w:val="24"/>
          <w:lang w:val="ro-RO" w:eastAsia="ro-RO"/>
        </w:rPr>
        <w:drawing>
          <wp:inline distT="0" distB="0" distL="0" distR="0">
            <wp:extent cx="2352675" cy="866775"/>
            <wp:effectExtent l="0" t="0" r="0" b="0"/>
            <wp:docPr id="2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7527E" w:rsidRDefault="0017527E" w:rsidP="000B7BF0">
      <w:pPr>
        <w:widowControl w:val="0"/>
        <w:spacing w:after="0" w:line="240" w:lineRule="auto"/>
        <w:jc w:val="both"/>
        <w:rPr>
          <w:rFonts w:ascii="Arial" w:hAnsi="Arial" w:cs="Arial"/>
          <w:i/>
          <w:sz w:val="20"/>
          <w:szCs w:val="20"/>
          <w:lang w:val="ro-RO"/>
        </w:rPr>
      </w:pPr>
      <w:r w:rsidRPr="00DF4B1A">
        <w:rPr>
          <w:rFonts w:ascii="Arial" w:hAnsi="Arial" w:cs="Arial"/>
          <w:i/>
          <w:sz w:val="20"/>
          <w:szCs w:val="20"/>
          <w:lang w:val="ro-RO"/>
        </w:rPr>
        <w:t>Not</w:t>
      </w:r>
      <w:r>
        <w:rPr>
          <w:rFonts w:ascii="Arial" w:hAnsi="Arial" w:cs="Arial"/>
          <w:i/>
          <w:sz w:val="20"/>
          <w:szCs w:val="20"/>
          <w:lang w:val="ro-RO"/>
        </w:rPr>
        <w:t>e</w:t>
      </w:r>
      <w:r w:rsidRPr="00DF4B1A">
        <w:rPr>
          <w:rFonts w:ascii="Arial" w:hAnsi="Arial" w:cs="Arial"/>
          <w:i/>
          <w:sz w:val="20"/>
          <w:szCs w:val="20"/>
          <w:lang w:val="ro-RO"/>
        </w:rPr>
        <w:t>:</w:t>
      </w:r>
    </w:p>
    <w:p w:rsidR="0017527E" w:rsidRDefault="0017527E" w:rsidP="0017527E">
      <w:pPr>
        <w:widowControl w:val="0"/>
        <w:spacing w:after="0" w:line="240" w:lineRule="auto"/>
        <w:jc w:val="both"/>
        <w:rPr>
          <w:rFonts w:ascii="Arial" w:hAnsi="Arial" w:cs="Arial"/>
          <w:i/>
          <w:sz w:val="20"/>
          <w:szCs w:val="20"/>
          <w:lang w:val="ro-RO"/>
        </w:rPr>
      </w:pPr>
      <w:r>
        <w:rPr>
          <w:rFonts w:ascii="Arial" w:hAnsi="Arial" w:cs="Arial"/>
          <w:i/>
          <w:sz w:val="20"/>
          <w:szCs w:val="20"/>
          <w:lang w:val="ro-RO"/>
        </w:rPr>
        <w:t>1. Î</w:t>
      </w:r>
      <w:r w:rsidRPr="00DF4B1A">
        <w:rPr>
          <w:rFonts w:ascii="Arial" w:hAnsi="Arial" w:cs="Arial"/>
          <w:i/>
          <w:sz w:val="20"/>
          <w:szCs w:val="20"/>
          <w:lang w:val="ro-RO"/>
        </w:rPr>
        <w:t>n staţia SV</w:t>
      </w:r>
      <w:r>
        <w:rPr>
          <w:rFonts w:ascii="Arial" w:hAnsi="Arial" w:cs="Arial"/>
          <w:i/>
          <w:sz w:val="20"/>
          <w:szCs w:val="20"/>
          <w:lang w:val="ro-RO"/>
        </w:rPr>
        <w:t>2</w:t>
      </w:r>
      <w:r w:rsidRPr="00DF4B1A">
        <w:rPr>
          <w:rFonts w:ascii="Arial" w:hAnsi="Arial" w:cs="Arial"/>
          <w:i/>
          <w:sz w:val="20"/>
          <w:szCs w:val="20"/>
          <w:lang w:val="ro-RO"/>
        </w:rPr>
        <w:t xml:space="preserve"> acest poluant nu se monitorizează.</w:t>
      </w:r>
    </w:p>
    <w:p w:rsidR="0017527E" w:rsidRPr="00025124" w:rsidRDefault="0017527E" w:rsidP="0017527E">
      <w:pPr>
        <w:widowControl w:val="0"/>
        <w:spacing w:after="0" w:line="240" w:lineRule="auto"/>
        <w:jc w:val="both"/>
        <w:rPr>
          <w:rFonts w:ascii="Arial" w:hAnsi="Arial" w:cs="Arial"/>
          <w:i/>
          <w:sz w:val="20"/>
          <w:szCs w:val="20"/>
          <w:lang w:val="ro-RO"/>
        </w:rPr>
      </w:pPr>
      <w:r>
        <w:rPr>
          <w:rFonts w:ascii="Arial" w:hAnsi="Arial" w:cs="Arial"/>
          <w:i/>
          <w:sz w:val="20"/>
          <w:szCs w:val="20"/>
          <w:lang w:val="ro-RO"/>
        </w:rPr>
        <w:t>2.</w:t>
      </w:r>
      <w:r w:rsidRPr="00DF4B1A">
        <w:rPr>
          <w:rFonts w:ascii="Arial" w:hAnsi="Arial" w:cs="Arial"/>
          <w:i/>
          <w:sz w:val="20"/>
          <w:szCs w:val="20"/>
          <w:lang w:val="ro-RO"/>
        </w:rPr>
        <w:t xml:space="preserve"> </w:t>
      </w:r>
      <w:r>
        <w:rPr>
          <w:rFonts w:ascii="Arial" w:hAnsi="Arial" w:cs="Arial"/>
          <w:i/>
          <w:sz w:val="20"/>
          <w:szCs w:val="20"/>
          <w:lang w:val="ro-RO"/>
        </w:rPr>
        <w:t>D</w:t>
      </w:r>
      <w:r w:rsidRPr="00DF4B1A">
        <w:rPr>
          <w:rFonts w:ascii="Arial" w:hAnsi="Arial" w:cs="Arial"/>
          <w:i/>
          <w:sz w:val="20"/>
          <w:szCs w:val="20"/>
          <w:lang w:val="ro-RO"/>
        </w:rPr>
        <w:t xml:space="preserve">in motive tehnice, datele colectate la </w:t>
      </w:r>
      <w:r>
        <w:rPr>
          <w:rFonts w:ascii="Arial" w:hAnsi="Arial" w:cs="Arial"/>
          <w:i/>
          <w:sz w:val="20"/>
          <w:szCs w:val="20"/>
          <w:lang w:val="ro-RO"/>
        </w:rPr>
        <w:t>EM3</w:t>
      </w:r>
      <w:r w:rsidRPr="00DF4B1A">
        <w:rPr>
          <w:rFonts w:ascii="Arial" w:hAnsi="Arial" w:cs="Arial"/>
          <w:i/>
          <w:sz w:val="20"/>
          <w:szCs w:val="20"/>
          <w:lang w:val="ro-RO"/>
        </w:rPr>
        <w:t xml:space="preserve"> sunt insuficiente pentru a respecta criteriile de calitate conform Legii 104/2011.</w:t>
      </w:r>
    </w:p>
    <w:p w:rsidR="0047025B" w:rsidRPr="00DF4B1A" w:rsidRDefault="0047025B" w:rsidP="00152F86">
      <w:pPr>
        <w:widowControl w:val="0"/>
        <w:spacing w:after="0" w:line="240" w:lineRule="auto"/>
        <w:jc w:val="both"/>
        <w:rPr>
          <w:rFonts w:ascii="Arial" w:hAnsi="Arial" w:cs="Arial"/>
          <w:sz w:val="20"/>
          <w:szCs w:val="20"/>
          <w:lang w:val="ro-RO"/>
        </w:rPr>
      </w:pPr>
    </w:p>
    <w:p w:rsidR="00AE0199" w:rsidRPr="00DF4B1A" w:rsidRDefault="00AE0199" w:rsidP="00152F86">
      <w:pPr>
        <w:widowControl w:val="0"/>
        <w:spacing w:after="0" w:line="240" w:lineRule="auto"/>
        <w:jc w:val="both"/>
        <w:rPr>
          <w:rFonts w:ascii="Arial" w:hAnsi="Arial" w:cs="Arial"/>
          <w:b/>
          <w:sz w:val="24"/>
          <w:szCs w:val="24"/>
          <w:lang w:val="ro-RO"/>
        </w:rPr>
      </w:pPr>
      <w:r w:rsidRPr="00DF4B1A">
        <w:rPr>
          <w:rFonts w:ascii="Arial" w:hAnsi="Arial" w:cs="Arial"/>
          <w:b/>
          <w:sz w:val="24"/>
          <w:szCs w:val="24"/>
          <w:lang w:val="ro-RO"/>
        </w:rPr>
        <w:t xml:space="preserve">I.1.1.2. Tendințe privind concentrațiile medii anuale ale anumitor poluanți atmosferici </w:t>
      </w:r>
    </w:p>
    <w:p w:rsidR="00215BD6" w:rsidRPr="00DF4B1A" w:rsidRDefault="00215BD6" w:rsidP="00152F86">
      <w:pPr>
        <w:widowControl w:val="0"/>
        <w:spacing w:after="0" w:line="240" w:lineRule="auto"/>
        <w:jc w:val="both"/>
        <w:rPr>
          <w:rFonts w:ascii="Arial" w:hAnsi="Arial" w:cs="Arial"/>
          <w:sz w:val="16"/>
          <w:szCs w:val="16"/>
          <w:lang w:val="ro-RO"/>
        </w:rPr>
      </w:pPr>
    </w:p>
    <w:p w:rsidR="00AE0199" w:rsidRPr="00DF4B1A" w:rsidRDefault="00AE0199" w:rsidP="00152F86">
      <w:pPr>
        <w:widowControl w:val="0"/>
        <w:spacing w:after="0" w:line="240" w:lineRule="auto"/>
        <w:rPr>
          <w:rFonts w:ascii="Arial" w:hAnsi="Arial" w:cs="Arial"/>
          <w:b/>
          <w:i/>
          <w:sz w:val="24"/>
          <w:szCs w:val="24"/>
          <w:lang w:val="ro-RO"/>
        </w:rPr>
      </w:pPr>
      <w:r w:rsidRPr="00DF4B1A">
        <w:rPr>
          <w:rFonts w:ascii="Arial" w:hAnsi="Arial" w:cs="Arial"/>
          <w:b/>
          <w:i/>
          <w:sz w:val="24"/>
          <w:szCs w:val="24"/>
          <w:lang w:val="ro-RO"/>
        </w:rPr>
        <w:t>Evolu</w:t>
      </w:r>
      <w:r w:rsidR="004D2204" w:rsidRPr="00DF4B1A">
        <w:rPr>
          <w:rFonts w:ascii="Arial" w:hAnsi="Arial" w:cs="Arial"/>
          <w:b/>
          <w:i/>
          <w:sz w:val="24"/>
          <w:szCs w:val="24"/>
          <w:lang w:val="ro-RO"/>
        </w:rPr>
        <w:t xml:space="preserve">ția </w:t>
      </w:r>
      <w:r w:rsidR="00C24C95" w:rsidRPr="00DF4B1A">
        <w:rPr>
          <w:rFonts w:ascii="Arial" w:hAnsi="Arial" w:cs="Arial"/>
          <w:b/>
          <w:i/>
          <w:sz w:val="24"/>
          <w:szCs w:val="24"/>
          <w:lang w:val="ro-RO"/>
        </w:rPr>
        <w:t>calității aerului la indicatorul</w:t>
      </w:r>
      <w:r w:rsidR="004D2204" w:rsidRPr="00DF4B1A">
        <w:rPr>
          <w:rFonts w:ascii="Arial" w:hAnsi="Arial" w:cs="Arial"/>
          <w:b/>
          <w:i/>
          <w:sz w:val="24"/>
          <w:szCs w:val="24"/>
          <w:lang w:val="ro-RO"/>
        </w:rPr>
        <w:t xml:space="preserve"> </w:t>
      </w:r>
      <w:r w:rsidR="005A7A5A" w:rsidRPr="00DF4B1A">
        <w:rPr>
          <w:rFonts w:ascii="Arial" w:hAnsi="Arial" w:cs="Arial"/>
          <w:b/>
          <w:i/>
          <w:sz w:val="24"/>
          <w:szCs w:val="24"/>
          <w:lang w:val="ro-RO"/>
        </w:rPr>
        <w:t>d</w:t>
      </w:r>
      <w:r w:rsidRPr="00DF4B1A">
        <w:rPr>
          <w:rFonts w:ascii="Arial" w:hAnsi="Arial" w:cs="Arial"/>
          <w:b/>
          <w:i/>
          <w:sz w:val="24"/>
          <w:szCs w:val="24"/>
          <w:lang w:val="ro-RO"/>
        </w:rPr>
        <w:t>ioxid de azot (NO</w:t>
      </w:r>
      <w:r w:rsidRPr="00DF4B1A">
        <w:rPr>
          <w:rFonts w:ascii="Arial" w:hAnsi="Arial" w:cs="Arial"/>
          <w:b/>
          <w:i/>
          <w:sz w:val="24"/>
          <w:szCs w:val="24"/>
          <w:vertAlign w:val="subscript"/>
          <w:lang w:val="ro-RO"/>
        </w:rPr>
        <w:t>2</w:t>
      </w:r>
      <w:r w:rsidRPr="00DF4B1A">
        <w:rPr>
          <w:rFonts w:ascii="Arial" w:hAnsi="Arial" w:cs="Arial"/>
          <w:b/>
          <w:i/>
          <w:sz w:val="24"/>
          <w:szCs w:val="24"/>
          <w:lang w:val="ro-RO"/>
        </w:rPr>
        <w:t>)</w:t>
      </w:r>
      <w:r w:rsidR="004D2204" w:rsidRPr="00DF4B1A">
        <w:rPr>
          <w:rFonts w:ascii="Arial" w:hAnsi="Arial" w:cs="Arial"/>
          <w:b/>
          <w:i/>
          <w:sz w:val="24"/>
          <w:szCs w:val="24"/>
          <w:lang w:val="ro-RO"/>
        </w:rPr>
        <w:t xml:space="preserve"> </w:t>
      </w:r>
    </w:p>
    <w:p w:rsidR="00E76EC6" w:rsidRPr="00DF4B1A" w:rsidRDefault="00E76EC6" w:rsidP="00E76EC6">
      <w:pPr>
        <w:widowControl w:val="0"/>
        <w:spacing w:after="0" w:line="240" w:lineRule="auto"/>
        <w:ind w:firstLine="720"/>
        <w:jc w:val="both"/>
        <w:rPr>
          <w:rFonts w:ascii="Arial" w:hAnsi="Arial" w:cs="Arial"/>
          <w:sz w:val="16"/>
          <w:szCs w:val="16"/>
          <w:lang w:val="ro-RO"/>
        </w:rPr>
      </w:pPr>
    </w:p>
    <w:p w:rsidR="00E35E40" w:rsidRPr="00DF4B1A" w:rsidRDefault="004D2204" w:rsidP="00152F86">
      <w:pPr>
        <w:widowControl w:val="0"/>
        <w:spacing w:after="0" w:line="240" w:lineRule="auto"/>
        <w:jc w:val="center"/>
        <w:rPr>
          <w:rFonts w:ascii="Arial" w:hAnsi="Arial" w:cs="Arial"/>
          <w:lang w:val="ro-RO"/>
        </w:rPr>
      </w:pPr>
      <w:r w:rsidRPr="00DF4B1A">
        <w:rPr>
          <w:rFonts w:ascii="Arial" w:hAnsi="Arial" w:cs="Arial"/>
          <w:lang w:val="ro-RO"/>
        </w:rPr>
        <w:t>Fig. I.1.1.</w:t>
      </w:r>
      <w:r w:rsidR="00FB0869" w:rsidRPr="00DF4B1A">
        <w:rPr>
          <w:rFonts w:ascii="Arial" w:hAnsi="Arial" w:cs="Arial"/>
          <w:lang w:val="ro-RO"/>
        </w:rPr>
        <w:t>2</w:t>
      </w:r>
      <w:r w:rsidR="00C404C8" w:rsidRPr="00DF4B1A">
        <w:rPr>
          <w:rFonts w:ascii="Arial" w:hAnsi="Arial" w:cs="Arial"/>
          <w:lang w:val="ro-RO"/>
        </w:rPr>
        <w:t>.1</w:t>
      </w:r>
      <w:r w:rsidR="00E907C4" w:rsidRPr="00DF4B1A">
        <w:rPr>
          <w:rFonts w:ascii="Arial" w:hAnsi="Arial" w:cs="Arial"/>
          <w:lang w:val="ro-RO"/>
        </w:rPr>
        <w:t>.</w:t>
      </w:r>
      <w:r w:rsidR="00C404C8" w:rsidRPr="00DF4B1A">
        <w:rPr>
          <w:rFonts w:ascii="Arial" w:hAnsi="Arial" w:cs="Arial"/>
          <w:lang w:val="ro-RO"/>
        </w:rPr>
        <w:t xml:space="preserve"> </w:t>
      </w:r>
      <w:r w:rsidR="00DE6ED6" w:rsidRPr="00DF4B1A">
        <w:rPr>
          <w:rFonts w:ascii="Arial" w:hAnsi="Arial" w:cs="Arial"/>
          <w:b/>
          <w:lang w:val="ro-RO"/>
        </w:rPr>
        <w:t>NO</w:t>
      </w:r>
      <w:r w:rsidR="00DE6ED6" w:rsidRPr="00DF4B1A">
        <w:rPr>
          <w:rFonts w:ascii="Arial" w:hAnsi="Arial" w:cs="Arial"/>
          <w:b/>
          <w:vertAlign w:val="subscript"/>
          <w:lang w:val="ro-RO"/>
        </w:rPr>
        <w:t>2</w:t>
      </w:r>
      <w:r w:rsidR="00C404C8" w:rsidRPr="00DF4B1A">
        <w:rPr>
          <w:rFonts w:ascii="Arial" w:hAnsi="Arial" w:cs="Arial"/>
          <w:b/>
          <w:lang w:val="ro-RO"/>
        </w:rPr>
        <w:t xml:space="preserve"> </w:t>
      </w:r>
      <w:r w:rsidR="00C404C8" w:rsidRPr="00DF4B1A">
        <w:rPr>
          <w:rFonts w:ascii="Arial" w:hAnsi="Arial" w:cs="Arial"/>
          <w:lang w:val="ro-RO"/>
        </w:rPr>
        <w:t>- Evolu</w:t>
      </w:r>
      <w:r w:rsidR="00E35E40" w:rsidRPr="00DF4B1A">
        <w:rPr>
          <w:rFonts w:ascii="Arial" w:hAnsi="Arial" w:cs="Arial"/>
          <w:lang w:val="ro-RO"/>
        </w:rPr>
        <w:t>ţ</w:t>
      </w:r>
      <w:r w:rsidR="00C404C8" w:rsidRPr="00DF4B1A">
        <w:rPr>
          <w:rFonts w:ascii="Arial" w:hAnsi="Arial" w:cs="Arial"/>
          <w:lang w:val="ro-RO"/>
        </w:rPr>
        <w:t>ia concentra</w:t>
      </w:r>
      <w:r w:rsidR="00E35E40" w:rsidRPr="00DF4B1A">
        <w:rPr>
          <w:rFonts w:ascii="Arial" w:hAnsi="Arial" w:cs="Arial"/>
          <w:lang w:val="ro-RO"/>
        </w:rPr>
        <w:t>ţ</w:t>
      </w:r>
      <w:r w:rsidR="00C404C8" w:rsidRPr="00DF4B1A">
        <w:rPr>
          <w:rFonts w:ascii="Arial" w:hAnsi="Arial" w:cs="Arial"/>
          <w:lang w:val="ro-RO"/>
        </w:rPr>
        <w:t>iilor medii anuale înregistrate la sta</w:t>
      </w:r>
      <w:r w:rsidR="00E35E40" w:rsidRPr="00DF4B1A">
        <w:rPr>
          <w:rFonts w:ascii="Arial" w:hAnsi="Arial" w:cs="Arial"/>
          <w:lang w:val="ro-RO"/>
        </w:rPr>
        <w:t>ţ</w:t>
      </w:r>
      <w:r w:rsidR="00C404C8" w:rsidRPr="00DF4B1A">
        <w:rPr>
          <w:rFonts w:ascii="Arial" w:hAnsi="Arial" w:cs="Arial"/>
          <w:lang w:val="ro-RO"/>
        </w:rPr>
        <w:t xml:space="preserve">iile </w:t>
      </w:r>
    </w:p>
    <w:p w:rsidR="00DE6ED6" w:rsidRPr="00DF4B1A" w:rsidRDefault="00C404C8" w:rsidP="00152F86">
      <w:pPr>
        <w:widowControl w:val="0"/>
        <w:spacing w:after="0" w:line="240" w:lineRule="auto"/>
        <w:jc w:val="center"/>
        <w:rPr>
          <w:rFonts w:ascii="Arial" w:hAnsi="Arial" w:cs="Arial"/>
          <w:lang w:val="ro-RO"/>
        </w:rPr>
      </w:pPr>
      <w:r w:rsidRPr="00DF4B1A">
        <w:rPr>
          <w:rFonts w:ascii="Arial" w:hAnsi="Arial" w:cs="Arial"/>
          <w:lang w:val="ro-RO"/>
        </w:rPr>
        <w:t xml:space="preserve">de monitorizare </w:t>
      </w:r>
      <w:r w:rsidR="00DE6ED6" w:rsidRPr="00DF4B1A">
        <w:rPr>
          <w:rFonts w:ascii="Arial" w:hAnsi="Arial" w:cs="Arial"/>
          <w:lang w:val="ro-RO"/>
        </w:rPr>
        <w:t xml:space="preserve">din judeţul Suceava </w:t>
      </w:r>
      <w:r w:rsidRPr="00DF4B1A">
        <w:rPr>
          <w:rFonts w:ascii="Arial" w:hAnsi="Arial" w:cs="Arial"/>
          <w:lang w:val="ro-RO"/>
        </w:rPr>
        <w:t xml:space="preserve">în </w:t>
      </w:r>
      <w:r w:rsidR="00DE6ED6" w:rsidRPr="00DF4B1A">
        <w:rPr>
          <w:rFonts w:ascii="Arial" w:hAnsi="Arial" w:cs="Arial"/>
          <w:lang w:val="ro-RO"/>
        </w:rPr>
        <w:t>raport cu valoarea limită anuală</w:t>
      </w:r>
      <w:r w:rsidRPr="00DF4B1A">
        <w:rPr>
          <w:rFonts w:ascii="Arial" w:hAnsi="Arial" w:cs="Arial"/>
          <w:lang w:val="ro-RO"/>
        </w:rPr>
        <w:t xml:space="preserve"> </w:t>
      </w:r>
    </w:p>
    <w:p w:rsidR="00AD78D0" w:rsidRPr="00DF4B1A" w:rsidRDefault="003A38AC" w:rsidP="00520BDB">
      <w:pPr>
        <w:widowControl w:val="0"/>
        <w:spacing w:after="120" w:line="240" w:lineRule="auto"/>
        <w:jc w:val="center"/>
        <w:rPr>
          <w:rFonts w:ascii="Arial" w:hAnsi="Arial" w:cs="Arial"/>
          <w:sz w:val="24"/>
          <w:szCs w:val="24"/>
          <w:lang w:val="ro-RO"/>
        </w:rPr>
      </w:pPr>
      <w:r w:rsidRPr="00DF4B1A">
        <w:rPr>
          <w:rFonts w:ascii="Arial" w:hAnsi="Arial" w:cs="Arial"/>
          <w:noProof/>
          <w:sz w:val="24"/>
          <w:szCs w:val="24"/>
          <w:lang w:val="ro-RO" w:eastAsia="ro-RO"/>
        </w:rPr>
        <w:drawing>
          <wp:inline distT="0" distB="0" distL="0" distR="0">
            <wp:extent cx="6181725" cy="1104900"/>
            <wp:effectExtent l="0" t="0" r="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F5B39" w:rsidRPr="00DF4B1A" w:rsidRDefault="007F5B39" w:rsidP="00152F86">
      <w:pPr>
        <w:widowControl w:val="0"/>
        <w:spacing w:after="0" w:line="240" w:lineRule="auto"/>
        <w:jc w:val="both"/>
        <w:rPr>
          <w:rFonts w:ascii="Arial" w:hAnsi="Arial" w:cs="Arial"/>
          <w:i/>
          <w:sz w:val="20"/>
          <w:szCs w:val="20"/>
          <w:lang w:val="ro-RO"/>
        </w:rPr>
      </w:pPr>
      <w:r w:rsidRPr="00DF4B1A">
        <w:rPr>
          <w:rFonts w:ascii="Arial" w:hAnsi="Arial" w:cs="Arial"/>
          <w:i/>
          <w:sz w:val="20"/>
          <w:szCs w:val="20"/>
          <w:lang w:val="ro-RO"/>
        </w:rPr>
        <w:t xml:space="preserve">Notă: În </w:t>
      </w:r>
      <w:r w:rsidR="00E006CD" w:rsidRPr="00DF4B1A">
        <w:rPr>
          <w:rFonts w:ascii="Arial" w:hAnsi="Arial" w:cs="Arial"/>
          <w:i/>
          <w:sz w:val="20"/>
          <w:szCs w:val="20"/>
          <w:lang w:val="ro-RO"/>
        </w:rPr>
        <w:t>unii ani</w:t>
      </w:r>
      <w:r w:rsidR="00E76EC6" w:rsidRPr="00DF4B1A">
        <w:rPr>
          <w:rFonts w:ascii="Arial" w:hAnsi="Arial" w:cs="Arial"/>
          <w:i/>
          <w:sz w:val="20"/>
          <w:szCs w:val="20"/>
          <w:lang w:val="ro-RO"/>
        </w:rPr>
        <w:t>,</w:t>
      </w:r>
      <w:r w:rsidRPr="00DF4B1A">
        <w:rPr>
          <w:rFonts w:ascii="Arial" w:hAnsi="Arial" w:cs="Arial"/>
          <w:i/>
          <w:sz w:val="20"/>
          <w:szCs w:val="20"/>
          <w:lang w:val="ro-RO"/>
        </w:rPr>
        <w:t xml:space="preserve"> datele colectate</w:t>
      </w:r>
      <w:r w:rsidR="001A37DE" w:rsidRPr="00DF4B1A">
        <w:rPr>
          <w:rFonts w:ascii="Arial" w:hAnsi="Arial" w:cs="Arial"/>
          <w:i/>
          <w:sz w:val="20"/>
          <w:szCs w:val="20"/>
          <w:lang w:val="ro-RO"/>
        </w:rPr>
        <w:t xml:space="preserve"> la unele staţii</w:t>
      </w:r>
      <w:r w:rsidRPr="00DF4B1A">
        <w:rPr>
          <w:rFonts w:ascii="Arial" w:hAnsi="Arial" w:cs="Arial"/>
          <w:i/>
          <w:sz w:val="20"/>
          <w:szCs w:val="20"/>
          <w:lang w:val="ro-RO"/>
        </w:rPr>
        <w:t xml:space="preserve"> </w:t>
      </w:r>
      <w:r w:rsidR="000E250F" w:rsidRPr="00DF4B1A">
        <w:rPr>
          <w:rFonts w:ascii="Arial" w:hAnsi="Arial" w:cs="Arial"/>
          <w:i/>
          <w:sz w:val="20"/>
          <w:szCs w:val="20"/>
          <w:lang w:val="ro-RO"/>
        </w:rPr>
        <w:t>au lips</w:t>
      </w:r>
      <w:r w:rsidR="000E250F">
        <w:rPr>
          <w:rFonts w:ascii="Arial" w:hAnsi="Arial" w:cs="Arial"/>
          <w:i/>
          <w:sz w:val="20"/>
          <w:szCs w:val="20"/>
          <w:lang w:val="ro-RO"/>
        </w:rPr>
        <w:t xml:space="preserve">it sau au </w:t>
      </w:r>
      <w:r w:rsidR="000E250F" w:rsidRPr="00DF4B1A">
        <w:rPr>
          <w:rFonts w:ascii="Arial" w:hAnsi="Arial" w:cs="Arial"/>
          <w:i/>
          <w:sz w:val="20"/>
          <w:szCs w:val="20"/>
          <w:lang w:val="ro-RO"/>
        </w:rPr>
        <w:t xml:space="preserve">fost insuficiente </w:t>
      </w:r>
      <w:r w:rsidRPr="00DF4B1A">
        <w:rPr>
          <w:rFonts w:ascii="Arial" w:hAnsi="Arial" w:cs="Arial"/>
          <w:i/>
          <w:sz w:val="20"/>
          <w:szCs w:val="20"/>
          <w:lang w:val="ro-RO"/>
        </w:rPr>
        <w:t>pentru a respecta criteriile de c</w:t>
      </w:r>
      <w:r w:rsidR="00743849">
        <w:rPr>
          <w:rFonts w:ascii="Arial" w:hAnsi="Arial" w:cs="Arial"/>
          <w:i/>
          <w:sz w:val="20"/>
          <w:szCs w:val="20"/>
          <w:lang w:val="ro-RO"/>
        </w:rPr>
        <w:t>alitate conform Legii 104/2011.</w:t>
      </w:r>
    </w:p>
    <w:p w:rsidR="00C71F07" w:rsidRPr="00DF4B1A" w:rsidRDefault="00FD72A9" w:rsidP="00152F86">
      <w:pPr>
        <w:widowControl w:val="0"/>
        <w:spacing w:after="0" w:line="240" w:lineRule="auto"/>
        <w:jc w:val="both"/>
        <w:rPr>
          <w:rFonts w:ascii="Arial" w:hAnsi="Arial" w:cs="Arial"/>
          <w:sz w:val="10"/>
          <w:szCs w:val="10"/>
          <w:lang w:val="ro-RO"/>
        </w:rPr>
      </w:pPr>
      <w:r w:rsidRPr="00DF4B1A">
        <w:rPr>
          <w:rFonts w:ascii="Arial" w:hAnsi="Arial" w:cs="Arial"/>
          <w:sz w:val="24"/>
          <w:szCs w:val="24"/>
          <w:lang w:val="ro-RO"/>
        </w:rPr>
        <w:tab/>
      </w:r>
    </w:p>
    <w:p w:rsidR="00E006CD" w:rsidRDefault="00FD72A9" w:rsidP="00152F86">
      <w:pPr>
        <w:widowControl w:val="0"/>
        <w:spacing w:after="0" w:line="240" w:lineRule="auto"/>
        <w:ind w:firstLine="720"/>
        <w:jc w:val="both"/>
        <w:rPr>
          <w:rFonts w:ascii="Arial" w:hAnsi="Arial" w:cs="Arial"/>
          <w:sz w:val="24"/>
          <w:szCs w:val="24"/>
          <w:lang w:val="ro-RO"/>
        </w:rPr>
      </w:pPr>
      <w:r w:rsidRPr="006E7E46">
        <w:rPr>
          <w:rFonts w:ascii="Arial" w:hAnsi="Arial" w:cs="Arial"/>
          <w:sz w:val="24"/>
          <w:szCs w:val="24"/>
          <w:lang w:val="ro-RO"/>
        </w:rPr>
        <w:t>Din figura I.1.1.</w:t>
      </w:r>
      <w:r w:rsidR="00D672DA" w:rsidRPr="006E7E46">
        <w:rPr>
          <w:rFonts w:ascii="Arial" w:hAnsi="Arial" w:cs="Arial"/>
          <w:sz w:val="24"/>
          <w:szCs w:val="24"/>
          <w:lang w:val="ro-RO"/>
        </w:rPr>
        <w:t>2</w:t>
      </w:r>
      <w:r w:rsidRPr="006E7E46">
        <w:rPr>
          <w:rFonts w:ascii="Arial" w:hAnsi="Arial" w:cs="Arial"/>
          <w:sz w:val="24"/>
          <w:szCs w:val="24"/>
          <w:lang w:val="ro-RO"/>
        </w:rPr>
        <w:t>.1</w:t>
      </w:r>
      <w:r w:rsidRPr="006E7E46">
        <w:rPr>
          <w:rFonts w:ascii="Arial" w:hAnsi="Arial" w:cs="Arial"/>
          <w:lang w:val="ro-RO"/>
        </w:rPr>
        <w:t xml:space="preserve"> </w:t>
      </w:r>
      <w:r w:rsidRPr="006E7E46">
        <w:rPr>
          <w:rFonts w:ascii="Arial" w:hAnsi="Arial" w:cs="Arial"/>
          <w:sz w:val="24"/>
          <w:szCs w:val="24"/>
          <w:lang w:val="ro-RO"/>
        </w:rPr>
        <w:t xml:space="preserve">se constată </w:t>
      </w:r>
      <w:r w:rsidR="002216C9">
        <w:rPr>
          <w:rFonts w:ascii="Arial" w:hAnsi="Arial" w:cs="Arial"/>
          <w:sz w:val="24"/>
          <w:szCs w:val="24"/>
          <w:lang w:val="ro-RO"/>
        </w:rPr>
        <w:t>că</w:t>
      </w:r>
      <w:r w:rsidR="00A90B51">
        <w:rPr>
          <w:rFonts w:ascii="Arial" w:hAnsi="Arial" w:cs="Arial"/>
          <w:sz w:val="24"/>
          <w:szCs w:val="24"/>
          <w:lang w:val="ro-RO"/>
        </w:rPr>
        <w:t>,</w:t>
      </w:r>
      <w:r w:rsidR="002216C9">
        <w:rPr>
          <w:rFonts w:ascii="Arial" w:hAnsi="Arial" w:cs="Arial"/>
          <w:sz w:val="24"/>
          <w:szCs w:val="24"/>
          <w:lang w:val="ro-RO"/>
        </w:rPr>
        <w:t xml:space="preserve"> </w:t>
      </w:r>
      <w:r w:rsidR="00A90B51" w:rsidRPr="00DF4B1A">
        <w:rPr>
          <w:rFonts w:ascii="Arial" w:hAnsi="Arial" w:cs="Arial"/>
          <w:sz w:val="24"/>
          <w:szCs w:val="24"/>
          <w:lang w:val="ro-RO"/>
        </w:rPr>
        <w:t>la nivelul județului Suceava</w:t>
      </w:r>
      <w:r w:rsidR="00A90B51">
        <w:rPr>
          <w:rFonts w:ascii="Arial" w:hAnsi="Arial" w:cs="Arial"/>
          <w:sz w:val="24"/>
          <w:szCs w:val="24"/>
          <w:lang w:val="ro-RO"/>
        </w:rPr>
        <w:t>,</w:t>
      </w:r>
      <w:r w:rsidR="00A90B51" w:rsidRPr="00DF4B1A">
        <w:rPr>
          <w:rFonts w:ascii="Arial" w:hAnsi="Arial" w:cs="Arial"/>
          <w:sz w:val="24"/>
          <w:szCs w:val="24"/>
          <w:lang w:val="ro-RO"/>
        </w:rPr>
        <w:t xml:space="preserve"> </w:t>
      </w:r>
      <w:r w:rsidR="002216C9">
        <w:rPr>
          <w:rFonts w:ascii="Arial" w:hAnsi="Arial" w:cs="Arial"/>
          <w:sz w:val="24"/>
          <w:szCs w:val="24"/>
          <w:lang w:val="ro-RO"/>
        </w:rPr>
        <w:t>t</w:t>
      </w:r>
      <w:r w:rsidR="002216C9" w:rsidRPr="00DF4B1A">
        <w:rPr>
          <w:rFonts w:ascii="Arial" w:hAnsi="Arial" w:cs="Arial"/>
          <w:sz w:val="24"/>
          <w:szCs w:val="24"/>
          <w:lang w:val="ro-RO"/>
        </w:rPr>
        <w:t xml:space="preserve">endința este de </w:t>
      </w:r>
      <w:r w:rsidR="002216C9" w:rsidRPr="00DF4B1A">
        <w:rPr>
          <w:rFonts w:ascii="Arial" w:hAnsi="Arial" w:cs="Arial"/>
          <w:b/>
          <w:sz w:val="24"/>
          <w:szCs w:val="24"/>
          <w:lang w:val="ro-RO"/>
        </w:rPr>
        <w:t>menținere a unor concentrații reduse ale NO</w:t>
      </w:r>
      <w:r w:rsidR="002216C9" w:rsidRPr="00DF4B1A">
        <w:rPr>
          <w:rFonts w:ascii="Arial" w:hAnsi="Arial" w:cs="Arial"/>
          <w:b/>
          <w:sz w:val="24"/>
          <w:szCs w:val="24"/>
          <w:vertAlign w:val="subscript"/>
          <w:lang w:val="ro-RO"/>
        </w:rPr>
        <w:t>2</w:t>
      </w:r>
      <w:r w:rsidR="002216C9" w:rsidRPr="00DF4B1A">
        <w:rPr>
          <w:rFonts w:ascii="Arial" w:hAnsi="Arial" w:cs="Arial"/>
          <w:b/>
          <w:sz w:val="24"/>
          <w:szCs w:val="24"/>
          <w:lang w:val="ro-RO"/>
        </w:rPr>
        <w:t xml:space="preserve"> în aerul înconjurător</w:t>
      </w:r>
      <w:r w:rsidR="00A90B51">
        <w:rPr>
          <w:rFonts w:ascii="Arial" w:hAnsi="Arial" w:cs="Arial"/>
          <w:sz w:val="24"/>
          <w:szCs w:val="24"/>
          <w:lang w:val="ro-RO"/>
        </w:rPr>
        <w:t xml:space="preserve">, </w:t>
      </w:r>
      <w:r w:rsidR="0067551E">
        <w:rPr>
          <w:rFonts w:ascii="Arial" w:hAnsi="Arial" w:cs="Arial"/>
          <w:sz w:val="24"/>
          <w:szCs w:val="24"/>
          <w:lang w:val="ro-RO"/>
        </w:rPr>
        <w:t xml:space="preserve">mult </w:t>
      </w:r>
      <w:r w:rsidR="00C46B4B" w:rsidRPr="006E7E46">
        <w:rPr>
          <w:rFonts w:ascii="Arial" w:hAnsi="Arial" w:cs="Arial"/>
          <w:sz w:val="24"/>
          <w:szCs w:val="24"/>
          <w:lang w:val="ro-RO"/>
        </w:rPr>
        <w:t xml:space="preserve">sub VL anuală pentru protecția sănătății umane, în </w:t>
      </w:r>
      <w:r w:rsidR="006E7E46" w:rsidRPr="006E7E46">
        <w:rPr>
          <w:rFonts w:ascii="Arial" w:hAnsi="Arial" w:cs="Arial"/>
          <w:sz w:val="24"/>
          <w:szCs w:val="24"/>
          <w:lang w:val="ro-RO"/>
        </w:rPr>
        <w:t>toate stațiile de monitorizare</w:t>
      </w:r>
      <w:r w:rsidR="0067551E">
        <w:rPr>
          <w:rFonts w:ascii="Arial" w:hAnsi="Arial" w:cs="Arial"/>
          <w:sz w:val="24"/>
          <w:szCs w:val="24"/>
          <w:lang w:val="ro-RO"/>
        </w:rPr>
        <w:t>.</w:t>
      </w:r>
    </w:p>
    <w:p w:rsidR="009F234D" w:rsidRPr="009F234D" w:rsidRDefault="009F234D" w:rsidP="00152F86">
      <w:pPr>
        <w:widowControl w:val="0"/>
        <w:spacing w:after="0" w:line="240" w:lineRule="auto"/>
        <w:ind w:firstLine="720"/>
        <w:jc w:val="both"/>
        <w:rPr>
          <w:rFonts w:ascii="Arial" w:hAnsi="Arial" w:cs="Arial"/>
          <w:sz w:val="10"/>
          <w:szCs w:val="10"/>
          <w:lang w:val="ro-RO"/>
        </w:rPr>
      </w:pPr>
    </w:p>
    <w:p w:rsidR="00D672DA" w:rsidRPr="00DF4B1A" w:rsidRDefault="00D672DA" w:rsidP="00152F86">
      <w:pPr>
        <w:widowControl w:val="0"/>
        <w:spacing w:after="0" w:line="240" w:lineRule="auto"/>
        <w:rPr>
          <w:rFonts w:ascii="Arial" w:hAnsi="Arial" w:cs="Arial"/>
          <w:sz w:val="16"/>
          <w:szCs w:val="16"/>
          <w:lang w:val="ro-RO"/>
        </w:rPr>
      </w:pPr>
    </w:p>
    <w:p w:rsidR="00D672DA" w:rsidRPr="00DF4B1A" w:rsidRDefault="00D672DA" w:rsidP="00152F86">
      <w:pPr>
        <w:widowControl w:val="0"/>
        <w:spacing w:after="0" w:line="240" w:lineRule="auto"/>
        <w:rPr>
          <w:rFonts w:ascii="Arial" w:hAnsi="Arial" w:cs="Arial"/>
          <w:b/>
          <w:i/>
          <w:sz w:val="24"/>
          <w:szCs w:val="24"/>
          <w:lang w:val="ro-RO"/>
        </w:rPr>
      </w:pPr>
      <w:r w:rsidRPr="00DF4B1A">
        <w:rPr>
          <w:rFonts w:ascii="Arial" w:hAnsi="Arial" w:cs="Arial"/>
          <w:b/>
          <w:i/>
          <w:sz w:val="24"/>
          <w:szCs w:val="24"/>
          <w:lang w:val="ro-RO"/>
        </w:rPr>
        <w:t>Evoluția calității aerului la indicatorul dioxid de sulf (SO</w:t>
      </w:r>
      <w:r w:rsidRPr="00DF4B1A">
        <w:rPr>
          <w:rFonts w:ascii="Arial" w:hAnsi="Arial" w:cs="Arial"/>
          <w:b/>
          <w:i/>
          <w:sz w:val="24"/>
          <w:szCs w:val="24"/>
          <w:vertAlign w:val="subscript"/>
          <w:lang w:val="ro-RO"/>
        </w:rPr>
        <w:t>2</w:t>
      </w:r>
      <w:r w:rsidRPr="00DF4B1A">
        <w:rPr>
          <w:rFonts w:ascii="Arial" w:hAnsi="Arial" w:cs="Arial"/>
          <w:b/>
          <w:i/>
          <w:sz w:val="24"/>
          <w:szCs w:val="24"/>
          <w:lang w:val="ro-RO"/>
        </w:rPr>
        <w:t xml:space="preserve">) </w:t>
      </w:r>
    </w:p>
    <w:p w:rsidR="00E76EC6" w:rsidRPr="00C46B4B" w:rsidRDefault="00E76EC6" w:rsidP="00E76EC6">
      <w:pPr>
        <w:widowControl w:val="0"/>
        <w:spacing w:after="0" w:line="240" w:lineRule="auto"/>
        <w:ind w:firstLine="720"/>
        <w:jc w:val="both"/>
        <w:rPr>
          <w:rFonts w:ascii="Arial" w:hAnsi="Arial" w:cs="Arial"/>
          <w:sz w:val="12"/>
          <w:szCs w:val="12"/>
          <w:lang w:val="ro-RO"/>
        </w:rPr>
      </w:pPr>
    </w:p>
    <w:p w:rsidR="009824DC" w:rsidRDefault="00D672DA" w:rsidP="00152F86">
      <w:pPr>
        <w:widowControl w:val="0"/>
        <w:spacing w:after="0" w:line="240" w:lineRule="auto"/>
        <w:jc w:val="center"/>
        <w:rPr>
          <w:rFonts w:ascii="Arial" w:hAnsi="Arial" w:cs="Arial"/>
          <w:lang w:val="ro-RO"/>
        </w:rPr>
      </w:pPr>
      <w:r w:rsidRPr="00DF4B1A">
        <w:rPr>
          <w:rFonts w:ascii="Arial" w:hAnsi="Arial" w:cs="Arial"/>
          <w:lang w:val="ro-RO"/>
        </w:rPr>
        <w:t>Fig. I.1.1.2.2</w:t>
      </w:r>
      <w:r w:rsidR="00C71F07" w:rsidRPr="00DF4B1A">
        <w:rPr>
          <w:rFonts w:ascii="Arial" w:hAnsi="Arial" w:cs="Arial"/>
          <w:lang w:val="ro-RO"/>
        </w:rPr>
        <w:t>.</w:t>
      </w:r>
      <w:r w:rsidRPr="00DF4B1A">
        <w:rPr>
          <w:rFonts w:ascii="Arial" w:hAnsi="Arial" w:cs="Arial"/>
          <w:lang w:val="ro-RO"/>
        </w:rPr>
        <w:t xml:space="preserve"> </w:t>
      </w:r>
      <w:r w:rsidR="00C71F07" w:rsidRPr="00DF4B1A">
        <w:rPr>
          <w:rFonts w:ascii="Arial" w:hAnsi="Arial" w:cs="Arial"/>
          <w:b/>
          <w:lang w:val="ro-RO"/>
        </w:rPr>
        <w:t>SO</w:t>
      </w:r>
      <w:r w:rsidR="00C71F07" w:rsidRPr="00DF4B1A">
        <w:rPr>
          <w:rFonts w:ascii="Arial" w:hAnsi="Arial" w:cs="Arial"/>
          <w:b/>
          <w:vertAlign w:val="subscript"/>
          <w:lang w:val="ro-RO"/>
        </w:rPr>
        <w:t>2</w:t>
      </w:r>
      <w:r w:rsidR="00C71F07" w:rsidRPr="00DF4B1A">
        <w:rPr>
          <w:rFonts w:ascii="Arial" w:hAnsi="Arial" w:cs="Arial"/>
          <w:lang w:val="ro-RO"/>
        </w:rPr>
        <w:t xml:space="preserve"> - </w:t>
      </w:r>
      <w:r w:rsidR="00E35E40" w:rsidRPr="00DF4B1A">
        <w:rPr>
          <w:rFonts w:ascii="Arial" w:hAnsi="Arial" w:cs="Arial"/>
          <w:lang w:val="ro-RO"/>
        </w:rPr>
        <w:t xml:space="preserve">Evoluţia concentraţiilor medii anuale </w:t>
      </w:r>
    </w:p>
    <w:p w:rsidR="00D672DA" w:rsidRPr="00DF4B1A" w:rsidRDefault="00E35E40" w:rsidP="00520BDB">
      <w:pPr>
        <w:widowControl w:val="0"/>
        <w:spacing w:after="120" w:line="240" w:lineRule="auto"/>
        <w:jc w:val="center"/>
        <w:rPr>
          <w:rFonts w:ascii="Arial" w:hAnsi="Arial" w:cs="Arial"/>
          <w:noProof/>
          <w:sz w:val="24"/>
          <w:szCs w:val="24"/>
          <w:lang w:val="ro-RO" w:eastAsia="ro-RO"/>
        </w:rPr>
      </w:pPr>
      <w:r w:rsidRPr="00DF4B1A">
        <w:rPr>
          <w:rFonts w:ascii="Arial" w:hAnsi="Arial" w:cs="Arial"/>
          <w:lang w:val="ro-RO"/>
        </w:rPr>
        <w:t xml:space="preserve">înregistrate la staţiile </w:t>
      </w:r>
      <w:r w:rsidR="00C71F07" w:rsidRPr="00DF4B1A">
        <w:rPr>
          <w:rFonts w:ascii="Arial" w:hAnsi="Arial" w:cs="Arial"/>
          <w:lang w:val="ro-RO"/>
        </w:rPr>
        <w:t xml:space="preserve">de monitorizare din judeţul Suceava </w:t>
      </w:r>
      <w:r w:rsidR="00D672DA" w:rsidRPr="00DF4B1A">
        <w:rPr>
          <w:rFonts w:ascii="Arial" w:hAnsi="Arial" w:cs="Arial"/>
          <w:noProof/>
          <w:sz w:val="24"/>
          <w:szCs w:val="24"/>
          <w:lang w:val="ro-RO" w:eastAsia="ro-RO"/>
        </w:rPr>
        <w:drawing>
          <wp:inline distT="0" distB="0" distL="0" distR="0">
            <wp:extent cx="6038850" cy="1066800"/>
            <wp:effectExtent l="0" t="0" r="0" b="0"/>
            <wp:docPr id="1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A37DE" w:rsidRPr="00DF4B1A" w:rsidRDefault="001A37DE" w:rsidP="00152F86">
      <w:pPr>
        <w:widowControl w:val="0"/>
        <w:spacing w:after="0" w:line="240" w:lineRule="auto"/>
        <w:jc w:val="both"/>
        <w:rPr>
          <w:rFonts w:ascii="Arial" w:hAnsi="Arial" w:cs="Arial"/>
          <w:i/>
          <w:sz w:val="20"/>
          <w:szCs w:val="20"/>
          <w:lang w:val="ro-RO"/>
        </w:rPr>
      </w:pPr>
      <w:r w:rsidRPr="00DF4B1A">
        <w:rPr>
          <w:rFonts w:ascii="Arial" w:hAnsi="Arial" w:cs="Arial"/>
          <w:i/>
          <w:sz w:val="20"/>
          <w:szCs w:val="20"/>
          <w:lang w:val="ro-RO"/>
        </w:rPr>
        <w:t>Notă: În unii ani</w:t>
      </w:r>
      <w:r w:rsidR="00E76EC6" w:rsidRPr="00DF4B1A">
        <w:rPr>
          <w:rFonts w:ascii="Arial" w:hAnsi="Arial" w:cs="Arial"/>
          <w:i/>
          <w:sz w:val="20"/>
          <w:szCs w:val="20"/>
          <w:lang w:val="ro-RO"/>
        </w:rPr>
        <w:t>,</w:t>
      </w:r>
      <w:r w:rsidRPr="00DF4B1A">
        <w:rPr>
          <w:rFonts w:ascii="Arial" w:hAnsi="Arial" w:cs="Arial"/>
          <w:i/>
          <w:sz w:val="20"/>
          <w:szCs w:val="20"/>
          <w:lang w:val="ro-RO"/>
        </w:rPr>
        <w:t xml:space="preserve"> datele colectate la unele staţii </w:t>
      </w:r>
      <w:r w:rsidR="000E250F" w:rsidRPr="00DF4B1A">
        <w:rPr>
          <w:rFonts w:ascii="Arial" w:hAnsi="Arial" w:cs="Arial"/>
          <w:i/>
          <w:sz w:val="20"/>
          <w:szCs w:val="20"/>
          <w:lang w:val="ro-RO"/>
        </w:rPr>
        <w:t>au lips</w:t>
      </w:r>
      <w:r w:rsidR="000E250F">
        <w:rPr>
          <w:rFonts w:ascii="Arial" w:hAnsi="Arial" w:cs="Arial"/>
          <w:i/>
          <w:sz w:val="20"/>
          <w:szCs w:val="20"/>
          <w:lang w:val="ro-RO"/>
        </w:rPr>
        <w:t xml:space="preserve">it sau au </w:t>
      </w:r>
      <w:r w:rsidR="000E250F" w:rsidRPr="00DF4B1A">
        <w:rPr>
          <w:rFonts w:ascii="Arial" w:hAnsi="Arial" w:cs="Arial"/>
          <w:i/>
          <w:sz w:val="20"/>
          <w:szCs w:val="20"/>
          <w:lang w:val="ro-RO"/>
        </w:rPr>
        <w:t xml:space="preserve">fost insuficiente </w:t>
      </w:r>
      <w:r w:rsidRPr="00DF4B1A">
        <w:rPr>
          <w:rFonts w:ascii="Arial" w:hAnsi="Arial" w:cs="Arial"/>
          <w:i/>
          <w:sz w:val="20"/>
          <w:szCs w:val="20"/>
          <w:lang w:val="ro-RO"/>
        </w:rPr>
        <w:t>pentru a respecta criteriile de c</w:t>
      </w:r>
      <w:r w:rsidR="00743849">
        <w:rPr>
          <w:rFonts w:ascii="Arial" w:hAnsi="Arial" w:cs="Arial"/>
          <w:i/>
          <w:sz w:val="20"/>
          <w:szCs w:val="20"/>
          <w:lang w:val="ro-RO"/>
        </w:rPr>
        <w:t>alitate conform Legii 104/2011</w:t>
      </w:r>
      <w:r w:rsidRPr="00DF4B1A">
        <w:rPr>
          <w:rFonts w:ascii="Arial" w:hAnsi="Arial" w:cs="Arial"/>
          <w:i/>
          <w:sz w:val="20"/>
          <w:szCs w:val="20"/>
          <w:lang w:val="ro-RO"/>
        </w:rPr>
        <w:t>.</w:t>
      </w:r>
    </w:p>
    <w:p w:rsidR="007F5B39" w:rsidRPr="00DF4B1A" w:rsidRDefault="007F5B39" w:rsidP="00152F86">
      <w:pPr>
        <w:widowControl w:val="0"/>
        <w:spacing w:after="0" w:line="240" w:lineRule="auto"/>
        <w:ind w:firstLine="720"/>
        <w:jc w:val="both"/>
        <w:rPr>
          <w:rFonts w:ascii="Arial" w:hAnsi="Arial" w:cs="Arial"/>
          <w:sz w:val="10"/>
          <w:szCs w:val="10"/>
          <w:lang w:val="ro-RO"/>
        </w:rPr>
      </w:pPr>
    </w:p>
    <w:p w:rsidR="00E907C4" w:rsidRPr="00DF4B1A" w:rsidRDefault="002216C9" w:rsidP="00152F86">
      <w:pPr>
        <w:widowControl w:val="0"/>
        <w:spacing w:after="0" w:line="240" w:lineRule="auto"/>
        <w:ind w:firstLine="720"/>
        <w:jc w:val="both"/>
        <w:rPr>
          <w:rFonts w:ascii="Arial" w:hAnsi="Arial" w:cs="Arial"/>
          <w:sz w:val="24"/>
          <w:szCs w:val="24"/>
          <w:lang w:val="ro-RO"/>
        </w:rPr>
      </w:pPr>
      <w:r w:rsidRPr="00DF4B1A">
        <w:rPr>
          <w:rFonts w:ascii="Arial" w:hAnsi="Arial" w:cs="Arial"/>
          <w:sz w:val="24"/>
          <w:szCs w:val="24"/>
          <w:lang w:val="ro-RO"/>
        </w:rPr>
        <w:t xml:space="preserve">Tendința la nivelul județului Suceava este de </w:t>
      </w:r>
      <w:r w:rsidRPr="00DF4B1A">
        <w:rPr>
          <w:rFonts w:ascii="Arial" w:hAnsi="Arial" w:cs="Arial"/>
          <w:b/>
          <w:sz w:val="24"/>
          <w:szCs w:val="24"/>
          <w:lang w:val="ro-RO"/>
        </w:rPr>
        <w:t>menținere a unor concentrații foarte mici ale SO</w:t>
      </w:r>
      <w:r w:rsidRPr="00DF4B1A">
        <w:rPr>
          <w:rFonts w:ascii="Arial" w:hAnsi="Arial" w:cs="Arial"/>
          <w:b/>
          <w:sz w:val="24"/>
          <w:szCs w:val="24"/>
          <w:vertAlign w:val="subscript"/>
          <w:lang w:val="ro-RO"/>
        </w:rPr>
        <w:t>2</w:t>
      </w:r>
      <w:r w:rsidRPr="00DF4B1A">
        <w:rPr>
          <w:rFonts w:ascii="Arial" w:hAnsi="Arial" w:cs="Arial"/>
          <w:sz w:val="24"/>
          <w:szCs w:val="24"/>
          <w:lang w:val="ro-RO"/>
        </w:rPr>
        <w:t xml:space="preserve"> în aerul înconjurător</w:t>
      </w:r>
      <w:r w:rsidR="00A90B51">
        <w:rPr>
          <w:rFonts w:ascii="Arial" w:hAnsi="Arial" w:cs="Arial"/>
          <w:sz w:val="24"/>
          <w:szCs w:val="24"/>
          <w:lang w:val="ro-RO"/>
        </w:rPr>
        <w:t xml:space="preserve">, cu mult sub </w:t>
      </w:r>
      <w:r w:rsidR="00A90B51" w:rsidRPr="006E7E46">
        <w:rPr>
          <w:rFonts w:ascii="Arial" w:hAnsi="Arial" w:cs="Arial"/>
          <w:sz w:val="24"/>
          <w:szCs w:val="24"/>
          <w:lang w:val="ro-RO"/>
        </w:rPr>
        <w:t>VL orară (350 µg/m</w:t>
      </w:r>
      <w:r w:rsidR="00A90B51" w:rsidRPr="006E7E46">
        <w:rPr>
          <w:rFonts w:ascii="Arial" w:hAnsi="Arial" w:cs="Arial"/>
          <w:sz w:val="24"/>
          <w:szCs w:val="24"/>
          <w:vertAlign w:val="superscript"/>
          <w:lang w:val="ro-RO"/>
        </w:rPr>
        <w:t>3</w:t>
      </w:r>
      <w:r w:rsidR="00A90B51" w:rsidRPr="006E7E46">
        <w:rPr>
          <w:rFonts w:ascii="Arial" w:hAnsi="Arial" w:cs="Arial"/>
          <w:sz w:val="24"/>
          <w:szCs w:val="24"/>
          <w:lang w:val="ro-RO"/>
        </w:rPr>
        <w:t>) și VL zilnică (125 µg/m</w:t>
      </w:r>
      <w:r w:rsidR="00A90B51" w:rsidRPr="006E7E46">
        <w:rPr>
          <w:rFonts w:ascii="Arial" w:hAnsi="Arial" w:cs="Arial"/>
          <w:sz w:val="24"/>
          <w:szCs w:val="24"/>
          <w:vertAlign w:val="superscript"/>
          <w:lang w:val="ro-RO"/>
        </w:rPr>
        <w:t>3</w:t>
      </w:r>
      <w:r w:rsidR="00A90B51" w:rsidRPr="006E7E46">
        <w:rPr>
          <w:rFonts w:ascii="Arial" w:hAnsi="Arial" w:cs="Arial"/>
          <w:sz w:val="24"/>
          <w:szCs w:val="24"/>
          <w:lang w:val="ro-RO"/>
        </w:rPr>
        <w:t>) pentru protecția sănătății umane</w:t>
      </w:r>
      <w:r w:rsidR="00A90B51">
        <w:rPr>
          <w:rFonts w:ascii="Arial" w:hAnsi="Arial" w:cs="Arial"/>
          <w:sz w:val="24"/>
          <w:szCs w:val="24"/>
          <w:lang w:val="ro-RO"/>
        </w:rPr>
        <w:t>, valori față de care care ușoara c</w:t>
      </w:r>
      <w:r w:rsidR="0011432A">
        <w:rPr>
          <w:rFonts w:ascii="Arial" w:hAnsi="Arial" w:cs="Arial"/>
          <w:sz w:val="24"/>
          <w:szCs w:val="24"/>
          <w:lang w:val="ro-RO"/>
        </w:rPr>
        <w:t>reștere</w:t>
      </w:r>
      <w:r w:rsidR="00A90B51">
        <w:rPr>
          <w:rFonts w:ascii="Arial" w:hAnsi="Arial" w:cs="Arial"/>
          <w:sz w:val="24"/>
          <w:szCs w:val="24"/>
          <w:lang w:val="ro-RO"/>
        </w:rPr>
        <w:t xml:space="preserve"> </w:t>
      </w:r>
      <w:r w:rsidR="00E541C0" w:rsidRPr="006E7E46">
        <w:rPr>
          <w:rFonts w:ascii="Arial" w:hAnsi="Arial" w:cs="Arial"/>
          <w:sz w:val="24"/>
          <w:szCs w:val="24"/>
          <w:lang w:val="ro-RO"/>
        </w:rPr>
        <w:t>a concentraţiilor de SO</w:t>
      </w:r>
      <w:r w:rsidR="00E541C0" w:rsidRPr="006E7E46">
        <w:rPr>
          <w:rFonts w:ascii="Arial" w:hAnsi="Arial" w:cs="Arial"/>
          <w:sz w:val="24"/>
          <w:szCs w:val="24"/>
          <w:vertAlign w:val="subscript"/>
          <w:lang w:val="ro-RO"/>
        </w:rPr>
        <w:t>2</w:t>
      </w:r>
      <w:r w:rsidR="00E541C0">
        <w:rPr>
          <w:rFonts w:ascii="Arial" w:hAnsi="Arial" w:cs="Arial"/>
          <w:sz w:val="24"/>
          <w:szCs w:val="24"/>
          <w:vertAlign w:val="subscript"/>
          <w:lang w:val="ro-RO"/>
        </w:rPr>
        <w:t xml:space="preserve"> </w:t>
      </w:r>
      <w:r w:rsidR="00E541C0">
        <w:rPr>
          <w:rFonts w:ascii="Arial" w:hAnsi="Arial" w:cs="Arial"/>
          <w:sz w:val="24"/>
          <w:szCs w:val="24"/>
          <w:lang w:val="ro-RO"/>
        </w:rPr>
        <w:t>la stația SV2</w:t>
      </w:r>
      <w:r w:rsidR="00E541C0" w:rsidRPr="006E7E46">
        <w:rPr>
          <w:rFonts w:ascii="Arial" w:hAnsi="Arial" w:cs="Arial"/>
          <w:sz w:val="24"/>
          <w:szCs w:val="24"/>
          <w:lang w:val="ro-RO"/>
        </w:rPr>
        <w:t xml:space="preserve"> </w:t>
      </w:r>
      <w:r w:rsidR="00E541C0">
        <w:rPr>
          <w:rFonts w:ascii="Arial" w:hAnsi="Arial" w:cs="Arial"/>
          <w:sz w:val="24"/>
          <w:szCs w:val="24"/>
          <w:lang w:val="ro-RO"/>
        </w:rPr>
        <w:t>în anul 2017 față de anii 2012-2013, care se observă în figura I.1.1.2.2</w:t>
      </w:r>
      <w:r w:rsidR="009F234D" w:rsidRPr="006E7E46">
        <w:rPr>
          <w:rFonts w:ascii="Arial" w:hAnsi="Arial" w:cs="Arial"/>
          <w:sz w:val="24"/>
          <w:szCs w:val="24"/>
          <w:lang w:val="ro-RO"/>
        </w:rPr>
        <w:t xml:space="preserve">, </w:t>
      </w:r>
      <w:r w:rsidR="00E541C0">
        <w:rPr>
          <w:rFonts w:ascii="Arial" w:hAnsi="Arial" w:cs="Arial"/>
          <w:sz w:val="24"/>
          <w:szCs w:val="24"/>
          <w:lang w:val="ro-RO"/>
        </w:rPr>
        <w:t>este</w:t>
      </w:r>
      <w:r w:rsidR="009F234D" w:rsidRPr="006E7E46">
        <w:rPr>
          <w:rFonts w:ascii="Arial" w:hAnsi="Arial" w:cs="Arial"/>
          <w:sz w:val="24"/>
          <w:szCs w:val="24"/>
          <w:lang w:val="ro-RO"/>
        </w:rPr>
        <w:t xml:space="preserve"> </w:t>
      </w:r>
      <w:r w:rsidR="00C46B4B" w:rsidRPr="006E7E46">
        <w:rPr>
          <w:rFonts w:ascii="Arial" w:hAnsi="Arial" w:cs="Arial"/>
          <w:sz w:val="24"/>
          <w:szCs w:val="24"/>
          <w:lang w:val="ro-RO"/>
        </w:rPr>
        <w:t>nesemnificativă</w:t>
      </w:r>
      <w:r w:rsidR="00A90B51">
        <w:rPr>
          <w:rFonts w:ascii="Arial" w:hAnsi="Arial" w:cs="Arial"/>
          <w:sz w:val="24"/>
          <w:szCs w:val="24"/>
          <w:lang w:val="ro-RO"/>
        </w:rPr>
        <w:t>.</w:t>
      </w:r>
    </w:p>
    <w:p w:rsidR="00D672DA" w:rsidRPr="00DF4B1A" w:rsidRDefault="00D672DA" w:rsidP="00152F86">
      <w:pPr>
        <w:widowControl w:val="0"/>
        <w:spacing w:after="0" w:line="240" w:lineRule="auto"/>
        <w:rPr>
          <w:rFonts w:ascii="Arial" w:hAnsi="Arial" w:cs="Arial"/>
          <w:color w:val="FF0000"/>
          <w:sz w:val="16"/>
          <w:szCs w:val="16"/>
          <w:lang w:val="ro-RO"/>
        </w:rPr>
      </w:pPr>
    </w:p>
    <w:p w:rsidR="00D672DA" w:rsidRPr="00DF4B1A" w:rsidRDefault="00D672DA" w:rsidP="00152F86">
      <w:pPr>
        <w:widowControl w:val="0"/>
        <w:spacing w:after="0" w:line="240" w:lineRule="auto"/>
        <w:rPr>
          <w:rFonts w:ascii="Arial" w:hAnsi="Arial" w:cs="Arial"/>
          <w:b/>
          <w:i/>
          <w:sz w:val="24"/>
          <w:szCs w:val="24"/>
          <w:lang w:val="ro-RO"/>
        </w:rPr>
      </w:pPr>
      <w:r w:rsidRPr="001869FD">
        <w:rPr>
          <w:rFonts w:ascii="Arial" w:hAnsi="Arial" w:cs="Arial"/>
          <w:b/>
          <w:i/>
          <w:sz w:val="24"/>
          <w:szCs w:val="24"/>
          <w:lang w:val="ro-RO"/>
        </w:rPr>
        <w:t>Evoluția calității aerului la indicatorul pulberi în suspensie PM10</w:t>
      </w:r>
      <w:r w:rsidRPr="00DF4B1A">
        <w:rPr>
          <w:rFonts w:ascii="Arial" w:hAnsi="Arial" w:cs="Arial"/>
          <w:b/>
          <w:i/>
          <w:sz w:val="24"/>
          <w:szCs w:val="24"/>
          <w:lang w:val="ro-RO"/>
        </w:rPr>
        <w:t xml:space="preserve"> </w:t>
      </w:r>
    </w:p>
    <w:p w:rsidR="00E76EC6" w:rsidRPr="00C46B4B" w:rsidRDefault="00E76EC6" w:rsidP="00E76EC6">
      <w:pPr>
        <w:widowControl w:val="0"/>
        <w:spacing w:after="0" w:line="240" w:lineRule="auto"/>
        <w:ind w:firstLine="720"/>
        <w:jc w:val="both"/>
        <w:rPr>
          <w:rFonts w:ascii="Arial" w:hAnsi="Arial" w:cs="Arial"/>
          <w:sz w:val="12"/>
          <w:szCs w:val="12"/>
          <w:lang w:val="ro-RO"/>
        </w:rPr>
      </w:pPr>
    </w:p>
    <w:p w:rsidR="009824DC" w:rsidRDefault="00D672DA" w:rsidP="00152F86">
      <w:pPr>
        <w:widowControl w:val="0"/>
        <w:spacing w:after="0" w:line="240" w:lineRule="auto"/>
        <w:jc w:val="center"/>
        <w:rPr>
          <w:rFonts w:ascii="Arial" w:hAnsi="Arial" w:cs="Arial"/>
          <w:lang w:val="ro-RO"/>
        </w:rPr>
      </w:pPr>
      <w:r w:rsidRPr="00DF4B1A">
        <w:rPr>
          <w:rFonts w:ascii="Arial" w:hAnsi="Arial" w:cs="Arial"/>
          <w:lang w:val="ro-RO"/>
        </w:rPr>
        <w:t>Fig. I.1.1.2.3</w:t>
      </w:r>
      <w:r w:rsidR="00E907C4" w:rsidRPr="00DF4B1A">
        <w:rPr>
          <w:rFonts w:ascii="Arial" w:hAnsi="Arial" w:cs="Arial"/>
          <w:lang w:val="ro-RO"/>
        </w:rPr>
        <w:t>.</w:t>
      </w:r>
      <w:r w:rsidRPr="00DF4B1A">
        <w:rPr>
          <w:rFonts w:ascii="Arial" w:hAnsi="Arial" w:cs="Arial"/>
          <w:lang w:val="ro-RO"/>
        </w:rPr>
        <w:t xml:space="preserve"> </w:t>
      </w:r>
      <w:r w:rsidR="00E907C4" w:rsidRPr="00DF4B1A">
        <w:rPr>
          <w:rFonts w:ascii="Arial" w:hAnsi="Arial" w:cs="Arial"/>
          <w:b/>
          <w:lang w:val="ro-RO"/>
        </w:rPr>
        <w:t>PM10</w:t>
      </w:r>
      <w:r w:rsidR="00E907C4" w:rsidRPr="00DF4B1A">
        <w:rPr>
          <w:rFonts w:ascii="Arial" w:hAnsi="Arial" w:cs="Arial"/>
          <w:lang w:val="ro-RO"/>
        </w:rPr>
        <w:t xml:space="preserve"> - </w:t>
      </w:r>
      <w:r w:rsidR="00E35E40" w:rsidRPr="00DF4B1A">
        <w:rPr>
          <w:rFonts w:ascii="Arial" w:hAnsi="Arial" w:cs="Arial"/>
          <w:lang w:val="ro-RO"/>
        </w:rPr>
        <w:t xml:space="preserve">Evoluţia concentraţiilor medii anuale </w:t>
      </w:r>
    </w:p>
    <w:p w:rsidR="00D672DA" w:rsidRPr="00DF4B1A" w:rsidRDefault="00E35E40" w:rsidP="00152F86">
      <w:pPr>
        <w:widowControl w:val="0"/>
        <w:spacing w:after="0" w:line="240" w:lineRule="auto"/>
        <w:jc w:val="center"/>
        <w:rPr>
          <w:rFonts w:ascii="Arial" w:hAnsi="Arial" w:cs="Arial"/>
          <w:lang w:val="ro-RO"/>
        </w:rPr>
      </w:pPr>
      <w:r w:rsidRPr="00DF4B1A">
        <w:rPr>
          <w:rFonts w:ascii="Arial" w:hAnsi="Arial" w:cs="Arial"/>
          <w:lang w:val="ro-RO"/>
        </w:rPr>
        <w:t xml:space="preserve">înregistrate la staţiile </w:t>
      </w:r>
      <w:r w:rsidR="00E907C4" w:rsidRPr="00DF4B1A">
        <w:rPr>
          <w:rFonts w:ascii="Arial" w:hAnsi="Arial" w:cs="Arial"/>
          <w:lang w:val="ro-RO"/>
        </w:rPr>
        <w:t xml:space="preserve">de monitorizare din judeţul Suceava </w:t>
      </w:r>
      <w:r w:rsidR="005A51EE" w:rsidRPr="00DF4B1A">
        <w:rPr>
          <w:rFonts w:ascii="Arial" w:hAnsi="Arial" w:cs="Arial"/>
          <w:lang w:val="ro-RO"/>
        </w:rPr>
        <w:t xml:space="preserve">în raport cu valoarea limită anuală </w:t>
      </w:r>
      <w:r w:rsidR="00E907C4" w:rsidRPr="00DF4B1A">
        <w:rPr>
          <w:rFonts w:ascii="Arial" w:hAnsi="Arial" w:cs="Arial"/>
          <w:lang w:val="ro-RO"/>
        </w:rPr>
        <w:tab/>
      </w:r>
    </w:p>
    <w:p w:rsidR="00D672DA" w:rsidRPr="00DF4B1A" w:rsidRDefault="00D672DA" w:rsidP="00520BDB">
      <w:pPr>
        <w:widowControl w:val="0"/>
        <w:spacing w:after="120" w:line="240" w:lineRule="auto"/>
        <w:jc w:val="both"/>
        <w:rPr>
          <w:rFonts w:ascii="Arial" w:hAnsi="Arial" w:cs="Arial"/>
          <w:sz w:val="24"/>
          <w:szCs w:val="24"/>
          <w:lang w:val="ro-RO"/>
        </w:rPr>
      </w:pPr>
      <w:r w:rsidRPr="00DF4B1A">
        <w:rPr>
          <w:rFonts w:ascii="Arial" w:hAnsi="Arial" w:cs="Arial"/>
          <w:noProof/>
          <w:sz w:val="24"/>
          <w:szCs w:val="24"/>
          <w:lang w:val="ro-RO" w:eastAsia="ro-RO"/>
        </w:rPr>
        <w:drawing>
          <wp:inline distT="0" distB="0" distL="0" distR="0">
            <wp:extent cx="6191250" cy="1143000"/>
            <wp:effectExtent l="0" t="0" r="0" b="0"/>
            <wp:docPr id="1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DF4B1A">
        <w:rPr>
          <w:rFonts w:ascii="Arial" w:hAnsi="Arial" w:cs="Arial"/>
          <w:sz w:val="24"/>
          <w:szCs w:val="24"/>
          <w:lang w:val="ro-RO"/>
        </w:rPr>
        <w:t xml:space="preserve"> </w:t>
      </w:r>
    </w:p>
    <w:p w:rsidR="001A37DE" w:rsidRPr="00DF4B1A" w:rsidRDefault="001A37DE" w:rsidP="00152F86">
      <w:pPr>
        <w:widowControl w:val="0"/>
        <w:spacing w:after="0" w:line="240" w:lineRule="auto"/>
        <w:jc w:val="both"/>
        <w:rPr>
          <w:rFonts w:ascii="Arial" w:hAnsi="Arial" w:cs="Arial"/>
          <w:i/>
          <w:sz w:val="20"/>
          <w:szCs w:val="20"/>
          <w:lang w:val="ro-RO"/>
        </w:rPr>
      </w:pPr>
      <w:r w:rsidRPr="00DF4B1A">
        <w:rPr>
          <w:rFonts w:ascii="Arial" w:hAnsi="Arial" w:cs="Arial"/>
          <w:i/>
          <w:sz w:val="20"/>
          <w:szCs w:val="20"/>
          <w:lang w:val="ro-RO"/>
        </w:rPr>
        <w:t>Notă: În unii ani</w:t>
      </w:r>
      <w:r w:rsidR="00144C14" w:rsidRPr="00DF4B1A">
        <w:rPr>
          <w:rFonts w:ascii="Arial" w:hAnsi="Arial" w:cs="Arial"/>
          <w:i/>
          <w:sz w:val="20"/>
          <w:szCs w:val="20"/>
          <w:lang w:val="ro-RO"/>
        </w:rPr>
        <w:t>,</w:t>
      </w:r>
      <w:r w:rsidRPr="00DF4B1A">
        <w:rPr>
          <w:rFonts w:ascii="Arial" w:hAnsi="Arial" w:cs="Arial"/>
          <w:i/>
          <w:sz w:val="20"/>
          <w:szCs w:val="20"/>
          <w:lang w:val="ro-RO"/>
        </w:rPr>
        <w:t xml:space="preserve"> datele colectate la unele staţii </w:t>
      </w:r>
      <w:r w:rsidR="000E250F" w:rsidRPr="00DF4B1A">
        <w:rPr>
          <w:rFonts w:ascii="Arial" w:hAnsi="Arial" w:cs="Arial"/>
          <w:i/>
          <w:sz w:val="20"/>
          <w:szCs w:val="20"/>
          <w:lang w:val="ro-RO"/>
        </w:rPr>
        <w:t>au lips</w:t>
      </w:r>
      <w:r w:rsidR="000E250F">
        <w:rPr>
          <w:rFonts w:ascii="Arial" w:hAnsi="Arial" w:cs="Arial"/>
          <w:i/>
          <w:sz w:val="20"/>
          <w:szCs w:val="20"/>
          <w:lang w:val="ro-RO"/>
        </w:rPr>
        <w:t xml:space="preserve">it sau au </w:t>
      </w:r>
      <w:r w:rsidR="000E250F" w:rsidRPr="00DF4B1A">
        <w:rPr>
          <w:rFonts w:ascii="Arial" w:hAnsi="Arial" w:cs="Arial"/>
          <w:i/>
          <w:sz w:val="20"/>
          <w:szCs w:val="20"/>
          <w:lang w:val="ro-RO"/>
        </w:rPr>
        <w:t xml:space="preserve">fost insuficiente </w:t>
      </w:r>
      <w:r w:rsidRPr="00DF4B1A">
        <w:rPr>
          <w:rFonts w:ascii="Arial" w:hAnsi="Arial" w:cs="Arial"/>
          <w:i/>
          <w:sz w:val="20"/>
          <w:szCs w:val="20"/>
          <w:lang w:val="ro-RO"/>
        </w:rPr>
        <w:t xml:space="preserve">pentru a respecta criteriile de calitate conform Legii 104/2011. </w:t>
      </w:r>
    </w:p>
    <w:p w:rsidR="001A37DE" w:rsidRPr="00DF4B1A" w:rsidRDefault="001A37DE" w:rsidP="00152F86">
      <w:pPr>
        <w:widowControl w:val="0"/>
        <w:spacing w:after="0" w:line="240" w:lineRule="auto"/>
        <w:ind w:firstLine="720"/>
        <w:jc w:val="both"/>
        <w:rPr>
          <w:rFonts w:ascii="Arial" w:hAnsi="Arial" w:cs="Arial"/>
          <w:sz w:val="16"/>
          <w:szCs w:val="16"/>
          <w:lang w:val="ro-RO"/>
        </w:rPr>
      </w:pPr>
    </w:p>
    <w:p w:rsidR="005A51EE" w:rsidRPr="00247528" w:rsidRDefault="005A51EE" w:rsidP="005A51EE">
      <w:pPr>
        <w:widowControl w:val="0"/>
        <w:spacing w:after="0" w:line="240" w:lineRule="auto"/>
        <w:ind w:firstLine="720"/>
        <w:jc w:val="both"/>
        <w:rPr>
          <w:rFonts w:ascii="Arial" w:hAnsi="Arial" w:cs="Arial"/>
          <w:sz w:val="24"/>
          <w:szCs w:val="24"/>
          <w:lang w:val="ro-RO"/>
        </w:rPr>
      </w:pPr>
      <w:r w:rsidRPr="00510172">
        <w:rPr>
          <w:rFonts w:ascii="Arial" w:hAnsi="Arial" w:cs="Arial"/>
          <w:sz w:val="24"/>
          <w:szCs w:val="24"/>
          <w:lang w:val="ro-RO"/>
        </w:rPr>
        <w:t xml:space="preserve">Din fig. I.1.1.2.3. se observă tendința </w:t>
      </w:r>
      <w:r w:rsidRPr="00510172">
        <w:rPr>
          <w:rFonts w:ascii="Arial" w:hAnsi="Arial" w:cs="Arial"/>
          <w:b/>
          <w:sz w:val="24"/>
          <w:szCs w:val="24"/>
          <w:lang w:val="ro-RO"/>
        </w:rPr>
        <w:t xml:space="preserve">de </w:t>
      </w:r>
      <w:r w:rsidR="001869FD">
        <w:rPr>
          <w:rFonts w:ascii="Arial" w:hAnsi="Arial" w:cs="Arial"/>
          <w:b/>
          <w:sz w:val="24"/>
          <w:szCs w:val="24"/>
          <w:lang w:val="ro-RO"/>
        </w:rPr>
        <w:t>scădere ușoară</w:t>
      </w:r>
      <w:r w:rsidR="006E7E46" w:rsidRPr="00510172">
        <w:rPr>
          <w:rFonts w:ascii="Arial" w:hAnsi="Arial" w:cs="Arial"/>
          <w:b/>
          <w:sz w:val="24"/>
          <w:szCs w:val="24"/>
          <w:lang w:val="ro-RO"/>
        </w:rPr>
        <w:t xml:space="preserve"> </w:t>
      </w:r>
      <w:r w:rsidRPr="00510172">
        <w:rPr>
          <w:rFonts w:ascii="Arial" w:hAnsi="Arial" w:cs="Arial"/>
          <w:b/>
          <w:sz w:val="24"/>
          <w:szCs w:val="24"/>
          <w:lang w:val="ro-RO"/>
        </w:rPr>
        <w:t xml:space="preserve">a concentrațiilor medii anuale de pulberi PM10, </w:t>
      </w:r>
      <w:r w:rsidRPr="00510172">
        <w:rPr>
          <w:rFonts w:ascii="Arial" w:hAnsi="Arial" w:cs="Arial"/>
          <w:sz w:val="24"/>
          <w:szCs w:val="24"/>
          <w:lang w:val="ro-RO"/>
        </w:rPr>
        <w:t>mai pronunţată în staţi</w:t>
      </w:r>
      <w:r w:rsidR="002216C9">
        <w:rPr>
          <w:rFonts w:ascii="Arial" w:hAnsi="Arial" w:cs="Arial"/>
          <w:sz w:val="24"/>
          <w:szCs w:val="24"/>
          <w:lang w:val="ro-RO"/>
        </w:rPr>
        <w:t>ile</w:t>
      </w:r>
      <w:r w:rsidRPr="00510172">
        <w:rPr>
          <w:rFonts w:ascii="Arial" w:hAnsi="Arial" w:cs="Arial"/>
          <w:sz w:val="24"/>
          <w:szCs w:val="24"/>
          <w:lang w:val="ro-RO"/>
        </w:rPr>
        <w:t xml:space="preserve"> SV</w:t>
      </w:r>
      <w:r w:rsidR="001869FD">
        <w:rPr>
          <w:rFonts w:ascii="Arial" w:hAnsi="Arial" w:cs="Arial"/>
          <w:sz w:val="24"/>
          <w:szCs w:val="24"/>
          <w:lang w:val="ro-RO"/>
        </w:rPr>
        <w:t>1</w:t>
      </w:r>
      <w:r w:rsidRPr="00510172">
        <w:rPr>
          <w:rFonts w:ascii="Arial" w:hAnsi="Arial" w:cs="Arial"/>
          <w:sz w:val="24"/>
          <w:szCs w:val="24"/>
          <w:lang w:val="ro-RO"/>
        </w:rPr>
        <w:t xml:space="preserve"> </w:t>
      </w:r>
      <w:r w:rsidR="002216C9">
        <w:rPr>
          <w:rFonts w:ascii="Arial" w:hAnsi="Arial" w:cs="Arial"/>
          <w:sz w:val="24"/>
          <w:szCs w:val="24"/>
          <w:lang w:val="ro-RO"/>
        </w:rPr>
        <w:t xml:space="preserve">și SV2 </w:t>
      </w:r>
      <w:r w:rsidRPr="00510172">
        <w:rPr>
          <w:rFonts w:ascii="Arial" w:hAnsi="Arial" w:cs="Arial"/>
          <w:sz w:val="24"/>
          <w:szCs w:val="24"/>
          <w:lang w:val="ro-RO"/>
        </w:rPr>
        <w:t>din municipiul Suceava</w:t>
      </w:r>
      <w:r w:rsidR="001869FD">
        <w:rPr>
          <w:rFonts w:ascii="Arial" w:hAnsi="Arial" w:cs="Arial"/>
          <w:b/>
          <w:sz w:val="24"/>
          <w:szCs w:val="24"/>
          <w:lang w:val="ro-RO"/>
        </w:rPr>
        <w:t xml:space="preserve">, toate valorile încadrându-se </w:t>
      </w:r>
      <w:r w:rsidR="001869FD" w:rsidRPr="00510172">
        <w:rPr>
          <w:rFonts w:ascii="Arial" w:hAnsi="Arial" w:cs="Arial"/>
          <w:b/>
          <w:sz w:val="24"/>
          <w:szCs w:val="24"/>
          <w:lang w:val="ro-RO"/>
        </w:rPr>
        <w:t>sub VL anuală</w:t>
      </w:r>
      <w:r w:rsidRPr="00510172">
        <w:rPr>
          <w:rFonts w:ascii="Arial" w:hAnsi="Arial" w:cs="Arial"/>
          <w:sz w:val="24"/>
          <w:szCs w:val="24"/>
          <w:lang w:val="ro-RO"/>
        </w:rPr>
        <w:t>.</w:t>
      </w:r>
      <w:r w:rsidR="00247528">
        <w:rPr>
          <w:rFonts w:ascii="Arial" w:hAnsi="Arial" w:cs="Arial"/>
          <w:sz w:val="24"/>
          <w:szCs w:val="24"/>
          <w:lang w:val="ro-RO"/>
        </w:rPr>
        <w:t xml:space="preserve"> </w:t>
      </w:r>
    </w:p>
    <w:p w:rsidR="00444E5E" w:rsidRDefault="00144C14" w:rsidP="00C46B4B">
      <w:pPr>
        <w:widowControl w:val="0"/>
        <w:spacing w:after="0" w:line="240" w:lineRule="auto"/>
        <w:jc w:val="both"/>
        <w:rPr>
          <w:rFonts w:ascii="Arial" w:hAnsi="Arial" w:cs="Arial"/>
          <w:sz w:val="16"/>
          <w:szCs w:val="16"/>
          <w:lang w:val="ro-RO"/>
        </w:rPr>
      </w:pPr>
      <w:r w:rsidRPr="00DF4B1A">
        <w:rPr>
          <w:rFonts w:ascii="Arial" w:hAnsi="Arial" w:cs="Arial"/>
          <w:sz w:val="16"/>
          <w:szCs w:val="16"/>
          <w:lang w:val="ro-RO"/>
        </w:rPr>
        <w:tab/>
      </w:r>
    </w:p>
    <w:p w:rsidR="00FB0869" w:rsidRPr="00DF4B1A" w:rsidRDefault="00FB0869" w:rsidP="00152F86">
      <w:pPr>
        <w:widowControl w:val="0"/>
        <w:spacing w:after="0" w:line="240" w:lineRule="auto"/>
        <w:rPr>
          <w:rFonts w:ascii="Arial" w:hAnsi="Arial" w:cs="Arial"/>
          <w:b/>
          <w:i/>
          <w:sz w:val="24"/>
          <w:szCs w:val="24"/>
          <w:lang w:val="ro-RO"/>
        </w:rPr>
      </w:pPr>
      <w:r w:rsidRPr="00DF4B1A">
        <w:rPr>
          <w:rFonts w:ascii="Arial" w:hAnsi="Arial" w:cs="Arial"/>
          <w:b/>
          <w:i/>
          <w:sz w:val="24"/>
          <w:szCs w:val="24"/>
          <w:lang w:val="ro-RO"/>
        </w:rPr>
        <w:lastRenderedPageBreak/>
        <w:t>Evoluția calității aerului la indicatorul benzen (C</w:t>
      </w:r>
      <w:r w:rsidRPr="00DF4B1A">
        <w:rPr>
          <w:rFonts w:ascii="Arial" w:hAnsi="Arial" w:cs="Arial"/>
          <w:b/>
          <w:i/>
          <w:sz w:val="24"/>
          <w:szCs w:val="24"/>
          <w:vertAlign w:val="subscript"/>
          <w:lang w:val="ro-RO"/>
        </w:rPr>
        <w:t>6</w:t>
      </w:r>
      <w:r w:rsidRPr="00DF4B1A">
        <w:rPr>
          <w:rFonts w:ascii="Arial" w:hAnsi="Arial" w:cs="Arial"/>
          <w:b/>
          <w:i/>
          <w:sz w:val="24"/>
          <w:szCs w:val="24"/>
          <w:lang w:val="ro-RO"/>
        </w:rPr>
        <w:t>H</w:t>
      </w:r>
      <w:r w:rsidRPr="00DF4B1A">
        <w:rPr>
          <w:rFonts w:ascii="Arial" w:hAnsi="Arial" w:cs="Arial"/>
          <w:b/>
          <w:i/>
          <w:sz w:val="24"/>
          <w:szCs w:val="24"/>
          <w:vertAlign w:val="subscript"/>
          <w:lang w:val="ro-RO"/>
        </w:rPr>
        <w:t>6</w:t>
      </w:r>
      <w:r w:rsidRPr="00DF4B1A">
        <w:rPr>
          <w:rFonts w:ascii="Arial" w:hAnsi="Arial" w:cs="Arial"/>
          <w:b/>
          <w:i/>
          <w:sz w:val="24"/>
          <w:szCs w:val="24"/>
          <w:lang w:val="ro-RO"/>
        </w:rPr>
        <w:t xml:space="preserve">) </w:t>
      </w:r>
    </w:p>
    <w:p w:rsidR="00E76EC6" w:rsidRPr="00DF4B1A" w:rsidRDefault="00E76EC6" w:rsidP="00E76EC6">
      <w:pPr>
        <w:widowControl w:val="0"/>
        <w:spacing w:after="0" w:line="240" w:lineRule="auto"/>
        <w:ind w:firstLine="720"/>
        <w:jc w:val="both"/>
        <w:rPr>
          <w:rFonts w:ascii="Arial" w:hAnsi="Arial" w:cs="Arial"/>
          <w:sz w:val="16"/>
          <w:szCs w:val="16"/>
          <w:lang w:val="ro-RO"/>
        </w:rPr>
      </w:pPr>
    </w:p>
    <w:p w:rsidR="009824DC" w:rsidRDefault="00FB0869" w:rsidP="00152F86">
      <w:pPr>
        <w:widowControl w:val="0"/>
        <w:spacing w:after="0" w:line="240" w:lineRule="auto"/>
        <w:jc w:val="center"/>
        <w:rPr>
          <w:rFonts w:ascii="Arial" w:hAnsi="Arial" w:cs="Arial"/>
          <w:lang w:val="ro-RO"/>
        </w:rPr>
      </w:pPr>
      <w:r w:rsidRPr="00DF4B1A">
        <w:rPr>
          <w:rFonts w:ascii="Arial" w:hAnsi="Arial" w:cs="Arial"/>
          <w:lang w:val="ro-RO"/>
        </w:rPr>
        <w:t>Fig. I.1.1.2.</w:t>
      </w:r>
      <w:r w:rsidR="00D672DA" w:rsidRPr="00DF4B1A">
        <w:rPr>
          <w:rFonts w:ascii="Arial" w:hAnsi="Arial" w:cs="Arial"/>
          <w:lang w:val="ro-RO"/>
        </w:rPr>
        <w:t>4</w:t>
      </w:r>
      <w:r w:rsidR="00751EFB" w:rsidRPr="00DF4B1A">
        <w:rPr>
          <w:rFonts w:ascii="Arial" w:hAnsi="Arial" w:cs="Arial"/>
          <w:lang w:val="ro-RO"/>
        </w:rPr>
        <w:t>.</w:t>
      </w:r>
      <w:r w:rsidRPr="00DF4B1A">
        <w:rPr>
          <w:rFonts w:ascii="Arial" w:hAnsi="Arial" w:cs="Arial"/>
          <w:lang w:val="ro-RO"/>
        </w:rPr>
        <w:t xml:space="preserve"> </w:t>
      </w:r>
      <w:r w:rsidR="00E35E40" w:rsidRPr="00DF4B1A">
        <w:rPr>
          <w:rFonts w:ascii="Arial" w:hAnsi="Arial" w:cs="Arial"/>
          <w:b/>
          <w:lang w:val="ro-RO"/>
        </w:rPr>
        <w:t>C</w:t>
      </w:r>
      <w:r w:rsidR="00E35E40" w:rsidRPr="00DF4B1A">
        <w:rPr>
          <w:rFonts w:ascii="Arial" w:hAnsi="Arial" w:cs="Arial"/>
          <w:b/>
          <w:vertAlign w:val="subscript"/>
          <w:lang w:val="ro-RO"/>
        </w:rPr>
        <w:t>6</w:t>
      </w:r>
      <w:r w:rsidR="00E35E40" w:rsidRPr="00DF4B1A">
        <w:rPr>
          <w:rFonts w:ascii="Arial" w:hAnsi="Arial" w:cs="Arial"/>
          <w:b/>
          <w:lang w:val="ro-RO"/>
        </w:rPr>
        <w:t>H</w:t>
      </w:r>
      <w:r w:rsidR="00E35E40" w:rsidRPr="00DF4B1A">
        <w:rPr>
          <w:rFonts w:ascii="Arial" w:hAnsi="Arial" w:cs="Arial"/>
          <w:b/>
          <w:vertAlign w:val="subscript"/>
          <w:lang w:val="ro-RO"/>
        </w:rPr>
        <w:t>6</w:t>
      </w:r>
      <w:r w:rsidR="00E35E40" w:rsidRPr="00DF4B1A">
        <w:rPr>
          <w:rFonts w:ascii="Arial" w:hAnsi="Arial" w:cs="Arial"/>
          <w:lang w:val="ro-RO"/>
        </w:rPr>
        <w:t xml:space="preserve"> - Evoluţia concentraţiilor medii anuale </w:t>
      </w:r>
    </w:p>
    <w:p w:rsidR="00FB0869" w:rsidRPr="00DF4B1A" w:rsidRDefault="00E35E40" w:rsidP="00152F86">
      <w:pPr>
        <w:widowControl w:val="0"/>
        <w:spacing w:after="0" w:line="240" w:lineRule="auto"/>
        <w:jc w:val="center"/>
        <w:rPr>
          <w:rFonts w:ascii="Arial" w:hAnsi="Arial" w:cs="Arial"/>
          <w:lang w:val="ro-RO"/>
        </w:rPr>
      </w:pPr>
      <w:r w:rsidRPr="00DF4B1A">
        <w:rPr>
          <w:rFonts w:ascii="Arial" w:hAnsi="Arial" w:cs="Arial"/>
          <w:lang w:val="ro-RO"/>
        </w:rPr>
        <w:t xml:space="preserve">înregistrate la staţiile de monitorizare </w:t>
      </w:r>
      <w:r w:rsidR="00FB0869" w:rsidRPr="00DF4B1A">
        <w:rPr>
          <w:rFonts w:ascii="Arial" w:hAnsi="Arial" w:cs="Arial"/>
          <w:lang w:val="ro-RO"/>
        </w:rPr>
        <w:t>din judeţul Suceava, comparativ cu VL anuală</w:t>
      </w:r>
    </w:p>
    <w:p w:rsidR="00FB0869" w:rsidRPr="00DF4B1A" w:rsidRDefault="00FB0869" w:rsidP="00247528">
      <w:pPr>
        <w:widowControl w:val="0"/>
        <w:spacing w:after="0" w:line="240" w:lineRule="auto"/>
        <w:jc w:val="center"/>
        <w:rPr>
          <w:rFonts w:ascii="Arial" w:hAnsi="Arial" w:cs="Arial"/>
          <w:lang w:val="ro-RO"/>
        </w:rPr>
      </w:pPr>
      <w:r w:rsidRPr="00DF4B1A">
        <w:rPr>
          <w:rFonts w:ascii="Arial" w:hAnsi="Arial" w:cs="Arial"/>
          <w:noProof/>
          <w:lang w:val="ro-RO" w:eastAsia="ro-RO"/>
        </w:rPr>
        <w:drawing>
          <wp:inline distT="0" distB="0" distL="0" distR="0">
            <wp:extent cx="4391025" cy="1009650"/>
            <wp:effectExtent l="0" t="0" r="0" b="0"/>
            <wp:docPr id="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01859" w:rsidRPr="00DF4B1A" w:rsidRDefault="00801859" w:rsidP="00152F86">
      <w:pPr>
        <w:widowControl w:val="0"/>
        <w:spacing w:after="0" w:line="240" w:lineRule="auto"/>
        <w:jc w:val="both"/>
        <w:rPr>
          <w:rFonts w:ascii="Arial" w:hAnsi="Arial" w:cs="Arial"/>
          <w:i/>
          <w:sz w:val="20"/>
          <w:szCs w:val="20"/>
          <w:lang w:val="ro-RO"/>
        </w:rPr>
      </w:pPr>
      <w:r w:rsidRPr="00DF4B1A">
        <w:rPr>
          <w:rFonts w:ascii="Arial" w:hAnsi="Arial" w:cs="Arial"/>
          <w:i/>
          <w:sz w:val="20"/>
          <w:szCs w:val="20"/>
          <w:lang w:val="ro-RO"/>
        </w:rPr>
        <w:t xml:space="preserve">Notă: În </w:t>
      </w:r>
      <w:r w:rsidR="00247528">
        <w:rPr>
          <w:rFonts w:ascii="Arial" w:hAnsi="Arial" w:cs="Arial"/>
          <w:i/>
          <w:sz w:val="20"/>
          <w:szCs w:val="20"/>
          <w:lang w:val="ro-RO"/>
        </w:rPr>
        <w:t>ceilalţi</w:t>
      </w:r>
      <w:r w:rsidRPr="00DF4B1A">
        <w:rPr>
          <w:rFonts w:ascii="Arial" w:hAnsi="Arial" w:cs="Arial"/>
          <w:i/>
          <w:sz w:val="20"/>
          <w:szCs w:val="20"/>
          <w:lang w:val="ro-RO"/>
        </w:rPr>
        <w:t xml:space="preserve"> ani</w:t>
      </w:r>
      <w:r w:rsidR="00247528">
        <w:rPr>
          <w:rFonts w:ascii="Arial" w:hAnsi="Arial" w:cs="Arial"/>
          <w:i/>
          <w:sz w:val="20"/>
          <w:szCs w:val="20"/>
          <w:lang w:val="ro-RO"/>
        </w:rPr>
        <w:t xml:space="preserve"> şi/sau alte staţii</w:t>
      </w:r>
      <w:r w:rsidR="00144C14" w:rsidRPr="00DF4B1A">
        <w:rPr>
          <w:rFonts w:ascii="Arial" w:hAnsi="Arial" w:cs="Arial"/>
          <w:i/>
          <w:sz w:val="20"/>
          <w:szCs w:val="20"/>
          <w:lang w:val="ro-RO"/>
        </w:rPr>
        <w:t xml:space="preserve">, </w:t>
      </w:r>
      <w:r w:rsidRPr="00DF4B1A">
        <w:rPr>
          <w:rFonts w:ascii="Arial" w:hAnsi="Arial" w:cs="Arial"/>
          <w:i/>
          <w:sz w:val="20"/>
          <w:szCs w:val="20"/>
          <w:lang w:val="ro-RO"/>
        </w:rPr>
        <w:t xml:space="preserve">datele au </w:t>
      </w:r>
      <w:r w:rsidR="000E250F" w:rsidRPr="00DF4B1A">
        <w:rPr>
          <w:rFonts w:ascii="Arial" w:hAnsi="Arial" w:cs="Arial"/>
          <w:i/>
          <w:sz w:val="20"/>
          <w:szCs w:val="20"/>
          <w:lang w:val="ro-RO"/>
        </w:rPr>
        <w:t>lips</w:t>
      </w:r>
      <w:r w:rsidR="000E250F">
        <w:rPr>
          <w:rFonts w:ascii="Arial" w:hAnsi="Arial" w:cs="Arial"/>
          <w:i/>
          <w:sz w:val="20"/>
          <w:szCs w:val="20"/>
          <w:lang w:val="ro-RO"/>
        </w:rPr>
        <w:t xml:space="preserve">it sau au </w:t>
      </w:r>
      <w:r w:rsidRPr="00DF4B1A">
        <w:rPr>
          <w:rFonts w:ascii="Arial" w:hAnsi="Arial" w:cs="Arial"/>
          <w:i/>
          <w:sz w:val="20"/>
          <w:szCs w:val="20"/>
          <w:lang w:val="ro-RO"/>
        </w:rPr>
        <w:t xml:space="preserve">fost insuficiente pentru a respecta criteriile de calitate conform Legii 104/2011. </w:t>
      </w:r>
    </w:p>
    <w:p w:rsidR="001D0793" w:rsidRPr="00C46B4B" w:rsidRDefault="001D0793" w:rsidP="00152F86">
      <w:pPr>
        <w:widowControl w:val="0"/>
        <w:spacing w:after="0" w:line="240" w:lineRule="auto"/>
        <w:ind w:firstLine="720"/>
        <w:jc w:val="both"/>
        <w:rPr>
          <w:rFonts w:ascii="Arial" w:hAnsi="Arial" w:cs="Arial"/>
          <w:sz w:val="10"/>
          <w:szCs w:val="10"/>
          <w:lang w:val="ro-RO"/>
        </w:rPr>
      </w:pPr>
    </w:p>
    <w:p w:rsidR="004D2204" w:rsidRPr="00DF4B1A" w:rsidRDefault="004D2449" w:rsidP="00152F86">
      <w:pPr>
        <w:widowControl w:val="0"/>
        <w:spacing w:after="0" w:line="240" w:lineRule="auto"/>
        <w:jc w:val="both"/>
        <w:rPr>
          <w:rFonts w:ascii="Arial" w:hAnsi="Arial" w:cs="Arial"/>
          <w:sz w:val="24"/>
          <w:szCs w:val="24"/>
          <w:lang w:val="ro-RO"/>
        </w:rPr>
      </w:pPr>
      <w:r w:rsidRPr="00DF4B1A">
        <w:rPr>
          <w:rFonts w:ascii="Arial" w:hAnsi="Arial" w:cs="Arial"/>
          <w:sz w:val="24"/>
          <w:szCs w:val="24"/>
          <w:lang w:val="ro-RO"/>
        </w:rPr>
        <w:tab/>
        <w:t>Din figura I.1.1.</w:t>
      </w:r>
      <w:r w:rsidR="00D672DA" w:rsidRPr="00DF4B1A">
        <w:rPr>
          <w:rFonts w:ascii="Arial" w:hAnsi="Arial" w:cs="Arial"/>
          <w:sz w:val="24"/>
          <w:szCs w:val="24"/>
          <w:lang w:val="ro-RO"/>
        </w:rPr>
        <w:t>2</w:t>
      </w:r>
      <w:r w:rsidRPr="00DF4B1A">
        <w:rPr>
          <w:rFonts w:ascii="Arial" w:hAnsi="Arial" w:cs="Arial"/>
          <w:sz w:val="24"/>
          <w:szCs w:val="24"/>
          <w:lang w:val="ro-RO"/>
        </w:rPr>
        <w:t>.</w:t>
      </w:r>
      <w:r w:rsidR="00D672DA" w:rsidRPr="00DF4B1A">
        <w:rPr>
          <w:rFonts w:ascii="Arial" w:hAnsi="Arial" w:cs="Arial"/>
          <w:sz w:val="24"/>
          <w:szCs w:val="24"/>
          <w:lang w:val="ro-RO"/>
        </w:rPr>
        <w:t>4</w:t>
      </w:r>
      <w:r w:rsidRPr="00DF4B1A">
        <w:rPr>
          <w:rFonts w:ascii="Arial" w:hAnsi="Arial" w:cs="Arial"/>
          <w:lang w:val="ro-RO"/>
        </w:rPr>
        <w:t xml:space="preserve"> </w:t>
      </w:r>
      <w:r w:rsidRPr="00DF4B1A">
        <w:rPr>
          <w:rFonts w:ascii="Arial" w:hAnsi="Arial" w:cs="Arial"/>
          <w:sz w:val="24"/>
          <w:szCs w:val="24"/>
          <w:lang w:val="ro-RO"/>
        </w:rPr>
        <w:t xml:space="preserve">se constată </w:t>
      </w:r>
      <w:r w:rsidR="00751EFB" w:rsidRPr="00DF4B1A">
        <w:rPr>
          <w:rFonts w:ascii="Arial" w:hAnsi="Arial" w:cs="Arial"/>
          <w:sz w:val="24"/>
          <w:szCs w:val="24"/>
          <w:lang w:val="ro-RO"/>
        </w:rPr>
        <w:t>încadrarea</w:t>
      </w:r>
      <w:r w:rsidRPr="00DF4B1A">
        <w:rPr>
          <w:rFonts w:ascii="Arial" w:hAnsi="Arial" w:cs="Arial"/>
          <w:sz w:val="24"/>
          <w:szCs w:val="24"/>
          <w:lang w:val="ro-RO"/>
        </w:rPr>
        <w:t xml:space="preserve"> concentrațiilor medii anuale de benzen </w:t>
      </w:r>
      <w:r w:rsidR="00751EFB" w:rsidRPr="00DF4B1A">
        <w:rPr>
          <w:rFonts w:ascii="Arial" w:hAnsi="Arial" w:cs="Arial"/>
          <w:sz w:val="24"/>
          <w:szCs w:val="24"/>
          <w:lang w:val="ro-RO"/>
        </w:rPr>
        <w:t xml:space="preserve">mult </w:t>
      </w:r>
      <w:r w:rsidR="00751EFB" w:rsidRPr="00DF4B1A">
        <w:rPr>
          <w:rFonts w:ascii="Arial" w:hAnsi="Arial" w:cs="Arial"/>
          <w:b/>
          <w:sz w:val="24"/>
          <w:szCs w:val="24"/>
          <w:lang w:val="ro-RO"/>
        </w:rPr>
        <w:t xml:space="preserve">sub </w:t>
      </w:r>
      <w:r w:rsidR="00144C14" w:rsidRPr="00DF4B1A">
        <w:rPr>
          <w:rFonts w:ascii="Arial" w:hAnsi="Arial" w:cs="Arial"/>
          <w:b/>
          <w:sz w:val="24"/>
          <w:szCs w:val="24"/>
          <w:lang w:val="ro-RO"/>
        </w:rPr>
        <w:t>valoarea limită</w:t>
      </w:r>
      <w:r w:rsidR="00751EFB" w:rsidRPr="00DF4B1A">
        <w:rPr>
          <w:rFonts w:ascii="Arial" w:hAnsi="Arial" w:cs="Arial"/>
          <w:b/>
          <w:sz w:val="24"/>
          <w:szCs w:val="24"/>
          <w:lang w:val="ro-RO"/>
        </w:rPr>
        <w:t xml:space="preserve"> anuală</w:t>
      </w:r>
      <w:r w:rsidR="00751EFB" w:rsidRPr="00DF4B1A">
        <w:rPr>
          <w:rFonts w:ascii="Arial" w:hAnsi="Arial" w:cs="Arial"/>
          <w:sz w:val="24"/>
          <w:szCs w:val="24"/>
          <w:lang w:val="ro-RO"/>
        </w:rPr>
        <w:t xml:space="preserve"> pentru protecția sănătății umane, în stația SV1 din mun. Suceava</w:t>
      </w:r>
      <w:r w:rsidR="00144C14" w:rsidRPr="00DF4B1A">
        <w:rPr>
          <w:rFonts w:ascii="Arial" w:hAnsi="Arial" w:cs="Arial"/>
          <w:sz w:val="24"/>
          <w:szCs w:val="24"/>
          <w:lang w:val="ro-RO"/>
        </w:rPr>
        <w:t xml:space="preserve">, </w:t>
      </w:r>
      <w:r w:rsidR="00E90CE1">
        <w:rPr>
          <w:rFonts w:ascii="Arial" w:hAnsi="Arial" w:cs="Arial"/>
          <w:sz w:val="24"/>
          <w:szCs w:val="24"/>
          <w:lang w:val="ro-RO"/>
        </w:rPr>
        <w:t>în ani</w:t>
      </w:r>
      <w:r w:rsidR="00A90B51">
        <w:rPr>
          <w:rFonts w:ascii="Arial" w:hAnsi="Arial" w:cs="Arial"/>
          <w:sz w:val="24"/>
          <w:szCs w:val="24"/>
          <w:lang w:val="ro-RO"/>
        </w:rPr>
        <w:t>i</w:t>
      </w:r>
      <w:r w:rsidR="00E90CE1">
        <w:rPr>
          <w:rFonts w:ascii="Arial" w:hAnsi="Arial" w:cs="Arial"/>
          <w:sz w:val="24"/>
          <w:szCs w:val="24"/>
          <w:lang w:val="ro-RO"/>
        </w:rPr>
        <w:t xml:space="preserve"> în care s-au obţinut capturi </w:t>
      </w:r>
      <w:r w:rsidR="00247528">
        <w:rPr>
          <w:rFonts w:ascii="Arial" w:hAnsi="Arial" w:cs="Arial"/>
          <w:sz w:val="24"/>
          <w:szCs w:val="24"/>
          <w:lang w:val="ro-RO"/>
        </w:rPr>
        <w:t xml:space="preserve">suficiente </w:t>
      </w:r>
      <w:r w:rsidR="00E90CE1">
        <w:rPr>
          <w:rFonts w:ascii="Arial" w:hAnsi="Arial" w:cs="Arial"/>
          <w:sz w:val="24"/>
          <w:szCs w:val="24"/>
          <w:lang w:val="ro-RO"/>
        </w:rPr>
        <w:t xml:space="preserve">de date </w:t>
      </w:r>
      <w:r w:rsidR="00247528">
        <w:rPr>
          <w:rFonts w:ascii="Arial" w:hAnsi="Arial" w:cs="Arial"/>
          <w:sz w:val="24"/>
          <w:szCs w:val="24"/>
          <w:lang w:val="ro-RO"/>
        </w:rPr>
        <w:t>în perioada analizată</w:t>
      </w:r>
      <w:r w:rsidRPr="00DF4B1A">
        <w:rPr>
          <w:rFonts w:ascii="Arial" w:hAnsi="Arial" w:cs="Arial"/>
          <w:sz w:val="24"/>
          <w:szCs w:val="24"/>
          <w:lang w:val="ro-RO"/>
        </w:rPr>
        <w:t>.</w:t>
      </w:r>
    </w:p>
    <w:p w:rsidR="009214D6" w:rsidRPr="00C46B4B" w:rsidRDefault="009214D6" w:rsidP="00152F86">
      <w:pPr>
        <w:widowControl w:val="0"/>
        <w:spacing w:after="0" w:line="240" w:lineRule="auto"/>
        <w:jc w:val="both"/>
        <w:rPr>
          <w:rFonts w:ascii="Arial" w:hAnsi="Arial" w:cs="Arial"/>
          <w:sz w:val="16"/>
          <w:szCs w:val="16"/>
          <w:lang w:val="ro-RO"/>
        </w:rPr>
      </w:pPr>
    </w:p>
    <w:p w:rsidR="0035600F" w:rsidRPr="00DF4B1A" w:rsidRDefault="0035600F" w:rsidP="00152F86">
      <w:pPr>
        <w:widowControl w:val="0"/>
        <w:spacing w:after="0" w:line="240" w:lineRule="auto"/>
        <w:jc w:val="both"/>
        <w:rPr>
          <w:rFonts w:ascii="Arial" w:hAnsi="Arial" w:cs="Arial"/>
          <w:b/>
          <w:sz w:val="24"/>
          <w:szCs w:val="24"/>
          <w:lang w:val="ro-RO"/>
        </w:rPr>
      </w:pPr>
      <w:r w:rsidRPr="00527A60">
        <w:rPr>
          <w:rFonts w:ascii="Arial" w:hAnsi="Arial" w:cs="Arial"/>
          <w:b/>
          <w:sz w:val="24"/>
          <w:szCs w:val="24"/>
          <w:lang w:val="ro-RO"/>
        </w:rPr>
        <w:t>I.1.1.3. Depășiri ale valorilor limită și valorilor țintă privind calitatea aerului înconjurător în zonele urbane</w:t>
      </w:r>
      <w:r w:rsidRPr="00DF4B1A">
        <w:rPr>
          <w:rFonts w:ascii="Arial" w:hAnsi="Arial" w:cs="Arial"/>
          <w:b/>
          <w:sz w:val="24"/>
          <w:szCs w:val="24"/>
          <w:lang w:val="ro-RO"/>
        </w:rPr>
        <w:t xml:space="preserve"> </w:t>
      </w:r>
    </w:p>
    <w:p w:rsidR="001D61E7" w:rsidRPr="00C46B4B" w:rsidRDefault="001D61E7" w:rsidP="00152F86">
      <w:pPr>
        <w:widowControl w:val="0"/>
        <w:spacing w:after="0" w:line="240" w:lineRule="auto"/>
        <w:jc w:val="both"/>
        <w:rPr>
          <w:rFonts w:ascii="Arial" w:hAnsi="Arial" w:cs="Arial"/>
          <w:b/>
          <w:i/>
          <w:sz w:val="10"/>
          <w:szCs w:val="10"/>
          <w:lang w:val="ro-RO"/>
        </w:rPr>
      </w:pPr>
    </w:p>
    <w:tbl>
      <w:tblPr>
        <w:tblStyle w:val="TableGrid"/>
        <w:tblW w:w="0" w:type="auto"/>
        <w:tblInd w:w="108" w:type="dxa"/>
        <w:tblLook w:val="04A0"/>
      </w:tblPr>
      <w:tblGrid>
        <w:gridCol w:w="9889"/>
      </w:tblGrid>
      <w:tr w:rsidR="00527A60" w:rsidRPr="00527A60" w:rsidTr="00527A60">
        <w:tc>
          <w:tcPr>
            <w:tcW w:w="9889" w:type="dxa"/>
            <w:shd w:val="clear" w:color="auto" w:fill="B6DDE8" w:themeFill="accent5" w:themeFillTint="66"/>
          </w:tcPr>
          <w:p w:rsidR="00527A60" w:rsidRPr="00527A60" w:rsidRDefault="00527A60" w:rsidP="00527A60">
            <w:pPr>
              <w:autoSpaceDE w:val="0"/>
              <w:autoSpaceDN w:val="0"/>
              <w:adjustRightInd w:val="0"/>
              <w:spacing w:after="0" w:line="240" w:lineRule="auto"/>
              <w:rPr>
                <w:rFonts w:ascii="Arial" w:hAnsi="Arial" w:cs="Arial"/>
                <w:lang w:val="ro-RO" w:eastAsia="ro-RO"/>
              </w:rPr>
            </w:pPr>
            <w:r w:rsidRPr="00527A60">
              <w:rPr>
                <w:rFonts w:ascii="Arial" w:hAnsi="Arial" w:cs="Arial"/>
                <w:b/>
                <w:bCs/>
                <w:lang w:val="ro-RO" w:eastAsia="ro-RO"/>
              </w:rPr>
              <w:t>Cod indicator România</w:t>
            </w:r>
            <w:r w:rsidRPr="00527A60">
              <w:rPr>
                <w:rFonts w:ascii="Arial" w:hAnsi="Arial" w:cs="Arial"/>
                <w:lang w:val="ro-RO" w:eastAsia="ro-RO"/>
              </w:rPr>
              <w:t>: RO 04</w:t>
            </w:r>
          </w:p>
          <w:p w:rsidR="00527A60" w:rsidRPr="00527A60" w:rsidRDefault="00527A60" w:rsidP="00527A60">
            <w:pPr>
              <w:autoSpaceDE w:val="0"/>
              <w:autoSpaceDN w:val="0"/>
              <w:adjustRightInd w:val="0"/>
              <w:spacing w:after="0" w:line="240" w:lineRule="auto"/>
              <w:rPr>
                <w:rFonts w:ascii="Arial" w:hAnsi="Arial" w:cs="Arial"/>
                <w:lang w:val="ro-RO" w:eastAsia="ro-RO"/>
              </w:rPr>
            </w:pPr>
            <w:r w:rsidRPr="00527A60">
              <w:rPr>
                <w:rFonts w:ascii="Arial" w:hAnsi="Arial" w:cs="Arial"/>
                <w:b/>
                <w:bCs/>
                <w:lang w:val="ro-RO" w:eastAsia="ro-RO"/>
              </w:rPr>
              <w:t>Cod indicator AEM</w:t>
            </w:r>
            <w:r w:rsidRPr="00527A60">
              <w:rPr>
                <w:rFonts w:ascii="Arial" w:hAnsi="Arial" w:cs="Arial"/>
                <w:lang w:val="ro-RO" w:eastAsia="ro-RO"/>
              </w:rPr>
              <w:t>: CSI 04</w:t>
            </w:r>
          </w:p>
          <w:p w:rsidR="00527A60" w:rsidRPr="00527A60" w:rsidRDefault="00527A60" w:rsidP="00527A60">
            <w:pPr>
              <w:autoSpaceDE w:val="0"/>
              <w:autoSpaceDN w:val="0"/>
              <w:adjustRightInd w:val="0"/>
              <w:spacing w:after="0" w:line="240" w:lineRule="auto"/>
              <w:jc w:val="both"/>
              <w:rPr>
                <w:rFonts w:ascii="Arial" w:hAnsi="Arial" w:cs="Arial"/>
                <w:lang w:val="ro-RO" w:eastAsia="ro-RO"/>
              </w:rPr>
            </w:pPr>
            <w:r w:rsidRPr="00527A60">
              <w:rPr>
                <w:rFonts w:ascii="Arial" w:hAnsi="Arial" w:cs="Arial"/>
                <w:b/>
                <w:bCs/>
                <w:lang w:val="ro-RO" w:eastAsia="ro-RO"/>
              </w:rPr>
              <w:t>DENUMIRE</w:t>
            </w:r>
            <w:r w:rsidRPr="00527A60">
              <w:rPr>
                <w:rFonts w:ascii="Arial" w:hAnsi="Arial" w:cs="Arial"/>
                <w:lang w:val="ro-RO" w:eastAsia="ro-RO"/>
              </w:rPr>
              <w:t>: DEPĂŞIREA VALORILOR LIMITĂ PRIVIND CALITATEA AERULUI ÎN ZONELE URBANE</w:t>
            </w:r>
          </w:p>
          <w:p w:rsidR="00527A60" w:rsidRPr="00527A60" w:rsidRDefault="00527A60" w:rsidP="00527A60">
            <w:pPr>
              <w:autoSpaceDE w:val="0"/>
              <w:autoSpaceDN w:val="0"/>
              <w:adjustRightInd w:val="0"/>
              <w:spacing w:after="0" w:line="240" w:lineRule="auto"/>
              <w:jc w:val="both"/>
              <w:rPr>
                <w:rFonts w:ascii="Arial" w:hAnsi="Arial" w:cs="Arial"/>
                <w:sz w:val="24"/>
                <w:szCs w:val="24"/>
                <w:lang w:val="ro-RO"/>
              </w:rPr>
            </w:pPr>
            <w:r w:rsidRPr="00527A60">
              <w:rPr>
                <w:rFonts w:ascii="Arial" w:hAnsi="Arial" w:cs="Arial"/>
                <w:b/>
                <w:bCs/>
                <w:lang w:val="ro-RO" w:eastAsia="ro-RO"/>
              </w:rPr>
              <w:t>DEFINIŢIE</w:t>
            </w:r>
            <w:r w:rsidRPr="00527A60">
              <w:rPr>
                <w:rFonts w:ascii="Arial" w:hAnsi="Arial" w:cs="Arial"/>
                <w:lang w:val="ro-RO" w:eastAsia="ro-RO"/>
              </w:rPr>
              <w:t>: Procentul populaţiei urbane potenţial expusă la concentraţii de poluanţi în aerul înconjurător care depăşesc valoarea-limită pentru protecţia sănătăţii umane.</w:t>
            </w:r>
          </w:p>
        </w:tc>
      </w:tr>
    </w:tbl>
    <w:p w:rsidR="00527A60" w:rsidRPr="00527A60" w:rsidRDefault="00527A60" w:rsidP="00152F86">
      <w:pPr>
        <w:widowControl w:val="0"/>
        <w:spacing w:after="0" w:line="240" w:lineRule="auto"/>
        <w:ind w:firstLine="720"/>
        <w:jc w:val="both"/>
        <w:rPr>
          <w:rFonts w:ascii="Arial" w:hAnsi="Arial" w:cs="Arial"/>
          <w:sz w:val="10"/>
          <w:szCs w:val="10"/>
          <w:lang w:val="ro-RO"/>
        </w:rPr>
      </w:pPr>
    </w:p>
    <w:tbl>
      <w:tblPr>
        <w:tblW w:w="0" w:type="auto"/>
        <w:tblBorders>
          <w:top w:val="nil"/>
          <w:left w:val="nil"/>
          <w:bottom w:val="nil"/>
          <w:right w:val="nil"/>
        </w:tblBorders>
        <w:tblLayout w:type="fixed"/>
        <w:tblLook w:val="0000"/>
      </w:tblPr>
      <w:tblGrid>
        <w:gridCol w:w="9786"/>
      </w:tblGrid>
      <w:tr w:rsidR="000E4544" w:rsidRPr="000E4544">
        <w:trPr>
          <w:trHeight w:val="208"/>
        </w:trPr>
        <w:tc>
          <w:tcPr>
            <w:tcW w:w="9786" w:type="dxa"/>
          </w:tcPr>
          <w:p w:rsidR="000E4544" w:rsidRPr="000E4544" w:rsidRDefault="000E4544" w:rsidP="000E4544">
            <w:pPr>
              <w:widowControl w:val="0"/>
              <w:spacing w:after="0" w:line="240" w:lineRule="auto"/>
              <w:ind w:firstLine="720"/>
              <w:jc w:val="both"/>
              <w:rPr>
                <w:rFonts w:ascii="Arial" w:hAnsi="Arial" w:cs="Arial"/>
                <w:sz w:val="24"/>
                <w:szCs w:val="24"/>
                <w:lang w:val="ro-RO"/>
              </w:rPr>
            </w:pPr>
            <w:r>
              <w:rPr>
                <w:rFonts w:ascii="Arial" w:hAnsi="Arial" w:cs="Arial"/>
                <w:sz w:val="24"/>
                <w:szCs w:val="24"/>
                <w:lang w:val="ro-RO"/>
              </w:rPr>
              <w:t>Conform fișei indicatorului RO 04, a</w:t>
            </w:r>
            <w:r w:rsidR="001D61E7" w:rsidRPr="00DF4B1A">
              <w:rPr>
                <w:rFonts w:ascii="Arial" w:hAnsi="Arial" w:cs="Arial"/>
                <w:sz w:val="24"/>
                <w:szCs w:val="24"/>
                <w:lang w:val="ro-RO"/>
              </w:rPr>
              <w:t>cest</w:t>
            </w:r>
            <w:r>
              <w:rPr>
                <w:rFonts w:ascii="Arial" w:hAnsi="Arial" w:cs="Arial"/>
                <w:sz w:val="24"/>
                <w:szCs w:val="24"/>
                <w:lang w:val="ro-RO"/>
              </w:rPr>
              <w:t>a</w:t>
            </w:r>
            <w:r w:rsidR="001D61E7" w:rsidRPr="00DF4B1A">
              <w:rPr>
                <w:rFonts w:ascii="Arial" w:hAnsi="Arial" w:cs="Arial"/>
                <w:sz w:val="24"/>
                <w:szCs w:val="24"/>
                <w:lang w:val="ro-RO"/>
              </w:rPr>
              <w:t xml:space="preserve"> </w:t>
            </w:r>
            <w:r w:rsidR="00DC73AF">
              <w:rPr>
                <w:rFonts w:ascii="Arial" w:hAnsi="Arial" w:cs="Arial"/>
                <w:sz w:val="24"/>
                <w:szCs w:val="24"/>
                <w:lang w:val="ro-RO"/>
              </w:rPr>
              <w:t>prezintă</w:t>
            </w:r>
            <w:r w:rsidR="001D61E7" w:rsidRPr="00DF4B1A">
              <w:rPr>
                <w:rFonts w:ascii="Arial" w:hAnsi="Arial" w:cs="Arial"/>
                <w:sz w:val="24"/>
                <w:szCs w:val="24"/>
                <w:lang w:val="ro-RO"/>
              </w:rPr>
              <w:t xml:space="preserve"> expunerea populaţiei urbane la poluarea atmosferică cauzată de poluanţ</w:t>
            </w:r>
            <w:r w:rsidR="00A90B51">
              <w:rPr>
                <w:rFonts w:ascii="Arial" w:hAnsi="Arial" w:cs="Arial"/>
                <w:sz w:val="24"/>
                <w:szCs w:val="24"/>
                <w:lang w:val="ro-RO"/>
              </w:rPr>
              <w:t>ii</w:t>
            </w:r>
            <w:r w:rsidR="001D61E7" w:rsidRPr="00DF4B1A">
              <w:rPr>
                <w:rFonts w:ascii="Arial" w:hAnsi="Arial" w:cs="Arial"/>
                <w:sz w:val="24"/>
                <w:szCs w:val="24"/>
                <w:lang w:val="ro-RO"/>
              </w:rPr>
              <w:t xml:space="preserve"> dioxid de sulf</w:t>
            </w:r>
            <w:r w:rsidR="00797493">
              <w:rPr>
                <w:rFonts w:ascii="Arial" w:hAnsi="Arial" w:cs="Arial"/>
                <w:sz w:val="24"/>
                <w:szCs w:val="24"/>
                <w:lang w:val="ro-RO"/>
              </w:rPr>
              <w:t xml:space="preserve"> </w:t>
            </w:r>
            <w:r w:rsidR="007C302F">
              <w:rPr>
                <w:rFonts w:ascii="Arial" w:hAnsi="Arial" w:cs="Arial"/>
                <w:sz w:val="24"/>
                <w:szCs w:val="24"/>
                <w:lang w:val="ro-RO"/>
              </w:rPr>
              <w:t>(</w:t>
            </w:r>
            <w:r w:rsidR="00797493">
              <w:rPr>
                <w:rFonts w:ascii="Arial" w:hAnsi="Arial" w:cs="Arial"/>
                <w:sz w:val="24"/>
                <w:szCs w:val="24"/>
                <w:lang w:val="ro-RO"/>
              </w:rPr>
              <w:t>SO</w:t>
            </w:r>
            <w:r w:rsidR="00797493" w:rsidRPr="000E4544">
              <w:rPr>
                <w:rFonts w:ascii="Arial" w:hAnsi="Arial" w:cs="Arial"/>
                <w:sz w:val="24"/>
                <w:szCs w:val="24"/>
                <w:vertAlign w:val="subscript"/>
                <w:lang w:val="ro-RO"/>
              </w:rPr>
              <w:t>2</w:t>
            </w:r>
            <w:r w:rsidR="00797493">
              <w:rPr>
                <w:rFonts w:ascii="Arial" w:hAnsi="Arial" w:cs="Arial"/>
                <w:sz w:val="24"/>
                <w:szCs w:val="24"/>
                <w:lang w:val="ro-RO"/>
              </w:rPr>
              <w:t>)</w:t>
            </w:r>
            <w:r w:rsidR="001D61E7" w:rsidRPr="00DF4B1A">
              <w:rPr>
                <w:rFonts w:ascii="Arial" w:hAnsi="Arial" w:cs="Arial"/>
                <w:sz w:val="24"/>
                <w:szCs w:val="24"/>
                <w:lang w:val="ro-RO"/>
              </w:rPr>
              <w:t>, particule în suspensie</w:t>
            </w:r>
            <w:r w:rsidR="00797493">
              <w:rPr>
                <w:rFonts w:ascii="Arial" w:hAnsi="Arial" w:cs="Arial"/>
                <w:sz w:val="24"/>
                <w:szCs w:val="24"/>
                <w:lang w:val="ro-RO"/>
              </w:rPr>
              <w:t xml:space="preserve"> (PM)</w:t>
            </w:r>
            <w:r w:rsidR="001D61E7" w:rsidRPr="00DF4B1A">
              <w:rPr>
                <w:rFonts w:ascii="Arial" w:hAnsi="Arial" w:cs="Arial"/>
                <w:sz w:val="24"/>
                <w:szCs w:val="24"/>
                <w:lang w:val="ro-RO"/>
              </w:rPr>
              <w:t xml:space="preserve">, oxizi de azot </w:t>
            </w:r>
            <w:r w:rsidR="00797493">
              <w:rPr>
                <w:rFonts w:ascii="Arial" w:hAnsi="Arial" w:cs="Arial"/>
                <w:sz w:val="24"/>
                <w:szCs w:val="24"/>
                <w:lang w:val="ro-RO"/>
              </w:rPr>
              <w:t>(NO</w:t>
            </w:r>
            <w:r w:rsidR="00797493" w:rsidRPr="000E4544">
              <w:rPr>
                <w:rFonts w:ascii="Arial" w:hAnsi="Arial" w:cs="Arial"/>
                <w:sz w:val="24"/>
                <w:szCs w:val="24"/>
                <w:vertAlign w:val="subscript"/>
                <w:lang w:val="ro-RO"/>
              </w:rPr>
              <w:t>x</w:t>
            </w:r>
            <w:r w:rsidR="00797493">
              <w:rPr>
                <w:rFonts w:ascii="Arial" w:hAnsi="Arial" w:cs="Arial"/>
                <w:sz w:val="24"/>
                <w:szCs w:val="24"/>
                <w:lang w:val="ro-RO"/>
              </w:rPr>
              <w:t xml:space="preserve">) </w:t>
            </w:r>
            <w:r w:rsidR="001D61E7" w:rsidRPr="00DF4B1A">
              <w:rPr>
                <w:rFonts w:ascii="Arial" w:hAnsi="Arial" w:cs="Arial"/>
                <w:sz w:val="24"/>
                <w:szCs w:val="24"/>
                <w:lang w:val="ro-RO"/>
              </w:rPr>
              <w:t>şi ozon troposferic</w:t>
            </w:r>
            <w:r w:rsidR="00797493">
              <w:rPr>
                <w:rFonts w:ascii="Arial" w:hAnsi="Arial" w:cs="Arial"/>
                <w:sz w:val="24"/>
                <w:szCs w:val="24"/>
                <w:lang w:val="ro-RO"/>
              </w:rPr>
              <w:t xml:space="preserve"> (O</w:t>
            </w:r>
            <w:r w:rsidR="00797493" w:rsidRPr="000E4544">
              <w:rPr>
                <w:rFonts w:ascii="Arial" w:hAnsi="Arial" w:cs="Arial"/>
                <w:sz w:val="24"/>
                <w:szCs w:val="24"/>
                <w:vertAlign w:val="subscript"/>
                <w:lang w:val="ro-RO"/>
              </w:rPr>
              <w:t>3</w:t>
            </w:r>
            <w:r w:rsidR="00797493">
              <w:rPr>
                <w:rFonts w:ascii="Arial" w:hAnsi="Arial" w:cs="Arial"/>
                <w:sz w:val="24"/>
                <w:szCs w:val="24"/>
                <w:lang w:val="ro-RO"/>
              </w:rPr>
              <w:t>)</w:t>
            </w:r>
            <w:r w:rsidR="00E35E40" w:rsidRPr="00DF4B1A">
              <w:rPr>
                <w:rFonts w:ascii="Arial" w:hAnsi="Arial" w:cs="Arial"/>
                <w:sz w:val="24"/>
                <w:szCs w:val="24"/>
                <w:lang w:val="ro-RO"/>
              </w:rPr>
              <w:t>.</w:t>
            </w:r>
            <w:r>
              <w:rPr>
                <w:rFonts w:ascii="Arial" w:hAnsi="Arial" w:cs="Arial"/>
                <w:sz w:val="24"/>
                <w:szCs w:val="24"/>
                <w:lang w:val="ro-RO"/>
              </w:rPr>
              <w:t xml:space="preserve"> </w:t>
            </w:r>
            <w:r w:rsidRPr="000E4544">
              <w:rPr>
                <w:rFonts w:ascii="Arial" w:hAnsi="Arial" w:cs="Arial"/>
                <w:sz w:val="24"/>
                <w:szCs w:val="24"/>
                <w:lang w:val="ro-RO"/>
              </w:rPr>
              <w:t xml:space="preserve">Populaţia urbană considerată este reprezentată de numărul total de persoane care trăiesc în oraşele cu cel puţin o staţie de monitorizare a calităţii aerului. </w:t>
            </w:r>
          </w:p>
        </w:tc>
      </w:tr>
    </w:tbl>
    <w:p w:rsidR="00180A8F" w:rsidRDefault="00180A8F" w:rsidP="00152F86">
      <w:pPr>
        <w:widowControl w:val="0"/>
        <w:spacing w:after="0" w:line="240" w:lineRule="auto"/>
        <w:ind w:firstLine="720"/>
        <w:jc w:val="both"/>
        <w:rPr>
          <w:rFonts w:ascii="Arial" w:hAnsi="Arial" w:cs="Arial"/>
          <w:sz w:val="24"/>
          <w:szCs w:val="24"/>
          <w:lang w:val="ro-RO"/>
        </w:rPr>
      </w:pPr>
    </w:p>
    <w:p w:rsidR="00DC73AF" w:rsidRPr="00DC73AF" w:rsidRDefault="00DC73AF" w:rsidP="00DC73AF">
      <w:pPr>
        <w:widowControl w:val="0"/>
        <w:spacing w:after="0" w:line="240" w:lineRule="auto"/>
        <w:ind w:firstLine="720"/>
        <w:jc w:val="both"/>
        <w:rPr>
          <w:rFonts w:ascii="Arial" w:hAnsi="Arial" w:cs="Arial"/>
          <w:sz w:val="24"/>
          <w:szCs w:val="24"/>
          <w:lang w:val="ro-RO"/>
        </w:rPr>
      </w:pPr>
      <w:r w:rsidRPr="00DC73AF">
        <w:rPr>
          <w:rFonts w:ascii="Arial" w:hAnsi="Arial" w:cs="Arial"/>
          <w:sz w:val="24"/>
          <w:szCs w:val="24"/>
          <w:lang w:val="ro-RO"/>
        </w:rPr>
        <w:t>Dioxidul de sulf (SO</w:t>
      </w:r>
      <w:r w:rsidRPr="00DC73AF">
        <w:rPr>
          <w:rFonts w:ascii="Arial" w:hAnsi="Arial" w:cs="Arial"/>
          <w:sz w:val="24"/>
          <w:szCs w:val="24"/>
          <w:vertAlign w:val="subscript"/>
          <w:lang w:val="ro-RO"/>
        </w:rPr>
        <w:t>2</w:t>
      </w:r>
      <w:r w:rsidRPr="00DC73AF">
        <w:rPr>
          <w:rFonts w:ascii="Arial" w:hAnsi="Arial" w:cs="Arial"/>
          <w:sz w:val="24"/>
          <w:szCs w:val="24"/>
          <w:lang w:val="ro-RO"/>
        </w:rPr>
        <w:t xml:space="preserve">) reprezintă un gaz toxic pentru sănătatea oamenilor, principala sa acţiune fiind asupra funcţiilor respiratorii. Indirect, acesta poate afecta sănătatea umană, prin inhalarea de particule fine de acid sulfuric şi sulfat sub care formă se transformă. </w:t>
      </w:r>
    </w:p>
    <w:p w:rsidR="00DC73AF" w:rsidRPr="00DC73AF" w:rsidRDefault="00DC73AF" w:rsidP="00DC73AF">
      <w:pPr>
        <w:widowControl w:val="0"/>
        <w:spacing w:after="0" w:line="240" w:lineRule="auto"/>
        <w:ind w:firstLine="720"/>
        <w:jc w:val="both"/>
        <w:rPr>
          <w:rFonts w:ascii="Arial" w:hAnsi="Arial" w:cs="Arial"/>
          <w:sz w:val="24"/>
          <w:szCs w:val="24"/>
          <w:lang w:val="ro-RO"/>
        </w:rPr>
      </w:pPr>
      <w:r w:rsidRPr="00DC73AF">
        <w:rPr>
          <w:rFonts w:ascii="Arial" w:hAnsi="Arial" w:cs="Arial"/>
          <w:sz w:val="24"/>
          <w:szCs w:val="24"/>
          <w:lang w:val="ro-RO"/>
        </w:rPr>
        <w:t xml:space="preserve">Studiile epidemiologice au demonstrat existenţa unei asocieri statistice semnificative între expunerea pe termen scurt şi lung la concentraţii ridicate de particule în suspensie şi morbiditatea crescută şi prematură. </w:t>
      </w:r>
      <w:r>
        <w:rPr>
          <w:rFonts w:ascii="Arial" w:hAnsi="Arial" w:cs="Arial"/>
          <w:sz w:val="24"/>
          <w:szCs w:val="24"/>
          <w:lang w:val="ro-RO"/>
        </w:rPr>
        <w:t>P</w:t>
      </w:r>
      <w:r w:rsidRPr="00DC73AF">
        <w:rPr>
          <w:rFonts w:ascii="Arial" w:hAnsi="Arial" w:cs="Arial"/>
          <w:sz w:val="24"/>
          <w:szCs w:val="24"/>
          <w:lang w:val="ro-RO"/>
        </w:rPr>
        <w:t>articule</w:t>
      </w:r>
      <w:r>
        <w:rPr>
          <w:rFonts w:ascii="Arial" w:hAnsi="Arial" w:cs="Arial"/>
          <w:sz w:val="24"/>
          <w:szCs w:val="24"/>
          <w:lang w:val="ro-RO"/>
        </w:rPr>
        <w:t xml:space="preserve">le </w:t>
      </w:r>
      <w:r w:rsidRPr="00DC73AF">
        <w:rPr>
          <w:rFonts w:ascii="Arial" w:hAnsi="Arial" w:cs="Arial"/>
          <w:sz w:val="24"/>
          <w:szCs w:val="24"/>
          <w:lang w:val="ro-RO"/>
        </w:rPr>
        <w:t>care sunt semnificative pentru sănătatea umană sun</w:t>
      </w:r>
      <w:r>
        <w:rPr>
          <w:rFonts w:ascii="Arial" w:hAnsi="Arial" w:cs="Arial"/>
          <w:sz w:val="24"/>
          <w:szCs w:val="24"/>
          <w:lang w:val="ro-RO"/>
        </w:rPr>
        <w:t>t de obicei exprimate sub formă</w:t>
      </w:r>
      <w:r w:rsidRPr="00DC73AF">
        <w:rPr>
          <w:rFonts w:ascii="Arial" w:hAnsi="Arial" w:cs="Arial"/>
          <w:sz w:val="24"/>
          <w:szCs w:val="24"/>
          <w:lang w:val="ro-RO"/>
        </w:rPr>
        <w:t xml:space="preserve"> de PM10 şi PM2,5</w:t>
      </w:r>
      <w:r>
        <w:rPr>
          <w:rFonts w:ascii="Arial" w:hAnsi="Arial" w:cs="Arial"/>
          <w:sz w:val="24"/>
          <w:szCs w:val="24"/>
          <w:lang w:val="ro-RO"/>
        </w:rPr>
        <w:t>,</w:t>
      </w:r>
      <w:r w:rsidRPr="00DC73AF">
        <w:rPr>
          <w:rFonts w:ascii="Arial" w:hAnsi="Arial" w:cs="Arial"/>
          <w:sz w:val="24"/>
          <w:szCs w:val="24"/>
          <w:lang w:val="ro-RO"/>
        </w:rPr>
        <w:t xml:space="preserve"> reprezentând pulberi în suspensie care trec printr-un orificiu de selectare a dimensiunii cu un randament de separare de 50% pentru un diametru aerodinamic de 10 μm, respectiv 2,5 μm. Particulele PM10 din atmosferă rezultă din emisiile directe (particule primare PM10) şi din emisiile de precursori ai particulelor (oxizi de azot, dioxid de sulf, amoniac şi compuși organici), care sunt parţial transformaţi în particule prin reacţiile chimice din atmosferă (particule secundare PM10). </w:t>
      </w:r>
    </w:p>
    <w:p w:rsidR="00DC73AF" w:rsidRPr="00DC73AF" w:rsidRDefault="00DC73AF" w:rsidP="00DC73AF">
      <w:pPr>
        <w:widowControl w:val="0"/>
        <w:spacing w:after="0" w:line="240" w:lineRule="auto"/>
        <w:ind w:firstLine="720"/>
        <w:jc w:val="both"/>
        <w:rPr>
          <w:rFonts w:ascii="Arial" w:hAnsi="Arial" w:cs="Arial"/>
          <w:sz w:val="24"/>
          <w:szCs w:val="24"/>
          <w:lang w:val="ro-RO"/>
        </w:rPr>
      </w:pPr>
      <w:r w:rsidRPr="00DC73AF">
        <w:rPr>
          <w:rFonts w:ascii="Arial" w:hAnsi="Arial" w:cs="Arial"/>
          <w:sz w:val="24"/>
          <w:szCs w:val="24"/>
          <w:lang w:val="ro-RO"/>
        </w:rPr>
        <w:t xml:space="preserve">Expunerea pe termen scurt la dioxid de azot poate duce la afecţiuni pulmonare şi ale căilor respiratorii, la declinul funcţiei pulmonare şi sensibilitate crescută la alergeni ca urmare a expunerii acute. Studiile toxicologice arată că expunerea pe termen lung la dioxid de azot poate produce modificări ireversibile în structura şi funcţia pulmonară. </w:t>
      </w:r>
    </w:p>
    <w:p w:rsidR="00DC73AF" w:rsidRPr="00DC73AF" w:rsidRDefault="00DC73AF" w:rsidP="00C776B0">
      <w:pPr>
        <w:autoSpaceDE w:val="0"/>
        <w:autoSpaceDN w:val="0"/>
        <w:adjustRightInd w:val="0"/>
        <w:spacing w:after="0" w:line="240" w:lineRule="auto"/>
        <w:ind w:firstLine="720"/>
        <w:jc w:val="both"/>
        <w:rPr>
          <w:rFonts w:ascii="Arial" w:hAnsi="Arial" w:cs="Arial"/>
          <w:color w:val="000000"/>
          <w:sz w:val="24"/>
          <w:szCs w:val="24"/>
          <w:lang w:val="ro-RO" w:eastAsia="ro-RO"/>
        </w:rPr>
      </w:pPr>
      <w:r w:rsidRPr="00DC73AF">
        <w:rPr>
          <w:rFonts w:ascii="Arial" w:hAnsi="Arial" w:cs="Arial"/>
          <w:sz w:val="24"/>
          <w:szCs w:val="24"/>
          <w:lang w:val="ro-RO"/>
        </w:rPr>
        <w:t>Expunerea la concentraţii semnificative de ozon pentru perioade de câteva zile, poate avea efecte adverse asupra sănătăţii, în special răspunsuri inflamatorii şi reducerea funcţiei pulmonare. În cazul copiilor, expunerea la concentraţii moderate de ozon pe perioade mai lungi poate duce la reducerea funcţiei pulmonare</w:t>
      </w:r>
    </w:p>
    <w:p w:rsidR="00DC73AF" w:rsidRPr="000E4544" w:rsidRDefault="00DC73AF" w:rsidP="00152F86">
      <w:pPr>
        <w:widowControl w:val="0"/>
        <w:spacing w:after="0" w:line="240" w:lineRule="auto"/>
        <w:ind w:firstLine="720"/>
        <w:jc w:val="both"/>
        <w:rPr>
          <w:rFonts w:ascii="Arial" w:hAnsi="Arial" w:cs="Arial"/>
          <w:sz w:val="10"/>
          <w:szCs w:val="10"/>
          <w:lang w:val="ro-RO"/>
        </w:rPr>
      </w:pPr>
    </w:p>
    <w:p w:rsidR="0064419C" w:rsidRPr="00DF4B1A" w:rsidRDefault="0064419C" w:rsidP="0064419C">
      <w:pPr>
        <w:widowControl w:val="0"/>
        <w:spacing w:after="0" w:line="240" w:lineRule="auto"/>
        <w:ind w:firstLine="720"/>
        <w:jc w:val="both"/>
        <w:rPr>
          <w:rFonts w:ascii="Arial" w:hAnsi="Arial" w:cs="Arial"/>
          <w:sz w:val="24"/>
          <w:szCs w:val="24"/>
          <w:lang w:val="ro-RO"/>
        </w:rPr>
      </w:pPr>
      <w:r w:rsidRPr="00DF4B1A">
        <w:rPr>
          <w:rFonts w:ascii="Arial" w:hAnsi="Arial" w:cs="Arial"/>
          <w:sz w:val="24"/>
          <w:szCs w:val="24"/>
          <w:lang w:val="ro-RO"/>
        </w:rPr>
        <w:t>Pentru</w:t>
      </w:r>
      <w:r w:rsidRPr="00DF4B1A">
        <w:rPr>
          <w:rFonts w:ascii="Arial" w:hAnsi="Arial" w:cs="Arial"/>
          <w:b/>
          <w:sz w:val="24"/>
          <w:szCs w:val="24"/>
          <w:lang w:val="ro-RO"/>
        </w:rPr>
        <w:t xml:space="preserve"> </w:t>
      </w:r>
      <w:r w:rsidRPr="00C776B0">
        <w:rPr>
          <w:rFonts w:ascii="Arial" w:hAnsi="Arial" w:cs="Arial"/>
          <w:color w:val="000000"/>
          <w:sz w:val="24"/>
          <w:szCs w:val="24"/>
          <w:lang w:val="ro-RO" w:eastAsia="ro-RO"/>
        </w:rPr>
        <w:t xml:space="preserve">protecţia sănătăţii </w:t>
      </w:r>
      <w:r>
        <w:rPr>
          <w:rFonts w:ascii="Arial" w:hAnsi="Arial" w:cs="Arial"/>
          <w:color w:val="000000"/>
          <w:sz w:val="24"/>
          <w:szCs w:val="24"/>
          <w:lang w:val="ro-RO" w:eastAsia="ro-RO"/>
        </w:rPr>
        <w:t>umane</w:t>
      </w:r>
      <w:r w:rsidRPr="00DF4B1A">
        <w:rPr>
          <w:rFonts w:ascii="Arial" w:hAnsi="Arial" w:cs="Arial"/>
          <w:sz w:val="24"/>
          <w:szCs w:val="24"/>
          <w:lang w:val="ro-RO"/>
        </w:rPr>
        <w:t>, legea nr. 104/2011 stabileşte</w:t>
      </w:r>
      <w:r>
        <w:rPr>
          <w:rFonts w:ascii="Arial" w:hAnsi="Arial" w:cs="Arial"/>
          <w:sz w:val="24"/>
          <w:szCs w:val="24"/>
          <w:lang w:val="ro-RO"/>
        </w:rPr>
        <w:t xml:space="preserve"> următoarele valori limită și valori țintă la poluanții sus-menționați</w:t>
      </w:r>
      <w:r w:rsidRPr="00DF4B1A">
        <w:rPr>
          <w:rFonts w:ascii="Arial" w:hAnsi="Arial" w:cs="Arial"/>
          <w:sz w:val="24"/>
          <w:szCs w:val="24"/>
          <w:lang w:val="ro-RO"/>
        </w:rPr>
        <w:t xml:space="preserve">: </w:t>
      </w:r>
    </w:p>
    <w:p w:rsidR="0064419C" w:rsidRPr="00797493" w:rsidRDefault="0064419C" w:rsidP="0064419C">
      <w:pPr>
        <w:widowControl w:val="0"/>
        <w:spacing w:after="0" w:line="240" w:lineRule="auto"/>
        <w:ind w:firstLine="720"/>
        <w:jc w:val="both"/>
        <w:rPr>
          <w:rFonts w:ascii="Arial" w:hAnsi="Arial" w:cs="Arial"/>
          <w:sz w:val="6"/>
          <w:szCs w:val="6"/>
          <w:lang w:val="ro-RO"/>
        </w:rPr>
      </w:pPr>
    </w:p>
    <w:p w:rsidR="0064419C" w:rsidRPr="00C776B0" w:rsidRDefault="0064419C" w:rsidP="0064419C">
      <w:pPr>
        <w:autoSpaceDE w:val="0"/>
        <w:autoSpaceDN w:val="0"/>
        <w:adjustRightInd w:val="0"/>
        <w:spacing w:after="0" w:line="240" w:lineRule="auto"/>
        <w:jc w:val="both"/>
        <w:rPr>
          <w:rFonts w:ascii="Arial" w:hAnsi="Arial" w:cs="Arial"/>
          <w:color w:val="000000"/>
          <w:sz w:val="24"/>
          <w:szCs w:val="24"/>
          <w:lang w:val="ro-RO" w:eastAsia="ro-RO"/>
        </w:rPr>
      </w:pPr>
      <w:r w:rsidRPr="00C776B0">
        <w:rPr>
          <w:rFonts w:ascii="Arial" w:hAnsi="Arial" w:cs="Arial"/>
          <w:b/>
          <w:bCs/>
          <w:i/>
          <w:iCs/>
          <w:color w:val="000000"/>
          <w:sz w:val="24"/>
          <w:szCs w:val="24"/>
          <w:lang w:val="ro-RO" w:eastAsia="ro-RO"/>
        </w:rPr>
        <w:t>Valori</w:t>
      </w:r>
      <w:r>
        <w:rPr>
          <w:rFonts w:ascii="Arial" w:hAnsi="Arial" w:cs="Arial"/>
          <w:b/>
          <w:bCs/>
          <w:i/>
          <w:iCs/>
          <w:color w:val="000000"/>
          <w:sz w:val="24"/>
          <w:szCs w:val="24"/>
          <w:lang w:val="ro-RO" w:eastAsia="ro-RO"/>
        </w:rPr>
        <w:t xml:space="preserve"> </w:t>
      </w:r>
      <w:r w:rsidRPr="00C776B0">
        <w:rPr>
          <w:rFonts w:ascii="Arial" w:hAnsi="Arial" w:cs="Arial"/>
          <w:b/>
          <w:bCs/>
          <w:i/>
          <w:iCs/>
          <w:color w:val="000000"/>
          <w:sz w:val="24"/>
          <w:szCs w:val="24"/>
          <w:lang w:val="ro-RO" w:eastAsia="ro-RO"/>
        </w:rPr>
        <w:t xml:space="preserve">limită privind concentraţiile de dioxid de sulf </w:t>
      </w:r>
      <w:r>
        <w:rPr>
          <w:rFonts w:ascii="Arial" w:hAnsi="Arial" w:cs="Arial"/>
          <w:b/>
          <w:bCs/>
          <w:i/>
          <w:iCs/>
          <w:color w:val="000000"/>
          <w:sz w:val="24"/>
          <w:szCs w:val="24"/>
          <w:lang w:val="ro-RO" w:eastAsia="ro-RO"/>
        </w:rPr>
        <w:t>(</w:t>
      </w:r>
      <w:r w:rsidRPr="00C776B0">
        <w:rPr>
          <w:rFonts w:ascii="Arial" w:hAnsi="Arial" w:cs="Arial"/>
          <w:b/>
          <w:bCs/>
          <w:i/>
          <w:iCs/>
          <w:color w:val="000000"/>
          <w:sz w:val="24"/>
          <w:szCs w:val="24"/>
          <w:lang w:val="ro-RO" w:eastAsia="ro-RO"/>
        </w:rPr>
        <w:t>SO</w:t>
      </w:r>
      <w:r w:rsidRPr="00C776B0">
        <w:rPr>
          <w:rFonts w:ascii="Arial" w:hAnsi="Arial" w:cs="Arial"/>
          <w:b/>
          <w:bCs/>
          <w:i/>
          <w:iCs/>
          <w:color w:val="000000"/>
          <w:sz w:val="24"/>
          <w:szCs w:val="24"/>
          <w:vertAlign w:val="subscript"/>
          <w:lang w:val="ro-RO" w:eastAsia="ro-RO"/>
        </w:rPr>
        <w:t>2</w:t>
      </w:r>
      <w:r>
        <w:rPr>
          <w:rFonts w:ascii="Arial" w:hAnsi="Arial" w:cs="Arial"/>
          <w:b/>
          <w:bCs/>
          <w:i/>
          <w:iCs/>
          <w:color w:val="000000"/>
          <w:sz w:val="24"/>
          <w:szCs w:val="24"/>
          <w:lang w:val="ro-RO" w:eastAsia="ro-RO"/>
        </w:rPr>
        <w:t>)</w:t>
      </w:r>
      <w:r w:rsidRPr="00C776B0">
        <w:rPr>
          <w:rFonts w:ascii="Arial" w:hAnsi="Arial" w:cs="Arial"/>
          <w:b/>
          <w:bCs/>
          <w:i/>
          <w:iCs/>
          <w:color w:val="000000"/>
          <w:sz w:val="24"/>
          <w:szCs w:val="24"/>
          <w:lang w:val="ro-RO" w:eastAsia="ro-RO"/>
        </w:rPr>
        <w:t xml:space="preserve"> în aerul înconjurător </w:t>
      </w:r>
    </w:p>
    <w:p w:rsidR="0064419C" w:rsidRPr="00C776B0" w:rsidRDefault="0064419C" w:rsidP="0064419C">
      <w:pPr>
        <w:pStyle w:val="ListParagraph"/>
        <w:numPr>
          <w:ilvl w:val="0"/>
          <w:numId w:val="27"/>
        </w:numPr>
        <w:ind w:left="284" w:hanging="284"/>
        <w:jc w:val="both"/>
        <w:rPr>
          <w:rFonts w:ascii="Arial" w:hAnsi="Arial" w:cs="Arial"/>
          <w:color w:val="000000"/>
          <w:sz w:val="24"/>
          <w:szCs w:val="24"/>
          <w:lang w:val="ro-RO" w:eastAsia="ro-RO"/>
        </w:rPr>
      </w:pPr>
      <w:r>
        <w:rPr>
          <w:rFonts w:ascii="Arial" w:hAnsi="Arial" w:cs="Arial"/>
          <w:color w:val="000000"/>
          <w:sz w:val="24"/>
          <w:szCs w:val="24"/>
          <w:lang w:val="ro-RO" w:eastAsia="ro-RO"/>
        </w:rPr>
        <w:t xml:space="preserve">o </w:t>
      </w:r>
      <w:r w:rsidRPr="00C776B0">
        <w:rPr>
          <w:rFonts w:ascii="Arial" w:hAnsi="Arial" w:cs="Arial"/>
          <w:color w:val="000000"/>
          <w:sz w:val="24"/>
          <w:szCs w:val="24"/>
          <w:lang w:val="ro-RO" w:eastAsia="ro-RO"/>
        </w:rPr>
        <w:t>valoare-limită ca medie orară de 350 μg/m</w:t>
      </w:r>
      <w:r w:rsidRPr="00C776B0">
        <w:rPr>
          <w:rFonts w:ascii="Arial" w:hAnsi="Arial" w:cs="Arial"/>
          <w:color w:val="000000"/>
          <w:sz w:val="24"/>
          <w:szCs w:val="24"/>
          <w:vertAlign w:val="superscript"/>
          <w:lang w:val="ro-RO" w:eastAsia="ro-RO"/>
        </w:rPr>
        <w:t>3</w:t>
      </w:r>
      <w:r w:rsidRPr="00C776B0">
        <w:rPr>
          <w:rFonts w:ascii="Arial" w:hAnsi="Arial" w:cs="Arial"/>
          <w:color w:val="000000"/>
          <w:sz w:val="24"/>
          <w:szCs w:val="24"/>
          <w:lang w:val="ro-RO" w:eastAsia="ro-RO"/>
        </w:rPr>
        <w:t xml:space="preserve">; acest nivel nu trebuie depăşit mai mult de 24 de ori într-un an calendaristic. </w:t>
      </w:r>
    </w:p>
    <w:p w:rsidR="0064419C" w:rsidRPr="00C776B0" w:rsidRDefault="0064419C" w:rsidP="0064419C">
      <w:pPr>
        <w:pStyle w:val="ListParagraph"/>
        <w:numPr>
          <w:ilvl w:val="0"/>
          <w:numId w:val="27"/>
        </w:numPr>
        <w:ind w:left="284" w:hanging="284"/>
        <w:jc w:val="both"/>
        <w:rPr>
          <w:rFonts w:ascii="Arial" w:hAnsi="Arial" w:cs="Arial"/>
          <w:color w:val="000000"/>
          <w:sz w:val="24"/>
          <w:szCs w:val="24"/>
          <w:lang w:val="ro-RO" w:eastAsia="ro-RO"/>
        </w:rPr>
      </w:pPr>
      <w:r>
        <w:rPr>
          <w:rFonts w:ascii="Arial" w:hAnsi="Arial" w:cs="Arial"/>
          <w:color w:val="000000"/>
          <w:sz w:val="24"/>
          <w:szCs w:val="24"/>
          <w:lang w:val="ro-RO" w:eastAsia="ro-RO"/>
        </w:rPr>
        <w:t xml:space="preserve">o </w:t>
      </w:r>
      <w:r w:rsidRPr="00C776B0">
        <w:rPr>
          <w:rFonts w:ascii="Arial" w:hAnsi="Arial" w:cs="Arial"/>
          <w:color w:val="000000"/>
          <w:sz w:val="24"/>
          <w:szCs w:val="24"/>
          <w:lang w:val="ro-RO" w:eastAsia="ro-RO"/>
        </w:rPr>
        <w:t>valoare-limită ca medie zilnică de 125 μg/m</w:t>
      </w:r>
      <w:r w:rsidRPr="00C776B0">
        <w:rPr>
          <w:rFonts w:ascii="Arial" w:hAnsi="Arial" w:cs="Arial"/>
          <w:color w:val="000000"/>
          <w:sz w:val="24"/>
          <w:szCs w:val="24"/>
          <w:vertAlign w:val="superscript"/>
          <w:lang w:val="ro-RO" w:eastAsia="ro-RO"/>
        </w:rPr>
        <w:t>3</w:t>
      </w:r>
      <w:r w:rsidRPr="00C776B0">
        <w:rPr>
          <w:rFonts w:ascii="Arial" w:hAnsi="Arial" w:cs="Arial"/>
          <w:color w:val="000000"/>
          <w:sz w:val="24"/>
          <w:szCs w:val="24"/>
          <w:lang w:val="ro-RO" w:eastAsia="ro-RO"/>
        </w:rPr>
        <w:t xml:space="preserve">; acest nivel nu trebuie depăşit mai mult de trei ori într-un an calendaristic; </w:t>
      </w:r>
    </w:p>
    <w:p w:rsidR="0064419C" w:rsidRPr="0064419C" w:rsidRDefault="0064419C" w:rsidP="0064419C">
      <w:pPr>
        <w:pStyle w:val="ListParagraph"/>
        <w:widowControl w:val="0"/>
        <w:numPr>
          <w:ilvl w:val="0"/>
          <w:numId w:val="27"/>
        </w:numPr>
        <w:jc w:val="both"/>
        <w:rPr>
          <w:rFonts w:ascii="Arial" w:hAnsi="Arial" w:cs="Arial"/>
          <w:sz w:val="6"/>
          <w:szCs w:val="6"/>
          <w:lang w:val="ro-RO"/>
        </w:rPr>
      </w:pPr>
    </w:p>
    <w:p w:rsidR="0064419C" w:rsidRPr="00C776B0" w:rsidRDefault="0064419C" w:rsidP="0064419C">
      <w:pPr>
        <w:autoSpaceDE w:val="0"/>
        <w:autoSpaceDN w:val="0"/>
        <w:adjustRightInd w:val="0"/>
        <w:spacing w:after="0" w:line="240" w:lineRule="auto"/>
        <w:jc w:val="both"/>
        <w:rPr>
          <w:rFonts w:ascii="Arial" w:hAnsi="Arial" w:cs="Arial"/>
          <w:color w:val="000000"/>
          <w:sz w:val="24"/>
          <w:szCs w:val="24"/>
          <w:lang w:val="ro-RO" w:eastAsia="ro-RO"/>
        </w:rPr>
      </w:pPr>
      <w:r>
        <w:rPr>
          <w:rFonts w:ascii="Arial" w:hAnsi="Arial" w:cs="Arial"/>
          <w:b/>
          <w:bCs/>
          <w:i/>
          <w:iCs/>
          <w:color w:val="000000"/>
          <w:sz w:val="24"/>
          <w:szCs w:val="24"/>
          <w:lang w:val="ro-RO" w:eastAsia="ro-RO"/>
        </w:rPr>
        <w:t xml:space="preserve">Valori </w:t>
      </w:r>
      <w:r w:rsidRPr="00C776B0">
        <w:rPr>
          <w:rFonts w:ascii="Arial" w:hAnsi="Arial" w:cs="Arial"/>
          <w:b/>
          <w:bCs/>
          <w:i/>
          <w:iCs/>
          <w:color w:val="000000"/>
          <w:sz w:val="24"/>
          <w:szCs w:val="24"/>
          <w:lang w:val="ro-RO" w:eastAsia="ro-RO"/>
        </w:rPr>
        <w:t xml:space="preserve">limită privind concentraţiile de dioxid de azot </w:t>
      </w:r>
      <w:r>
        <w:rPr>
          <w:rFonts w:ascii="Arial" w:hAnsi="Arial" w:cs="Arial"/>
          <w:b/>
          <w:bCs/>
          <w:i/>
          <w:iCs/>
          <w:color w:val="000000"/>
          <w:sz w:val="24"/>
          <w:szCs w:val="24"/>
          <w:lang w:val="ro-RO" w:eastAsia="ro-RO"/>
        </w:rPr>
        <w:t>(N</w:t>
      </w:r>
      <w:r w:rsidRPr="00C776B0">
        <w:rPr>
          <w:rFonts w:ascii="Arial" w:hAnsi="Arial" w:cs="Arial"/>
          <w:b/>
          <w:bCs/>
          <w:i/>
          <w:iCs/>
          <w:color w:val="000000"/>
          <w:sz w:val="24"/>
          <w:szCs w:val="24"/>
          <w:lang w:val="ro-RO" w:eastAsia="ro-RO"/>
        </w:rPr>
        <w:t>O</w:t>
      </w:r>
      <w:r w:rsidRPr="00C776B0">
        <w:rPr>
          <w:rFonts w:ascii="Arial" w:hAnsi="Arial" w:cs="Arial"/>
          <w:b/>
          <w:bCs/>
          <w:i/>
          <w:iCs/>
          <w:color w:val="000000"/>
          <w:sz w:val="24"/>
          <w:szCs w:val="24"/>
          <w:vertAlign w:val="subscript"/>
          <w:lang w:val="ro-RO" w:eastAsia="ro-RO"/>
        </w:rPr>
        <w:t>2</w:t>
      </w:r>
      <w:r>
        <w:rPr>
          <w:rFonts w:ascii="Arial" w:hAnsi="Arial" w:cs="Arial"/>
          <w:b/>
          <w:bCs/>
          <w:i/>
          <w:iCs/>
          <w:color w:val="000000"/>
          <w:sz w:val="24"/>
          <w:szCs w:val="24"/>
          <w:lang w:val="ro-RO" w:eastAsia="ro-RO"/>
        </w:rPr>
        <w:t>)</w:t>
      </w:r>
      <w:r w:rsidRPr="00C776B0">
        <w:rPr>
          <w:rFonts w:ascii="Arial" w:hAnsi="Arial" w:cs="Arial"/>
          <w:b/>
          <w:bCs/>
          <w:i/>
          <w:iCs/>
          <w:color w:val="000000"/>
          <w:sz w:val="24"/>
          <w:szCs w:val="24"/>
          <w:lang w:val="ro-RO" w:eastAsia="ro-RO"/>
        </w:rPr>
        <w:t xml:space="preserve"> în aerul înconjurător </w:t>
      </w:r>
    </w:p>
    <w:p w:rsidR="0064419C" w:rsidRPr="00C776B0" w:rsidRDefault="0064419C" w:rsidP="0064419C">
      <w:pPr>
        <w:pStyle w:val="ListParagraph"/>
        <w:numPr>
          <w:ilvl w:val="0"/>
          <w:numId w:val="27"/>
        </w:numPr>
        <w:ind w:left="284" w:hanging="284"/>
        <w:jc w:val="both"/>
        <w:rPr>
          <w:rFonts w:ascii="Arial" w:hAnsi="Arial" w:cs="Arial"/>
          <w:color w:val="000000"/>
          <w:sz w:val="24"/>
          <w:szCs w:val="24"/>
          <w:lang w:val="ro-RO" w:eastAsia="ro-RO"/>
        </w:rPr>
      </w:pPr>
      <w:r>
        <w:rPr>
          <w:rFonts w:ascii="Arial" w:hAnsi="Arial" w:cs="Arial"/>
          <w:color w:val="000000"/>
          <w:sz w:val="24"/>
          <w:szCs w:val="24"/>
          <w:lang w:val="ro-RO" w:eastAsia="ro-RO"/>
        </w:rPr>
        <w:t>o</w:t>
      </w:r>
      <w:r w:rsidRPr="00C776B0">
        <w:rPr>
          <w:rFonts w:ascii="Arial" w:hAnsi="Arial" w:cs="Arial"/>
          <w:color w:val="000000"/>
          <w:sz w:val="24"/>
          <w:szCs w:val="24"/>
          <w:lang w:val="ro-RO" w:eastAsia="ro-RO"/>
        </w:rPr>
        <w:t xml:space="preserve"> valoare-limită ca medie orară de 200 μg/m</w:t>
      </w:r>
      <w:r w:rsidRPr="00C776B0">
        <w:rPr>
          <w:rFonts w:ascii="Arial" w:hAnsi="Arial" w:cs="Arial"/>
          <w:color w:val="000000"/>
          <w:sz w:val="24"/>
          <w:szCs w:val="24"/>
          <w:vertAlign w:val="superscript"/>
          <w:lang w:val="ro-RO" w:eastAsia="ro-RO"/>
        </w:rPr>
        <w:t>3</w:t>
      </w:r>
      <w:r w:rsidRPr="00C776B0">
        <w:rPr>
          <w:rFonts w:ascii="Arial" w:hAnsi="Arial" w:cs="Arial"/>
          <w:color w:val="000000"/>
          <w:sz w:val="24"/>
          <w:szCs w:val="24"/>
          <w:lang w:val="ro-RO" w:eastAsia="ro-RO"/>
        </w:rPr>
        <w:t xml:space="preserve">; acest nivel nu trebuie depăşit mai mult de 18 ori într-un an calendaristic. </w:t>
      </w:r>
    </w:p>
    <w:p w:rsidR="0064419C" w:rsidRPr="00C776B0" w:rsidRDefault="0064419C" w:rsidP="0064419C">
      <w:pPr>
        <w:pStyle w:val="ListParagraph"/>
        <w:numPr>
          <w:ilvl w:val="0"/>
          <w:numId w:val="27"/>
        </w:numPr>
        <w:ind w:left="284" w:hanging="284"/>
        <w:jc w:val="both"/>
        <w:rPr>
          <w:rFonts w:ascii="Arial" w:hAnsi="Arial" w:cs="Arial"/>
          <w:color w:val="000000"/>
          <w:sz w:val="24"/>
          <w:szCs w:val="24"/>
          <w:lang w:val="ro-RO" w:eastAsia="ro-RO"/>
        </w:rPr>
      </w:pPr>
      <w:r>
        <w:rPr>
          <w:rFonts w:ascii="Arial" w:hAnsi="Arial" w:cs="Arial"/>
          <w:color w:val="000000"/>
          <w:sz w:val="24"/>
          <w:szCs w:val="24"/>
          <w:lang w:val="ro-RO" w:eastAsia="ro-RO"/>
        </w:rPr>
        <w:t>o</w:t>
      </w:r>
      <w:r w:rsidRPr="00C776B0">
        <w:rPr>
          <w:rFonts w:ascii="Arial" w:hAnsi="Arial" w:cs="Arial"/>
          <w:color w:val="000000"/>
          <w:sz w:val="24"/>
          <w:szCs w:val="24"/>
          <w:lang w:val="ro-RO" w:eastAsia="ro-RO"/>
        </w:rPr>
        <w:t xml:space="preserve"> valoare-limită ca medie anuală de 40 μg/m</w:t>
      </w:r>
      <w:r w:rsidRPr="00C776B0">
        <w:rPr>
          <w:rFonts w:ascii="Arial" w:hAnsi="Arial" w:cs="Arial"/>
          <w:color w:val="000000"/>
          <w:sz w:val="24"/>
          <w:szCs w:val="24"/>
          <w:vertAlign w:val="superscript"/>
          <w:lang w:val="ro-RO" w:eastAsia="ro-RO"/>
        </w:rPr>
        <w:t>3</w:t>
      </w:r>
      <w:r w:rsidRPr="00C776B0">
        <w:rPr>
          <w:rFonts w:ascii="Arial" w:hAnsi="Arial" w:cs="Arial"/>
          <w:color w:val="000000"/>
          <w:sz w:val="24"/>
          <w:szCs w:val="24"/>
          <w:lang w:val="ro-RO" w:eastAsia="ro-RO"/>
        </w:rPr>
        <w:t xml:space="preserve">; </w:t>
      </w:r>
    </w:p>
    <w:p w:rsidR="0064419C" w:rsidRPr="0064419C" w:rsidRDefault="0064419C" w:rsidP="0064419C">
      <w:pPr>
        <w:pStyle w:val="ListParagraph"/>
        <w:widowControl w:val="0"/>
        <w:numPr>
          <w:ilvl w:val="0"/>
          <w:numId w:val="27"/>
        </w:numPr>
        <w:jc w:val="both"/>
        <w:rPr>
          <w:rFonts w:ascii="Arial" w:hAnsi="Arial" w:cs="Arial"/>
          <w:sz w:val="6"/>
          <w:szCs w:val="6"/>
          <w:lang w:val="ro-RO"/>
        </w:rPr>
      </w:pPr>
    </w:p>
    <w:p w:rsidR="0064419C" w:rsidRPr="00C776B0" w:rsidRDefault="0064419C" w:rsidP="0064419C">
      <w:pPr>
        <w:autoSpaceDE w:val="0"/>
        <w:autoSpaceDN w:val="0"/>
        <w:adjustRightInd w:val="0"/>
        <w:spacing w:after="0" w:line="240" w:lineRule="auto"/>
        <w:jc w:val="both"/>
        <w:rPr>
          <w:rFonts w:ascii="Arial" w:hAnsi="Arial" w:cs="Arial"/>
          <w:color w:val="000000"/>
          <w:sz w:val="24"/>
          <w:szCs w:val="24"/>
          <w:lang w:val="ro-RO" w:eastAsia="ro-RO"/>
        </w:rPr>
      </w:pPr>
      <w:r>
        <w:rPr>
          <w:rFonts w:ascii="Arial" w:hAnsi="Arial" w:cs="Arial"/>
          <w:b/>
          <w:bCs/>
          <w:i/>
          <w:iCs/>
          <w:color w:val="000000"/>
          <w:sz w:val="24"/>
          <w:szCs w:val="24"/>
          <w:lang w:val="ro-RO" w:eastAsia="ro-RO"/>
        </w:rPr>
        <w:t xml:space="preserve">Valori </w:t>
      </w:r>
      <w:r w:rsidRPr="00C776B0">
        <w:rPr>
          <w:rFonts w:ascii="Arial" w:hAnsi="Arial" w:cs="Arial"/>
          <w:b/>
          <w:bCs/>
          <w:i/>
          <w:iCs/>
          <w:color w:val="000000"/>
          <w:sz w:val="24"/>
          <w:szCs w:val="24"/>
          <w:lang w:val="ro-RO" w:eastAsia="ro-RO"/>
        </w:rPr>
        <w:t xml:space="preserve">limită privind concentraţiile de particule PM10 în aerul înconjurător </w:t>
      </w:r>
    </w:p>
    <w:p w:rsidR="0064419C" w:rsidRPr="00C776B0" w:rsidRDefault="0064419C" w:rsidP="0064419C">
      <w:pPr>
        <w:pStyle w:val="ListParagraph"/>
        <w:numPr>
          <w:ilvl w:val="0"/>
          <w:numId w:val="27"/>
        </w:numPr>
        <w:ind w:left="284" w:hanging="284"/>
        <w:jc w:val="both"/>
        <w:rPr>
          <w:rFonts w:ascii="Arial" w:hAnsi="Arial" w:cs="Arial"/>
          <w:color w:val="000000"/>
          <w:sz w:val="24"/>
          <w:szCs w:val="24"/>
          <w:lang w:val="ro-RO" w:eastAsia="ro-RO"/>
        </w:rPr>
      </w:pPr>
      <w:r>
        <w:rPr>
          <w:rFonts w:ascii="Arial" w:hAnsi="Arial" w:cs="Arial"/>
          <w:color w:val="000000"/>
          <w:sz w:val="24"/>
          <w:szCs w:val="24"/>
          <w:lang w:val="ro-RO" w:eastAsia="ro-RO"/>
        </w:rPr>
        <w:t>o</w:t>
      </w:r>
      <w:r w:rsidRPr="00C776B0">
        <w:rPr>
          <w:rFonts w:ascii="Arial" w:hAnsi="Arial" w:cs="Arial"/>
          <w:color w:val="000000"/>
          <w:sz w:val="24"/>
          <w:szCs w:val="24"/>
          <w:lang w:val="ro-RO" w:eastAsia="ro-RO"/>
        </w:rPr>
        <w:t xml:space="preserve"> valoare-limită ca medie zilnică de 50 μg/m</w:t>
      </w:r>
      <w:r w:rsidRPr="00C776B0">
        <w:rPr>
          <w:rFonts w:ascii="Arial" w:hAnsi="Arial" w:cs="Arial"/>
          <w:color w:val="000000"/>
          <w:sz w:val="24"/>
          <w:szCs w:val="24"/>
          <w:vertAlign w:val="superscript"/>
          <w:lang w:val="ro-RO" w:eastAsia="ro-RO"/>
        </w:rPr>
        <w:t>3</w:t>
      </w:r>
      <w:r w:rsidRPr="00C776B0">
        <w:rPr>
          <w:rFonts w:ascii="Arial" w:hAnsi="Arial" w:cs="Arial"/>
          <w:color w:val="000000"/>
          <w:sz w:val="24"/>
          <w:szCs w:val="24"/>
          <w:lang w:val="ro-RO" w:eastAsia="ro-RO"/>
        </w:rPr>
        <w:t xml:space="preserve">; acest nivel nu trebuie depăşit mai mult de 35 de ori într-un an calendaristic; </w:t>
      </w:r>
    </w:p>
    <w:p w:rsidR="0064419C" w:rsidRPr="00C776B0" w:rsidRDefault="0064419C" w:rsidP="0064419C">
      <w:pPr>
        <w:pStyle w:val="ListParagraph"/>
        <w:numPr>
          <w:ilvl w:val="0"/>
          <w:numId w:val="27"/>
        </w:numPr>
        <w:ind w:left="284" w:hanging="284"/>
        <w:jc w:val="both"/>
        <w:rPr>
          <w:rFonts w:ascii="Arial" w:hAnsi="Arial" w:cs="Arial"/>
          <w:color w:val="000000"/>
          <w:sz w:val="24"/>
          <w:szCs w:val="24"/>
          <w:lang w:val="ro-RO" w:eastAsia="ro-RO"/>
        </w:rPr>
      </w:pPr>
      <w:r>
        <w:rPr>
          <w:rFonts w:ascii="Arial" w:hAnsi="Arial" w:cs="Arial"/>
          <w:color w:val="000000"/>
          <w:sz w:val="24"/>
          <w:szCs w:val="24"/>
          <w:lang w:val="ro-RO" w:eastAsia="ro-RO"/>
        </w:rPr>
        <w:t xml:space="preserve">o </w:t>
      </w:r>
      <w:r w:rsidRPr="00C776B0">
        <w:rPr>
          <w:rFonts w:ascii="Arial" w:hAnsi="Arial" w:cs="Arial"/>
          <w:color w:val="000000"/>
          <w:sz w:val="24"/>
          <w:szCs w:val="24"/>
          <w:lang w:val="ro-RO" w:eastAsia="ro-RO"/>
        </w:rPr>
        <w:t>valoare-limită ca medie anuală de 40 μg/m</w:t>
      </w:r>
      <w:r w:rsidRPr="00C776B0">
        <w:rPr>
          <w:rFonts w:ascii="Arial" w:hAnsi="Arial" w:cs="Arial"/>
          <w:color w:val="000000"/>
          <w:sz w:val="24"/>
          <w:szCs w:val="24"/>
          <w:vertAlign w:val="superscript"/>
          <w:lang w:val="ro-RO" w:eastAsia="ro-RO"/>
        </w:rPr>
        <w:t>3</w:t>
      </w:r>
      <w:r w:rsidRPr="00C776B0">
        <w:rPr>
          <w:rFonts w:ascii="Arial" w:hAnsi="Arial" w:cs="Arial"/>
          <w:color w:val="000000"/>
          <w:sz w:val="24"/>
          <w:szCs w:val="24"/>
          <w:lang w:val="ro-RO" w:eastAsia="ro-RO"/>
        </w:rPr>
        <w:t xml:space="preserve">. </w:t>
      </w:r>
    </w:p>
    <w:p w:rsidR="0064419C" w:rsidRPr="0064419C" w:rsidRDefault="0064419C" w:rsidP="0064419C">
      <w:pPr>
        <w:pStyle w:val="ListParagraph"/>
        <w:widowControl w:val="0"/>
        <w:numPr>
          <w:ilvl w:val="0"/>
          <w:numId w:val="27"/>
        </w:numPr>
        <w:jc w:val="both"/>
        <w:rPr>
          <w:rFonts w:ascii="Arial" w:hAnsi="Arial" w:cs="Arial"/>
          <w:sz w:val="6"/>
          <w:szCs w:val="6"/>
          <w:lang w:val="ro-RO"/>
        </w:rPr>
      </w:pPr>
    </w:p>
    <w:p w:rsidR="0064419C" w:rsidRPr="00C776B0" w:rsidRDefault="0064419C" w:rsidP="0064419C">
      <w:pPr>
        <w:autoSpaceDE w:val="0"/>
        <w:autoSpaceDN w:val="0"/>
        <w:adjustRightInd w:val="0"/>
        <w:spacing w:after="0" w:line="240" w:lineRule="auto"/>
        <w:jc w:val="both"/>
        <w:rPr>
          <w:rFonts w:ascii="Arial" w:hAnsi="Arial" w:cs="Arial"/>
          <w:color w:val="000000"/>
          <w:sz w:val="24"/>
          <w:szCs w:val="24"/>
          <w:lang w:val="ro-RO" w:eastAsia="ro-RO"/>
        </w:rPr>
      </w:pPr>
      <w:r>
        <w:rPr>
          <w:rFonts w:ascii="Arial" w:hAnsi="Arial" w:cs="Arial"/>
          <w:b/>
          <w:bCs/>
          <w:i/>
          <w:iCs/>
          <w:color w:val="000000"/>
          <w:sz w:val="24"/>
          <w:szCs w:val="24"/>
          <w:lang w:val="ro-RO" w:eastAsia="ro-RO"/>
        </w:rPr>
        <w:t xml:space="preserve">Valori </w:t>
      </w:r>
      <w:r w:rsidRPr="00C776B0">
        <w:rPr>
          <w:rFonts w:ascii="Arial" w:hAnsi="Arial" w:cs="Arial"/>
          <w:b/>
          <w:bCs/>
          <w:i/>
          <w:iCs/>
          <w:color w:val="000000"/>
          <w:sz w:val="24"/>
          <w:szCs w:val="24"/>
          <w:lang w:val="ro-RO" w:eastAsia="ro-RO"/>
        </w:rPr>
        <w:t xml:space="preserve">ţintă privind concentraţiile de ozon din aerul înconjurător </w:t>
      </w:r>
    </w:p>
    <w:p w:rsidR="0064419C" w:rsidRPr="00C776B0" w:rsidRDefault="0064419C" w:rsidP="0064419C">
      <w:pPr>
        <w:pStyle w:val="ListParagraph"/>
        <w:numPr>
          <w:ilvl w:val="0"/>
          <w:numId w:val="27"/>
        </w:numPr>
        <w:ind w:left="284" w:hanging="284"/>
        <w:jc w:val="both"/>
        <w:rPr>
          <w:rFonts w:ascii="Arial" w:hAnsi="Arial" w:cs="Arial"/>
          <w:sz w:val="24"/>
          <w:szCs w:val="24"/>
          <w:lang w:val="ro-RO"/>
        </w:rPr>
      </w:pPr>
      <w:r w:rsidRPr="00C776B0">
        <w:rPr>
          <w:rFonts w:ascii="Arial" w:hAnsi="Arial" w:cs="Arial"/>
          <w:color w:val="000000"/>
          <w:sz w:val="24"/>
          <w:szCs w:val="24"/>
          <w:lang w:val="ro-RO" w:eastAsia="ro-RO"/>
        </w:rPr>
        <w:t>o valoare-ţintă pentru protecţia sănătăţii umane</w:t>
      </w:r>
      <w:r>
        <w:rPr>
          <w:rFonts w:ascii="Arial" w:hAnsi="Arial" w:cs="Arial"/>
          <w:color w:val="000000"/>
          <w:sz w:val="24"/>
          <w:szCs w:val="24"/>
          <w:lang w:val="ro-RO" w:eastAsia="ro-RO"/>
        </w:rPr>
        <w:t xml:space="preserve"> </w:t>
      </w:r>
      <w:r w:rsidRPr="00C776B0">
        <w:rPr>
          <w:rFonts w:ascii="Arial" w:hAnsi="Arial" w:cs="Arial"/>
          <w:color w:val="000000"/>
          <w:sz w:val="24"/>
          <w:szCs w:val="24"/>
          <w:lang w:val="ro-RO" w:eastAsia="ro-RO"/>
        </w:rPr>
        <w:t>de 120 μg/m</w:t>
      </w:r>
      <w:r w:rsidRPr="00C776B0">
        <w:rPr>
          <w:rFonts w:ascii="Arial" w:hAnsi="Arial" w:cs="Arial"/>
          <w:color w:val="000000"/>
          <w:sz w:val="24"/>
          <w:szCs w:val="24"/>
          <w:vertAlign w:val="superscript"/>
          <w:lang w:val="ro-RO" w:eastAsia="ro-RO"/>
        </w:rPr>
        <w:t>3</w:t>
      </w:r>
      <w:r w:rsidRPr="00C776B0">
        <w:rPr>
          <w:rFonts w:ascii="Arial" w:hAnsi="Arial" w:cs="Arial"/>
          <w:color w:val="000000"/>
          <w:sz w:val="24"/>
          <w:szCs w:val="24"/>
          <w:lang w:val="ro-RO" w:eastAsia="ro-RO"/>
        </w:rPr>
        <w:t xml:space="preserve"> ca maximă zilnică a mediilor pe 8 ore, c</w:t>
      </w:r>
      <w:r>
        <w:rPr>
          <w:rFonts w:ascii="Arial" w:hAnsi="Arial" w:cs="Arial"/>
          <w:color w:val="000000"/>
          <w:sz w:val="24"/>
          <w:szCs w:val="24"/>
          <w:lang w:val="ro-RO" w:eastAsia="ro-RO"/>
        </w:rPr>
        <w:t>ar</w:t>
      </w:r>
      <w:r w:rsidRPr="00C776B0">
        <w:rPr>
          <w:rFonts w:ascii="Arial" w:hAnsi="Arial" w:cs="Arial"/>
          <w:color w:val="000000"/>
          <w:sz w:val="24"/>
          <w:szCs w:val="24"/>
          <w:lang w:val="ro-RO" w:eastAsia="ro-RO"/>
        </w:rPr>
        <w:t>e nu trebuie depăşită mai mult de 25 de zile î</w:t>
      </w:r>
      <w:r>
        <w:rPr>
          <w:rFonts w:ascii="Arial" w:hAnsi="Arial" w:cs="Arial"/>
          <w:color w:val="000000"/>
          <w:sz w:val="24"/>
          <w:szCs w:val="24"/>
          <w:lang w:val="ro-RO" w:eastAsia="ro-RO"/>
        </w:rPr>
        <w:t>ntr-un an calendaristic, mediat</w:t>
      </w:r>
      <w:r w:rsidRPr="00C776B0">
        <w:rPr>
          <w:rFonts w:ascii="Arial" w:hAnsi="Arial" w:cs="Arial"/>
          <w:color w:val="000000"/>
          <w:sz w:val="24"/>
          <w:szCs w:val="24"/>
          <w:lang w:val="ro-RO" w:eastAsia="ro-RO"/>
        </w:rPr>
        <w:t xml:space="preserve"> pe trei ani. </w:t>
      </w:r>
    </w:p>
    <w:p w:rsidR="0064419C" w:rsidRPr="00C46B4B" w:rsidRDefault="0064419C" w:rsidP="0064419C">
      <w:pPr>
        <w:widowControl w:val="0"/>
        <w:spacing w:after="0" w:line="240" w:lineRule="auto"/>
        <w:rPr>
          <w:rFonts w:ascii="Arial" w:hAnsi="Arial" w:cs="Arial"/>
          <w:sz w:val="10"/>
          <w:szCs w:val="10"/>
          <w:lang w:val="ro-RO"/>
        </w:rPr>
      </w:pPr>
    </w:p>
    <w:p w:rsidR="006D4DB6" w:rsidRDefault="006D4DB6" w:rsidP="00152F86">
      <w:pPr>
        <w:widowControl w:val="0"/>
        <w:spacing w:after="0" w:line="240" w:lineRule="auto"/>
        <w:ind w:firstLine="720"/>
        <w:jc w:val="both"/>
        <w:rPr>
          <w:rFonts w:ascii="Arial" w:hAnsi="Arial" w:cs="Arial"/>
          <w:sz w:val="24"/>
          <w:szCs w:val="24"/>
          <w:lang w:val="ro-RO"/>
        </w:rPr>
      </w:pPr>
      <w:r w:rsidRPr="00DF4B1A">
        <w:rPr>
          <w:rFonts w:ascii="Arial" w:hAnsi="Arial" w:cs="Arial"/>
          <w:sz w:val="24"/>
          <w:szCs w:val="24"/>
          <w:lang w:val="ro-RO"/>
        </w:rPr>
        <w:t>Acolo unde</w:t>
      </w:r>
      <w:r w:rsidR="00D33739" w:rsidRPr="00DF4B1A">
        <w:rPr>
          <w:rFonts w:ascii="Arial" w:hAnsi="Arial" w:cs="Arial"/>
          <w:sz w:val="24"/>
          <w:szCs w:val="24"/>
          <w:lang w:val="ro-RO"/>
        </w:rPr>
        <w:t>,</w:t>
      </w:r>
      <w:r w:rsidRPr="00DF4B1A">
        <w:rPr>
          <w:rFonts w:ascii="Arial" w:hAnsi="Arial" w:cs="Arial"/>
          <w:sz w:val="24"/>
          <w:szCs w:val="24"/>
          <w:lang w:val="ro-RO"/>
        </w:rPr>
        <w:t xml:space="preserve"> prin legea nr. 104/2011</w:t>
      </w:r>
      <w:r w:rsidR="00D33739" w:rsidRPr="00DF4B1A">
        <w:rPr>
          <w:rFonts w:ascii="Arial" w:hAnsi="Arial" w:cs="Arial"/>
          <w:sz w:val="24"/>
          <w:szCs w:val="24"/>
          <w:lang w:val="ro-RO"/>
        </w:rPr>
        <w:t>,</w:t>
      </w:r>
      <w:r w:rsidRPr="00DF4B1A">
        <w:rPr>
          <w:rFonts w:ascii="Arial" w:hAnsi="Arial" w:cs="Arial"/>
          <w:sz w:val="24"/>
          <w:szCs w:val="24"/>
          <w:lang w:val="ro-RO"/>
        </w:rPr>
        <w:t xml:space="preserve"> au fost stabilite valori-limită multiple, indicatorul utilizează cazul cel mai stringent: dioxid de sulf (SO</w:t>
      </w:r>
      <w:r w:rsidRPr="00DF4B1A">
        <w:rPr>
          <w:rFonts w:ascii="Arial" w:hAnsi="Arial" w:cs="Arial"/>
          <w:sz w:val="24"/>
          <w:szCs w:val="24"/>
          <w:vertAlign w:val="subscript"/>
          <w:lang w:val="ro-RO"/>
        </w:rPr>
        <w:t>2</w:t>
      </w:r>
      <w:r w:rsidRPr="00DF4B1A">
        <w:rPr>
          <w:rFonts w:ascii="Arial" w:hAnsi="Arial" w:cs="Arial"/>
          <w:sz w:val="24"/>
          <w:szCs w:val="24"/>
          <w:lang w:val="ro-RO"/>
        </w:rPr>
        <w:t>): valoarea limită zilnică; dioxid de azot (NO</w:t>
      </w:r>
      <w:r w:rsidRPr="00DF4B1A">
        <w:rPr>
          <w:rFonts w:ascii="Arial" w:hAnsi="Arial" w:cs="Arial"/>
          <w:sz w:val="24"/>
          <w:szCs w:val="24"/>
          <w:vertAlign w:val="subscript"/>
          <w:lang w:val="ro-RO"/>
        </w:rPr>
        <w:t>2</w:t>
      </w:r>
      <w:r w:rsidRPr="00DF4B1A">
        <w:rPr>
          <w:rFonts w:ascii="Arial" w:hAnsi="Arial" w:cs="Arial"/>
          <w:sz w:val="24"/>
          <w:szCs w:val="24"/>
          <w:lang w:val="ro-RO"/>
        </w:rPr>
        <w:t xml:space="preserve">): valoarea limită anuală; particule în suspensie (PM10): valoarea limită zilnică; ozon (O3): valoarea ţintă. </w:t>
      </w:r>
      <w:r w:rsidR="0064419C">
        <w:rPr>
          <w:rFonts w:ascii="Arial" w:hAnsi="Arial" w:cs="Arial"/>
          <w:sz w:val="24"/>
          <w:szCs w:val="24"/>
          <w:lang w:val="ro-RO"/>
        </w:rPr>
        <w:t xml:space="preserve"> </w:t>
      </w:r>
    </w:p>
    <w:p w:rsidR="00560ABE" w:rsidRDefault="00560ABE" w:rsidP="00560ABE">
      <w:pPr>
        <w:widowControl w:val="0"/>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Datele din monitorizarea </w:t>
      </w:r>
      <w:r w:rsidRPr="00C776B0">
        <w:rPr>
          <w:rFonts w:ascii="Arial" w:hAnsi="Arial" w:cs="Arial"/>
          <w:b/>
          <w:sz w:val="24"/>
          <w:szCs w:val="24"/>
          <w:lang w:val="ro-RO"/>
        </w:rPr>
        <w:t>SO</w:t>
      </w:r>
      <w:r w:rsidRPr="00C776B0">
        <w:rPr>
          <w:rFonts w:ascii="Arial" w:hAnsi="Arial" w:cs="Arial"/>
          <w:b/>
          <w:sz w:val="24"/>
          <w:szCs w:val="24"/>
          <w:vertAlign w:val="subscript"/>
          <w:lang w:val="ro-RO"/>
        </w:rPr>
        <w:t>2</w:t>
      </w:r>
      <w:r w:rsidRPr="00C776B0">
        <w:rPr>
          <w:rFonts w:ascii="Arial" w:hAnsi="Arial" w:cs="Arial"/>
          <w:b/>
          <w:sz w:val="24"/>
          <w:szCs w:val="24"/>
          <w:lang w:val="ro-RO"/>
        </w:rPr>
        <w:t>, NO</w:t>
      </w:r>
      <w:r w:rsidRPr="00C776B0">
        <w:rPr>
          <w:rFonts w:ascii="Arial" w:hAnsi="Arial" w:cs="Arial"/>
          <w:b/>
          <w:sz w:val="24"/>
          <w:szCs w:val="24"/>
          <w:vertAlign w:val="subscript"/>
          <w:lang w:val="ro-RO"/>
        </w:rPr>
        <w:t>2</w:t>
      </w:r>
      <w:r w:rsidRPr="00C776B0">
        <w:rPr>
          <w:rFonts w:ascii="Arial" w:hAnsi="Arial" w:cs="Arial"/>
          <w:b/>
          <w:sz w:val="24"/>
          <w:szCs w:val="24"/>
          <w:lang w:val="ro-RO"/>
        </w:rPr>
        <w:t xml:space="preserve"> și O</w:t>
      </w:r>
      <w:r w:rsidRPr="00C776B0">
        <w:rPr>
          <w:rFonts w:ascii="Arial" w:hAnsi="Arial" w:cs="Arial"/>
          <w:b/>
          <w:sz w:val="24"/>
          <w:szCs w:val="24"/>
          <w:vertAlign w:val="subscript"/>
          <w:lang w:val="ro-RO"/>
        </w:rPr>
        <w:t>3</w:t>
      </w:r>
      <w:r>
        <w:rPr>
          <w:rFonts w:ascii="Arial" w:hAnsi="Arial" w:cs="Arial"/>
          <w:sz w:val="24"/>
          <w:szCs w:val="24"/>
          <w:lang w:val="ro-RO"/>
        </w:rPr>
        <w:t xml:space="preserve"> în anul 2017 </w:t>
      </w:r>
      <w:r w:rsidR="0064419C">
        <w:rPr>
          <w:rFonts w:ascii="Arial" w:hAnsi="Arial" w:cs="Arial"/>
          <w:sz w:val="24"/>
          <w:szCs w:val="24"/>
          <w:lang w:val="ro-RO"/>
        </w:rPr>
        <w:t xml:space="preserve">în stațiile din județul Suceava </w:t>
      </w:r>
      <w:r>
        <w:rPr>
          <w:rFonts w:ascii="Arial" w:hAnsi="Arial" w:cs="Arial"/>
          <w:sz w:val="24"/>
          <w:szCs w:val="24"/>
          <w:lang w:val="ro-RO"/>
        </w:rPr>
        <w:t xml:space="preserve">au arătat că </w:t>
      </w:r>
      <w:r w:rsidRPr="00C776B0">
        <w:rPr>
          <w:rFonts w:ascii="Arial" w:hAnsi="Arial" w:cs="Arial"/>
          <w:b/>
          <w:sz w:val="24"/>
          <w:szCs w:val="24"/>
          <w:lang w:val="ro-RO"/>
        </w:rPr>
        <w:t>nu au fost situații de depășiri ale valorilor limită sau țintă</w:t>
      </w:r>
      <w:r>
        <w:rPr>
          <w:rFonts w:ascii="Arial" w:hAnsi="Arial" w:cs="Arial"/>
          <w:sz w:val="24"/>
          <w:szCs w:val="24"/>
          <w:lang w:val="ro-RO"/>
        </w:rPr>
        <w:t>, indiferent de perioada lor de mediere (vezi și pct. I.1.1.1). La ozon, în ultimii 3 ani, doar la staţia SV1 s-a înregistrat o singură valoare care a depăşit valoarea ţintă, în anul 2015.</w:t>
      </w:r>
    </w:p>
    <w:p w:rsidR="00591C32" w:rsidRDefault="00560ABE" w:rsidP="00152F86">
      <w:pPr>
        <w:widowControl w:val="0"/>
        <w:spacing w:after="0" w:line="240" w:lineRule="auto"/>
        <w:ind w:firstLine="720"/>
        <w:jc w:val="both"/>
        <w:rPr>
          <w:rFonts w:ascii="Arial" w:hAnsi="Arial" w:cs="Arial"/>
          <w:sz w:val="24"/>
          <w:szCs w:val="24"/>
          <w:lang w:val="ro-RO"/>
        </w:rPr>
      </w:pPr>
      <w:r>
        <w:rPr>
          <w:rFonts w:ascii="Arial" w:hAnsi="Arial" w:cs="Arial"/>
          <w:sz w:val="24"/>
          <w:szCs w:val="24"/>
          <w:lang w:val="ro-RO"/>
        </w:rPr>
        <w:t>Din fig. I.1.1.3.1 de mai jos</w:t>
      </w:r>
      <w:r w:rsidR="00591C32">
        <w:rPr>
          <w:rFonts w:ascii="Arial" w:hAnsi="Arial" w:cs="Arial"/>
          <w:sz w:val="24"/>
          <w:szCs w:val="24"/>
          <w:lang w:val="ro-RO"/>
        </w:rPr>
        <w:t xml:space="preserve"> se constată că </w:t>
      </w:r>
      <w:r w:rsidR="0064419C">
        <w:rPr>
          <w:rFonts w:ascii="Arial" w:hAnsi="Arial" w:cs="Arial"/>
          <w:sz w:val="24"/>
          <w:szCs w:val="24"/>
          <w:lang w:val="ro-RO"/>
        </w:rPr>
        <w:t xml:space="preserve">nici la </w:t>
      </w:r>
      <w:r w:rsidR="0064419C" w:rsidRPr="00DF4B1A">
        <w:rPr>
          <w:rFonts w:ascii="Arial" w:hAnsi="Arial" w:cs="Arial"/>
          <w:sz w:val="24"/>
          <w:szCs w:val="24"/>
          <w:lang w:val="ro-RO"/>
        </w:rPr>
        <w:t>pulberi în suspensie</w:t>
      </w:r>
      <w:r w:rsidR="0064419C" w:rsidRPr="00DF4B1A">
        <w:rPr>
          <w:rFonts w:ascii="Arial" w:hAnsi="Arial" w:cs="Arial"/>
          <w:b/>
          <w:sz w:val="24"/>
          <w:szCs w:val="24"/>
          <w:lang w:val="ro-RO"/>
        </w:rPr>
        <w:t xml:space="preserve"> PM10</w:t>
      </w:r>
      <w:r w:rsidR="0064419C" w:rsidRPr="00DF4B1A">
        <w:rPr>
          <w:rFonts w:ascii="Arial" w:hAnsi="Arial" w:cs="Arial"/>
          <w:sz w:val="24"/>
          <w:szCs w:val="24"/>
          <w:lang w:val="ro-RO"/>
        </w:rPr>
        <w:t xml:space="preserve"> </w:t>
      </w:r>
      <w:r>
        <w:rPr>
          <w:rFonts w:ascii="Arial" w:hAnsi="Arial" w:cs="Arial"/>
          <w:sz w:val="24"/>
          <w:szCs w:val="24"/>
          <w:lang w:val="ro-RO"/>
        </w:rPr>
        <w:t>nu a fost depășit numărul maxim ad</w:t>
      </w:r>
      <w:r w:rsidR="00676719">
        <w:rPr>
          <w:rFonts w:ascii="Arial" w:hAnsi="Arial" w:cs="Arial"/>
          <w:sz w:val="24"/>
          <w:szCs w:val="24"/>
          <w:lang w:val="ro-RO"/>
        </w:rPr>
        <w:t>mis, de 35 de depăşiri/an, la</w:t>
      </w:r>
      <w:r>
        <w:rPr>
          <w:rFonts w:ascii="Arial" w:hAnsi="Arial" w:cs="Arial"/>
          <w:sz w:val="24"/>
          <w:szCs w:val="24"/>
          <w:lang w:val="ro-RO"/>
        </w:rPr>
        <w:t xml:space="preserve"> </w:t>
      </w:r>
      <w:r w:rsidR="00591C32">
        <w:rPr>
          <w:rFonts w:ascii="Arial" w:hAnsi="Arial" w:cs="Arial"/>
          <w:sz w:val="24"/>
          <w:szCs w:val="24"/>
          <w:lang w:val="ro-RO"/>
        </w:rPr>
        <w:t xml:space="preserve">stațiile </w:t>
      </w:r>
      <w:r>
        <w:rPr>
          <w:rFonts w:ascii="Arial" w:hAnsi="Arial" w:cs="Arial"/>
          <w:sz w:val="24"/>
          <w:szCs w:val="24"/>
          <w:lang w:val="ro-RO"/>
        </w:rPr>
        <w:t xml:space="preserve">SV1 și SV2 </w:t>
      </w:r>
      <w:r w:rsidR="00591C32">
        <w:rPr>
          <w:rFonts w:ascii="Arial" w:hAnsi="Arial" w:cs="Arial"/>
          <w:sz w:val="24"/>
          <w:szCs w:val="24"/>
          <w:lang w:val="ro-RO"/>
        </w:rPr>
        <w:t xml:space="preserve">în </w:t>
      </w:r>
      <w:r>
        <w:rPr>
          <w:rFonts w:ascii="Arial" w:hAnsi="Arial" w:cs="Arial"/>
          <w:sz w:val="24"/>
          <w:szCs w:val="24"/>
          <w:lang w:val="ro-RO"/>
        </w:rPr>
        <w:t xml:space="preserve">care s-a monitorizat PM10 în </w:t>
      </w:r>
      <w:r w:rsidR="00591C32">
        <w:rPr>
          <w:rFonts w:ascii="Arial" w:hAnsi="Arial" w:cs="Arial"/>
          <w:sz w:val="24"/>
          <w:szCs w:val="24"/>
          <w:lang w:val="ro-RO"/>
        </w:rPr>
        <w:t>anul 2017</w:t>
      </w:r>
      <w:r w:rsidR="0064419C">
        <w:rPr>
          <w:rFonts w:ascii="Arial" w:hAnsi="Arial" w:cs="Arial"/>
          <w:sz w:val="24"/>
          <w:szCs w:val="24"/>
          <w:lang w:val="ro-RO"/>
        </w:rPr>
        <w:t xml:space="preserve">, prin urmare </w:t>
      </w:r>
      <w:r w:rsidR="0064419C" w:rsidRPr="0064419C">
        <w:rPr>
          <w:rFonts w:ascii="Arial" w:hAnsi="Arial" w:cs="Arial"/>
          <w:b/>
          <w:sz w:val="24"/>
          <w:szCs w:val="24"/>
          <w:lang w:val="ro-RO"/>
        </w:rPr>
        <w:t>nici</w:t>
      </w:r>
      <w:r w:rsidR="0064419C">
        <w:rPr>
          <w:rFonts w:ascii="Arial" w:hAnsi="Arial" w:cs="Arial"/>
          <w:sz w:val="24"/>
          <w:szCs w:val="24"/>
          <w:lang w:val="ro-RO"/>
        </w:rPr>
        <w:t xml:space="preserve"> </w:t>
      </w:r>
      <w:r w:rsidR="0064419C" w:rsidRPr="0064419C">
        <w:rPr>
          <w:rFonts w:ascii="Arial" w:hAnsi="Arial" w:cs="Arial"/>
          <w:b/>
          <w:sz w:val="24"/>
          <w:szCs w:val="24"/>
          <w:lang w:val="ro-RO"/>
        </w:rPr>
        <w:t>la</w:t>
      </w:r>
      <w:r w:rsidR="0064419C" w:rsidRPr="00DF4B1A">
        <w:rPr>
          <w:rFonts w:ascii="Arial" w:hAnsi="Arial" w:cs="Arial"/>
          <w:sz w:val="24"/>
          <w:szCs w:val="24"/>
          <w:lang w:val="ro-RO"/>
        </w:rPr>
        <w:t xml:space="preserve"> </w:t>
      </w:r>
      <w:r w:rsidR="0064419C" w:rsidRPr="00DF4B1A">
        <w:rPr>
          <w:rFonts w:ascii="Arial" w:hAnsi="Arial" w:cs="Arial"/>
          <w:b/>
          <w:sz w:val="24"/>
          <w:szCs w:val="24"/>
          <w:lang w:val="ro-RO"/>
        </w:rPr>
        <w:t>PM10</w:t>
      </w:r>
      <w:r w:rsidR="0064419C" w:rsidRPr="00DF4B1A">
        <w:rPr>
          <w:rFonts w:ascii="Arial" w:hAnsi="Arial" w:cs="Arial"/>
          <w:sz w:val="24"/>
          <w:szCs w:val="24"/>
          <w:lang w:val="ro-RO"/>
        </w:rPr>
        <w:t xml:space="preserve"> </w:t>
      </w:r>
      <w:r w:rsidR="00DD6FB2" w:rsidRPr="00DF4B1A">
        <w:rPr>
          <w:rFonts w:ascii="Arial" w:hAnsi="Arial" w:cs="Arial"/>
          <w:b/>
          <w:sz w:val="24"/>
          <w:szCs w:val="24"/>
          <w:lang w:val="ro-RO"/>
        </w:rPr>
        <w:t xml:space="preserve">nu </w:t>
      </w:r>
      <w:r w:rsidR="002D344E">
        <w:rPr>
          <w:rFonts w:ascii="Arial" w:hAnsi="Arial" w:cs="Arial"/>
          <w:b/>
          <w:sz w:val="24"/>
          <w:szCs w:val="24"/>
          <w:lang w:val="ro-RO"/>
        </w:rPr>
        <w:t>s-</w:t>
      </w:r>
      <w:r w:rsidR="00DD6FB2" w:rsidRPr="00DF4B1A">
        <w:rPr>
          <w:rFonts w:ascii="Arial" w:hAnsi="Arial" w:cs="Arial"/>
          <w:b/>
          <w:sz w:val="24"/>
          <w:szCs w:val="24"/>
          <w:lang w:val="ro-RO"/>
        </w:rPr>
        <w:t>a</w:t>
      </w:r>
      <w:r w:rsidR="005243CC" w:rsidRPr="00DF4B1A">
        <w:rPr>
          <w:rFonts w:ascii="Arial" w:hAnsi="Arial" w:cs="Arial"/>
          <w:b/>
          <w:sz w:val="24"/>
          <w:szCs w:val="24"/>
          <w:lang w:val="ro-RO"/>
        </w:rPr>
        <w:t xml:space="preserve"> depășit </w:t>
      </w:r>
      <w:r w:rsidR="00DD6FB2" w:rsidRPr="00DF4B1A">
        <w:rPr>
          <w:rFonts w:ascii="Arial" w:hAnsi="Arial" w:cs="Arial"/>
          <w:b/>
          <w:sz w:val="24"/>
          <w:szCs w:val="24"/>
          <w:lang w:val="ro-RO"/>
        </w:rPr>
        <w:t>valoarea</w:t>
      </w:r>
      <w:r w:rsidR="005243CC" w:rsidRPr="00DF4B1A">
        <w:rPr>
          <w:rFonts w:ascii="Arial" w:hAnsi="Arial" w:cs="Arial"/>
          <w:b/>
          <w:sz w:val="24"/>
          <w:szCs w:val="24"/>
          <w:lang w:val="ro-RO"/>
        </w:rPr>
        <w:t xml:space="preserve"> limită </w:t>
      </w:r>
      <w:r w:rsidR="00DD6FB2" w:rsidRPr="00DF4B1A">
        <w:rPr>
          <w:rFonts w:ascii="Arial" w:hAnsi="Arial" w:cs="Arial"/>
          <w:b/>
          <w:sz w:val="24"/>
          <w:szCs w:val="24"/>
          <w:lang w:val="ro-RO"/>
        </w:rPr>
        <w:t xml:space="preserve">zilnică </w:t>
      </w:r>
      <w:r w:rsidR="005243CC" w:rsidRPr="002D344E">
        <w:rPr>
          <w:rFonts w:ascii="Arial" w:hAnsi="Arial" w:cs="Arial"/>
          <w:b/>
          <w:sz w:val="24"/>
          <w:szCs w:val="24"/>
          <w:lang w:val="ro-RO"/>
        </w:rPr>
        <w:t>pentru protecția sănătății umane</w:t>
      </w:r>
      <w:r w:rsidR="007E2DF6">
        <w:rPr>
          <w:rFonts w:ascii="Arial" w:hAnsi="Arial" w:cs="Arial"/>
          <w:sz w:val="24"/>
          <w:szCs w:val="24"/>
          <w:lang w:val="ro-RO"/>
        </w:rPr>
        <w:t xml:space="preserve">. </w:t>
      </w:r>
    </w:p>
    <w:p w:rsidR="00560ABE" w:rsidRPr="002D344E" w:rsidRDefault="00560ABE" w:rsidP="00152F86">
      <w:pPr>
        <w:widowControl w:val="0"/>
        <w:spacing w:after="0" w:line="240" w:lineRule="auto"/>
        <w:ind w:firstLine="720"/>
        <w:jc w:val="both"/>
        <w:rPr>
          <w:rFonts w:ascii="Arial" w:hAnsi="Arial" w:cs="Arial"/>
          <w:sz w:val="10"/>
          <w:szCs w:val="10"/>
          <w:lang w:val="ro-RO"/>
        </w:rPr>
      </w:pPr>
    </w:p>
    <w:p w:rsidR="00720FE0" w:rsidRPr="00720FE0" w:rsidRDefault="00720FE0" w:rsidP="00720FE0">
      <w:pPr>
        <w:widowControl w:val="0"/>
        <w:spacing w:after="0" w:line="240" w:lineRule="auto"/>
        <w:contextualSpacing/>
        <w:jc w:val="center"/>
        <w:rPr>
          <w:rFonts w:ascii="Arial" w:hAnsi="Arial" w:cs="Arial"/>
          <w:lang w:val="ro-RO"/>
        </w:rPr>
      </w:pPr>
      <w:r w:rsidRPr="00720FE0">
        <w:rPr>
          <w:rFonts w:ascii="Arial" w:hAnsi="Arial" w:cs="Arial"/>
          <w:lang w:val="ro-RO"/>
        </w:rPr>
        <w:t xml:space="preserve">Fig. </w:t>
      </w:r>
      <w:r>
        <w:rPr>
          <w:rFonts w:ascii="Arial" w:hAnsi="Arial" w:cs="Arial"/>
          <w:lang w:val="ro-RO"/>
        </w:rPr>
        <w:t>I.</w:t>
      </w:r>
      <w:r w:rsidRPr="00720FE0">
        <w:rPr>
          <w:rFonts w:ascii="Arial" w:hAnsi="Arial" w:cs="Arial"/>
          <w:lang w:val="ro-RO"/>
        </w:rPr>
        <w:t>1.</w:t>
      </w:r>
      <w:r>
        <w:rPr>
          <w:rFonts w:ascii="Arial" w:hAnsi="Arial" w:cs="Arial"/>
          <w:lang w:val="ro-RO"/>
        </w:rPr>
        <w:t>1</w:t>
      </w:r>
      <w:r w:rsidRPr="00720FE0">
        <w:rPr>
          <w:rFonts w:ascii="Arial" w:hAnsi="Arial" w:cs="Arial"/>
          <w:lang w:val="ro-RO"/>
        </w:rPr>
        <w:t>.</w:t>
      </w:r>
      <w:r>
        <w:rPr>
          <w:rFonts w:ascii="Arial" w:hAnsi="Arial" w:cs="Arial"/>
          <w:lang w:val="ro-RO"/>
        </w:rPr>
        <w:t>3.1</w:t>
      </w:r>
      <w:r w:rsidRPr="00720FE0">
        <w:rPr>
          <w:rFonts w:ascii="Arial" w:hAnsi="Arial" w:cs="Arial"/>
          <w:lang w:val="ro-RO"/>
        </w:rPr>
        <w:t xml:space="preserve">. Numărul </w:t>
      </w:r>
      <w:r>
        <w:rPr>
          <w:rFonts w:ascii="Arial" w:hAnsi="Arial" w:cs="Arial"/>
          <w:lang w:val="ro-RO"/>
        </w:rPr>
        <w:t>de depășiri ale</w:t>
      </w:r>
      <w:r w:rsidRPr="00720FE0">
        <w:rPr>
          <w:rFonts w:ascii="Arial" w:hAnsi="Arial" w:cs="Arial"/>
          <w:lang w:val="ro-RO"/>
        </w:rPr>
        <w:t xml:space="preserve"> </w:t>
      </w:r>
      <w:r>
        <w:rPr>
          <w:rFonts w:ascii="Arial" w:hAnsi="Arial" w:cs="Arial"/>
          <w:lang w:val="ro-RO"/>
        </w:rPr>
        <w:t>valorii limită</w:t>
      </w:r>
      <w:r w:rsidRPr="00720FE0">
        <w:rPr>
          <w:rFonts w:ascii="Arial" w:hAnsi="Arial" w:cs="Arial"/>
          <w:lang w:val="ro-RO"/>
        </w:rPr>
        <w:t xml:space="preserve"> zilnic</w:t>
      </w:r>
      <w:r>
        <w:rPr>
          <w:rFonts w:ascii="Arial" w:hAnsi="Arial" w:cs="Arial"/>
          <w:lang w:val="ro-RO"/>
        </w:rPr>
        <w:t>e</w:t>
      </w:r>
      <w:r w:rsidRPr="00720FE0">
        <w:rPr>
          <w:rFonts w:ascii="Arial" w:hAnsi="Arial" w:cs="Arial"/>
          <w:lang w:val="ro-RO"/>
        </w:rPr>
        <w:t xml:space="preserve"> </w:t>
      </w:r>
      <w:r>
        <w:rPr>
          <w:rFonts w:ascii="Arial" w:hAnsi="Arial" w:cs="Arial"/>
          <w:lang w:val="ro-RO"/>
        </w:rPr>
        <w:t>pentru particule în suspensie</w:t>
      </w:r>
      <w:r w:rsidRPr="00720FE0">
        <w:rPr>
          <w:rFonts w:ascii="Arial" w:hAnsi="Arial" w:cs="Arial"/>
          <w:lang w:val="ro-RO"/>
        </w:rPr>
        <w:t xml:space="preserve"> PM10 (gravimetric) la staţiile </w:t>
      </w:r>
      <w:r w:rsidR="002D344E" w:rsidRPr="00DF4B1A">
        <w:rPr>
          <w:rFonts w:ascii="Arial" w:hAnsi="Arial" w:cs="Arial"/>
          <w:lang w:val="ro-RO"/>
        </w:rPr>
        <w:t xml:space="preserve">de monitorizare </w:t>
      </w:r>
      <w:r w:rsidRPr="00720FE0">
        <w:rPr>
          <w:rFonts w:ascii="Arial" w:hAnsi="Arial" w:cs="Arial"/>
          <w:lang w:val="ro-RO"/>
        </w:rPr>
        <w:t>din judeţul Suceava</w:t>
      </w:r>
      <w:r>
        <w:rPr>
          <w:rFonts w:ascii="Arial" w:hAnsi="Arial" w:cs="Arial"/>
          <w:lang w:val="ro-RO"/>
        </w:rPr>
        <w:t>,</w:t>
      </w:r>
      <w:r w:rsidRPr="00720FE0">
        <w:rPr>
          <w:rFonts w:ascii="Arial" w:hAnsi="Arial" w:cs="Arial"/>
          <w:lang w:val="ro-RO"/>
        </w:rPr>
        <w:t xml:space="preserve"> în anul 2017</w:t>
      </w:r>
    </w:p>
    <w:p w:rsidR="00720FE0" w:rsidRPr="00720FE0" w:rsidRDefault="00720FE0" w:rsidP="00720FE0">
      <w:pPr>
        <w:widowControl w:val="0"/>
        <w:spacing w:after="0" w:line="240" w:lineRule="auto"/>
        <w:ind w:left="283"/>
        <w:jc w:val="center"/>
        <w:rPr>
          <w:rFonts w:ascii="Arial" w:hAnsi="Arial" w:cs="Arial"/>
          <w:color w:val="FF0000"/>
          <w:sz w:val="24"/>
          <w:szCs w:val="24"/>
          <w:lang w:val="ro-RO"/>
        </w:rPr>
      </w:pPr>
      <w:r w:rsidRPr="00720FE0">
        <w:rPr>
          <w:rFonts w:ascii="Arial" w:hAnsi="Arial" w:cs="Arial"/>
          <w:noProof/>
          <w:color w:val="FF0000"/>
          <w:sz w:val="24"/>
          <w:szCs w:val="24"/>
          <w:lang w:val="ro-RO" w:eastAsia="ro-RO"/>
        </w:rPr>
        <w:drawing>
          <wp:inline distT="0" distB="0" distL="0" distR="0">
            <wp:extent cx="4857750" cy="1028700"/>
            <wp:effectExtent l="0" t="0" r="0" b="0"/>
            <wp:docPr id="50"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91C32" w:rsidRDefault="00591C32" w:rsidP="00591C32">
      <w:pPr>
        <w:widowControl w:val="0"/>
        <w:spacing w:after="0" w:line="240" w:lineRule="auto"/>
        <w:ind w:firstLine="720"/>
        <w:jc w:val="both"/>
        <w:rPr>
          <w:rFonts w:ascii="Arial" w:hAnsi="Arial" w:cs="Arial"/>
          <w:sz w:val="24"/>
          <w:szCs w:val="24"/>
          <w:lang w:val="ro-RO"/>
        </w:rPr>
      </w:pPr>
      <w:r>
        <w:rPr>
          <w:rFonts w:ascii="Arial" w:hAnsi="Arial" w:cs="Arial"/>
          <w:sz w:val="24"/>
          <w:szCs w:val="24"/>
          <w:lang w:val="ro-RO"/>
        </w:rPr>
        <w:t>Din f</w:t>
      </w:r>
      <w:r w:rsidRPr="003219F2">
        <w:rPr>
          <w:rFonts w:ascii="Arial" w:hAnsi="Arial" w:cs="Arial"/>
          <w:sz w:val="24"/>
          <w:szCs w:val="24"/>
          <w:lang w:val="ro-RO"/>
        </w:rPr>
        <w:t>ig. I.1.1.1.3</w:t>
      </w:r>
      <w:r>
        <w:rPr>
          <w:rFonts w:ascii="Arial" w:hAnsi="Arial" w:cs="Arial"/>
          <w:sz w:val="24"/>
          <w:szCs w:val="24"/>
          <w:lang w:val="ro-RO"/>
        </w:rPr>
        <w:t xml:space="preserve"> se observă că </w:t>
      </w:r>
      <w:r w:rsidRPr="00591C32">
        <w:rPr>
          <w:rFonts w:ascii="Arial" w:hAnsi="Arial" w:cs="Arial"/>
          <w:sz w:val="24"/>
          <w:szCs w:val="24"/>
          <w:lang w:val="ro-RO"/>
        </w:rPr>
        <w:t>nici</w:t>
      </w:r>
      <w:r w:rsidRPr="00591C32">
        <w:rPr>
          <w:rFonts w:ascii="Arial" w:hAnsi="Arial" w:cs="Arial"/>
          <w:b/>
          <w:sz w:val="24"/>
          <w:szCs w:val="24"/>
          <w:lang w:val="ro-RO"/>
        </w:rPr>
        <w:t xml:space="preserve"> </w:t>
      </w:r>
      <w:r w:rsidRPr="002D344E">
        <w:rPr>
          <w:rFonts w:ascii="Arial" w:hAnsi="Arial" w:cs="Arial"/>
          <w:sz w:val="24"/>
          <w:szCs w:val="24"/>
          <w:lang w:val="ro-RO"/>
        </w:rPr>
        <w:t>concentrați</w:t>
      </w:r>
      <w:r w:rsidR="0064419C">
        <w:rPr>
          <w:rFonts w:ascii="Arial" w:hAnsi="Arial" w:cs="Arial"/>
          <w:sz w:val="24"/>
          <w:szCs w:val="24"/>
          <w:lang w:val="ro-RO"/>
        </w:rPr>
        <w:t>a</w:t>
      </w:r>
      <w:r w:rsidRPr="002D344E">
        <w:rPr>
          <w:rFonts w:ascii="Arial" w:hAnsi="Arial" w:cs="Arial"/>
          <w:sz w:val="24"/>
          <w:szCs w:val="24"/>
          <w:lang w:val="ro-RO"/>
        </w:rPr>
        <w:t xml:space="preserve"> medi</w:t>
      </w:r>
      <w:r w:rsidR="0064419C">
        <w:rPr>
          <w:rFonts w:ascii="Arial" w:hAnsi="Arial" w:cs="Arial"/>
          <w:sz w:val="24"/>
          <w:szCs w:val="24"/>
          <w:lang w:val="ro-RO"/>
        </w:rPr>
        <w:t xml:space="preserve">e </w:t>
      </w:r>
      <w:r w:rsidRPr="002D344E">
        <w:rPr>
          <w:rFonts w:ascii="Arial" w:hAnsi="Arial" w:cs="Arial"/>
          <w:sz w:val="24"/>
          <w:szCs w:val="24"/>
          <w:lang w:val="ro-RO"/>
        </w:rPr>
        <w:t>anual</w:t>
      </w:r>
      <w:r w:rsidR="0064419C">
        <w:rPr>
          <w:rFonts w:ascii="Arial" w:hAnsi="Arial" w:cs="Arial"/>
          <w:sz w:val="24"/>
          <w:szCs w:val="24"/>
          <w:lang w:val="ro-RO"/>
        </w:rPr>
        <w:t>ă de</w:t>
      </w:r>
      <w:r w:rsidRPr="002D344E">
        <w:rPr>
          <w:rFonts w:ascii="Arial" w:hAnsi="Arial" w:cs="Arial"/>
          <w:sz w:val="24"/>
          <w:szCs w:val="24"/>
          <w:lang w:val="ro-RO"/>
        </w:rPr>
        <w:t xml:space="preserve"> </w:t>
      </w:r>
      <w:r w:rsidR="0064419C" w:rsidRPr="00DF4B1A">
        <w:rPr>
          <w:rFonts w:ascii="Arial" w:hAnsi="Arial" w:cs="Arial"/>
          <w:sz w:val="24"/>
          <w:szCs w:val="24"/>
          <w:lang w:val="ro-RO"/>
        </w:rPr>
        <w:t>pulberi în suspensie</w:t>
      </w:r>
      <w:r w:rsidR="0064419C" w:rsidRPr="00DF4B1A">
        <w:rPr>
          <w:rFonts w:ascii="Arial" w:hAnsi="Arial" w:cs="Arial"/>
          <w:b/>
          <w:sz w:val="24"/>
          <w:szCs w:val="24"/>
          <w:lang w:val="ro-RO"/>
        </w:rPr>
        <w:t xml:space="preserve"> PM10</w:t>
      </w:r>
      <w:r w:rsidR="0064419C" w:rsidRPr="00DF4B1A">
        <w:rPr>
          <w:rFonts w:ascii="Arial" w:hAnsi="Arial" w:cs="Arial"/>
          <w:sz w:val="24"/>
          <w:szCs w:val="24"/>
          <w:lang w:val="ro-RO"/>
        </w:rPr>
        <w:t xml:space="preserve"> </w:t>
      </w:r>
      <w:r w:rsidRPr="00591C32">
        <w:rPr>
          <w:rFonts w:ascii="Arial" w:hAnsi="Arial" w:cs="Arial"/>
          <w:b/>
          <w:sz w:val="24"/>
          <w:szCs w:val="24"/>
          <w:lang w:val="ro-RO"/>
        </w:rPr>
        <w:t>nu a depășit valoarea limită anuală</w:t>
      </w:r>
      <w:r>
        <w:rPr>
          <w:rFonts w:ascii="Arial" w:hAnsi="Arial" w:cs="Arial"/>
          <w:sz w:val="24"/>
          <w:szCs w:val="24"/>
          <w:lang w:val="ro-RO"/>
        </w:rPr>
        <w:t xml:space="preserve"> în</w:t>
      </w:r>
      <w:r w:rsidR="0064419C">
        <w:rPr>
          <w:rFonts w:ascii="Arial" w:hAnsi="Arial" w:cs="Arial"/>
          <w:sz w:val="24"/>
          <w:szCs w:val="24"/>
          <w:lang w:val="ro-RO"/>
        </w:rPr>
        <w:t xml:space="preserve"> anul 2017, în</w:t>
      </w:r>
      <w:r>
        <w:rPr>
          <w:rFonts w:ascii="Arial" w:hAnsi="Arial" w:cs="Arial"/>
          <w:sz w:val="24"/>
          <w:szCs w:val="24"/>
          <w:lang w:val="ro-RO"/>
        </w:rPr>
        <w:t xml:space="preserve"> stațiile </w:t>
      </w:r>
      <w:r w:rsidR="002D344E">
        <w:rPr>
          <w:rFonts w:ascii="Arial" w:hAnsi="Arial" w:cs="Arial"/>
          <w:sz w:val="24"/>
          <w:szCs w:val="24"/>
          <w:lang w:val="ro-RO"/>
        </w:rPr>
        <w:t>SV1 și SV2</w:t>
      </w:r>
      <w:r>
        <w:rPr>
          <w:rFonts w:ascii="Arial" w:hAnsi="Arial" w:cs="Arial"/>
          <w:sz w:val="24"/>
          <w:szCs w:val="24"/>
          <w:lang w:val="ro-RO"/>
        </w:rPr>
        <w:t xml:space="preserve">. </w:t>
      </w:r>
    </w:p>
    <w:p w:rsidR="002D344E" w:rsidRPr="0064419C" w:rsidRDefault="002D344E" w:rsidP="00591C32">
      <w:pPr>
        <w:widowControl w:val="0"/>
        <w:spacing w:after="0" w:line="240" w:lineRule="auto"/>
        <w:ind w:firstLine="720"/>
        <w:jc w:val="both"/>
        <w:rPr>
          <w:rFonts w:ascii="Arial" w:hAnsi="Arial" w:cs="Arial"/>
          <w:sz w:val="10"/>
          <w:szCs w:val="10"/>
          <w:lang w:val="ro-RO"/>
        </w:rPr>
      </w:pPr>
    </w:p>
    <w:p w:rsidR="00591C32" w:rsidRPr="00DF4B1A" w:rsidRDefault="00591C32" w:rsidP="00591C32">
      <w:pPr>
        <w:widowControl w:val="0"/>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În concluzie, </w:t>
      </w:r>
      <w:r w:rsidRPr="000E4544">
        <w:rPr>
          <w:rFonts w:ascii="Arial" w:hAnsi="Arial" w:cs="Arial"/>
          <w:b/>
          <w:sz w:val="24"/>
          <w:szCs w:val="24"/>
          <w:lang w:val="ro-RO"/>
        </w:rPr>
        <w:t xml:space="preserve">populaţia </w:t>
      </w:r>
      <w:r w:rsidR="002D344E">
        <w:rPr>
          <w:rFonts w:ascii="Arial" w:hAnsi="Arial" w:cs="Arial"/>
          <w:b/>
          <w:sz w:val="24"/>
          <w:szCs w:val="24"/>
          <w:lang w:val="ro-RO"/>
        </w:rPr>
        <w:t xml:space="preserve">municipiului Suceava </w:t>
      </w:r>
      <w:r w:rsidRPr="000E4544">
        <w:rPr>
          <w:rFonts w:ascii="Arial" w:hAnsi="Arial" w:cs="Arial"/>
          <w:b/>
          <w:sz w:val="24"/>
          <w:szCs w:val="24"/>
          <w:lang w:val="ro-RO"/>
        </w:rPr>
        <w:t xml:space="preserve">nu a fost potenţial expusă, în anul 2017, la </w:t>
      </w:r>
      <w:r w:rsidR="002D344E">
        <w:rPr>
          <w:rFonts w:ascii="Arial" w:hAnsi="Arial" w:cs="Arial"/>
          <w:b/>
          <w:sz w:val="24"/>
          <w:szCs w:val="24"/>
          <w:lang w:val="ro-RO"/>
        </w:rPr>
        <w:t>concentrații de</w:t>
      </w:r>
      <w:r w:rsidRPr="000E4544">
        <w:rPr>
          <w:rFonts w:ascii="Arial" w:hAnsi="Arial" w:cs="Arial"/>
          <w:b/>
          <w:sz w:val="24"/>
          <w:szCs w:val="24"/>
          <w:lang w:val="ro-RO"/>
        </w:rPr>
        <w:t xml:space="preserve"> pulberi PM10</w:t>
      </w:r>
      <w:r>
        <w:rPr>
          <w:rFonts w:ascii="Arial" w:hAnsi="Arial" w:cs="Arial"/>
          <w:sz w:val="24"/>
          <w:szCs w:val="24"/>
          <w:lang w:val="ro-RO"/>
        </w:rPr>
        <w:t xml:space="preserve"> peste VL zilnică sau VL anuală. </w:t>
      </w:r>
    </w:p>
    <w:p w:rsidR="00FE456F" w:rsidRPr="00C46B4B" w:rsidRDefault="00FE456F" w:rsidP="00152F86">
      <w:pPr>
        <w:widowControl w:val="0"/>
        <w:spacing w:after="0" w:line="240" w:lineRule="auto"/>
        <w:ind w:firstLine="720"/>
        <w:jc w:val="both"/>
        <w:rPr>
          <w:rFonts w:ascii="Arial" w:hAnsi="Arial" w:cs="Arial"/>
          <w:sz w:val="20"/>
          <w:szCs w:val="20"/>
          <w:lang w:val="ro-RO"/>
        </w:rPr>
      </w:pPr>
    </w:p>
    <w:p w:rsidR="00FE456F" w:rsidRPr="00DF4B1A" w:rsidRDefault="00FE456F" w:rsidP="00FE456F">
      <w:pPr>
        <w:widowControl w:val="0"/>
        <w:spacing w:after="0" w:line="240" w:lineRule="auto"/>
        <w:rPr>
          <w:rFonts w:ascii="Arial" w:hAnsi="Arial" w:cs="Arial"/>
          <w:b/>
          <w:i/>
          <w:sz w:val="24"/>
          <w:szCs w:val="24"/>
          <w:lang w:val="ro-RO"/>
        </w:rPr>
      </w:pPr>
      <w:r w:rsidRPr="00194EE0">
        <w:rPr>
          <w:rFonts w:ascii="Arial" w:hAnsi="Arial" w:cs="Arial"/>
          <w:b/>
          <w:i/>
          <w:sz w:val="24"/>
          <w:szCs w:val="24"/>
          <w:lang w:val="ro-RO"/>
        </w:rPr>
        <w:t>I.1.2. Efectele poluării aerului înconjurător</w:t>
      </w:r>
    </w:p>
    <w:p w:rsidR="00FE456F" w:rsidRPr="00DF4B1A" w:rsidRDefault="00FE456F" w:rsidP="00FE456F">
      <w:pPr>
        <w:widowControl w:val="0"/>
        <w:spacing w:after="0" w:line="240" w:lineRule="auto"/>
        <w:rPr>
          <w:rFonts w:ascii="Arial" w:hAnsi="Arial" w:cs="Arial"/>
          <w:b/>
          <w:i/>
          <w:sz w:val="16"/>
          <w:szCs w:val="16"/>
          <w:lang w:val="ro-RO"/>
        </w:rPr>
      </w:pPr>
    </w:p>
    <w:p w:rsidR="00FE456F" w:rsidRPr="00DF4B1A" w:rsidRDefault="00FE456F" w:rsidP="00FE456F">
      <w:pPr>
        <w:widowControl w:val="0"/>
        <w:spacing w:after="0" w:line="240" w:lineRule="auto"/>
        <w:rPr>
          <w:rFonts w:ascii="Arial" w:hAnsi="Arial" w:cs="Arial"/>
          <w:b/>
          <w:sz w:val="24"/>
          <w:szCs w:val="24"/>
          <w:lang w:val="ro-RO"/>
        </w:rPr>
      </w:pPr>
      <w:r w:rsidRPr="00DF4B1A">
        <w:rPr>
          <w:rFonts w:ascii="Arial" w:hAnsi="Arial" w:cs="Arial"/>
          <w:b/>
          <w:sz w:val="24"/>
          <w:szCs w:val="24"/>
          <w:lang w:val="ro-RO"/>
        </w:rPr>
        <w:t>I.1.2.1. Efectele poluării aerului înconjurător asupra sănătății</w:t>
      </w:r>
    </w:p>
    <w:p w:rsidR="00FE456F" w:rsidRPr="00DF4B1A" w:rsidRDefault="00FE456F" w:rsidP="00FE456F">
      <w:pPr>
        <w:widowControl w:val="0"/>
        <w:spacing w:after="0" w:line="240" w:lineRule="auto"/>
        <w:rPr>
          <w:rFonts w:ascii="Arial" w:hAnsi="Arial" w:cs="Arial"/>
          <w:b/>
          <w:i/>
          <w:sz w:val="10"/>
          <w:szCs w:val="10"/>
          <w:lang w:val="ro-RO"/>
        </w:rPr>
      </w:pPr>
    </w:p>
    <w:p w:rsidR="00194EE0" w:rsidRPr="00194EE0" w:rsidRDefault="00194EE0" w:rsidP="00194EE0">
      <w:pPr>
        <w:pStyle w:val="Default"/>
        <w:widowControl w:val="0"/>
        <w:ind w:firstLine="720"/>
        <w:jc w:val="both"/>
        <w:rPr>
          <w:rFonts w:ascii="Arial" w:hAnsi="Arial" w:cs="Arial"/>
          <w:color w:val="auto"/>
          <w:lang w:eastAsia="en-US"/>
        </w:rPr>
      </w:pPr>
      <w:r w:rsidRPr="00194EE0">
        <w:rPr>
          <w:rFonts w:ascii="Arial" w:hAnsi="Arial" w:cs="Arial"/>
          <w:color w:val="auto"/>
          <w:lang w:eastAsia="en-US"/>
        </w:rPr>
        <w:t>Pe baza datelor obţinute din măsurători în staţiile RNMCA (vezi pct. I. 1.1 de mai sus)</w:t>
      </w:r>
      <w:r w:rsidR="00AD01B1">
        <w:rPr>
          <w:rFonts w:ascii="Arial" w:hAnsi="Arial" w:cs="Arial"/>
          <w:color w:val="auto"/>
          <w:lang w:eastAsia="en-US"/>
        </w:rPr>
        <w:t>,</w:t>
      </w:r>
      <w:r w:rsidRPr="00194EE0">
        <w:rPr>
          <w:rFonts w:ascii="Arial" w:hAnsi="Arial" w:cs="Arial"/>
          <w:color w:val="auto"/>
          <w:lang w:eastAsia="en-US"/>
        </w:rPr>
        <w:t xml:space="preserve"> </w:t>
      </w:r>
      <w:r w:rsidR="00AD01B1">
        <w:rPr>
          <w:rFonts w:ascii="Arial" w:hAnsi="Arial" w:cs="Arial"/>
          <w:color w:val="auto"/>
          <w:lang w:eastAsia="en-US"/>
        </w:rPr>
        <w:t xml:space="preserve">ca </w:t>
      </w:r>
      <w:r w:rsidRPr="00194EE0">
        <w:rPr>
          <w:rFonts w:ascii="Arial" w:hAnsi="Arial" w:cs="Arial"/>
          <w:color w:val="auto"/>
          <w:lang w:eastAsia="en-US"/>
        </w:rPr>
        <w:t xml:space="preserve">şi </w:t>
      </w:r>
      <w:r w:rsidR="00AD01B1">
        <w:rPr>
          <w:rFonts w:ascii="Arial" w:hAnsi="Arial" w:cs="Arial"/>
          <w:color w:val="auto"/>
          <w:lang w:eastAsia="en-US"/>
        </w:rPr>
        <w:t>prin</w:t>
      </w:r>
      <w:r w:rsidRPr="00194EE0">
        <w:rPr>
          <w:rFonts w:ascii="Arial" w:hAnsi="Arial" w:cs="Arial"/>
          <w:color w:val="auto"/>
          <w:lang w:eastAsia="en-US"/>
        </w:rPr>
        <w:t xml:space="preserve"> modelarea matematică a dispersiei poluanţilor emişi în aer la nivel de judeţ, </w:t>
      </w:r>
      <w:r w:rsidR="00AD01B1" w:rsidRPr="00194EE0">
        <w:rPr>
          <w:rFonts w:ascii="Arial" w:hAnsi="Arial" w:cs="Arial"/>
          <w:color w:val="auto"/>
          <w:lang w:eastAsia="en-US"/>
        </w:rPr>
        <w:t>nivelurile pentru dioxid de sulf, dioxid de azot, oxizi de azot, particule în suspensie PM(10) şi PM(2,5), plumb, benzen, monoxid de carbon din aer</w:t>
      </w:r>
      <w:r w:rsidR="00AD01B1">
        <w:rPr>
          <w:rFonts w:ascii="Arial" w:hAnsi="Arial" w:cs="Arial"/>
          <w:color w:val="auto"/>
          <w:lang w:eastAsia="en-US"/>
        </w:rPr>
        <w:t>,</w:t>
      </w:r>
      <w:r w:rsidR="00AD01B1" w:rsidRPr="00194EE0">
        <w:rPr>
          <w:rFonts w:ascii="Arial" w:hAnsi="Arial" w:cs="Arial"/>
          <w:color w:val="auto"/>
          <w:lang w:eastAsia="en-US"/>
        </w:rPr>
        <w:t xml:space="preserve"> pe tot teritoriul judeţului Suceava</w:t>
      </w:r>
      <w:r w:rsidR="00AD01B1">
        <w:rPr>
          <w:rFonts w:ascii="Arial" w:hAnsi="Arial" w:cs="Arial"/>
          <w:color w:val="auto"/>
          <w:lang w:eastAsia="en-US"/>
        </w:rPr>
        <w:t>,</w:t>
      </w:r>
      <w:r w:rsidR="00AD01B1" w:rsidRPr="00194EE0">
        <w:rPr>
          <w:rFonts w:ascii="Arial" w:hAnsi="Arial" w:cs="Arial"/>
          <w:color w:val="auto"/>
          <w:lang w:eastAsia="en-US"/>
        </w:rPr>
        <w:t xml:space="preserve"> sunt </w:t>
      </w:r>
      <w:r w:rsidR="00AD01B1" w:rsidRPr="00194EE0">
        <w:rPr>
          <w:rFonts w:ascii="Arial" w:hAnsi="Arial" w:cs="Arial"/>
          <w:b/>
          <w:color w:val="auto"/>
          <w:lang w:eastAsia="en-US"/>
        </w:rPr>
        <w:t xml:space="preserve">mai mici decât valorile-limită/ţintă </w:t>
      </w:r>
      <w:r w:rsidR="00AD01B1" w:rsidRPr="00194EE0">
        <w:rPr>
          <w:rFonts w:ascii="Arial" w:hAnsi="Arial" w:cs="Arial"/>
          <w:color w:val="auto"/>
          <w:lang w:eastAsia="en-US"/>
        </w:rPr>
        <w:t>prevăzute de legea 104/2011</w:t>
      </w:r>
      <w:r w:rsidR="00AD01B1">
        <w:rPr>
          <w:rFonts w:ascii="Arial" w:hAnsi="Arial" w:cs="Arial"/>
          <w:color w:val="auto"/>
          <w:lang w:eastAsia="en-US"/>
        </w:rPr>
        <w:t xml:space="preserve">, așa cum rezultă din </w:t>
      </w:r>
      <w:r w:rsidRPr="00194EE0">
        <w:rPr>
          <w:rFonts w:ascii="Arial" w:hAnsi="Arial" w:cs="Arial"/>
          <w:i/>
          <w:color w:val="auto"/>
          <w:lang w:eastAsia="en-US"/>
        </w:rPr>
        <w:lastRenderedPageBreak/>
        <w:t>O.M. nr. 1206/2015, pentru aprobarea listelor cu unităţile administrativ-teritoriale întocmite în urma încadrării în regimuri de gestionare a ariilor din zonele şi aglomerările prevăzute în anexa nr. 2 la Legea nr. 104/2011 privind calitatea aerului înconjurător</w:t>
      </w:r>
      <w:r w:rsidR="00AD01B1">
        <w:rPr>
          <w:rFonts w:ascii="Arial" w:hAnsi="Arial" w:cs="Arial"/>
          <w:color w:val="auto"/>
          <w:lang w:eastAsia="en-US"/>
        </w:rPr>
        <w:t>.</w:t>
      </w:r>
    </w:p>
    <w:p w:rsidR="00194EE0" w:rsidRPr="00824524" w:rsidRDefault="00194EE0" w:rsidP="00FE456F">
      <w:pPr>
        <w:pStyle w:val="Default"/>
        <w:widowControl w:val="0"/>
        <w:ind w:firstLine="720"/>
        <w:jc w:val="both"/>
        <w:rPr>
          <w:rFonts w:ascii="Arial" w:hAnsi="Arial" w:cs="Arial"/>
          <w:color w:val="auto"/>
          <w:sz w:val="10"/>
          <w:szCs w:val="10"/>
        </w:rPr>
      </w:pPr>
    </w:p>
    <w:p w:rsidR="00FE456F" w:rsidRDefault="00797493" w:rsidP="00FE456F">
      <w:pPr>
        <w:pStyle w:val="Default"/>
        <w:widowControl w:val="0"/>
        <w:ind w:firstLine="720"/>
        <w:jc w:val="both"/>
        <w:rPr>
          <w:rFonts w:ascii="Arial" w:hAnsi="Arial" w:cs="Arial"/>
          <w:color w:val="auto"/>
          <w:lang w:eastAsia="en-US"/>
        </w:rPr>
      </w:pPr>
      <w:r>
        <w:rPr>
          <w:rFonts w:ascii="Arial" w:hAnsi="Arial" w:cs="Arial"/>
        </w:rPr>
        <w:t xml:space="preserve">Ca atare, </w:t>
      </w:r>
      <w:r w:rsidR="00194EE0">
        <w:rPr>
          <w:rFonts w:ascii="Arial" w:hAnsi="Arial" w:cs="Arial"/>
        </w:rPr>
        <w:t xml:space="preserve">se </w:t>
      </w:r>
      <w:r>
        <w:rPr>
          <w:rFonts w:ascii="Arial" w:hAnsi="Arial" w:cs="Arial"/>
        </w:rPr>
        <w:t>p</w:t>
      </w:r>
      <w:r w:rsidR="00194EE0">
        <w:rPr>
          <w:rFonts w:ascii="Arial" w:hAnsi="Arial" w:cs="Arial"/>
        </w:rPr>
        <w:t>oate</w:t>
      </w:r>
      <w:r>
        <w:rPr>
          <w:rFonts w:ascii="Arial" w:hAnsi="Arial" w:cs="Arial"/>
        </w:rPr>
        <w:t xml:space="preserve"> afirma că</w:t>
      </w:r>
      <w:r w:rsidR="00FE456F" w:rsidRPr="00DF4B1A">
        <w:rPr>
          <w:rFonts w:ascii="Arial" w:hAnsi="Arial" w:cs="Arial"/>
        </w:rPr>
        <w:t xml:space="preserve"> p</w:t>
      </w:r>
      <w:r w:rsidR="00FE456F" w:rsidRPr="00DF4B1A">
        <w:rPr>
          <w:rFonts w:ascii="Arial" w:hAnsi="Arial" w:cs="Arial"/>
          <w:color w:val="auto"/>
          <w:lang w:eastAsia="en-US"/>
        </w:rPr>
        <w:t>opulaţia urbană din judeţul Suceava nu este expusă la</w:t>
      </w:r>
      <w:r w:rsidR="00AD01B1">
        <w:rPr>
          <w:rFonts w:ascii="Arial" w:hAnsi="Arial" w:cs="Arial"/>
          <w:color w:val="auto"/>
          <w:lang w:eastAsia="en-US"/>
        </w:rPr>
        <w:t xml:space="preserve"> riscuri pentru sănătate,</w:t>
      </w:r>
      <w:r w:rsidR="00FE456F" w:rsidRPr="00DF4B1A">
        <w:rPr>
          <w:rFonts w:ascii="Arial" w:hAnsi="Arial" w:cs="Arial"/>
          <w:color w:val="auto"/>
          <w:lang w:eastAsia="en-US"/>
        </w:rPr>
        <w:t xml:space="preserve"> datorită poluării aerului înconjurător. </w:t>
      </w:r>
    </w:p>
    <w:p w:rsidR="00FE456F" w:rsidRPr="00DF4B1A" w:rsidRDefault="00FE456F" w:rsidP="00FE456F">
      <w:pPr>
        <w:widowControl w:val="0"/>
        <w:spacing w:after="0" w:line="240" w:lineRule="auto"/>
        <w:rPr>
          <w:rFonts w:ascii="Arial" w:hAnsi="Arial" w:cs="Arial"/>
          <w:b/>
          <w:i/>
          <w:sz w:val="16"/>
          <w:szCs w:val="16"/>
          <w:lang w:val="ro-RO"/>
        </w:rPr>
      </w:pPr>
    </w:p>
    <w:p w:rsidR="00FE456F" w:rsidRPr="00DF4B1A" w:rsidRDefault="00FE456F" w:rsidP="00FE456F">
      <w:pPr>
        <w:widowControl w:val="0"/>
        <w:spacing w:after="0" w:line="240" w:lineRule="auto"/>
        <w:rPr>
          <w:rFonts w:ascii="Arial" w:hAnsi="Arial" w:cs="Arial"/>
          <w:b/>
          <w:sz w:val="24"/>
          <w:szCs w:val="24"/>
          <w:lang w:val="ro-RO"/>
        </w:rPr>
      </w:pPr>
      <w:r w:rsidRPr="00DF4B1A">
        <w:rPr>
          <w:rFonts w:ascii="Arial" w:hAnsi="Arial" w:cs="Arial"/>
          <w:b/>
          <w:sz w:val="24"/>
          <w:szCs w:val="24"/>
          <w:lang w:val="ro-RO"/>
        </w:rPr>
        <w:t>I.1.2.2. Efectele poluării aerului înconjurător asupra ecosistemelor</w:t>
      </w:r>
    </w:p>
    <w:p w:rsidR="00FE456F" w:rsidRPr="00DF4B1A" w:rsidRDefault="00FE456F" w:rsidP="00FE456F">
      <w:pPr>
        <w:widowControl w:val="0"/>
        <w:spacing w:after="0" w:line="240" w:lineRule="auto"/>
        <w:rPr>
          <w:rFonts w:ascii="Arial" w:hAnsi="Arial" w:cs="Arial"/>
          <w:b/>
          <w:i/>
          <w:sz w:val="10"/>
          <w:szCs w:val="10"/>
          <w:lang w:val="ro-RO"/>
        </w:rPr>
      </w:pPr>
    </w:p>
    <w:tbl>
      <w:tblPr>
        <w:tblStyle w:val="TableGrid"/>
        <w:tblW w:w="0" w:type="auto"/>
        <w:shd w:val="clear" w:color="auto" w:fill="B6DDE8" w:themeFill="accent5" w:themeFillTint="66"/>
        <w:tblLook w:val="04A0"/>
      </w:tblPr>
      <w:tblGrid>
        <w:gridCol w:w="9997"/>
      </w:tblGrid>
      <w:tr w:rsidR="000C56FA" w:rsidTr="00BE0134">
        <w:tc>
          <w:tcPr>
            <w:tcW w:w="9997" w:type="dxa"/>
            <w:shd w:val="clear" w:color="auto" w:fill="B6DDE8" w:themeFill="accent5" w:themeFillTint="66"/>
          </w:tcPr>
          <w:p w:rsidR="000C56FA" w:rsidRPr="000C56FA" w:rsidRDefault="000C56FA" w:rsidP="000C56FA">
            <w:pPr>
              <w:autoSpaceDE w:val="0"/>
              <w:autoSpaceDN w:val="0"/>
              <w:adjustRightInd w:val="0"/>
              <w:spacing w:after="0" w:line="240" w:lineRule="auto"/>
              <w:rPr>
                <w:rFonts w:ascii="Arial" w:hAnsi="Arial" w:cs="Arial"/>
                <w:lang w:val="ro-RO" w:eastAsia="ro-RO"/>
              </w:rPr>
            </w:pPr>
            <w:r w:rsidRPr="000C56FA">
              <w:rPr>
                <w:rFonts w:ascii="Arial" w:hAnsi="Arial" w:cs="Arial"/>
                <w:b/>
                <w:bCs/>
                <w:lang w:val="ro-RO" w:eastAsia="ro-RO"/>
              </w:rPr>
              <w:t>Cod indicator România</w:t>
            </w:r>
            <w:r w:rsidRPr="000C56FA">
              <w:rPr>
                <w:rFonts w:ascii="Arial" w:hAnsi="Arial" w:cs="Arial"/>
                <w:lang w:val="ro-RO" w:eastAsia="ro-RO"/>
              </w:rPr>
              <w:t>: RO 05</w:t>
            </w:r>
          </w:p>
          <w:p w:rsidR="000C56FA" w:rsidRPr="000C56FA" w:rsidRDefault="000C56FA" w:rsidP="000C56FA">
            <w:pPr>
              <w:autoSpaceDE w:val="0"/>
              <w:autoSpaceDN w:val="0"/>
              <w:adjustRightInd w:val="0"/>
              <w:spacing w:after="0" w:line="240" w:lineRule="auto"/>
              <w:rPr>
                <w:rFonts w:ascii="Arial" w:hAnsi="Arial" w:cs="Arial"/>
                <w:lang w:val="ro-RO" w:eastAsia="ro-RO"/>
              </w:rPr>
            </w:pPr>
            <w:r w:rsidRPr="000C56FA">
              <w:rPr>
                <w:rFonts w:ascii="Arial" w:hAnsi="Arial" w:cs="Arial"/>
                <w:b/>
                <w:bCs/>
                <w:lang w:val="ro-RO" w:eastAsia="ro-RO"/>
              </w:rPr>
              <w:t>Cod indicator AEM</w:t>
            </w:r>
            <w:r w:rsidRPr="000C56FA">
              <w:rPr>
                <w:rFonts w:ascii="Arial" w:hAnsi="Arial" w:cs="Arial"/>
                <w:lang w:val="ro-RO" w:eastAsia="ro-RO"/>
              </w:rPr>
              <w:t>: CSI 05</w:t>
            </w:r>
          </w:p>
          <w:p w:rsidR="000C56FA" w:rsidRPr="000C56FA" w:rsidRDefault="000C56FA" w:rsidP="000C56FA">
            <w:pPr>
              <w:autoSpaceDE w:val="0"/>
              <w:autoSpaceDN w:val="0"/>
              <w:adjustRightInd w:val="0"/>
              <w:spacing w:after="0" w:line="240" w:lineRule="auto"/>
              <w:rPr>
                <w:rFonts w:ascii="Arial" w:hAnsi="Arial" w:cs="Arial"/>
                <w:lang w:val="ro-RO" w:eastAsia="ro-RO"/>
              </w:rPr>
            </w:pPr>
            <w:r w:rsidRPr="000C56FA">
              <w:rPr>
                <w:rFonts w:ascii="Arial" w:hAnsi="Arial" w:cs="Arial"/>
                <w:b/>
                <w:bCs/>
                <w:lang w:val="ro-RO" w:eastAsia="ro-RO"/>
              </w:rPr>
              <w:t>DENUMIRE</w:t>
            </w:r>
            <w:r w:rsidRPr="000C56FA">
              <w:rPr>
                <w:rFonts w:ascii="Arial" w:hAnsi="Arial" w:cs="Arial"/>
                <w:lang w:val="ro-RO" w:eastAsia="ro-RO"/>
              </w:rPr>
              <w:t>: EXPUNEREA ECOSISTEMELOR LA ACIDIFIERE, EUTROFIZARE ŞI OZON</w:t>
            </w:r>
          </w:p>
          <w:p w:rsidR="000C56FA" w:rsidRDefault="000C56FA" w:rsidP="000C56FA">
            <w:pPr>
              <w:autoSpaceDE w:val="0"/>
              <w:autoSpaceDN w:val="0"/>
              <w:adjustRightInd w:val="0"/>
              <w:spacing w:after="0" w:line="240" w:lineRule="auto"/>
              <w:jc w:val="both"/>
              <w:rPr>
                <w:rFonts w:ascii="Cambria,Bold" w:hAnsi="Cambria,Bold" w:cs="Cambria,Bold"/>
                <w:b/>
                <w:bCs/>
                <w:lang w:val="ro-RO" w:eastAsia="ro-RO"/>
              </w:rPr>
            </w:pPr>
            <w:r w:rsidRPr="000C56FA">
              <w:rPr>
                <w:rFonts w:ascii="Arial" w:hAnsi="Arial" w:cs="Arial"/>
                <w:b/>
                <w:bCs/>
                <w:lang w:val="ro-RO" w:eastAsia="ro-RO"/>
              </w:rPr>
              <w:t>DEFINIŢIE</w:t>
            </w:r>
            <w:r w:rsidRPr="000C56FA">
              <w:rPr>
                <w:rFonts w:ascii="Arial" w:hAnsi="Arial" w:cs="Arial"/>
                <w:lang w:val="ro-RO" w:eastAsia="ro-RO"/>
              </w:rPr>
              <w:t>: Indicatorul prezintă ecosistemele sau zonele cultivate care sunt supuse depunerilor sau</w:t>
            </w:r>
            <w:r>
              <w:rPr>
                <w:rFonts w:ascii="Arial" w:hAnsi="Arial" w:cs="Arial"/>
                <w:lang w:val="ro-RO" w:eastAsia="ro-RO"/>
              </w:rPr>
              <w:t xml:space="preserve"> </w:t>
            </w:r>
            <w:r w:rsidRPr="000C56FA">
              <w:rPr>
                <w:rFonts w:ascii="Arial" w:hAnsi="Arial" w:cs="Arial"/>
                <w:lang w:val="ro-RO" w:eastAsia="ro-RO"/>
              </w:rPr>
              <w:t>concentraţiilor atmosferice de poluanţi care depăşesc aşa-numitele “praguri critice” sau concentraţia</w:t>
            </w:r>
            <w:r>
              <w:rPr>
                <w:rFonts w:ascii="Arial" w:hAnsi="Arial" w:cs="Arial"/>
                <w:lang w:val="ro-RO" w:eastAsia="ro-RO"/>
              </w:rPr>
              <w:t xml:space="preserve">  </w:t>
            </w:r>
            <w:r w:rsidRPr="000C56FA">
              <w:rPr>
                <w:rFonts w:ascii="Arial" w:hAnsi="Arial" w:cs="Arial"/>
                <w:lang w:val="ro-RO" w:eastAsia="ro-RO"/>
              </w:rPr>
              <w:t>pentru un anumit ecosistem sau arie cultivată. Totodată, acest indicator prezintă starea de modificare a</w:t>
            </w:r>
            <w:r>
              <w:rPr>
                <w:rFonts w:ascii="Arial" w:hAnsi="Arial" w:cs="Arial"/>
                <w:lang w:val="ro-RO" w:eastAsia="ro-RO"/>
              </w:rPr>
              <w:t xml:space="preserve"> </w:t>
            </w:r>
            <w:r w:rsidRPr="000C56FA">
              <w:rPr>
                <w:rFonts w:ascii="Arial" w:hAnsi="Arial" w:cs="Arial"/>
                <w:lang w:val="ro-RO" w:eastAsia="ro-RO"/>
              </w:rPr>
              <w:t>nivelurilor acidifierii, eutrofizării şi ozonului pentru mediul înconjurător. Riscul pentru fiecare locaţie este</w:t>
            </w:r>
            <w:r>
              <w:rPr>
                <w:rFonts w:ascii="Arial" w:hAnsi="Arial" w:cs="Arial"/>
                <w:lang w:val="ro-RO" w:eastAsia="ro-RO"/>
              </w:rPr>
              <w:t xml:space="preserve"> </w:t>
            </w:r>
            <w:r w:rsidRPr="000C56FA">
              <w:rPr>
                <w:rFonts w:ascii="Arial" w:hAnsi="Arial" w:cs="Arial"/>
                <w:lang w:val="ro-RO" w:eastAsia="ro-RO"/>
              </w:rPr>
              <w:t>estimat prin referire la „nivelul critic”, acesta reprezentând o estimare cantitativă a expunerii la poluanţi</w:t>
            </w:r>
            <w:r>
              <w:rPr>
                <w:rFonts w:ascii="Arial" w:hAnsi="Arial" w:cs="Arial"/>
                <w:lang w:val="ro-RO" w:eastAsia="ro-RO"/>
              </w:rPr>
              <w:t xml:space="preserve"> </w:t>
            </w:r>
            <w:r w:rsidRPr="000C56FA">
              <w:rPr>
                <w:rFonts w:ascii="Arial" w:hAnsi="Arial" w:cs="Arial"/>
                <w:lang w:val="ro-RO" w:eastAsia="ro-RO"/>
              </w:rPr>
              <w:t>sub care nu apar efecte dăunătoare şi semnificative pe termen lung, având în vedere cunoştinţele prezente</w:t>
            </w:r>
            <w:r>
              <w:rPr>
                <w:rFonts w:ascii="Arial" w:hAnsi="Arial" w:cs="Arial"/>
                <w:lang w:val="ro-RO" w:eastAsia="ro-RO"/>
              </w:rPr>
              <w:t>.</w:t>
            </w:r>
          </w:p>
        </w:tc>
      </w:tr>
    </w:tbl>
    <w:p w:rsidR="000C56FA" w:rsidRPr="00AD01B1" w:rsidRDefault="000C56FA" w:rsidP="000C56FA">
      <w:pPr>
        <w:autoSpaceDE w:val="0"/>
        <w:autoSpaceDN w:val="0"/>
        <w:adjustRightInd w:val="0"/>
        <w:spacing w:after="0" w:line="240" w:lineRule="auto"/>
        <w:rPr>
          <w:rFonts w:ascii="Arial" w:hAnsi="Arial" w:cs="Arial"/>
          <w:b/>
          <w:bCs/>
          <w:sz w:val="10"/>
          <w:szCs w:val="10"/>
          <w:lang w:val="ro-RO" w:eastAsia="ro-RO"/>
        </w:rPr>
      </w:pPr>
    </w:p>
    <w:p w:rsidR="00D05EB5" w:rsidRPr="003567A9" w:rsidRDefault="00DE0839" w:rsidP="00EA6A59">
      <w:pPr>
        <w:widowControl w:val="0"/>
        <w:spacing w:after="0" w:line="240" w:lineRule="auto"/>
        <w:ind w:firstLine="720"/>
        <w:jc w:val="both"/>
        <w:rPr>
          <w:rFonts w:ascii="Arial" w:hAnsi="Arial" w:cs="Arial"/>
          <w:sz w:val="24"/>
          <w:szCs w:val="24"/>
          <w:lang w:val="ro-RO"/>
        </w:rPr>
      </w:pPr>
      <w:r w:rsidRPr="00D37383">
        <w:rPr>
          <w:rFonts w:ascii="Arial" w:hAnsi="Arial" w:cs="Arial"/>
          <w:sz w:val="24"/>
          <w:szCs w:val="24"/>
          <w:lang w:val="ro-RO"/>
        </w:rPr>
        <w:t>Efectele poluării aerului înconjurător asupra ecosistemelor</w:t>
      </w:r>
      <w:r w:rsidR="00CC64C0">
        <w:rPr>
          <w:rFonts w:ascii="Arial" w:hAnsi="Arial" w:cs="Arial"/>
          <w:sz w:val="24"/>
          <w:szCs w:val="24"/>
          <w:lang w:val="ro-RO"/>
        </w:rPr>
        <w:t>,</w:t>
      </w:r>
      <w:r w:rsidRPr="00D37383">
        <w:rPr>
          <w:rFonts w:ascii="Arial" w:hAnsi="Arial" w:cs="Arial"/>
          <w:sz w:val="24"/>
          <w:szCs w:val="24"/>
          <w:lang w:val="ro-RO"/>
        </w:rPr>
        <w:t xml:space="preserve"> </w:t>
      </w:r>
      <w:r w:rsidR="00CC64C0" w:rsidRPr="00D37383">
        <w:rPr>
          <w:rFonts w:ascii="Arial" w:hAnsi="Arial" w:cs="Arial"/>
          <w:sz w:val="24"/>
          <w:szCs w:val="24"/>
          <w:lang w:val="ro-RO"/>
        </w:rPr>
        <w:t>descrise prin indicatorul descris mai sus, privind expunerea ecosistemelor sau zonelor cultivate la acidifiere, eutrofizare şi la ozon (AOT40) la niveluri peste cele critice</w:t>
      </w:r>
      <w:r w:rsidR="00CC64C0">
        <w:rPr>
          <w:rFonts w:ascii="Arial" w:hAnsi="Arial" w:cs="Arial"/>
          <w:sz w:val="24"/>
          <w:szCs w:val="24"/>
          <w:lang w:val="ro-RO"/>
        </w:rPr>
        <w:t>,</w:t>
      </w:r>
      <w:r w:rsidR="00CC64C0" w:rsidRPr="00D37383">
        <w:rPr>
          <w:rFonts w:ascii="Arial" w:hAnsi="Arial" w:cs="Arial"/>
          <w:sz w:val="24"/>
          <w:szCs w:val="24"/>
          <w:lang w:val="ro-RO"/>
        </w:rPr>
        <w:t xml:space="preserve"> </w:t>
      </w:r>
      <w:r w:rsidR="00616B41" w:rsidRPr="00D37383">
        <w:rPr>
          <w:rFonts w:ascii="Arial" w:hAnsi="Arial" w:cs="Arial"/>
          <w:sz w:val="24"/>
          <w:szCs w:val="24"/>
          <w:lang w:val="ro-RO"/>
        </w:rPr>
        <w:t>sunt</w:t>
      </w:r>
      <w:r w:rsidRPr="00D37383">
        <w:rPr>
          <w:rFonts w:ascii="Arial" w:hAnsi="Arial" w:cs="Arial"/>
          <w:sz w:val="24"/>
          <w:szCs w:val="24"/>
          <w:lang w:val="ro-RO"/>
        </w:rPr>
        <w:t xml:space="preserve"> tratate </w:t>
      </w:r>
      <w:r w:rsidR="00EA6A59" w:rsidRPr="00D37383">
        <w:rPr>
          <w:rFonts w:ascii="Arial" w:hAnsi="Arial" w:cs="Arial"/>
          <w:sz w:val="24"/>
          <w:szCs w:val="24"/>
          <w:lang w:val="ro-RO"/>
        </w:rPr>
        <w:t xml:space="preserve">doar la scară naţională, în Raportul </w:t>
      </w:r>
      <w:r w:rsidRPr="00D37383">
        <w:rPr>
          <w:rFonts w:ascii="Arial" w:hAnsi="Arial" w:cs="Arial"/>
          <w:sz w:val="24"/>
          <w:szCs w:val="24"/>
          <w:lang w:val="ro-RO"/>
        </w:rPr>
        <w:t>anual</w:t>
      </w:r>
      <w:r w:rsidR="00EA6A59" w:rsidRPr="00D37383">
        <w:rPr>
          <w:rFonts w:ascii="Arial" w:hAnsi="Arial" w:cs="Arial"/>
          <w:sz w:val="24"/>
          <w:szCs w:val="24"/>
          <w:lang w:val="ro-RO"/>
        </w:rPr>
        <w:t xml:space="preserve"> privind starea mediului</w:t>
      </w:r>
      <w:r w:rsidRPr="00D37383">
        <w:rPr>
          <w:rFonts w:ascii="Arial" w:hAnsi="Arial" w:cs="Arial"/>
          <w:sz w:val="24"/>
          <w:szCs w:val="24"/>
          <w:lang w:val="ro-RO"/>
        </w:rPr>
        <w:t xml:space="preserve"> în România (vezi site www.anpm.ro)</w:t>
      </w:r>
      <w:r w:rsidR="00D37383" w:rsidRPr="00D37383">
        <w:rPr>
          <w:rFonts w:ascii="Arial" w:hAnsi="Arial" w:cs="Arial"/>
          <w:sz w:val="24"/>
          <w:szCs w:val="24"/>
          <w:lang w:val="ro-RO"/>
        </w:rPr>
        <w:t xml:space="preserve">. </w:t>
      </w:r>
    </w:p>
    <w:p w:rsidR="00FE456F" w:rsidRDefault="00FE456F" w:rsidP="00FE456F">
      <w:pPr>
        <w:pStyle w:val="Default"/>
        <w:widowControl w:val="0"/>
        <w:ind w:firstLine="720"/>
        <w:jc w:val="both"/>
        <w:rPr>
          <w:rFonts w:ascii="Arial" w:hAnsi="Arial" w:cs="Arial"/>
          <w:color w:val="auto"/>
        </w:rPr>
      </w:pPr>
      <w:r w:rsidRPr="00CC64C0">
        <w:rPr>
          <w:rFonts w:ascii="Arial" w:hAnsi="Arial" w:cs="Arial"/>
          <w:color w:val="auto"/>
        </w:rPr>
        <w:t xml:space="preserve">În judeţul Suceava nu sunt amplasate staţii </w:t>
      </w:r>
      <w:r w:rsidR="00B720D1" w:rsidRPr="00CC64C0">
        <w:rPr>
          <w:rFonts w:ascii="Arial" w:hAnsi="Arial" w:cs="Arial"/>
          <w:color w:val="auto"/>
        </w:rPr>
        <w:t xml:space="preserve">destinate monitorizării calităţii aerului sub aspectul protecţiei vegetaţiei şi ecosistemelor, </w:t>
      </w:r>
      <w:r w:rsidRPr="00CC64C0">
        <w:rPr>
          <w:rFonts w:ascii="Arial" w:hAnsi="Arial" w:cs="Arial"/>
          <w:color w:val="auto"/>
        </w:rPr>
        <w:t>de tip</w:t>
      </w:r>
      <w:r w:rsidR="00B720D1" w:rsidRPr="00CC64C0">
        <w:rPr>
          <w:rFonts w:ascii="Arial" w:hAnsi="Arial" w:cs="Arial"/>
          <w:color w:val="auto"/>
        </w:rPr>
        <w:t xml:space="preserve"> suburban, rural, de fond rural,</w:t>
      </w:r>
      <w:r w:rsidRPr="00CC64C0">
        <w:rPr>
          <w:rFonts w:ascii="Arial" w:hAnsi="Arial" w:cs="Arial"/>
          <w:color w:val="auto"/>
        </w:rPr>
        <w:t xml:space="preserve"> staţia EM3 de tip EMEP fiind reprezentativă, din acest punct de vedere, dar la scară regională/</w:t>
      </w:r>
      <w:r w:rsidR="00CC64C0">
        <w:rPr>
          <w:rFonts w:ascii="Arial" w:hAnsi="Arial" w:cs="Arial"/>
          <w:color w:val="auto"/>
        </w:rPr>
        <w:t xml:space="preserve"> </w:t>
      </w:r>
      <w:r w:rsidRPr="00CC64C0">
        <w:rPr>
          <w:rFonts w:ascii="Arial" w:hAnsi="Arial" w:cs="Arial"/>
          <w:color w:val="auto"/>
        </w:rPr>
        <w:t>naţională.</w:t>
      </w:r>
    </w:p>
    <w:p w:rsidR="00FE456F" w:rsidRPr="006B79D1" w:rsidRDefault="00FE456F" w:rsidP="00FE456F">
      <w:pPr>
        <w:widowControl w:val="0"/>
        <w:spacing w:after="0" w:line="240" w:lineRule="auto"/>
        <w:rPr>
          <w:rFonts w:ascii="Arial" w:hAnsi="Arial" w:cs="Arial"/>
          <w:b/>
          <w:i/>
          <w:sz w:val="16"/>
          <w:szCs w:val="16"/>
          <w:lang w:val="ro-RO"/>
        </w:rPr>
      </w:pPr>
    </w:p>
    <w:p w:rsidR="00FE456F" w:rsidRPr="00DF4B1A" w:rsidRDefault="00FE456F" w:rsidP="00FE456F">
      <w:pPr>
        <w:widowControl w:val="0"/>
        <w:spacing w:after="0" w:line="240" w:lineRule="auto"/>
        <w:rPr>
          <w:rFonts w:ascii="Arial" w:hAnsi="Arial" w:cs="Arial"/>
          <w:b/>
          <w:sz w:val="24"/>
          <w:szCs w:val="24"/>
          <w:lang w:val="ro-RO"/>
        </w:rPr>
      </w:pPr>
      <w:r w:rsidRPr="006B79D1">
        <w:rPr>
          <w:rFonts w:ascii="Arial" w:hAnsi="Arial" w:cs="Arial"/>
          <w:b/>
          <w:sz w:val="24"/>
          <w:szCs w:val="24"/>
          <w:lang w:val="ro-RO"/>
        </w:rPr>
        <w:t>I.1.2.3. Efectele poluării aerului înconjurător asupra solului şi vegetaţiei</w:t>
      </w:r>
    </w:p>
    <w:p w:rsidR="00FE456F" w:rsidRPr="00DF4B1A" w:rsidRDefault="00FE456F" w:rsidP="00FE456F">
      <w:pPr>
        <w:widowControl w:val="0"/>
        <w:spacing w:after="0" w:line="240" w:lineRule="auto"/>
        <w:rPr>
          <w:rFonts w:ascii="Arial" w:hAnsi="Arial" w:cs="Arial"/>
          <w:b/>
          <w:i/>
          <w:sz w:val="10"/>
          <w:szCs w:val="10"/>
          <w:lang w:val="ro-RO"/>
        </w:rPr>
      </w:pPr>
    </w:p>
    <w:p w:rsidR="00FE456F" w:rsidRPr="00DF4B1A" w:rsidRDefault="00D05EB5" w:rsidP="00FE456F">
      <w:pPr>
        <w:widowControl w:val="0"/>
        <w:spacing w:after="0" w:line="240" w:lineRule="auto"/>
        <w:ind w:firstLine="720"/>
        <w:jc w:val="both"/>
        <w:rPr>
          <w:rFonts w:ascii="Arial" w:hAnsi="Arial" w:cs="Arial"/>
          <w:color w:val="000000"/>
          <w:sz w:val="24"/>
          <w:szCs w:val="24"/>
          <w:lang w:val="ro-RO" w:eastAsia="ro-RO"/>
        </w:rPr>
      </w:pPr>
      <w:r>
        <w:rPr>
          <w:rFonts w:ascii="Arial" w:hAnsi="Arial" w:cs="Arial"/>
          <w:sz w:val="24"/>
          <w:szCs w:val="24"/>
          <w:lang w:val="ro-RO"/>
        </w:rPr>
        <w:t>Aceste aspecte se tratează doar</w:t>
      </w:r>
      <w:r w:rsidR="00FE456F" w:rsidRPr="00DF4B1A">
        <w:rPr>
          <w:rFonts w:ascii="Arial" w:hAnsi="Arial" w:cs="Arial"/>
          <w:sz w:val="24"/>
          <w:szCs w:val="24"/>
          <w:lang w:val="ro-RO"/>
        </w:rPr>
        <w:t xml:space="preserve"> la scară naţională, în Raportul </w:t>
      </w:r>
      <w:r>
        <w:rPr>
          <w:rFonts w:ascii="Arial" w:hAnsi="Arial" w:cs="Arial"/>
          <w:sz w:val="24"/>
          <w:szCs w:val="24"/>
          <w:lang w:val="ro-RO"/>
        </w:rPr>
        <w:t xml:space="preserve">anual </w:t>
      </w:r>
      <w:r w:rsidR="00FE456F" w:rsidRPr="00DF4B1A">
        <w:rPr>
          <w:rFonts w:ascii="Arial" w:hAnsi="Arial" w:cs="Arial"/>
          <w:sz w:val="24"/>
          <w:szCs w:val="24"/>
          <w:lang w:val="ro-RO"/>
        </w:rPr>
        <w:t>privind starea mediului</w:t>
      </w:r>
      <w:r>
        <w:rPr>
          <w:rFonts w:ascii="Arial" w:hAnsi="Arial" w:cs="Arial"/>
          <w:sz w:val="24"/>
          <w:szCs w:val="24"/>
          <w:lang w:val="ro-RO"/>
        </w:rPr>
        <w:t xml:space="preserve"> în România</w:t>
      </w:r>
      <w:r w:rsidR="00FE456F" w:rsidRPr="00DF4B1A">
        <w:rPr>
          <w:rFonts w:ascii="Arial" w:hAnsi="Arial" w:cs="Arial"/>
          <w:sz w:val="24"/>
          <w:szCs w:val="24"/>
          <w:lang w:val="ro-RO"/>
        </w:rPr>
        <w:t xml:space="preserve">, fiind </w:t>
      </w:r>
      <w:r w:rsidR="00FE456F" w:rsidRPr="00DF4B1A">
        <w:rPr>
          <w:rFonts w:ascii="Arial" w:hAnsi="Arial" w:cs="Arial"/>
          <w:color w:val="000000"/>
          <w:sz w:val="24"/>
          <w:szCs w:val="24"/>
          <w:lang w:val="ro-RO" w:eastAsia="ro-RO"/>
        </w:rPr>
        <w:t xml:space="preserve">descrise prin: </w:t>
      </w:r>
    </w:p>
    <w:p w:rsidR="002F14F3" w:rsidRPr="002F14F3" w:rsidRDefault="00FE456F" w:rsidP="002F14F3">
      <w:pPr>
        <w:pStyle w:val="ListParagraph"/>
        <w:widowControl w:val="0"/>
        <w:numPr>
          <w:ilvl w:val="0"/>
          <w:numId w:val="15"/>
        </w:numPr>
        <w:ind w:left="284" w:hanging="284"/>
        <w:jc w:val="both"/>
        <w:rPr>
          <w:rFonts w:ascii="Arial" w:hAnsi="Arial" w:cs="Arial"/>
          <w:sz w:val="24"/>
          <w:szCs w:val="24"/>
          <w:lang w:val="ro-RO"/>
        </w:rPr>
      </w:pPr>
      <w:r w:rsidRPr="002F14F3">
        <w:rPr>
          <w:rFonts w:ascii="Arial" w:hAnsi="Arial" w:cs="Arial"/>
          <w:color w:val="000000"/>
          <w:sz w:val="24"/>
          <w:szCs w:val="24"/>
          <w:lang w:val="ro-RO" w:eastAsia="ro-RO"/>
        </w:rPr>
        <w:t>încărcări critice la nutrienţi CL</w:t>
      </w:r>
      <w:r w:rsidRPr="002F14F3">
        <w:rPr>
          <w:rFonts w:ascii="Arial" w:hAnsi="Arial" w:cs="Arial"/>
          <w:color w:val="000000"/>
          <w:sz w:val="24"/>
          <w:szCs w:val="24"/>
          <w:vertAlign w:val="subscript"/>
          <w:lang w:val="ro-RO" w:eastAsia="ro-RO"/>
        </w:rPr>
        <w:t>nut</w:t>
      </w:r>
      <w:r w:rsidRPr="002F14F3">
        <w:rPr>
          <w:rFonts w:ascii="Arial" w:hAnsi="Arial" w:cs="Arial"/>
          <w:color w:val="000000"/>
          <w:sz w:val="24"/>
          <w:szCs w:val="24"/>
          <w:lang w:val="ro-RO" w:eastAsia="ro-RO"/>
        </w:rPr>
        <w:t>(N) şi acidifiere CL</w:t>
      </w:r>
      <w:r w:rsidRPr="002F14F3">
        <w:rPr>
          <w:rFonts w:ascii="Arial" w:hAnsi="Arial" w:cs="Arial"/>
          <w:color w:val="000000"/>
          <w:sz w:val="24"/>
          <w:szCs w:val="24"/>
          <w:vertAlign w:val="subscript"/>
          <w:lang w:val="ro-RO" w:eastAsia="ro-RO"/>
        </w:rPr>
        <w:t>max</w:t>
      </w:r>
      <w:r w:rsidRPr="002F14F3">
        <w:rPr>
          <w:rFonts w:ascii="Arial" w:hAnsi="Arial" w:cs="Arial"/>
          <w:color w:val="000000"/>
          <w:sz w:val="24"/>
          <w:szCs w:val="24"/>
          <w:lang w:val="ro-RO" w:eastAsia="ro-RO"/>
        </w:rPr>
        <w:t>(S) în România, pentru ecosistemul păduri</w:t>
      </w:r>
      <w:r w:rsidR="002F14F3" w:rsidRPr="002F14F3">
        <w:rPr>
          <w:rFonts w:ascii="Arial" w:hAnsi="Arial" w:cs="Arial"/>
          <w:color w:val="000000"/>
          <w:sz w:val="24"/>
          <w:szCs w:val="24"/>
          <w:lang w:val="ro-RO" w:eastAsia="ro-RO"/>
        </w:rPr>
        <w:t xml:space="preserve">. </w:t>
      </w:r>
      <w:r w:rsidR="002F14F3" w:rsidRPr="002F14F3">
        <w:rPr>
          <w:rFonts w:ascii="Arial" w:hAnsi="Arial" w:cs="Arial"/>
          <w:sz w:val="24"/>
          <w:szCs w:val="24"/>
          <w:lang w:val="ro-RO"/>
        </w:rPr>
        <w:t>Pragul critic de aciditate este exprimat în echivalenţi de acidifiere (H</w:t>
      </w:r>
      <w:r w:rsidR="002F14F3" w:rsidRPr="002F14F3">
        <w:rPr>
          <w:rFonts w:ascii="Arial" w:hAnsi="Arial" w:cs="Arial"/>
          <w:sz w:val="24"/>
          <w:szCs w:val="24"/>
          <w:vertAlign w:val="superscript"/>
          <w:lang w:val="ro-RO"/>
        </w:rPr>
        <w:t>+</w:t>
      </w:r>
      <w:r w:rsidR="002F14F3" w:rsidRPr="002F14F3">
        <w:rPr>
          <w:rFonts w:ascii="Arial" w:hAnsi="Arial" w:cs="Arial"/>
          <w:sz w:val="24"/>
          <w:szCs w:val="24"/>
          <w:lang w:val="ro-RO"/>
        </w:rPr>
        <w:t>) pe hectar pe an (eq H</w:t>
      </w:r>
      <w:r w:rsidR="002F14F3" w:rsidRPr="002F14F3">
        <w:rPr>
          <w:rFonts w:ascii="Arial" w:hAnsi="Arial" w:cs="Arial"/>
          <w:sz w:val="24"/>
          <w:szCs w:val="24"/>
          <w:vertAlign w:val="superscript"/>
          <w:lang w:val="ro-RO"/>
        </w:rPr>
        <w:t>+</w:t>
      </w:r>
      <w:r w:rsidR="002F14F3" w:rsidRPr="002F14F3">
        <w:rPr>
          <w:rFonts w:ascii="Arial" w:hAnsi="Arial" w:cs="Arial"/>
          <w:sz w:val="24"/>
          <w:szCs w:val="24"/>
          <w:lang w:val="ro-RO"/>
        </w:rPr>
        <w:t>.ha</w:t>
      </w:r>
      <w:r w:rsidR="002F14F3" w:rsidRPr="002F14F3">
        <w:rPr>
          <w:rFonts w:ascii="Arial" w:hAnsi="Arial" w:cs="Arial"/>
          <w:sz w:val="24"/>
          <w:szCs w:val="24"/>
          <w:vertAlign w:val="superscript"/>
          <w:lang w:val="ro-RO"/>
        </w:rPr>
        <w:t>-1</w:t>
      </w:r>
      <w:r w:rsidR="002F14F3" w:rsidRPr="002F14F3">
        <w:rPr>
          <w:rFonts w:ascii="Arial" w:hAnsi="Arial" w:cs="Arial"/>
          <w:sz w:val="24"/>
          <w:szCs w:val="24"/>
          <w:lang w:val="ro-RO"/>
        </w:rPr>
        <w:t>.an</w:t>
      </w:r>
      <w:r w:rsidR="002F14F3" w:rsidRPr="002F14F3">
        <w:rPr>
          <w:rFonts w:ascii="Arial" w:hAnsi="Arial" w:cs="Arial"/>
          <w:sz w:val="24"/>
          <w:szCs w:val="24"/>
          <w:vertAlign w:val="superscript"/>
          <w:lang w:val="ro-RO"/>
        </w:rPr>
        <w:t>-1</w:t>
      </w:r>
      <w:r w:rsidR="002F14F3" w:rsidRPr="002F14F3">
        <w:rPr>
          <w:rFonts w:ascii="Arial" w:hAnsi="Arial" w:cs="Arial"/>
          <w:sz w:val="24"/>
          <w:szCs w:val="24"/>
          <w:lang w:val="ro-RO"/>
        </w:rPr>
        <w:t>).</w:t>
      </w:r>
      <w:r w:rsidR="002F14F3">
        <w:rPr>
          <w:rFonts w:ascii="Arial" w:hAnsi="Arial" w:cs="Arial"/>
          <w:sz w:val="24"/>
          <w:szCs w:val="24"/>
          <w:lang w:val="ro-RO"/>
        </w:rPr>
        <w:t xml:space="preserve"> Poluanţii acidifianţi sunt oxizii de sulf şi de azot. </w:t>
      </w:r>
      <w:r w:rsidR="002F14F3" w:rsidRPr="002F14F3">
        <w:rPr>
          <w:rFonts w:ascii="Arial" w:hAnsi="Arial" w:cs="Arial"/>
          <w:sz w:val="24"/>
          <w:szCs w:val="24"/>
          <w:lang w:val="ro-RO"/>
        </w:rPr>
        <w:t>Pragul critic de eutrofizare este exprimat în echivalenţi de eutrofizare (N) pe hectar şi an (eq N.ha</w:t>
      </w:r>
      <w:r w:rsidR="002F14F3" w:rsidRPr="002F14F3">
        <w:rPr>
          <w:rFonts w:ascii="Arial" w:hAnsi="Arial" w:cs="Arial"/>
          <w:sz w:val="24"/>
          <w:szCs w:val="24"/>
          <w:vertAlign w:val="superscript"/>
          <w:lang w:val="ro-RO"/>
        </w:rPr>
        <w:t>-1</w:t>
      </w:r>
      <w:r w:rsidR="002F14F3" w:rsidRPr="002F14F3">
        <w:rPr>
          <w:rFonts w:ascii="Arial" w:hAnsi="Arial" w:cs="Arial"/>
          <w:sz w:val="24"/>
          <w:szCs w:val="24"/>
          <w:lang w:val="ro-RO"/>
        </w:rPr>
        <w:t>.a</w:t>
      </w:r>
      <w:r w:rsidR="002F14F3" w:rsidRPr="002F14F3">
        <w:rPr>
          <w:rFonts w:ascii="Arial" w:hAnsi="Arial" w:cs="Arial"/>
          <w:sz w:val="24"/>
          <w:szCs w:val="24"/>
          <w:vertAlign w:val="superscript"/>
          <w:lang w:val="ro-RO"/>
        </w:rPr>
        <w:t>-1</w:t>
      </w:r>
      <w:r w:rsidR="002F14F3" w:rsidRPr="002F14F3">
        <w:rPr>
          <w:rFonts w:ascii="Arial" w:hAnsi="Arial" w:cs="Arial"/>
          <w:sz w:val="24"/>
          <w:szCs w:val="24"/>
          <w:lang w:val="ro-RO"/>
        </w:rPr>
        <w:t>).</w:t>
      </w:r>
      <w:r w:rsidR="002F14F3">
        <w:rPr>
          <w:rFonts w:ascii="Arial" w:hAnsi="Arial" w:cs="Arial"/>
          <w:sz w:val="24"/>
          <w:szCs w:val="24"/>
          <w:lang w:val="ro-RO"/>
        </w:rPr>
        <w:t xml:space="preserve"> Poluanţii eutrofizanţi sunt oxizii de azot şi amoniacul.</w:t>
      </w:r>
    </w:p>
    <w:p w:rsidR="00FE456F" w:rsidRDefault="002F14F3" w:rsidP="00FE456F">
      <w:pPr>
        <w:pStyle w:val="ListParagraph"/>
        <w:widowControl w:val="0"/>
        <w:numPr>
          <w:ilvl w:val="0"/>
          <w:numId w:val="15"/>
        </w:numPr>
        <w:ind w:left="284" w:hanging="284"/>
        <w:jc w:val="both"/>
        <w:rPr>
          <w:rFonts w:ascii="Arial" w:hAnsi="Arial" w:cs="Arial"/>
          <w:color w:val="000000"/>
          <w:sz w:val="24"/>
          <w:szCs w:val="24"/>
          <w:lang w:val="ro-RO" w:eastAsia="ro-RO"/>
        </w:rPr>
      </w:pPr>
      <w:r>
        <w:rPr>
          <w:rFonts w:ascii="Arial" w:hAnsi="Arial" w:cs="Arial"/>
          <w:color w:val="000000"/>
          <w:sz w:val="24"/>
          <w:szCs w:val="24"/>
          <w:lang w:val="ro-RO" w:eastAsia="ro-RO"/>
        </w:rPr>
        <w:t>ponderea suprafeţelor de teren</w:t>
      </w:r>
      <w:r w:rsidR="00FE456F" w:rsidRPr="00DF4B1A">
        <w:rPr>
          <w:rFonts w:ascii="Arial" w:hAnsi="Arial" w:cs="Arial"/>
          <w:color w:val="000000"/>
          <w:sz w:val="24"/>
          <w:szCs w:val="24"/>
          <w:lang w:val="ro-RO" w:eastAsia="ro-RO"/>
        </w:rPr>
        <w:t xml:space="preserve"> supuse eutrofizări</w:t>
      </w:r>
      <w:r>
        <w:rPr>
          <w:rFonts w:ascii="Arial" w:hAnsi="Arial" w:cs="Arial"/>
          <w:color w:val="000000"/>
          <w:sz w:val="24"/>
          <w:szCs w:val="24"/>
          <w:lang w:val="ro-RO" w:eastAsia="ro-RO"/>
        </w:rPr>
        <w:t>i</w:t>
      </w:r>
      <w:r w:rsidR="00FE456F" w:rsidRPr="00DF4B1A">
        <w:rPr>
          <w:rFonts w:ascii="Arial" w:hAnsi="Arial" w:cs="Arial"/>
          <w:color w:val="000000"/>
          <w:sz w:val="24"/>
          <w:szCs w:val="24"/>
          <w:lang w:val="ro-RO" w:eastAsia="ro-RO"/>
        </w:rPr>
        <w:t xml:space="preserve"> şi acidifierii în România. </w:t>
      </w:r>
    </w:p>
    <w:p w:rsidR="0062495F" w:rsidRPr="0087725B" w:rsidRDefault="0062495F" w:rsidP="00AB468A">
      <w:pPr>
        <w:widowControl w:val="0"/>
        <w:spacing w:after="0" w:line="240" w:lineRule="auto"/>
        <w:jc w:val="both"/>
        <w:rPr>
          <w:rFonts w:ascii="Arial" w:hAnsi="Arial" w:cs="Arial"/>
          <w:b/>
          <w:sz w:val="28"/>
          <w:szCs w:val="28"/>
          <w:lang w:val="ro-RO"/>
        </w:rPr>
      </w:pPr>
    </w:p>
    <w:p w:rsidR="00704074" w:rsidRDefault="00704074" w:rsidP="00704074">
      <w:pPr>
        <w:widowControl w:val="0"/>
        <w:spacing w:after="0" w:line="240" w:lineRule="auto"/>
        <w:jc w:val="both"/>
        <w:rPr>
          <w:rFonts w:ascii="Arial" w:hAnsi="Arial" w:cs="Arial"/>
          <w:b/>
          <w:sz w:val="24"/>
          <w:szCs w:val="24"/>
          <w:lang w:val="ro-RO"/>
        </w:rPr>
      </w:pPr>
      <w:r w:rsidRPr="009604FE">
        <w:rPr>
          <w:rFonts w:ascii="Arial" w:hAnsi="Arial" w:cs="Arial"/>
          <w:b/>
          <w:sz w:val="24"/>
          <w:szCs w:val="24"/>
          <w:lang w:val="ro-RO"/>
        </w:rPr>
        <w:t>I.2. Factorii determinanţi şi presiunile care afectează starea de calitate a aerului înconjurător</w:t>
      </w:r>
    </w:p>
    <w:p w:rsidR="00BA4E8E" w:rsidRPr="0087725B" w:rsidRDefault="00BA4E8E" w:rsidP="00704074">
      <w:pPr>
        <w:widowControl w:val="0"/>
        <w:spacing w:after="0" w:line="240" w:lineRule="auto"/>
        <w:jc w:val="both"/>
        <w:rPr>
          <w:rFonts w:ascii="Arial" w:hAnsi="Arial" w:cs="Arial"/>
          <w:b/>
          <w:sz w:val="24"/>
          <w:szCs w:val="24"/>
          <w:lang w:val="ro-RO"/>
        </w:rPr>
      </w:pPr>
    </w:p>
    <w:p w:rsidR="00704074" w:rsidRPr="009604FE" w:rsidRDefault="00704074" w:rsidP="00704074">
      <w:pPr>
        <w:widowControl w:val="0"/>
        <w:spacing w:after="0" w:line="240" w:lineRule="auto"/>
        <w:rPr>
          <w:rFonts w:ascii="Arial" w:hAnsi="Arial" w:cs="Arial"/>
          <w:b/>
          <w:i/>
          <w:sz w:val="24"/>
          <w:szCs w:val="24"/>
          <w:lang w:val="ro-RO"/>
        </w:rPr>
      </w:pPr>
      <w:r w:rsidRPr="009604FE">
        <w:rPr>
          <w:rFonts w:ascii="Arial" w:hAnsi="Arial" w:cs="Arial"/>
          <w:b/>
          <w:i/>
          <w:sz w:val="24"/>
          <w:szCs w:val="24"/>
          <w:lang w:val="ro-RO"/>
        </w:rPr>
        <w:t>I.2.1. Emisiile de poluanţi atmosferici şi principalele surse de emisie</w:t>
      </w:r>
    </w:p>
    <w:p w:rsidR="00704074" w:rsidRPr="009604FE" w:rsidRDefault="00704074" w:rsidP="00704074">
      <w:pPr>
        <w:widowControl w:val="0"/>
        <w:autoSpaceDE w:val="0"/>
        <w:autoSpaceDN w:val="0"/>
        <w:adjustRightInd w:val="0"/>
        <w:spacing w:after="0" w:line="240" w:lineRule="auto"/>
        <w:jc w:val="both"/>
        <w:rPr>
          <w:rFonts w:ascii="Arial" w:hAnsi="Arial" w:cs="Arial"/>
          <w:sz w:val="10"/>
          <w:szCs w:val="10"/>
          <w:lang w:val="ro-RO" w:eastAsia="ro-RO"/>
        </w:rPr>
      </w:pPr>
    </w:p>
    <w:p w:rsidR="00704074" w:rsidRPr="00DB6CF6" w:rsidRDefault="00704074" w:rsidP="00DB6CF6">
      <w:pPr>
        <w:widowControl w:val="0"/>
        <w:spacing w:after="0" w:line="240" w:lineRule="auto"/>
        <w:ind w:firstLine="709"/>
        <w:jc w:val="both"/>
        <w:rPr>
          <w:rFonts w:ascii="Arial" w:hAnsi="Arial" w:cs="Arial"/>
          <w:sz w:val="24"/>
          <w:lang w:val="ro-RO"/>
        </w:rPr>
      </w:pPr>
      <w:r w:rsidRPr="00DB6CF6">
        <w:rPr>
          <w:rFonts w:ascii="Arial" w:hAnsi="Arial" w:cs="Arial"/>
          <w:sz w:val="24"/>
          <w:lang w:val="ro-RO"/>
        </w:rPr>
        <w:t xml:space="preserve">Nivelul emisiilor de substanţe poluante evacuate în atmosferă se poate reduce semnificativ prin punerea în practică a politicilor şi strategiilor de mediu cum ar fi: </w:t>
      </w:r>
    </w:p>
    <w:p w:rsidR="00DB6CF6" w:rsidRDefault="00704074" w:rsidP="00DB6CF6">
      <w:pPr>
        <w:pStyle w:val="ListParagraph"/>
        <w:widowControl w:val="0"/>
        <w:numPr>
          <w:ilvl w:val="0"/>
          <w:numId w:val="1"/>
        </w:numPr>
        <w:jc w:val="both"/>
        <w:rPr>
          <w:rFonts w:ascii="Arial" w:hAnsi="Arial" w:cs="Arial"/>
          <w:sz w:val="24"/>
          <w:lang w:val="ro-RO"/>
        </w:rPr>
      </w:pPr>
      <w:r w:rsidRPr="00DB6CF6">
        <w:rPr>
          <w:rFonts w:ascii="Arial" w:hAnsi="Arial" w:cs="Arial"/>
          <w:sz w:val="24"/>
          <w:lang w:val="ro-RO"/>
        </w:rPr>
        <w:t xml:space="preserve">folosirea în proporţie mai mare a surselor de energie regenerabile (eoliană, solară, hidro, geotermală, biomasă); </w:t>
      </w:r>
    </w:p>
    <w:p w:rsidR="00DB6CF6" w:rsidRPr="00DB6CF6" w:rsidRDefault="00704074" w:rsidP="00DB6CF6">
      <w:pPr>
        <w:pStyle w:val="ListParagraph"/>
        <w:widowControl w:val="0"/>
        <w:numPr>
          <w:ilvl w:val="0"/>
          <w:numId w:val="1"/>
        </w:numPr>
        <w:jc w:val="both"/>
        <w:rPr>
          <w:rFonts w:ascii="Arial" w:hAnsi="Arial" w:cs="Arial"/>
          <w:sz w:val="24"/>
          <w:lang w:val="ro-RO"/>
        </w:rPr>
      </w:pPr>
      <w:r w:rsidRPr="00DB6CF6">
        <w:rPr>
          <w:rFonts w:ascii="Arial" w:hAnsi="Arial" w:cs="Arial"/>
          <w:sz w:val="24"/>
          <w:szCs w:val="22"/>
          <w:lang w:val="ro-RO"/>
        </w:rPr>
        <w:t xml:space="preserve">înlocuirea combustibililor clasici cu combustibili alternativi (biodiesel, etanol); </w:t>
      </w:r>
    </w:p>
    <w:p w:rsidR="00DB6CF6" w:rsidRPr="00DB6CF6" w:rsidRDefault="00704074" w:rsidP="00DB6CF6">
      <w:pPr>
        <w:pStyle w:val="ListParagraph"/>
        <w:widowControl w:val="0"/>
        <w:numPr>
          <w:ilvl w:val="0"/>
          <w:numId w:val="1"/>
        </w:numPr>
        <w:jc w:val="both"/>
        <w:rPr>
          <w:rFonts w:ascii="Arial" w:hAnsi="Arial" w:cs="Arial"/>
          <w:sz w:val="24"/>
          <w:lang w:val="ro-RO"/>
        </w:rPr>
      </w:pPr>
      <w:r w:rsidRPr="00DB6CF6">
        <w:rPr>
          <w:rFonts w:ascii="Arial" w:hAnsi="Arial" w:cs="Arial"/>
          <w:sz w:val="24"/>
          <w:szCs w:val="22"/>
          <w:lang w:val="ro-RO"/>
        </w:rPr>
        <w:t xml:space="preserve">utilizarea unor instalaţii şi echipamente cu eficienţă energetică ridicată (consumuri reduse, randamente mari); </w:t>
      </w:r>
    </w:p>
    <w:p w:rsidR="00704074" w:rsidRPr="00DB6CF6" w:rsidRDefault="00704074" w:rsidP="00DB6CF6">
      <w:pPr>
        <w:pStyle w:val="ListParagraph"/>
        <w:widowControl w:val="0"/>
        <w:numPr>
          <w:ilvl w:val="0"/>
          <w:numId w:val="1"/>
        </w:numPr>
        <w:jc w:val="both"/>
        <w:rPr>
          <w:rFonts w:ascii="Arial" w:hAnsi="Arial" w:cs="Arial"/>
          <w:sz w:val="24"/>
          <w:lang w:val="ro-RO"/>
        </w:rPr>
      </w:pPr>
      <w:r w:rsidRPr="00DB6CF6">
        <w:rPr>
          <w:rFonts w:ascii="Arial" w:hAnsi="Arial" w:cs="Arial"/>
          <w:sz w:val="24"/>
          <w:szCs w:val="22"/>
          <w:lang w:val="ro-RO"/>
        </w:rPr>
        <w:t>realizarea unui program de împădurire şi creare de spaţii verzi (absorbţie de CO</w:t>
      </w:r>
      <w:r w:rsidRPr="00DB6CF6">
        <w:rPr>
          <w:rFonts w:ascii="Arial" w:hAnsi="Arial" w:cs="Arial"/>
          <w:sz w:val="24"/>
          <w:szCs w:val="22"/>
          <w:vertAlign w:val="subscript"/>
          <w:lang w:val="ro-RO"/>
        </w:rPr>
        <w:t>2</w:t>
      </w:r>
      <w:r w:rsidRPr="00DB6CF6">
        <w:rPr>
          <w:rFonts w:ascii="Arial" w:hAnsi="Arial" w:cs="Arial"/>
          <w:sz w:val="24"/>
          <w:szCs w:val="22"/>
          <w:lang w:val="ro-RO"/>
        </w:rPr>
        <w:t xml:space="preserve">, reţinerea pulberilor fine, eliberare de oxigen în atmosferă). </w:t>
      </w:r>
    </w:p>
    <w:p w:rsidR="00704074" w:rsidRPr="00704074" w:rsidRDefault="00DB6CF6" w:rsidP="00704074">
      <w:pPr>
        <w:widowControl w:val="0"/>
        <w:spacing w:after="0" w:line="240" w:lineRule="auto"/>
        <w:ind w:firstLine="709"/>
        <w:jc w:val="both"/>
        <w:rPr>
          <w:rFonts w:ascii="Arial" w:hAnsi="Arial" w:cs="Arial"/>
          <w:sz w:val="24"/>
          <w:lang w:val="ro-RO"/>
        </w:rPr>
      </w:pPr>
      <w:r>
        <w:rPr>
          <w:rFonts w:ascii="Arial" w:hAnsi="Arial" w:cs="Arial"/>
          <w:sz w:val="24"/>
          <w:lang w:val="ro-RO"/>
        </w:rPr>
        <w:t>P</w:t>
      </w:r>
      <w:r w:rsidRPr="00704074">
        <w:rPr>
          <w:rFonts w:ascii="Arial" w:hAnsi="Arial" w:cs="Arial"/>
          <w:sz w:val="24"/>
          <w:lang w:val="ro-RO"/>
        </w:rPr>
        <w:t xml:space="preserve">entru reducerea emisiilor de poluanţi atmosferici </w:t>
      </w:r>
      <w:r>
        <w:rPr>
          <w:rFonts w:ascii="Arial" w:hAnsi="Arial" w:cs="Arial"/>
          <w:sz w:val="24"/>
          <w:lang w:val="ro-RO"/>
        </w:rPr>
        <w:t>se pot</w:t>
      </w:r>
      <w:r w:rsidR="00704074" w:rsidRPr="00704074">
        <w:rPr>
          <w:rFonts w:ascii="Arial" w:hAnsi="Arial" w:cs="Arial"/>
          <w:sz w:val="24"/>
          <w:lang w:val="ro-RO"/>
        </w:rPr>
        <w:t xml:space="preserve"> identifica trei grupe de măsuri</w:t>
      </w:r>
      <w:r>
        <w:rPr>
          <w:rFonts w:ascii="Arial" w:hAnsi="Arial" w:cs="Arial"/>
          <w:sz w:val="24"/>
          <w:lang w:val="ro-RO"/>
        </w:rPr>
        <w:t>,</w:t>
      </w:r>
      <w:r w:rsidR="00704074" w:rsidRPr="00704074">
        <w:rPr>
          <w:rFonts w:ascii="Arial" w:hAnsi="Arial" w:cs="Arial"/>
          <w:sz w:val="24"/>
          <w:lang w:val="ro-RO"/>
        </w:rPr>
        <w:t xml:space="preserve"> şi anume:</w:t>
      </w:r>
    </w:p>
    <w:p w:rsidR="00DB6CF6" w:rsidRDefault="00704074" w:rsidP="00DB6CF6">
      <w:pPr>
        <w:pStyle w:val="ListParagraph"/>
        <w:widowControl w:val="0"/>
        <w:numPr>
          <w:ilvl w:val="0"/>
          <w:numId w:val="1"/>
        </w:numPr>
        <w:jc w:val="both"/>
        <w:rPr>
          <w:rFonts w:ascii="Arial" w:hAnsi="Arial" w:cs="Arial"/>
          <w:sz w:val="24"/>
          <w:lang w:val="ro-RO"/>
        </w:rPr>
      </w:pPr>
      <w:r w:rsidRPr="00DB6CF6">
        <w:rPr>
          <w:rFonts w:ascii="Arial" w:hAnsi="Arial" w:cs="Arial"/>
          <w:i/>
          <w:sz w:val="24"/>
          <w:lang w:val="ro-RO"/>
        </w:rPr>
        <w:t>Măsuri autonome</w:t>
      </w:r>
      <w:r w:rsidRPr="00DB6CF6">
        <w:rPr>
          <w:rFonts w:ascii="Arial" w:hAnsi="Arial" w:cs="Arial"/>
          <w:sz w:val="24"/>
          <w:lang w:val="ro-RO"/>
        </w:rPr>
        <w:t xml:space="preserve"> care reprezintă schimbări provenite din activităţile umane (de </w:t>
      </w:r>
      <w:r w:rsidRPr="00DB6CF6">
        <w:rPr>
          <w:rFonts w:ascii="Arial" w:hAnsi="Arial" w:cs="Arial"/>
          <w:sz w:val="24"/>
          <w:lang w:val="ro-RO"/>
        </w:rPr>
        <w:lastRenderedPageBreak/>
        <w:t>exemplu, schimbări în stilul de viaţă), stimulate prin abordări de control şi comandă (de exemplu, restricţii legale de circulaţie) sau prin stimulente economice (de exemplu, taxe de poluare, sisteme de comercializare emisii, etc.).</w:t>
      </w:r>
    </w:p>
    <w:p w:rsidR="00DB6CF6" w:rsidRDefault="00704074" w:rsidP="00DB6CF6">
      <w:pPr>
        <w:pStyle w:val="ListParagraph"/>
        <w:widowControl w:val="0"/>
        <w:numPr>
          <w:ilvl w:val="0"/>
          <w:numId w:val="1"/>
        </w:numPr>
        <w:jc w:val="both"/>
        <w:rPr>
          <w:rFonts w:ascii="Arial" w:hAnsi="Arial" w:cs="Arial"/>
          <w:sz w:val="24"/>
          <w:lang w:val="ro-RO"/>
        </w:rPr>
      </w:pPr>
      <w:r w:rsidRPr="00DB6CF6">
        <w:rPr>
          <w:rFonts w:ascii="Arial" w:hAnsi="Arial" w:cs="Arial"/>
          <w:i/>
          <w:sz w:val="24"/>
          <w:lang w:val="ro-RO"/>
        </w:rPr>
        <w:t>Măsuri structurale</w:t>
      </w:r>
      <w:r w:rsidRPr="00DB6CF6">
        <w:rPr>
          <w:rFonts w:ascii="Arial" w:hAnsi="Arial" w:cs="Arial"/>
          <w:sz w:val="24"/>
          <w:lang w:val="ro-RO"/>
        </w:rPr>
        <w:t xml:space="preserve"> care alimentează acelaşi nivel al serviciilor (energetice) către consumator, dar cu mai puţine activităţi poluatoare. Acest grup include înlocuirea combustibililor (de exemplu, trecerea de la cărbune la gaze naturale) şi îmbunătăţiri ale eficienţei energetice/ale conservării de energie.</w:t>
      </w:r>
    </w:p>
    <w:p w:rsidR="00704074" w:rsidRPr="00DB6CF6" w:rsidRDefault="00704074" w:rsidP="00DB6CF6">
      <w:pPr>
        <w:pStyle w:val="ListParagraph"/>
        <w:widowControl w:val="0"/>
        <w:numPr>
          <w:ilvl w:val="0"/>
          <w:numId w:val="1"/>
        </w:numPr>
        <w:jc w:val="both"/>
        <w:rPr>
          <w:rFonts w:ascii="Arial" w:hAnsi="Arial" w:cs="Arial"/>
          <w:sz w:val="24"/>
          <w:lang w:val="ro-RO"/>
        </w:rPr>
      </w:pPr>
      <w:r w:rsidRPr="00DB6CF6">
        <w:rPr>
          <w:rFonts w:ascii="Arial" w:hAnsi="Arial" w:cs="Arial"/>
          <w:i/>
          <w:sz w:val="24"/>
          <w:lang w:val="ro-RO"/>
        </w:rPr>
        <w:t>Măsuri tehnice</w:t>
      </w:r>
      <w:r w:rsidRPr="00DB6CF6">
        <w:rPr>
          <w:rFonts w:ascii="Arial" w:hAnsi="Arial" w:cs="Arial"/>
          <w:sz w:val="24"/>
          <w:lang w:val="ro-RO"/>
        </w:rPr>
        <w:t xml:space="preserve"> dezvoltate pentru a capta emisiile la sursă înainte de intrarea lor în atmosferă, reducerile de emisii realizate prin aceste opţiuni nu modifică structura sistemelor energetice sau activităţile agricole</w:t>
      </w:r>
      <w:r w:rsidR="00DB6CF6">
        <w:rPr>
          <w:rStyle w:val="FootnoteReference"/>
          <w:rFonts w:ascii="Arial" w:hAnsi="Arial" w:cs="Arial"/>
          <w:sz w:val="24"/>
          <w:lang w:val="ro-RO"/>
        </w:rPr>
        <w:footnoteReference w:id="9"/>
      </w:r>
      <w:r w:rsidRPr="00DB6CF6">
        <w:rPr>
          <w:rFonts w:ascii="Arial" w:hAnsi="Arial" w:cs="Arial"/>
          <w:sz w:val="24"/>
          <w:lang w:val="ro-RO"/>
        </w:rPr>
        <w:t>.</w:t>
      </w:r>
    </w:p>
    <w:p w:rsidR="0062495F" w:rsidRPr="00806AAA" w:rsidRDefault="0062495F" w:rsidP="0062495F">
      <w:pPr>
        <w:widowControl w:val="0"/>
        <w:spacing w:after="0" w:line="240" w:lineRule="auto"/>
        <w:rPr>
          <w:rFonts w:ascii="Arial" w:hAnsi="Arial" w:cs="Arial"/>
          <w:b/>
          <w:i/>
          <w:sz w:val="16"/>
          <w:szCs w:val="16"/>
          <w:lang w:val="ro-RO"/>
        </w:rPr>
      </w:pPr>
    </w:p>
    <w:p w:rsidR="00704074" w:rsidRDefault="00704074" w:rsidP="00704074">
      <w:pPr>
        <w:widowControl w:val="0"/>
        <w:spacing w:after="0" w:line="240" w:lineRule="auto"/>
        <w:rPr>
          <w:rFonts w:ascii="Arial" w:hAnsi="Arial" w:cs="Arial"/>
          <w:b/>
          <w:i/>
          <w:sz w:val="24"/>
          <w:szCs w:val="24"/>
          <w:lang w:val="ro-RO"/>
        </w:rPr>
      </w:pPr>
      <w:r w:rsidRPr="00AE309A">
        <w:rPr>
          <w:rFonts w:ascii="Arial" w:hAnsi="Arial" w:cs="Arial"/>
          <w:b/>
          <w:i/>
          <w:sz w:val="24"/>
          <w:szCs w:val="24"/>
          <w:lang w:val="ro-RO"/>
        </w:rPr>
        <w:t>Emisiile de substanţe acidifiante</w:t>
      </w:r>
    </w:p>
    <w:p w:rsidR="00BE0134" w:rsidRPr="00806AAA" w:rsidRDefault="00BE0134" w:rsidP="00704074">
      <w:pPr>
        <w:widowControl w:val="0"/>
        <w:spacing w:after="0" w:line="240" w:lineRule="auto"/>
        <w:rPr>
          <w:rFonts w:ascii="Arial" w:hAnsi="Arial" w:cs="Arial"/>
          <w:b/>
          <w:i/>
          <w:sz w:val="8"/>
          <w:szCs w:val="8"/>
          <w:lang w:val="ro-RO"/>
        </w:rPr>
      </w:pPr>
    </w:p>
    <w:tbl>
      <w:tblPr>
        <w:tblStyle w:val="TableGrid"/>
        <w:tblW w:w="0" w:type="auto"/>
        <w:shd w:val="clear" w:color="auto" w:fill="B6DDE8" w:themeFill="accent5" w:themeFillTint="66"/>
        <w:tblLook w:val="04A0"/>
      </w:tblPr>
      <w:tblGrid>
        <w:gridCol w:w="9997"/>
      </w:tblGrid>
      <w:tr w:rsidR="00BE0134" w:rsidRPr="00BE0134" w:rsidTr="00BE0134">
        <w:tc>
          <w:tcPr>
            <w:tcW w:w="9997" w:type="dxa"/>
            <w:shd w:val="clear" w:color="auto" w:fill="B6DDE8" w:themeFill="accent5" w:themeFillTint="66"/>
          </w:tcPr>
          <w:p w:rsidR="00BE0134" w:rsidRPr="00BE0134" w:rsidRDefault="00BE0134" w:rsidP="00BE0134">
            <w:pPr>
              <w:autoSpaceDE w:val="0"/>
              <w:autoSpaceDN w:val="0"/>
              <w:adjustRightInd w:val="0"/>
              <w:spacing w:after="0" w:line="240" w:lineRule="auto"/>
              <w:jc w:val="both"/>
              <w:rPr>
                <w:rFonts w:ascii="Arial" w:hAnsi="Arial" w:cs="Arial"/>
                <w:lang w:val="ro-RO" w:eastAsia="ro-RO"/>
              </w:rPr>
            </w:pPr>
            <w:r w:rsidRPr="00BE0134">
              <w:rPr>
                <w:rFonts w:ascii="Arial" w:hAnsi="Arial" w:cs="Arial"/>
                <w:b/>
                <w:bCs/>
                <w:lang w:val="ro-RO" w:eastAsia="ro-RO"/>
              </w:rPr>
              <w:t>Cod indicator România</w:t>
            </w:r>
            <w:r w:rsidRPr="00BE0134">
              <w:rPr>
                <w:rFonts w:ascii="Arial" w:hAnsi="Arial" w:cs="Arial"/>
                <w:lang w:val="ro-RO" w:eastAsia="ro-RO"/>
              </w:rPr>
              <w:t>: RO 01</w:t>
            </w:r>
          </w:p>
          <w:p w:rsidR="00BE0134" w:rsidRPr="00BE0134" w:rsidRDefault="00BE0134" w:rsidP="00BE0134">
            <w:pPr>
              <w:autoSpaceDE w:val="0"/>
              <w:autoSpaceDN w:val="0"/>
              <w:adjustRightInd w:val="0"/>
              <w:spacing w:after="0" w:line="240" w:lineRule="auto"/>
              <w:jc w:val="both"/>
              <w:rPr>
                <w:rFonts w:ascii="Arial" w:hAnsi="Arial" w:cs="Arial"/>
                <w:lang w:val="ro-RO" w:eastAsia="ro-RO"/>
              </w:rPr>
            </w:pPr>
            <w:r w:rsidRPr="00BE0134">
              <w:rPr>
                <w:rFonts w:ascii="Arial" w:hAnsi="Arial" w:cs="Arial"/>
                <w:b/>
                <w:bCs/>
                <w:lang w:val="ro-RO" w:eastAsia="ro-RO"/>
              </w:rPr>
              <w:t>Cod indicator AEM</w:t>
            </w:r>
            <w:r w:rsidRPr="00BE0134">
              <w:rPr>
                <w:rFonts w:ascii="Arial" w:hAnsi="Arial" w:cs="Arial"/>
                <w:lang w:val="ro-RO" w:eastAsia="ro-RO"/>
              </w:rPr>
              <w:t>: CSI 01</w:t>
            </w:r>
          </w:p>
          <w:p w:rsidR="00BE0134" w:rsidRPr="00BE0134" w:rsidRDefault="00BE0134" w:rsidP="00BE0134">
            <w:pPr>
              <w:autoSpaceDE w:val="0"/>
              <w:autoSpaceDN w:val="0"/>
              <w:adjustRightInd w:val="0"/>
              <w:spacing w:after="0" w:line="240" w:lineRule="auto"/>
              <w:jc w:val="both"/>
              <w:rPr>
                <w:rFonts w:ascii="Arial" w:hAnsi="Arial" w:cs="Arial"/>
                <w:lang w:val="ro-RO" w:eastAsia="ro-RO"/>
              </w:rPr>
            </w:pPr>
            <w:r w:rsidRPr="00BE0134">
              <w:rPr>
                <w:rFonts w:ascii="Arial" w:hAnsi="Arial" w:cs="Arial"/>
                <w:b/>
                <w:bCs/>
                <w:lang w:val="ro-RO" w:eastAsia="ro-RO"/>
              </w:rPr>
              <w:t>DENUMIRE</w:t>
            </w:r>
            <w:r w:rsidRPr="00BE0134">
              <w:rPr>
                <w:rFonts w:ascii="Arial" w:hAnsi="Arial" w:cs="Arial"/>
                <w:lang w:val="ro-RO" w:eastAsia="ro-RO"/>
              </w:rPr>
              <w:t>: EMISIILE DE SUBSTANŢE ACIDIFIANTE</w:t>
            </w:r>
          </w:p>
          <w:p w:rsidR="00BE0134" w:rsidRPr="00BE0134" w:rsidRDefault="00BE0134" w:rsidP="00BE0134">
            <w:pPr>
              <w:autoSpaceDE w:val="0"/>
              <w:autoSpaceDN w:val="0"/>
              <w:adjustRightInd w:val="0"/>
              <w:spacing w:after="0" w:line="240" w:lineRule="auto"/>
              <w:jc w:val="both"/>
              <w:rPr>
                <w:rFonts w:ascii="Arial" w:hAnsi="Arial" w:cs="Arial"/>
                <w:b/>
                <w:i/>
                <w:sz w:val="24"/>
                <w:szCs w:val="24"/>
                <w:lang w:val="ro-RO"/>
              </w:rPr>
            </w:pPr>
            <w:r w:rsidRPr="00BE0134">
              <w:rPr>
                <w:rFonts w:ascii="Arial" w:hAnsi="Arial" w:cs="Arial"/>
                <w:b/>
                <w:bCs/>
                <w:lang w:val="ro-RO" w:eastAsia="ro-RO"/>
              </w:rPr>
              <w:t>DEFINIŢIE</w:t>
            </w:r>
            <w:r w:rsidRPr="00BE0134">
              <w:rPr>
                <w:rFonts w:ascii="Arial" w:hAnsi="Arial" w:cs="Arial"/>
                <w:lang w:val="ro-RO" w:eastAsia="ro-RO"/>
              </w:rPr>
              <w:t>: Indicatorul urmăreşte tendinţele emisiilor antropice ale substanţelor acidifiante: oxizi de</w:t>
            </w:r>
            <w:r>
              <w:rPr>
                <w:rFonts w:ascii="Arial" w:hAnsi="Arial" w:cs="Arial"/>
                <w:lang w:val="ro-RO" w:eastAsia="ro-RO"/>
              </w:rPr>
              <w:t xml:space="preserve"> </w:t>
            </w:r>
            <w:r w:rsidRPr="00BE0134">
              <w:rPr>
                <w:rFonts w:ascii="Arial" w:hAnsi="Arial" w:cs="Arial"/>
                <w:lang w:val="ro-RO" w:eastAsia="ro-RO"/>
              </w:rPr>
              <w:t>azot (NO</w:t>
            </w:r>
            <w:r w:rsidRPr="008131BA">
              <w:rPr>
                <w:rFonts w:ascii="Arial" w:hAnsi="Arial" w:cs="Arial"/>
                <w:vertAlign w:val="subscript"/>
                <w:lang w:val="ro-RO" w:eastAsia="ro-RO"/>
              </w:rPr>
              <w:t>x</w:t>
            </w:r>
            <w:r w:rsidRPr="00BE0134">
              <w:rPr>
                <w:rFonts w:ascii="Arial" w:hAnsi="Arial" w:cs="Arial"/>
                <w:lang w:val="ro-RO" w:eastAsia="ro-RO"/>
              </w:rPr>
              <w:t>), amoniac (NH</w:t>
            </w:r>
            <w:r w:rsidRPr="00BE0134">
              <w:rPr>
                <w:rFonts w:ascii="Arial" w:hAnsi="Arial" w:cs="Arial"/>
                <w:vertAlign w:val="subscript"/>
                <w:lang w:val="ro-RO" w:eastAsia="ro-RO"/>
              </w:rPr>
              <w:t>3</w:t>
            </w:r>
            <w:r w:rsidRPr="00BE0134">
              <w:rPr>
                <w:rFonts w:ascii="Arial" w:hAnsi="Arial" w:cs="Arial"/>
                <w:lang w:val="ro-RO" w:eastAsia="ro-RO"/>
              </w:rPr>
              <w:t>) şi oxizi de sulf (SO</w:t>
            </w:r>
            <w:r w:rsidRPr="00BE0134">
              <w:rPr>
                <w:rFonts w:ascii="Arial" w:hAnsi="Arial" w:cs="Arial"/>
                <w:vertAlign w:val="subscript"/>
                <w:lang w:val="ro-RO" w:eastAsia="ro-RO"/>
              </w:rPr>
              <w:t>x</w:t>
            </w:r>
            <w:r w:rsidRPr="00BE0134">
              <w:rPr>
                <w:rFonts w:ascii="Arial" w:hAnsi="Arial" w:cs="Arial"/>
                <w:lang w:val="ro-RO" w:eastAsia="ro-RO"/>
              </w:rPr>
              <w:t>, SO</w:t>
            </w:r>
            <w:r w:rsidRPr="00BE0134">
              <w:rPr>
                <w:rFonts w:ascii="Arial" w:hAnsi="Arial" w:cs="Arial"/>
                <w:vertAlign w:val="subscript"/>
                <w:lang w:val="ro-RO" w:eastAsia="ro-RO"/>
              </w:rPr>
              <w:t>2</w:t>
            </w:r>
            <w:r w:rsidRPr="00BE0134">
              <w:rPr>
                <w:rFonts w:ascii="Arial" w:hAnsi="Arial" w:cs="Arial"/>
                <w:lang w:val="ro-RO" w:eastAsia="ro-RO"/>
              </w:rPr>
              <w:t>), la fiecare dintre acestea ţinânduse cont de</w:t>
            </w:r>
            <w:r>
              <w:rPr>
                <w:rFonts w:ascii="Arial" w:hAnsi="Arial" w:cs="Arial"/>
                <w:lang w:val="ro-RO" w:eastAsia="ro-RO"/>
              </w:rPr>
              <w:t xml:space="preserve"> </w:t>
            </w:r>
            <w:r w:rsidRPr="00BE0134">
              <w:rPr>
                <w:rFonts w:ascii="Arial" w:hAnsi="Arial" w:cs="Arial"/>
                <w:lang w:val="ro-RO" w:eastAsia="ro-RO"/>
              </w:rPr>
              <w:t>potenţialul său acidifiant. Indicatorul oferă de asemenea informaţii referitoare la modificările survenite</w:t>
            </w:r>
            <w:r>
              <w:rPr>
                <w:rFonts w:ascii="Arial" w:hAnsi="Arial" w:cs="Arial"/>
                <w:lang w:val="ro-RO" w:eastAsia="ro-RO"/>
              </w:rPr>
              <w:t xml:space="preserve"> </w:t>
            </w:r>
            <w:r w:rsidRPr="00BE0134">
              <w:rPr>
                <w:rFonts w:ascii="Arial" w:hAnsi="Arial" w:cs="Arial"/>
                <w:lang w:val="ro-RO" w:eastAsia="ro-RO"/>
              </w:rPr>
              <w:t>în emisiile provenite de la principalele sectoare sursă: producerea şi distribuţia energiei; utilizarea</w:t>
            </w:r>
            <w:r>
              <w:rPr>
                <w:rFonts w:ascii="Arial" w:hAnsi="Arial" w:cs="Arial"/>
                <w:lang w:val="ro-RO" w:eastAsia="ro-RO"/>
              </w:rPr>
              <w:t xml:space="preserve"> </w:t>
            </w:r>
            <w:r w:rsidRPr="00BE0134">
              <w:rPr>
                <w:rFonts w:ascii="Arial" w:hAnsi="Arial" w:cs="Arial"/>
                <w:lang w:val="ro-RO" w:eastAsia="ro-RO"/>
              </w:rPr>
              <w:t>energiei în industrie; procesele industriale; transport rutier; transport nerutier; sectorul comercial,</w:t>
            </w:r>
            <w:r>
              <w:rPr>
                <w:rFonts w:ascii="Arial" w:hAnsi="Arial" w:cs="Arial"/>
                <w:lang w:val="ro-RO" w:eastAsia="ro-RO"/>
              </w:rPr>
              <w:t xml:space="preserve"> </w:t>
            </w:r>
            <w:r w:rsidRPr="00BE0134">
              <w:rPr>
                <w:rFonts w:ascii="Arial" w:hAnsi="Arial" w:cs="Arial"/>
                <w:lang w:val="ro-RO" w:eastAsia="ro-RO"/>
              </w:rPr>
              <w:t>industrial şi gospodării; folosirea solvenţilor şi a produselor; agricultură; deşeuri; altele.</w:t>
            </w:r>
          </w:p>
        </w:tc>
      </w:tr>
    </w:tbl>
    <w:p w:rsidR="00704074" w:rsidRPr="00806AAA" w:rsidRDefault="00704074" w:rsidP="00704074">
      <w:pPr>
        <w:widowControl w:val="0"/>
        <w:spacing w:after="0" w:line="240" w:lineRule="auto"/>
        <w:rPr>
          <w:rFonts w:ascii="Arial" w:hAnsi="Arial" w:cs="Arial"/>
          <w:b/>
          <w:i/>
          <w:sz w:val="6"/>
          <w:szCs w:val="6"/>
          <w:lang w:val="ro-RO"/>
        </w:rPr>
      </w:pPr>
    </w:p>
    <w:p w:rsidR="00704074" w:rsidRPr="004B71E8" w:rsidRDefault="00704074" w:rsidP="00704074">
      <w:pPr>
        <w:widowControl w:val="0"/>
        <w:autoSpaceDE w:val="0"/>
        <w:autoSpaceDN w:val="0"/>
        <w:adjustRightInd w:val="0"/>
        <w:spacing w:after="0" w:line="240" w:lineRule="auto"/>
        <w:ind w:firstLine="720"/>
        <w:jc w:val="both"/>
        <w:rPr>
          <w:rFonts w:ascii="Arial" w:hAnsi="Arial" w:cs="Arial"/>
          <w:sz w:val="24"/>
          <w:szCs w:val="24"/>
          <w:lang w:val="ro-RO" w:eastAsia="ro-RO"/>
        </w:rPr>
      </w:pPr>
      <w:r w:rsidRPr="004B71E8">
        <w:rPr>
          <w:rFonts w:ascii="Arial" w:hAnsi="Arial" w:cs="Arial"/>
          <w:sz w:val="24"/>
          <w:szCs w:val="24"/>
          <w:lang w:val="ro-RO" w:eastAsia="ro-RO"/>
        </w:rPr>
        <w:t>Acidifierea este procesul de modificare a caracterului chimic natural al unui component al mediului, ca urmare a prezenţei unor compuşi care determină o serie de reacţii chimice în atmosferă, conducând la modificarea pH-ului precipitaţiilor şi chiar al solului. Emisiile de substanţe acidifiante pot prejudicia sănătatea umană, ecosistemele, clădirile şi materialele (prin coroziune chimică). Efectele asociate fiecărui poluant depind de potenţialul de acidifiere al acestuia şi de proprietăţile ecosistemelor şi ale materialelor.</w:t>
      </w:r>
      <w:r w:rsidRPr="004B71E8">
        <w:rPr>
          <w:rStyle w:val="FootnoteReference"/>
          <w:rFonts w:ascii="Arial" w:hAnsi="Arial" w:cs="Arial"/>
          <w:sz w:val="24"/>
          <w:szCs w:val="24"/>
          <w:lang w:val="ro-RO" w:eastAsia="ro-RO"/>
        </w:rPr>
        <w:footnoteReference w:id="10"/>
      </w:r>
      <w:r w:rsidRPr="004B71E8">
        <w:rPr>
          <w:rFonts w:ascii="Arial" w:hAnsi="Arial" w:cs="Arial"/>
          <w:sz w:val="24"/>
          <w:szCs w:val="24"/>
          <w:lang w:val="ro-RO" w:eastAsia="ro-RO"/>
        </w:rPr>
        <w:t xml:space="preserve"> </w:t>
      </w:r>
    </w:p>
    <w:p w:rsidR="00DB6CF6" w:rsidRPr="00DB6CF6" w:rsidRDefault="00DB6CF6" w:rsidP="00704074">
      <w:pPr>
        <w:widowControl w:val="0"/>
        <w:autoSpaceDE w:val="0"/>
        <w:autoSpaceDN w:val="0"/>
        <w:adjustRightInd w:val="0"/>
        <w:spacing w:after="0" w:line="240" w:lineRule="auto"/>
        <w:ind w:firstLine="720"/>
        <w:jc w:val="both"/>
        <w:rPr>
          <w:rFonts w:ascii="Arial" w:hAnsi="Arial" w:cs="Arial"/>
          <w:sz w:val="10"/>
          <w:szCs w:val="10"/>
          <w:lang w:val="ro-RO" w:eastAsia="ro-RO"/>
        </w:rPr>
      </w:pPr>
    </w:p>
    <w:p w:rsidR="00704074" w:rsidRPr="004B71E8" w:rsidRDefault="00704074" w:rsidP="00704074">
      <w:pPr>
        <w:widowControl w:val="0"/>
        <w:spacing w:after="0" w:line="240" w:lineRule="auto"/>
        <w:jc w:val="center"/>
        <w:rPr>
          <w:rFonts w:ascii="Arial" w:hAnsi="Arial" w:cs="Arial"/>
          <w:lang w:val="ro-RO"/>
        </w:rPr>
      </w:pPr>
      <w:r w:rsidRPr="004B71E8">
        <w:rPr>
          <w:rFonts w:ascii="Arial" w:hAnsi="Arial" w:cs="Arial"/>
          <w:lang w:val="ro-RO"/>
        </w:rPr>
        <w:t>Fig. I.2.1.1 Contribuţia sectoarelor de activitate la emisiile de poluanţi atmosferici</w:t>
      </w:r>
    </w:p>
    <w:p w:rsidR="00704074" w:rsidRPr="004B71E8" w:rsidRDefault="00704074" w:rsidP="00704074">
      <w:pPr>
        <w:widowControl w:val="0"/>
        <w:spacing w:after="0" w:line="240" w:lineRule="auto"/>
        <w:jc w:val="center"/>
        <w:rPr>
          <w:rFonts w:ascii="Arial" w:hAnsi="Arial" w:cs="Arial"/>
          <w:lang w:val="ro-RO"/>
        </w:rPr>
      </w:pPr>
      <w:r w:rsidRPr="004B71E8">
        <w:rPr>
          <w:rFonts w:ascii="Arial" w:hAnsi="Arial" w:cs="Arial"/>
          <w:lang w:val="ro-RO"/>
        </w:rPr>
        <w:t xml:space="preserve"> cu efect acidifiant din anul 201</w:t>
      </w:r>
      <w:r w:rsidR="00EA7D7E">
        <w:rPr>
          <w:rFonts w:ascii="Arial" w:hAnsi="Arial" w:cs="Arial"/>
          <w:lang w:val="ro-RO"/>
        </w:rPr>
        <w:t>7</w:t>
      </w:r>
      <w:r w:rsidRPr="004B71E8">
        <w:rPr>
          <w:rFonts w:ascii="Arial" w:hAnsi="Arial" w:cs="Arial"/>
          <w:lang w:val="ro-RO"/>
        </w:rPr>
        <w:t>, în judeţul Suceava</w:t>
      </w:r>
    </w:p>
    <w:p w:rsidR="00704074" w:rsidRPr="004B71E8" w:rsidRDefault="00704074" w:rsidP="00704074">
      <w:pPr>
        <w:widowControl w:val="0"/>
        <w:spacing w:after="0" w:line="240" w:lineRule="auto"/>
        <w:jc w:val="center"/>
        <w:rPr>
          <w:rFonts w:ascii="Arial" w:hAnsi="Arial" w:cs="Arial"/>
          <w:lang w:val="ro-RO"/>
        </w:rPr>
      </w:pPr>
      <w:r w:rsidRPr="004B71E8">
        <w:rPr>
          <w:rFonts w:ascii="Arial" w:hAnsi="Arial" w:cs="Arial"/>
          <w:noProof/>
          <w:lang w:val="ro-RO" w:eastAsia="ro-RO"/>
        </w:rPr>
        <w:drawing>
          <wp:inline distT="0" distB="0" distL="0" distR="0">
            <wp:extent cx="5295900" cy="1466850"/>
            <wp:effectExtent l="19050" t="0" r="0" b="0"/>
            <wp:docPr id="79"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50FAE" w:rsidRPr="004B71E8" w:rsidRDefault="00550FAE" w:rsidP="00550FAE">
      <w:pPr>
        <w:widowControl w:val="0"/>
        <w:autoSpaceDE w:val="0"/>
        <w:autoSpaceDN w:val="0"/>
        <w:adjustRightInd w:val="0"/>
        <w:spacing w:after="0" w:line="240" w:lineRule="auto"/>
        <w:ind w:firstLine="720"/>
        <w:jc w:val="both"/>
        <w:rPr>
          <w:rFonts w:ascii="Arial" w:hAnsi="Arial" w:cs="Arial"/>
          <w:sz w:val="24"/>
          <w:szCs w:val="24"/>
          <w:lang w:val="ro-RO" w:eastAsia="ro-RO"/>
        </w:rPr>
      </w:pPr>
      <w:r w:rsidRPr="00112D72">
        <w:rPr>
          <w:rFonts w:ascii="Arial" w:hAnsi="Arial" w:cs="Arial"/>
          <w:sz w:val="24"/>
          <w:szCs w:val="24"/>
          <w:lang w:val="ro-RO" w:eastAsia="ro-RO"/>
        </w:rPr>
        <w:t>Din fig. I.2.1.1 se observă că oxizii de sulf (SO</w:t>
      </w:r>
      <w:r w:rsidRPr="00112D72">
        <w:rPr>
          <w:rFonts w:ascii="Arial" w:hAnsi="Arial" w:cs="Arial"/>
          <w:sz w:val="24"/>
          <w:szCs w:val="24"/>
          <w:vertAlign w:val="subscript"/>
          <w:lang w:val="ro-RO" w:eastAsia="ro-RO"/>
        </w:rPr>
        <w:t>x</w:t>
      </w:r>
      <w:r w:rsidRPr="00112D72">
        <w:rPr>
          <w:rFonts w:ascii="Arial" w:hAnsi="Arial" w:cs="Arial"/>
          <w:sz w:val="24"/>
          <w:szCs w:val="24"/>
          <w:lang w:val="ro-RO" w:eastAsia="ro-RO"/>
        </w:rPr>
        <w:t xml:space="preserve">) </w:t>
      </w:r>
      <w:r w:rsidR="001C6A95" w:rsidRPr="00112D72">
        <w:rPr>
          <w:rFonts w:ascii="Arial" w:hAnsi="Arial" w:cs="Arial"/>
          <w:sz w:val="24"/>
          <w:szCs w:val="24"/>
          <w:lang w:val="ro-RO" w:eastAsia="ro-RO"/>
        </w:rPr>
        <w:t>provin în principal din</w:t>
      </w:r>
      <w:r w:rsidRPr="00112D72">
        <w:rPr>
          <w:rFonts w:ascii="Arial" w:hAnsi="Arial" w:cs="Arial"/>
          <w:sz w:val="24"/>
          <w:szCs w:val="24"/>
          <w:lang w:val="ro-RO" w:eastAsia="ro-RO"/>
        </w:rPr>
        <w:t xml:space="preserve"> </w:t>
      </w:r>
      <w:r w:rsidR="00806AAA" w:rsidRPr="00112D72">
        <w:rPr>
          <w:rFonts w:ascii="Arial" w:eastAsia="Times New Roman" w:hAnsi="Arial" w:cs="Arial"/>
          <w:sz w:val="24"/>
          <w:szCs w:val="24"/>
          <w:lang w:val="ro-RO" w:eastAsia="ro-RO"/>
        </w:rPr>
        <w:t xml:space="preserve">sectorul </w:t>
      </w:r>
      <w:r w:rsidR="00806AAA">
        <w:rPr>
          <w:rFonts w:ascii="Arial" w:eastAsia="Times New Roman" w:hAnsi="Arial" w:cs="Arial"/>
          <w:sz w:val="24"/>
          <w:szCs w:val="24"/>
          <w:lang w:val="ro-RO" w:eastAsia="ro-RO"/>
        </w:rPr>
        <w:t>„</w:t>
      </w:r>
      <w:r w:rsidR="00806AAA" w:rsidRPr="00806AAA">
        <w:rPr>
          <w:rFonts w:ascii="Arial" w:eastAsia="Times New Roman" w:hAnsi="Arial" w:cs="Arial"/>
          <w:i/>
          <w:sz w:val="24"/>
          <w:szCs w:val="24"/>
          <w:lang w:val="ro-RO" w:eastAsia="ro-RO"/>
        </w:rPr>
        <w:t>Energie</w:t>
      </w:r>
      <w:r w:rsidR="00806AAA">
        <w:rPr>
          <w:rFonts w:ascii="Arial" w:eastAsia="Times New Roman" w:hAnsi="Arial" w:cs="Arial"/>
          <w:sz w:val="24"/>
          <w:szCs w:val="24"/>
          <w:lang w:val="ro-RO" w:eastAsia="ro-RO"/>
        </w:rPr>
        <w:t>”</w:t>
      </w:r>
      <w:r w:rsidRPr="00112D72">
        <w:rPr>
          <w:rFonts w:ascii="Arial" w:hAnsi="Arial" w:cs="Arial"/>
          <w:sz w:val="24"/>
          <w:szCs w:val="24"/>
          <w:lang w:val="ro-RO" w:eastAsia="ro-RO"/>
        </w:rPr>
        <w:t>, oxizii de azot (NO</w:t>
      </w:r>
      <w:r w:rsidRPr="00112D72">
        <w:rPr>
          <w:rFonts w:ascii="Arial" w:hAnsi="Arial" w:cs="Arial"/>
          <w:sz w:val="24"/>
          <w:szCs w:val="24"/>
          <w:vertAlign w:val="subscript"/>
          <w:lang w:val="ro-RO" w:eastAsia="ro-RO"/>
        </w:rPr>
        <w:t>x</w:t>
      </w:r>
      <w:r w:rsidRPr="00112D72">
        <w:rPr>
          <w:rFonts w:ascii="Arial" w:hAnsi="Arial" w:cs="Arial"/>
          <w:sz w:val="24"/>
          <w:szCs w:val="24"/>
          <w:lang w:val="ro-RO" w:eastAsia="ro-RO"/>
        </w:rPr>
        <w:t xml:space="preserve">), provin în principal din </w:t>
      </w:r>
      <w:r w:rsidR="00806AAA">
        <w:rPr>
          <w:rFonts w:ascii="Arial" w:hAnsi="Arial" w:cs="Arial"/>
          <w:sz w:val="24"/>
          <w:szCs w:val="24"/>
          <w:lang w:val="ro-RO" w:eastAsia="ro-RO"/>
        </w:rPr>
        <w:t>„</w:t>
      </w:r>
      <w:r w:rsidR="00806AAA" w:rsidRPr="00806AAA">
        <w:rPr>
          <w:rFonts w:ascii="Arial" w:hAnsi="Arial" w:cs="Arial"/>
          <w:i/>
          <w:sz w:val="24"/>
          <w:szCs w:val="24"/>
          <w:lang w:val="ro-RO" w:eastAsia="ro-RO"/>
        </w:rPr>
        <w:t>Transporturi</w:t>
      </w:r>
      <w:r w:rsidR="00806AAA">
        <w:rPr>
          <w:rFonts w:ascii="Arial" w:hAnsi="Arial" w:cs="Arial"/>
          <w:sz w:val="24"/>
          <w:szCs w:val="24"/>
          <w:lang w:val="ro-RO" w:eastAsia="ro-RO"/>
        </w:rPr>
        <w:t>”</w:t>
      </w:r>
      <w:r w:rsidRPr="00112D72">
        <w:rPr>
          <w:rFonts w:ascii="Arial" w:hAnsi="Arial" w:cs="Arial"/>
          <w:sz w:val="24"/>
          <w:szCs w:val="24"/>
          <w:lang w:val="ro-RO" w:eastAsia="ro-RO"/>
        </w:rPr>
        <w:t>, iar pentru amoniac (NH</w:t>
      </w:r>
      <w:r w:rsidRPr="00112D72">
        <w:rPr>
          <w:rFonts w:ascii="Arial" w:hAnsi="Arial" w:cs="Arial"/>
          <w:sz w:val="24"/>
          <w:szCs w:val="24"/>
          <w:vertAlign w:val="subscript"/>
          <w:lang w:val="ro-RO" w:eastAsia="ro-RO"/>
        </w:rPr>
        <w:t>3</w:t>
      </w:r>
      <w:r w:rsidRPr="00112D72">
        <w:rPr>
          <w:rFonts w:ascii="Arial" w:hAnsi="Arial" w:cs="Arial"/>
          <w:sz w:val="24"/>
          <w:szCs w:val="24"/>
          <w:lang w:val="ro-RO" w:eastAsia="ro-RO"/>
        </w:rPr>
        <w:t xml:space="preserve">), contribuţia cea mai importantă în totalul emisiilor o are </w:t>
      </w:r>
      <w:r w:rsidR="00806AAA">
        <w:rPr>
          <w:rFonts w:ascii="Arial" w:hAnsi="Arial" w:cs="Arial"/>
          <w:sz w:val="24"/>
          <w:szCs w:val="24"/>
          <w:lang w:val="ro-RO" w:eastAsia="ro-RO"/>
        </w:rPr>
        <w:t>„</w:t>
      </w:r>
      <w:r w:rsidR="00806AAA" w:rsidRPr="00806AAA">
        <w:rPr>
          <w:rFonts w:ascii="Arial" w:hAnsi="Arial" w:cs="Arial"/>
          <w:i/>
          <w:sz w:val="24"/>
          <w:szCs w:val="24"/>
          <w:lang w:val="ro-RO" w:eastAsia="ro-RO"/>
        </w:rPr>
        <w:t>A</w:t>
      </w:r>
      <w:r w:rsidRPr="00806AAA">
        <w:rPr>
          <w:rFonts w:ascii="Arial" w:hAnsi="Arial" w:cs="Arial"/>
          <w:i/>
          <w:sz w:val="24"/>
          <w:szCs w:val="24"/>
          <w:lang w:val="ro-RO" w:eastAsia="ro-RO"/>
        </w:rPr>
        <w:t>gricultura</w:t>
      </w:r>
      <w:r w:rsidR="00806AAA">
        <w:rPr>
          <w:rFonts w:ascii="Arial" w:hAnsi="Arial" w:cs="Arial"/>
          <w:sz w:val="24"/>
          <w:szCs w:val="24"/>
          <w:lang w:val="ro-RO" w:eastAsia="ro-RO"/>
        </w:rPr>
        <w:t>”</w:t>
      </w:r>
      <w:r w:rsidRPr="00112D72">
        <w:rPr>
          <w:rFonts w:ascii="Arial" w:hAnsi="Arial" w:cs="Arial"/>
          <w:sz w:val="24"/>
          <w:szCs w:val="24"/>
          <w:lang w:val="ro-RO" w:eastAsia="ro-RO"/>
        </w:rPr>
        <w:t>.</w:t>
      </w:r>
    </w:p>
    <w:p w:rsidR="00550FAE" w:rsidRPr="00550FAE" w:rsidRDefault="00550FAE" w:rsidP="00550FAE">
      <w:pPr>
        <w:widowControl w:val="0"/>
        <w:spacing w:after="0" w:line="240" w:lineRule="auto"/>
        <w:jc w:val="center"/>
        <w:rPr>
          <w:rFonts w:ascii="Arial" w:hAnsi="Arial" w:cs="Arial"/>
          <w:sz w:val="16"/>
          <w:szCs w:val="16"/>
          <w:highlight w:val="yellow"/>
          <w:lang w:val="ro-RO"/>
        </w:rPr>
      </w:pPr>
    </w:p>
    <w:p w:rsidR="00704074" w:rsidRPr="004B71E8" w:rsidRDefault="00704074" w:rsidP="00704074">
      <w:pPr>
        <w:widowControl w:val="0"/>
        <w:spacing w:after="0" w:line="240" w:lineRule="auto"/>
        <w:rPr>
          <w:rFonts w:ascii="Arial" w:hAnsi="Arial" w:cs="Arial"/>
          <w:b/>
          <w:i/>
          <w:sz w:val="24"/>
          <w:szCs w:val="24"/>
          <w:lang w:val="ro-RO"/>
        </w:rPr>
      </w:pPr>
      <w:r w:rsidRPr="004B71E8">
        <w:rPr>
          <w:rFonts w:ascii="Arial" w:hAnsi="Arial" w:cs="Arial"/>
          <w:b/>
          <w:bCs/>
          <w:i/>
          <w:sz w:val="24"/>
          <w:szCs w:val="24"/>
          <w:lang w:val="ro-RO" w:eastAsia="ro-RO"/>
        </w:rPr>
        <w:t>Emisii de precursori ai ozonului</w:t>
      </w:r>
    </w:p>
    <w:p w:rsidR="00704074" w:rsidRPr="00F56F85" w:rsidRDefault="00704074" w:rsidP="00704074">
      <w:pPr>
        <w:widowControl w:val="0"/>
        <w:spacing w:after="0" w:line="240" w:lineRule="auto"/>
        <w:rPr>
          <w:rFonts w:ascii="Arial" w:hAnsi="Arial" w:cs="Arial"/>
          <w:sz w:val="10"/>
          <w:szCs w:val="10"/>
          <w:highlight w:val="yellow"/>
          <w:lang w:val="ro-RO"/>
        </w:rPr>
      </w:pPr>
    </w:p>
    <w:tbl>
      <w:tblPr>
        <w:tblStyle w:val="TableGrid"/>
        <w:tblW w:w="0" w:type="auto"/>
        <w:shd w:val="clear" w:color="auto" w:fill="B6DDE8" w:themeFill="accent5" w:themeFillTint="66"/>
        <w:tblLook w:val="04A0"/>
      </w:tblPr>
      <w:tblGrid>
        <w:gridCol w:w="9997"/>
      </w:tblGrid>
      <w:tr w:rsidR="00BE0134" w:rsidRPr="00BE0134" w:rsidTr="00BE0134">
        <w:tc>
          <w:tcPr>
            <w:tcW w:w="9997" w:type="dxa"/>
            <w:shd w:val="clear" w:color="auto" w:fill="B6DDE8" w:themeFill="accent5" w:themeFillTint="66"/>
          </w:tcPr>
          <w:p w:rsidR="00BE0134" w:rsidRPr="00112D72" w:rsidRDefault="00BE0134" w:rsidP="00BE0134">
            <w:pPr>
              <w:autoSpaceDE w:val="0"/>
              <w:autoSpaceDN w:val="0"/>
              <w:adjustRightInd w:val="0"/>
              <w:spacing w:after="0" w:line="240" w:lineRule="auto"/>
              <w:rPr>
                <w:rFonts w:ascii="Arial" w:hAnsi="Arial" w:cs="Arial"/>
                <w:lang w:val="ro-RO" w:eastAsia="ro-RO"/>
              </w:rPr>
            </w:pPr>
            <w:r w:rsidRPr="00112D72">
              <w:rPr>
                <w:rFonts w:ascii="Arial" w:hAnsi="Arial" w:cs="Arial"/>
                <w:b/>
                <w:bCs/>
                <w:lang w:val="ro-RO" w:eastAsia="ro-RO"/>
              </w:rPr>
              <w:t>Cod indicator România</w:t>
            </w:r>
            <w:r w:rsidRPr="00112D72">
              <w:rPr>
                <w:rFonts w:ascii="Arial" w:hAnsi="Arial" w:cs="Arial"/>
                <w:lang w:val="ro-RO" w:eastAsia="ro-RO"/>
              </w:rPr>
              <w:t>: RO 02</w:t>
            </w:r>
          </w:p>
          <w:p w:rsidR="00BE0134" w:rsidRPr="00112D72" w:rsidRDefault="00BE0134" w:rsidP="00BE0134">
            <w:pPr>
              <w:autoSpaceDE w:val="0"/>
              <w:autoSpaceDN w:val="0"/>
              <w:adjustRightInd w:val="0"/>
              <w:spacing w:after="0" w:line="240" w:lineRule="auto"/>
              <w:rPr>
                <w:rFonts w:ascii="Arial" w:hAnsi="Arial" w:cs="Arial"/>
                <w:lang w:val="ro-RO" w:eastAsia="ro-RO"/>
              </w:rPr>
            </w:pPr>
            <w:r w:rsidRPr="00112D72">
              <w:rPr>
                <w:rFonts w:ascii="Arial" w:hAnsi="Arial" w:cs="Arial"/>
                <w:b/>
                <w:bCs/>
                <w:lang w:val="ro-RO" w:eastAsia="ro-RO"/>
              </w:rPr>
              <w:t>Cod indicator AEM</w:t>
            </w:r>
            <w:r w:rsidRPr="00112D72">
              <w:rPr>
                <w:rFonts w:ascii="Arial" w:hAnsi="Arial" w:cs="Arial"/>
                <w:lang w:val="ro-RO" w:eastAsia="ro-RO"/>
              </w:rPr>
              <w:t>: CSI 02</w:t>
            </w:r>
          </w:p>
          <w:p w:rsidR="00BE0134" w:rsidRPr="00112D72" w:rsidRDefault="00BE0134" w:rsidP="00BE0134">
            <w:pPr>
              <w:autoSpaceDE w:val="0"/>
              <w:autoSpaceDN w:val="0"/>
              <w:adjustRightInd w:val="0"/>
              <w:spacing w:after="0" w:line="240" w:lineRule="auto"/>
              <w:jc w:val="both"/>
              <w:rPr>
                <w:rFonts w:ascii="Arial" w:hAnsi="Arial" w:cs="Arial"/>
                <w:lang w:val="ro-RO" w:eastAsia="ro-RO"/>
              </w:rPr>
            </w:pPr>
            <w:r w:rsidRPr="00112D72">
              <w:rPr>
                <w:rFonts w:ascii="Arial" w:hAnsi="Arial" w:cs="Arial"/>
                <w:b/>
                <w:bCs/>
                <w:lang w:val="ro-RO" w:eastAsia="ro-RO"/>
              </w:rPr>
              <w:t>DENUMIRE</w:t>
            </w:r>
            <w:r w:rsidRPr="00112D72">
              <w:rPr>
                <w:rFonts w:ascii="Arial" w:hAnsi="Arial" w:cs="Arial"/>
                <w:lang w:val="ro-RO" w:eastAsia="ro-RO"/>
              </w:rPr>
              <w:t>: EMISII DE PRECURSORI AI OZONULUI</w:t>
            </w:r>
          </w:p>
          <w:p w:rsidR="00BE0134" w:rsidRPr="00BE0134" w:rsidRDefault="00BE0134" w:rsidP="00BE0134">
            <w:pPr>
              <w:autoSpaceDE w:val="0"/>
              <w:autoSpaceDN w:val="0"/>
              <w:adjustRightInd w:val="0"/>
              <w:spacing w:after="0" w:line="240" w:lineRule="auto"/>
              <w:jc w:val="both"/>
              <w:rPr>
                <w:rFonts w:ascii="Arial" w:hAnsi="Arial" w:cs="Arial"/>
                <w:sz w:val="24"/>
                <w:szCs w:val="24"/>
                <w:lang w:val="ro-RO" w:eastAsia="ro-RO"/>
              </w:rPr>
            </w:pPr>
            <w:r w:rsidRPr="00112D72">
              <w:rPr>
                <w:rFonts w:ascii="Arial" w:hAnsi="Arial" w:cs="Arial"/>
                <w:b/>
                <w:bCs/>
                <w:lang w:val="ro-RO" w:eastAsia="ro-RO"/>
              </w:rPr>
              <w:t>DEFINIŢIE</w:t>
            </w:r>
            <w:r w:rsidRPr="00112D72">
              <w:rPr>
                <w:rFonts w:ascii="Arial" w:hAnsi="Arial" w:cs="Arial"/>
                <w:lang w:val="ro-RO" w:eastAsia="ro-RO"/>
              </w:rPr>
              <w:t>: Indicatorul urmăreşte tendinţele emisiilor antropice de poluanţi precursori ai ozonului: oxizi de azot (NO</w:t>
            </w:r>
            <w:r w:rsidRPr="00112D72">
              <w:rPr>
                <w:rFonts w:ascii="Arial" w:hAnsi="Arial" w:cs="Arial"/>
                <w:vertAlign w:val="subscript"/>
                <w:lang w:val="ro-RO" w:eastAsia="ro-RO"/>
              </w:rPr>
              <w:t>x</w:t>
            </w:r>
            <w:r w:rsidRPr="00112D72">
              <w:rPr>
                <w:rFonts w:ascii="Arial" w:hAnsi="Arial" w:cs="Arial"/>
                <w:lang w:val="ro-RO" w:eastAsia="ro-RO"/>
              </w:rPr>
              <w:t>), monoxid de carbon (CO), metan (CH</w:t>
            </w:r>
            <w:r w:rsidRPr="00112D72">
              <w:rPr>
                <w:rFonts w:ascii="Arial" w:hAnsi="Arial" w:cs="Arial"/>
                <w:vertAlign w:val="subscript"/>
                <w:lang w:val="ro-RO" w:eastAsia="ro-RO"/>
              </w:rPr>
              <w:t>4</w:t>
            </w:r>
            <w:r w:rsidRPr="00112D72">
              <w:rPr>
                <w:rFonts w:ascii="Arial" w:hAnsi="Arial" w:cs="Arial"/>
                <w:lang w:val="ro-RO" w:eastAsia="ro-RO"/>
              </w:rPr>
              <w:t>) şi compuşi organici volatili nemetanici (COVNM) proveniţi din sectoarele: producerea şi distribuţia energiei; utilizarea energiei în industrie; procesele industriale; transport rutier; transport nerutier; sectorul comercial, industrial şi gospodării; folosirea solvenţilor şi a produselor; agricultură; deşeuri; altele.</w:t>
            </w:r>
          </w:p>
        </w:tc>
      </w:tr>
    </w:tbl>
    <w:p w:rsidR="00BE0134" w:rsidRPr="00BE0134" w:rsidRDefault="00BE0134" w:rsidP="00704074">
      <w:pPr>
        <w:widowControl w:val="0"/>
        <w:autoSpaceDE w:val="0"/>
        <w:autoSpaceDN w:val="0"/>
        <w:adjustRightInd w:val="0"/>
        <w:spacing w:after="0" w:line="240" w:lineRule="auto"/>
        <w:ind w:firstLine="720"/>
        <w:jc w:val="both"/>
        <w:rPr>
          <w:rFonts w:ascii="Arial" w:eastAsia="Times New Roman" w:hAnsi="Arial" w:cs="Arial"/>
          <w:sz w:val="10"/>
          <w:szCs w:val="10"/>
          <w:lang w:val="ro-RO" w:eastAsia="ro-RO"/>
        </w:rPr>
      </w:pPr>
    </w:p>
    <w:p w:rsidR="00940AEB" w:rsidRPr="00940AEB" w:rsidRDefault="00940AEB" w:rsidP="00940AEB">
      <w:pPr>
        <w:widowControl w:val="0"/>
        <w:autoSpaceDE w:val="0"/>
        <w:autoSpaceDN w:val="0"/>
        <w:adjustRightInd w:val="0"/>
        <w:spacing w:after="0" w:line="240" w:lineRule="auto"/>
        <w:ind w:firstLine="720"/>
        <w:jc w:val="both"/>
        <w:rPr>
          <w:rFonts w:ascii="Arial" w:eastAsia="Times New Roman" w:hAnsi="Arial" w:cs="Arial"/>
          <w:sz w:val="24"/>
          <w:szCs w:val="24"/>
          <w:lang w:val="ro-RO" w:eastAsia="ro-RO"/>
        </w:rPr>
      </w:pPr>
      <w:r w:rsidRPr="00940AEB">
        <w:rPr>
          <w:rFonts w:ascii="Arial" w:eastAsia="Times New Roman" w:hAnsi="Arial" w:cs="Arial"/>
          <w:sz w:val="24"/>
          <w:szCs w:val="24"/>
          <w:lang w:val="ro-RO" w:eastAsia="ro-RO"/>
        </w:rPr>
        <w:lastRenderedPageBreak/>
        <w:t xml:space="preserve">Emisiile de compuşi organici volatili nemetanici (COVNM), oxizi de azot, monoxid de carbon şi metan contribuie la formarea ozonului de la nivelul solului (troposferă). </w:t>
      </w:r>
    </w:p>
    <w:p w:rsidR="000E0549" w:rsidRDefault="00704074" w:rsidP="00940AEB">
      <w:pPr>
        <w:widowControl w:val="0"/>
        <w:autoSpaceDE w:val="0"/>
        <w:autoSpaceDN w:val="0"/>
        <w:adjustRightInd w:val="0"/>
        <w:spacing w:after="0" w:line="240" w:lineRule="auto"/>
        <w:ind w:firstLine="720"/>
        <w:jc w:val="both"/>
        <w:rPr>
          <w:rFonts w:ascii="Arial" w:eastAsia="Times New Roman" w:hAnsi="Arial" w:cs="Arial"/>
          <w:sz w:val="24"/>
          <w:szCs w:val="24"/>
          <w:lang w:val="ro-RO" w:eastAsia="ro-RO"/>
        </w:rPr>
      </w:pPr>
      <w:r w:rsidRPr="00CC1DC0">
        <w:rPr>
          <w:rFonts w:ascii="Arial" w:eastAsia="Times New Roman" w:hAnsi="Arial" w:cs="Arial"/>
          <w:sz w:val="24"/>
          <w:szCs w:val="24"/>
          <w:lang w:val="ro-RO" w:eastAsia="ro-RO"/>
        </w:rPr>
        <w:t>Ozonul</w:t>
      </w:r>
      <w:r w:rsidR="00BE0134">
        <w:rPr>
          <w:rFonts w:ascii="Arial" w:eastAsia="Times New Roman" w:hAnsi="Arial" w:cs="Arial"/>
          <w:sz w:val="24"/>
          <w:szCs w:val="24"/>
          <w:lang w:val="ro-RO" w:eastAsia="ro-RO"/>
        </w:rPr>
        <w:t xml:space="preserve"> de</w:t>
      </w:r>
      <w:r w:rsidRPr="00CC1DC0">
        <w:rPr>
          <w:rFonts w:ascii="Arial" w:eastAsia="Times New Roman" w:hAnsi="Arial" w:cs="Arial"/>
          <w:sz w:val="24"/>
          <w:szCs w:val="24"/>
          <w:lang w:val="ro-RO" w:eastAsia="ro-RO"/>
        </w:rPr>
        <w:t xml:space="preserve"> </w:t>
      </w:r>
      <w:r w:rsidR="00BE0134" w:rsidRPr="00CC1DC0">
        <w:rPr>
          <w:rFonts w:ascii="Arial" w:eastAsia="Times New Roman" w:hAnsi="Arial" w:cs="Arial"/>
          <w:sz w:val="24"/>
          <w:szCs w:val="24"/>
          <w:lang w:val="ro-RO" w:eastAsia="ro-RO"/>
        </w:rPr>
        <w:t>la nivelul solului (</w:t>
      </w:r>
      <w:r w:rsidR="00BE0134">
        <w:rPr>
          <w:rFonts w:ascii="Arial" w:eastAsia="Times New Roman" w:hAnsi="Arial" w:cs="Arial"/>
          <w:sz w:val="24"/>
          <w:szCs w:val="24"/>
          <w:lang w:val="ro-RO" w:eastAsia="ro-RO"/>
        </w:rPr>
        <w:t xml:space="preserve">din </w:t>
      </w:r>
      <w:r w:rsidR="00BE0134" w:rsidRPr="00CC1DC0">
        <w:rPr>
          <w:rFonts w:ascii="Arial" w:eastAsia="Times New Roman" w:hAnsi="Arial" w:cs="Arial"/>
          <w:sz w:val="24"/>
          <w:szCs w:val="24"/>
          <w:lang w:val="ro-RO" w:eastAsia="ro-RO"/>
        </w:rPr>
        <w:t>troposferă)</w:t>
      </w:r>
      <w:r w:rsidR="00BE0134">
        <w:rPr>
          <w:rFonts w:ascii="Arial" w:eastAsia="Times New Roman" w:hAnsi="Arial" w:cs="Arial"/>
          <w:sz w:val="24"/>
          <w:szCs w:val="24"/>
          <w:lang w:val="ro-RO" w:eastAsia="ro-RO"/>
        </w:rPr>
        <w:t xml:space="preserve"> </w:t>
      </w:r>
      <w:r w:rsidRPr="00CC1DC0">
        <w:rPr>
          <w:rFonts w:ascii="Arial" w:eastAsia="Times New Roman" w:hAnsi="Arial" w:cs="Arial"/>
          <w:sz w:val="24"/>
          <w:szCs w:val="24"/>
          <w:lang w:val="ro-RO" w:eastAsia="ro-RO"/>
        </w:rPr>
        <w:t>este un poluant secundar deoarece, spre deosebire de alţi poluanţi, nu este emis direct de vreo sursă de emisie, ci se formează sub influenţa radiaţiilor ultraviolete, prin reacţii fotochimice în lanţ între o serie de poluanţi primari precursori ai ozonului: NO</w:t>
      </w:r>
      <w:r w:rsidRPr="00CC1DC0">
        <w:rPr>
          <w:rFonts w:ascii="Arial" w:eastAsia="Times New Roman" w:hAnsi="Arial" w:cs="Arial"/>
          <w:sz w:val="24"/>
          <w:szCs w:val="24"/>
          <w:vertAlign w:val="subscript"/>
          <w:lang w:val="ro-RO" w:eastAsia="ro-RO"/>
        </w:rPr>
        <w:t>x</w:t>
      </w:r>
      <w:r w:rsidRPr="00CC1DC0">
        <w:rPr>
          <w:rFonts w:ascii="Arial" w:eastAsia="Times New Roman" w:hAnsi="Arial" w:cs="Arial"/>
          <w:sz w:val="24"/>
          <w:szCs w:val="24"/>
          <w:lang w:val="ro-RO" w:eastAsia="ro-RO"/>
        </w:rPr>
        <w:t>, compuşi organici volatili (COV),</w:t>
      </w:r>
      <w:r w:rsidR="00253377">
        <w:rPr>
          <w:rFonts w:ascii="Arial" w:eastAsia="Times New Roman" w:hAnsi="Arial" w:cs="Arial"/>
          <w:sz w:val="24"/>
          <w:szCs w:val="24"/>
          <w:lang w:val="ro-RO" w:eastAsia="ro-RO"/>
        </w:rPr>
        <w:t xml:space="preserve"> monoxid de carbon</w:t>
      </w:r>
      <w:r w:rsidR="00940AEB">
        <w:rPr>
          <w:rFonts w:ascii="Arial" w:eastAsia="Times New Roman" w:hAnsi="Arial" w:cs="Arial"/>
          <w:sz w:val="24"/>
          <w:szCs w:val="24"/>
          <w:lang w:val="ro-RO" w:eastAsia="ro-RO"/>
        </w:rPr>
        <w:t xml:space="preserve">. </w:t>
      </w:r>
      <w:r w:rsidR="00940AEB" w:rsidRPr="00940AEB">
        <w:rPr>
          <w:rFonts w:ascii="Arial" w:eastAsia="Times New Roman" w:hAnsi="Arial" w:cs="Arial"/>
          <w:sz w:val="24"/>
          <w:szCs w:val="24"/>
          <w:lang w:val="ro-RO" w:eastAsia="ro-RO"/>
        </w:rPr>
        <w:t xml:space="preserve">Ozonul este un oxidant puternic, iar ozonul troposferic poate avea efecte adverse asupra sănătăţii umane şi a ecosistemelor. Este o problemă în special în timpul lunilor de vară. </w:t>
      </w:r>
    </w:p>
    <w:p w:rsidR="00704074" w:rsidRDefault="00940AEB" w:rsidP="00940AEB">
      <w:pPr>
        <w:widowControl w:val="0"/>
        <w:autoSpaceDE w:val="0"/>
        <w:autoSpaceDN w:val="0"/>
        <w:adjustRightInd w:val="0"/>
        <w:spacing w:after="0" w:line="240" w:lineRule="auto"/>
        <w:ind w:firstLine="720"/>
        <w:jc w:val="both"/>
        <w:rPr>
          <w:rFonts w:ascii="Arial" w:eastAsia="Times New Roman" w:hAnsi="Arial" w:cs="Arial"/>
          <w:sz w:val="24"/>
          <w:szCs w:val="24"/>
          <w:lang w:val="ro-RO" w:eastAsia="ro-RO"/>
        </w:rPr>
      </w:pPr>
      <w:r w:rsidRPr="00940AEB">
        <w:rPr>
          <w:rFonts w:ascii="Arial" w:eastAsia="Times New Roman" w:hAnsi="Arial" w:cs="Arial"/>
          <w:sz w:val="24"/>
          <w:szCs w:val="24"/>
          <w:lang w:val="ro-RO" w:eastAsia="ro-RO"/>
        </w:rPr>
        <w:t>Concentraţiile mari de ozon la nivelul solului afectează în mod negativ sistemul respirator uman şi există dovezi că expunerea pe termen lung accelerează declinul funcţiei pulmonare cu vârsta şi poate afecta dezvoltarea funcţiei pulmonare. Unele persoane sunt mai vulnerabile la concentraţii mari decât altele, cu efectele cele mai grave, în general, la copii, astmatici şi persoanele în vârstă. Concentraţiile mari în mediul înconjurător sunt dăunătoare culturilor şi pădurilor, cauzând pagube frunzelor şi reducând rezistenţa la boli</w:t>
      </w:r>
      <w:r w:rsidR="00704074" w:rsidRPr="00CC1DC0">
        <w:rPr>
          <w:rFonts w:ascii="Arial" w:eastAsia="Times New Roman" w:hAnsi="Arial" w:cs="Arial"/>
          <w:sz w:val="24"/>
          <w:vertAlign w:val="superscript"/>
          <w:lang w:val="ro-RO" w:eastAsia="ro-RO"/>
        </w:rPr>
        <w:footnoteReference w:id="11"/>
      </w:r>
      <w:r w:rsidR="00704074" w:rsidRPr="00CC1DC0">
        <w:rPr>
          <w:rFonts w:ascii="Arial" w:eastAsia="Times New Roman" w:hAnsi="Arial" w:cs="Arial"/>
          <w:sz w:val="24"/>
          <w:szCs w:val="24"/>
          <w:lang w:val="ro-RO" w:eastAsia="ro-RO"/>
        </w:rPr>
        <w:t xml:space="preserve">. </w:t>
      </w:r>
    </w:p>
    <w:p w:rsidR="007A0A53" w:rsidRPr="004D1D4E" w:rsidRDefault="00704074" w:rsidP="00704074">
      <w:pPr>
        <w:widowControl w:val="0"/>
        <w:spacing w:after="0" w:line="240" w:lineRule="auto"/>
        <w:jc w:val="both"/>
        <w:rPr>
          <w:rFonts w:ascii="Arial" w:hAnsi="Arial" w:cs="Arial"/>
          <w:sz w:val="10"/>
          <w:szCs w:val="10"/>
          <w:lang w:val="ro-RO" w:eastAsia="ro-RO"/>
        </w:rPr>
      </w:pPr>
      <w:r w:rsidRPr="004D1D4E">
        <w:rPr>
          <w:rFonts w:ascii="Arial" w:hAnsi="Arial" w:cs="Arial"/>
          <w:sz w:val="24"/>
          <w:szCs w:val="24"/>
          <w:lang w:val="ro-RO"/>
        </w:rPr>
        <w:tab/>
      </w:r>
    </w:p>
    <w:p w:rsidR="00704074" w:rsidRPr="004D1D4E" w:rsidRDefault="00704074" w:rsidP="00704074">
      <w:pPr>
        <w:widowControl w:val="0"/>
        <w:spacing w:after="0" w:line="240" w:lineRule="auto"/>
        <w:jc w:val="center"/>
        <w:rPr>
          <w:rFonts w:ascii="Arial" w:hAnsi="Arial" w:cs="Arial"/>
          <w:lang w:val="ro-RO"/>
        </w:rPr>
      </w:pPr>
      <w:r w:rsidRPr="004D1D4E">
        <w:rPr>
          <w:rFonts w:ascii="Arial" w:hAnsi="Arial" w:cs="Arial"/>
          <w:lang w:val="ro-RO"/>
        </w:rPr>
        <w:t xml:space="preserve">Fig. I.2.1.2. Contribuţia sectoarelor de activitate la emisiile de poluanţi precursori ai ozonului </w:t>
      </w:r>
    </w:p>
    <w:p w:rsidR="00704074" w:rsidRPr="004D1D4E" w:rsidRDefault="00EA7D7E" w:rsidP="00704074">
      <w:pPr>
        <w:widowControl w:val="0"/>
        <w:spacing w:after="0" w:line="240" w:lineRule="auto"/>
        <w:jc w:val="center"/>
        <w:rPr>
          <w:rFonts w:ascii="Arial" w:hAnsi="Arial" w:cs="Arial"/>
          <w:lang w:val="ro-RO"/>
        </w:rPr>
      </w:pPr>
      <w:r>
        <w:rPr>
          <w:rFonts w:ascii="Arial" w:hAnsi="Arial" w:cs="Arial"/>
          <w:lang w:val="ro-RO"/>
        </w:rPr>
        <w:t>în anul 2017</w:t>
      </w:r>
      <w:r w:rsidR="00704074" w:rsidRPr="004D1D4E">
        <w:rPr>
          <w:rFonts w:ascii="Arial" w:hAnsi="Arial" w:cs="Arial"/>
          <w:lang w:val="ro-RO"/>
        </w:rPr>
        <w:t>, în judeţul Suceava</w:t>
      </w:r>
    </w:p>
    <w:p w:rsidR="00704074" w:rsidRPr="004D1D4E" w:rsidRDefault="00704074" w:rsidP="00704074">
      <w:pPr>
        <w:widowControl w:val="0"/>
        <w:spacing w:after="120" w:line="240" w:lineRule="auto"/>
        <w:jc w:val="center"/>
        <w:rPr>
          <w:rFonts w:ascii="Arial" w:hAnsi="Arial" w:cs="Arial"/>
          <w:b/>
          <w:sz w:val="24"/>
          <w:szCs w:val="24"/>
          <w:lang w:val="ro-RO"/>
        </w:rPr>
      </w:pPr>
      <w:r w:rsidRPr="004D1D4E">
        <w:rPr>
          <w:rFonts w:ascii="Arial" w:hAnsi="Arial" w:cs="Arial"/>
          <w:b/>
          <w:noProof/>
          <w:sz w:val="24"/>
          <w:szCs w:val="24"/>
          <w:lang w:val="ro-RO" w:eastAsia="ro-RO"/>
        </w:rPr>
        <w:drawing>
          <wp:inline distT="0" distB="0" distL="0" distR="0">
            <wp:extent cx="5286375" cy="1724025"/>
            <wp:effectExtent l="19050" t="0" r="0" b="0"/>
            <wp:docPr id="80"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50FAE" w:rsidRPr="00112D72" w:rsidRDefault="00550FAE" w:rsidP="00550FAE">
      <w:pPr>
        <w:widowControl w:val="0"/>
        <w:autoSpaceDE w:val="0"/>
        <w:autoSpaceDN w:val="0"/>
        <w:adjustRightInd w:val="0"/>
        <w:spacing w:after="0" w:line="240" w:lineRule="auto"/>
        <w:ind w:firstLine="720"/>
        <w:jc w:val="both"/>
        <w:rPr>
          <w:rFonts w:ascii="Arial" w:eastAsia="Times New Roman" w:hAnsi="Arial" w:cs="Arial"/>
          <w:sz w:val="24"/>
          <w:szCs w:val="24"/>
          <w:lang w:val="ro-RO" w:eastAsia="ro-RO"/>
        </w:rPr>
      </w:pPr>
      <w:r w:rsidRPr="00112D72">
        <w:rPr>
          <w:rFonts w:ascii="Arial" w:eastAsia="Times New Roman" w:hAnsi="Arial" w:cs="Arial"/>
          <w:sz w:val="24"/>
          <w:szCs w:val="24"/>
          <w:lang w:val="ro-RO" w:eastAsia="ro-RO"/>
        </w:rPr>
        <w:t>Datele prezentate</w:t>
      </w:r>
      <w:r w:rsidR="001C6A95" w:rsidRPr="00112D72">
        <w:rPr>
          <w:rFonts w:ascii="Arial" w:eastAsia="Times New Roman" w:hAnsi="Arial" w:cs="Arial"/>
          <w:sz w:val="24"/>
          <w:szCs w:val="24"/>
          <w:lang w:val="ro-RO" w:eastAsia="ro-RO"/>
        </w:rPr>
        <w:t xml:space="preserve"> în</w:t>
      </w:r>
      <w:r w:rsidRPr="00112D72">
        <w:rPr>
          <w:rFonts w:ascii="Arial" w:eastAsia="Times New Roman" w:hAnsi="Arial" w:cs="Arial"/>
          <w:sz w:val="24"/>
          <w:szCs w:val="24"/>
          <w:lang w:val="ro-RO" w:eastAsia="ro-RO"/>
        </w:rPr>
        <w:t xml:space="preserve"> grafic</w:t>
      </w:r>
      <w:r w:rsidR="001C6A95" w:rsidRPr="00112D72">
        <w:rPr>
          <w:rFonts w:ascii="Arial" w:eastAsia="Times New Roman" w:hAnsi="Arial" w:cs="Arial"/>
          <w:sz w:val="24"/>
          <w:szCs w:val="24"/>
          <w:lang w:val="ro-RO" w:eastAsia="ro-RO"/>
        </w:rPr>
        <w:t xml:space="preserve">ul din fig. I.2.1.2 </w:t>
      </w:r>
      <w:r w:rsidRPr="00112D72">
        <w:rPr>
          <w:rFonts w:ascii="Arial" w:eastAsia="Times New Roman" w:hAnsi="Arial" w:cs="Arial"/>
          <w:sz w:val="24"/>
          <w:szCs w:val="24"/>
          <w:lang w:val="ro-RO" w:eastAsia="ro-RO"/>
        </w:rPr>
        <w:t>pun în evidenţă faptul că</w:t>
      </w:r>
      <w:r w:rsidR="001C6A95" w:rsidRPr="00112D72">
        <w:rPr>
          <w:rFonts w:ascii="Arial" w:eastAsia="Times New Roman" w:hAnsi="Arial" w:cs="Arial"/>
          <w:sz w:val="24"/>
          <w:szCs w:val="24"/>
          <w:lang w:val="ro-RO" w:eastAsia="ro-RO"/>
        </w:rPr>
        <w:t>, la nivelul județului Suceava,</w:t>
      </w:r>
      <w:r w:rsidRPr="00112D72">
        <w:rPr>
          <w:rFonts w:ascii="Arial" w:eastAsia="Times New Roman" w:hAnsi="Arial" w:cs="Arial"/>
          <w:sz w:val="24"/>
          <w:szCs w:val="24"/>
          <w:lang w:val="ro-RO" w:eastAsia="ro-RO"/>
        </w:rPr>
        <w:t xml:space="preserve"> </w:t>
      </w:r>
      <w:r w:rsidR="00806AAA" w:rsidRPr="00112D72">
        <w:rPr>
          <w:rFonts w:ascii="Arial" w:eastAsia="Times New Roman" w:hAnsi="Arial" w:cs="Arial"/>
          <w:sz w:val="24"/>
          <w:szCs w:val="24"/>
          <w:lang w:val="ro-RO" w:eastAsia="ro-RO"/>
        </w:rPr>
        <w:t xml:space="preserve">sectorul </w:t>
      </w:r>
      <w:r w:rsidR="00806AAA">
        <w:rPr>
          <w:rFonts w:ascii="Arial" w:eastAsia="Times New Roman" w:hAnsi="Arial" w:cs="Arial"/>
          <w:sz w:val="24"/>
          <w:szCs w:val="24"/>
          <w:lang w:val="ro-RO" w:eastAsia="ro-RO"/>
        </w:rPr>
        <w:t>„</w:t>
      </w:r>
      <w:r w:rsidR="00806AAA" w:rsidRPr="00806AAA">
        <w:rPr>
          <w:rFonts w:ascii="Arial" w:eastAsia="Times New Roman" w:hAnsi="Arial" w:cs="Arial"/>
          <w:i/>
          <w:sz w:val="24"/>
          <w:szCs w:val="24"/>
          <w:lang w:val="ro-RO" w:eastAsia="ro-RO"/>
        </w:rPr>
        <w:t>Energie</w:t>
      </w:r>
      <w:r w:rsidR="00806AAA">
        <w:rPr>
          <w:rFonts w:ascii="Arial" w:eastAsia="Times New Roman" w:hAnsi="Arial" w:cs="Arial"/>
          <w:sz w:val="24"/>
          <w:szCs w:val="24"/>
          <w:lang w:val="ro-RO" w:eastAsia="ro-RO"/>
        </w:rPr>
        <w:t>”</w:t>
      </w:r>
      <w:r w:rsidR="00806AAA" w:rsidRPr="00112D72">
        <w:rPr>
          <w:rFonts w:ascii="Arial" w:eastAsia="Times New Roman" w:hAnsi="Arial" w:cs="Arial"/>
          <w:sz w:val="24"/>
          <w:szCs w:val="24"/>
          <w:lang w:val="ro-RO" w:eastAsia="ro-RO"/>
        </w:rPr>
        <w:t xml:space="preserve"> </w:t>
      </w:r>
      <w:r w:rsidRPr="00112D72">
        <w:rPr>
          <w:rFonts w:ascii="Arial" w:eastAsia="Times New Roman" w:hAnsi="Arial" w:cs="Arial"/>
          <w:sz w:val="24"/>
          <w:szCs w:val="24"/>
          <w:lang w:val="ro-RO" w:eastAsia="ro-RO"/>
        </w:rPr>
        <w:t>contribuie semnificativ la emisiile de precursori ai ozonului, urmat de</w:t>
      </w:r>
      <w:r w:rsidR="001C6A95" w:rsidRPr="00112D72">
        <w:rPr>
          <w:rFonts w:ascii="Arial" w:eastAsia="Times New Roman" w:hAnsi="Arial" w:cs="Arial"/>
          <w:sz w:val="24"/>
          <w:szCs w:val="24"/>
          <w:lang w:val="ro-RO" w:eastAsia="ro-RO"/>
        </w:rPr>
        <w:t xml:space="preserve"> sectorul transporturi.</w:t>
      </w:r>
    </w:p>
    <w:p w:rsidR="00550FAE" w:rsidRPr="00112D72" w:rsidRDefault="00550FAE" w:rsidP="00550FAE">
      <w:pPr>
        <w:widowControl w:val="0"/>
        <w:autoSpaceDE w:val="0"/>
        <w:autoSpaceDN w:val="0"/>
        <w:adjustRightInd w:val="0"/>
        <w:spacing w:after="0" w:line="240" w:lineRule="auto"/>
        <w:ind w:firstLine="720"/>
        <w:jc w:val="both"/>
        <w:rPr>
          <w:rFonts w:ascii="Arial" w:eastAsia="Times New Roman" w:hAnsi="Arial" w:cs="Arial"/>
          <w:sz w:val="16"/>
          <w:szCs w:val="16"/>
          <w:lang w:val="ro-RO" w:eastAsia="ro-RO"/>
        </w:rPr>
      </w:pPr>
    </w:p>
    <w:p w:rsidR="00704074" w:rsidRPr="00112D72" w:rsidRDefault="00704074" w:rsidP="00704074">
      <w:pPr>
        <w:widowControl w:val="0"/>
        <w:autoSpaceDE w:val="0"/>
        <w:autoSpaceDN w:val="0"/>
        <w:adjustRightInd w:val="0"/>
        <w:spacing w:after="0" w:line="240" w:lineRule="auto"/>
        <w:rPr>
          <w:rFonts w:ascii="Arial" w:hAnsi="Arial" w:cs="Arial"/>
          <w:b/>
          <w:i/>
          <w:sz w:val="24"/>
          <w:szCs w:val="24"/>
          <w:lang w:val="ro-RO"/>
        </w:rPr>
      </w:pPr>
      <w:r w:rsidRPr="00112D72">
        <w:rPr>
          <w:rFonts w:ascii="Arial" w:hAnsi="Arial" w:cs="Arial"/>
          <w:b/>
          <w:bCs/>
          <w:i/>
          <w:sz w:val="24"/>
          <w:szCs w:val="24"/>
          <w:lang w:val="ro-RO" w:eastAsia="ro-RO"/>
        </w:rPr>
        <w:t>Emisii de particule primare şi precursori secundari de particule</w:t>
      </w:r>
    </w:p>
    <w:p w:rsidR="00704074" w:rsidRPr="00112D72" w:rsidRDefault="00704074" w:rsidP="00704074">
      <w:pPr>
        <w:widowControl w:val="0"/>
        <w:autoSpaceDE w:val="0"/>
        <w:autoSpaceDN w:val="0"/>
        <w:adjustRightInd w:val="0"/>
        <w:spacing w:after="0" w:line="240" w:lineRule="auto"/>
        <w:ind w:firstLine="720"/>
        <w:jc w:val="both"/>
        <w:rPr>
          <w:rFonts w:ascii="Arial" w:hAnsi="Arial" w:cs="Arial"/>
          <w:sz w:val="10"/>
          <w:szCs w:val="10"/>
          <w:lang w:val="ro-RO" w:eastAsia="ro-RO"/>
        </w:rPr>
      </w:pPr>
    </w:p>
    <w:tbl>
      <w:tblPr>
        <w:tblStyle w:val="TableGrid"/>
        <w:tblW w:w="0" w:type="auto"/>
        <w:shd w:val="clear" w:color="auto" w:fill="B6DDE8" w:themeFill="accent5" w:themeFillTint="66"/>
        <w:tblLook w:val="04A0"/>
      </w:tblPr>
      <w:tblGrid>
        <w:gridCol w:w="9997"/>
      </w:tblGrid>
      <w:tr w:rsidR="00940AEB" w:rsidRPr="00112D72" w:rsidTr="00940AEB">
        <w:tc>
          <w:tcPr>
            <w:tcW w:w="9997" w:type="dxa"/>
            <w:shd w:val="clear" w:color="auto" w:fill="B6DDE8" w:themeFill="accent5" w:themeFillTint="66"/>
          </w:tcPr>
          <w:p w:rsidR="00940AEB" w:rsidRPr="00112D72" w:rsidRDefault="00940AEB" w:rsidP="00940AEB">
            <w:pPr>
              <w:autoSpaceDE w:val="0"/>
              <w:autoSpaceDN w:val="0"/>
              <w:adjustRightInd w:val="0"/>
              <w:spacing w:after="0" w:line="240" w:lineRule="auto"/>
              <w:rPr>
                <w:rFonts w:ascii="Arial" w:hAnsi="Arial" w:cs="Arial"/>
                <w:lang w:val="ro-RO" w:eastAsia="ro-RO"/>
              </w:rPr>
            </w:pPr>
            <w:r w:rsidRPr="00112D72">
              <w:rPr>
                <w:rFonts w:ascii="Arial" w:hAnsi="Arial" w:cs="Arial"/>
                <w:b/>
                <w:bCs/>
                <w:lang w:val="ro-RO" w:eastAsia="ro-RO"/>
              </w:rPr>
              <w:t>Cod indicator România</w:t>
            </w:r>
            <w:r w:rsidRPr="00112D72">
              <w:rPr>
                <w:rFonts w:ascii="Arial" w:hAnsi="Arial" w:cs="Arial"/>
                <w:lang w:val="ro-RO" w:eastAsia="ro-RO"/>
              </w:rPr>
              <w:t>: RO 03</w:t>
            </w:r>
          </w:p>
          <w:p w:rsidR="00940AEB" w:rsidRPr="00112D72" w:rsidRDefault="00940AEB" w:rsidP="00940AEB">
            <w:pPr>
              <w:autoSpaceDE w:val="0"/>
              <w:autoSpaceDN w:val="0"/>
              <w:adjustRightInd w:val="0"/>
              <w:spacing w:after="0" w:line="240" w:lineRule="auto"/>
              <w:rPr>
                <w:rFonts w:ascii="Arial" w:hAnsi="Arial" w:cs="Arial"/>
                <w:lang w:val="ro-RO" w:eastAsia="ro-RO"/>
              </w:rPr>
            </w:pPr>
            <w:r w:rsidRPr="00112D72">
              <w:rPr>
                <w:rFonts w:ascii="Arial" w:hAnsi="Arial" w:cs="Arial"/>
                <w:b/>
                <w:bCs/>
                <w:lang w:val="ro-RO" w:eastAsia="ro-RO"/>
              </w:rPr>
              <w:t>Cod indicator AEM</w:t>
            </w:r>
            <w:r w:rsidRPr="00112D72">
              <w:rPr>
                <w:rFonts w:ascii="Arial" w:hAnsi="Arial" w:cs="Arial"/>
                <w:lang w:val="ro-RO" w:eastAsia="ro-RO"/>
              </w:rPr>
              <w:t>: CSI 03</w:t>
            </w:r>
          </w:p>
          <w:p w:rsidR="00940AEB" w:rsidRPr="00112D72" w:rsidRDefault="00940AEB" w:rsidP="00940AEB">
            <w:pPr>
              <w:autoSpaceDE w:val="0"/>
              <w:autoSpaceDN w:val="0"/>
              <w:adjustRightInd w:val="0"/>
              <w:spacing w:after="0" w:line="240" w:lineRule="auto"/>
              <w:jc w:val="both"/>
              <w:rPr>
                <w:rFonts w:ascii="Arial" w:hAnsi="Arial" w:cs="Arial"/>
                <w:lang w:val="ro-RO" w:eastAsia="ro-RO"/>
              </w:rPr>
            </w:pPr>
            <w:r w:rsidRPr="00112D72">
              <w:rPr>
                <w:rFonts w:ascii="Arial" w:hAnsi="Arial" w:cs="Arial"/>
                <w:b/>
                <w:bCs/>
                <w:lang w:val="ro-RO" w:eastAsia="ro-RO"/>
              </w:rPr>
              <w:t>DENUMIRE</w:t>
            </w:r>
            <w:r w:rsidRPr="00112D72">
              <w:rPr>
                <w:rFonts w:ascii="Arial" w:hAnsi="Arial" w:cs="Arial"/>
                <w:lang w:val="ro-RO" w:eastAsia="ro-RO"/>
              </w:rPr>
              <w:t>: EMISII DE PARTICULE PRIMARE ŞI PRECURSORI SECUNDARI DE PARTICULE</w:t>
            </w:r>
          </w:p>
          <w:p w:rsidR="00940AEB" w:rsidRPr="00112D72" w:rsidRDefault="00940AEB" w:rsidP="00940AEB">
            <w:pPr>
              <w:autoSpaceDE w:val="0"/>
              <w:autoSpaceDN w:val="0"/>
              <w:adjustRightInd w:val="0"/>
              <w:spacing w:after="0" w:line="240" w:lineRule="auto"/>
              <w:jc w:val="both"/>
              <w:rPr>
                <w:rFonts w:ascii="Arial" w:hAnsi="Arial" w:cs="Arial"/>
                <w:sz w:val="10"/>
                <w:szCs w:val="10"/>
                <w:lang w:val="ro-RO" w:eastAsia="ro-RO"/>
              </w:rPr>
            </w:pPr>
            <w:r w:rsidRPr="00112D72">
              <w:rPr>
                <w:rFonts w:ascii="Arial" w:hAnsi="Arial" w:cs="Arial"/>
                <w:b/>
                <w:bCs/>
                <w:lang w:val="ro-RO" w:eastAsia="ro-RO"/>
              </w:rPr>
              <w:t>DEFINIŢIE</w:t>
            </w:r>
            <w:r w:rsidRPr="00112D72">
              <w:rPr>
                <w:rFonts w:ascii="Arial" w:hAnsi="Arial" w:cs="Arial"/>
                <w:lang w:val="ro-RO" w:eastAsia="ro-RO"/>
              </w:rPr>
              <w:t>: Acest indicator prezintă tendinţele emisiilor de particule primare cu diametrul mai mic de 2,5 μm (PM2,5) şi respectiv 10 μm (PM10) şi de precursori secundari de particule (oxizi de azot (NO</w:t>
            </w:r>
            <w:r w:rsidRPr="00112D72">
              <w:rPr>
                <w:rFonts w:ascii="Arial" w:hAnsi="Arial" w:cs="Arial"/>
                <w:vertAlign w:val="subscript"/>
                <w:lang w:val="ro-RO" w:eastAsia="ro-RO"/>
              </w:rPr>
              <w:t>x</w:t>
            </w:r>
            <w:r w:rsidRPr="00112D72">
              <w:rPr>
                <w:rFonts w:ascii="Arial" w:hAnsi="Arial" w:cs="Arial"/>
                <w:lang w:val="ro-RO" w:eastAsia="ro-RO"/>
              </w:rPr>
              <w:t>), amoniac (NH</w:t>
            </w:r>
            <w:r w:rsidRPr="00112D72">
              <w:rPr>
                <w:rFonts w:ascii="Arial" w:hAnsi="Arial" w:cs="Arial"/>
                <w:vertAlign w:val="subscript"/>
                <w:lang w:val="ro-RO" w:eastAsia="ro-RO"/>
              </w:rPr>
              <w:t>3</w:t>
            </w:r>
            <w:r w:rsidRPr="00112D72">
              <w:rPr>
                <w:rFonts w:ascii="Arial" w:hAnsi="Arial" w:cs="Arial"/>
                <w:lang w:val="ro-RO" w:eastAsia="ro-RO"/>
              </w:rPr>
              <w:t>) şi dioxid de sulf (SO</w:t>
            </w:r>
            <w:r w:rsidRPr="00112D72">
              <w:rPr>
                <w:rFonts w:ascii="Arial" w:hAnsi="Arial" w:cs="Arial"/>
                <w:vertAlign w:val="subscript"/>
                <w:lang w:val="ro-RO" w:eastAsia="ro-RO"/>
              </w:rPr>
              <w:t>2</w:t>
            </w:r>
            <w:r w:rsidRPr="00112D72">
              <w:rPr>
                <w:rFonts w:ascii="Arial" w:hAnsi="Arial" w:cs="Arial"/>
                <w:lang w:val="ro-RO" w:eastAsia="ro-RO"/>
              </w:rPr>
              <w:t>), provenite de la surse antropice, pe sectoare sursă: producerea şi distribuţia energiei; utilizarea energiei în industrie; procese industriale; transportul rutier; transportul nerutier; comercial, instituţional şi rezidenţial; utilizarea solvenţilor şi a altor produse; agricultură; deşeuri; alte surse.</w:t>
            </w:r>
          </w:p>
        </w:tc>
      </w:tr>
    </w:tbl>
    <w:p w:rsidR="00940AEB" w:rsidRPr="00112D72" w:rsidRDefault="00940AEB" w:rsidP="00704074">
      <w:pPr>
        <w:widowControl w:val="0"/>
        <w:autoSpaceDE w:val="0"/>
        <w:autoSpaceDN w:val="0"/>
        <w:adjustRightInd w:val="0"/>
        <w:spacing w:after="0" w:line="240" w:lineRule="auto"/>
        <w:ind w:firstLine="720"/>
        <w:jc w:val="both"/>
        <w:rPr>
          <w:rFonts w:ascii="Arial" w:hAnsi="Arial" w:cs="Arial"/>
          <w:sz w:val="10"/>
          <w:szCs w:val="10"/>
          <w:lang w:val="ro-RO" w:eastAsia="ro-RO"/>
        </w:rPr>
      </w:pPr>
    </w:p>
    <w:p w:rsidR="00B92D66" w:rsidRPr="00112D72" w:rsidRDefault="00B92D66" w:rsidP="00704074">
      <w:pPr>
        <w:widowControl w:val="0"/>
        <w:autoSpaceDE w:val="0"/>
        <w:autoSpaceDN w:val="0"/>
        <w:adjustRightInd w:val="0"/>
        <w:spacing w:after="0" w:line="240" w:lineRule="auto"/>
        <w:ind w:firstLine="720"/>
        <w:jc w:val="both"/>
        <w:rPr>
          <w:rFonts w:ascii="Arial" w:eastAsia="Times New Roman" w:hAnsi="Arial" w:cs="Arial"/>
          <w:sz w:val="24"/>
          <w:szCs w:val="24"/>
          <w:lang w:val="ro-RO" w:eastAsia="ro-RO"/>
        </w:rPr>
      </w:pPr>
      <w:r w:rsidRPr="00112D72">
        <w:rPr>
          <w:rFonts w:ascii="Arial" w:hAnsi="Arial" w:cs="Arial"/>
          <w:sz w:val="24"/>
          <w:szCs w:val="24"/>
          <w:lang w:val="ro-RO" w:eastAsia="ro-RO"/>
        </w:rPr>
        <w:t>Studiile epidemiologice indică existenţa unei asocieri între expunerea pe termen lung şi scurt la poluarea cu particule fine şi diferite efecte semnificative asupra sănătăţii. Particulele fine au efecte adverse asupra sănătăţii umane şi pot fi responsabile pentru şi/sau să contribuie la o serie de probleme respiratorii. În acest context, particulele fine se referă la particulele primare în suspensie (PM2,5 şi PM10) şi emisiile de precursori ai particulelor secundare (NOx, SO</w:t>
      </w:r>
      <w:r w:rsidRPr="00112D72">
        <w:rPr>
          <w:rFonts w:ascii="Arial" w:hAnsi="Arial" w:cs="Arial"/>
          <w:sz w:val="24"/>
          <w:szCs w:val="24"/>
          <w:vertAlign w:val="subscript"/>
          <w:lang w:val="ro-RO" w:eastAsia="ro-RO"/>
        </w:rPr>
        <w:t>x</w:t>
      </w:r>
      <w:r w:rsidRPr="00112D72">
        <w:rPr>
          <w:rFonts w:ascii="Arial" w:hAnsi="Arial" w:cs="Arial"/>
          <w:sz w:val="24"/>
          <w:szCs w:val="24"/>
          <w:lang w:val="ro-RO" w:eastAsia="ro-RO"/>
        </w:rPr>
        <w:t xml:space="preserve"> şi NH</w:t>
      </w:r>
      <w:r w:rsidRPr="00112D72">
        <w:rPr>
          <w:rFonts w:ascii="Arial" w:hAnsi="Arial" w:cs="Arial"/>
          <w:sz w:val="24"/>
          <w:szCs w:val="24"/>
          <w:vertAlign w:val="subscript"/>
          <w:lang w:val="ro-RO" w:eastAsia="ro-RO"/>
        </w:rPr>
        <w:t>3</w:t>
      </w:r>
      <w:r w:rsidRPr="00112D72">
        <w:rPr>
          <w:rFonts w:ascii="Arial" w:hAnsi="Arial" w:cs="Arial"/>
          <w:sz w:val="24"/>
          <w:szCs w:val="24"/>
          <w:lang w:val="ro-RO" w:eastAsia="ro-RO"/>
        </w:rPr>
        <w:t xml:space="preserve">), care sunt transformaţi parţial în particule prin reacţii fotochimice care se produc în atmosferă. </w:t>
      </w:r>
      <w:r w:rsidRPr="00112D72">
        <w:rPr>
          <w:rFonts w:ascii="Arial" w:eastAsia="Times New Roman" w:hAnsi="Arial" w:cs="Arial"/>
          <w:sz w:val="24"/>
          <w:szCs w:val="24"/>
          <w:lang w:val="ro-RO" w:eastAsia="ro-RO"/>
        </w:rPr>
        <w:t xml:space="preserve">Pulberile primare PM2,5 şi PM10 se referă la particule fine (definite ca având diametrul de 2,5 microni, respectiv 10 microni sau mai mic) emise direct în atmosferă. Precursorii secundari de particule </w:t>
      </w:r>
      <w:r w:rsidR="008131BA" w:rsidRPr="00112D72">
        <w:rPr>
          <w:rFonts w:ascii="Arial" w:eastAsia="Times New Roman" w:hAnsi="Arial" w:cs="Arial"/>
          <w:sz w:val="24"/>
          <w:szCs w:val="24"/>
          <w:lang w:val="ro-RO" w:eastAsia="ro-RO"/>
        </w:rPr>
        <w:t>(SO</w:t>
      </w:r>
      <w:r w:rsidR="008131BA" w:rsidRPr="00112D72">
        <w:rPr>
          <w:rFonts w:ascii="Arial" w:eastAsia="Times New Roman" w:hAnsi="Arial" w:cs="Arial"/>
          <w:sz w:val="24"/>
          <w:szCs w:val="24"/>
          <w:vertAlign w:val="subscript"/>
          <w:lang w:val="ro-RO" w:eastAsia="ro-RO"/>
        </w:rPr>
        <w:t>2</w:t>
      </w:r>
      <w:r w:rsidR="008131BA" w:rsidRPr="00112D72">
        <w:rPr>
          <w:rFonts w:ascii="Arial" w:eastAsia="Times New Roman" w:hAnsi="Arial" w:cs="Arial"/>
          <w:sz w:val="24"/>
          <w:szCs w:val="24"/>
          <w:lang w:val="ro-RO" w:eastAsia="ro-RO"/>
        </w:rPr>
        <w:t>, NO</w:t>
      </w:r>
      <w:r w:rsidR="008131BA" w:rsidRPr="00112D72">
        <w:rPr>
          <w:rFonts w:ascii="Arial" w:eastAsia="Times New Roman" w:hAnsi="Arial" w:cs="Arial"/>
          <w:sz w:val="24"/>
          <w:szCs w:val="24"/>
          <w:vertAlign w:val="subscript"/>
          <w:lang w:val="ro-RO" w:eastAsia="ro-RO"/>
        </w:rPr>
        <w:t>x</w:t>
      </w:r>
      <w:r w:rsidR="008131BA" w:rsidRPr="00112D72">
        <w:rPr>
          <w:rFonts w:ascii="Arial" w:eastAsia="Times New Roman" w:hAnsi="Arial" w:cs="Arial"/>
          <w:sz w:val="24"/>
          <w:szCs w:val="24"/>
          <w:lang w:val="ro-RO" w:eastAsia="ro-RO"/>
        </w:rPr>
        <w:t>, NH</w:t>
      </w:r>
      <w:r w:rsidR="008131BA" w:rsidRPr="00112D72">
        <w:rPr>
          <w:rFonts w:ascii="Arial" w:eastAsia="Times New Roman" w:hAnsi="Arial" w:cs="Arial"/>
          <w:sz w:val="24"/>
          <w:szCs w:val="24"/>
          <w:vertAlign w:val="subscript"/>
          <w:lang w:val="ro-RO" w:eastAsia="ro-RO"/>
        </w:rPr>
        <w:t>3</w:t>
      </w:r>
      <w:r w:rsidR="008131BA" w:rsidRPr="00112D72">
        <w:rPr>
          <w:rFonts w:ascii="Arial" w:eastAsia="Times New Roman" w:hAnsi="Arial" w:cs="Arial"/>
          <w:sz w:val="24"/>
          <w:szCs w:val="24"/>
          <w:lang w:val="ro-RO" w:eastAsia="ro-RO"/>
        </w:rPr>
        <w:t xml:space="preserve">) </w:t>
      </w:r>
      <w:r w:rsidRPr="00112D72">
        <w:rPr>
          <w:rFonts w:ascii="Arial" w:eastAsia="Times New Roman" w:hAnsi="Arial" w:cs="Arial"/>
          <w:sz w:val="24"/>
          <w:szCs w:val="24"/>
          <w:lang w:val="ro-RO" w:eastAsia="ro-RO"/>
        </w:rPr>
        <w:t xml:space="preserve">sunt poluanți </w:t>
      </w:r>
      <w:r w:rsidR="008131BA" w:rsidRPr="00112D72">
        <w:rPr>
          <w:rFonts w:ascii="Arial" w:eastAsia="Times New Roman" w:hAnsi="Arial" w:cs="Arial"/>
          <w:sz w:val="24"/>
          <w:szCs w:val="24"/>
          <w:lang w:val="ro-RO" w:eastAsia="ro-RO"/>
        </w:rPr>
        <w:t xml:space="preserve">gazoși </w:t>
      </w:r>
      <w:r w:rsidRPr="00112D72">
        <w:rPr>
          <w:rFonts w:ascii="Arial" w:eastAsia="Times New Roman" w:hAnsi="Arial" w:cs="Arial"/>
          <w:sz w:val="24"/>
          <w:szCs w:val="24"/>
          <w:lang w:val="ro-RO" w:eastAsia="ro-RO"/>
        </w:rPr>
        <w:t xml:space="preserve">care sunt transformaţi parţial în particule prin reacții fotochimice care se </w:t>
      </w:r>
      <w:r w:rsidRPr="00112D72">
        <w:rPr>
          <w:rFonts w:ascii="Arial" w:eastAsia="Times New Roman" w:hAnsi="Arial" w:cs="Arial"/>
          <w:sz w:val="24"/>
          <w:szCs w:val="24"/>
          <w:lang w:val="ro-RO" w:eastAsia="ro-RO"/>
        </w:rPr>
        <w:lastRenderedPageBreak/>
        <w:t>produc în atmosferă</w:t>
      </w:r>
      <w:r w:rsidRPr="00112D72">
        <w:rPr>
          <w:rFonts w:ascii="Arial" w:hAnsi="Arial" w:cs="Arial"/>
          <w:sz w:val="24"/>
          <w:vertAlign w:val="superscript"/>
          <w:lang w:val="ro-RO" w:eastAsia="ro-RO"/>
        </w:rPr>
        <w:footnoteReference w:id="12"/>
      </w:r>
      <w:r w:rsidRPr="00112D72">
        <w:rPr>
          <w:rFonts w:ascii="Arial" w:eastAsia="Times New Roman" w:hAnsi="Arial" w:cs="Arial"/>
          <w:sz w:val="24"/>
          <w:szCs w:val="24"/>
          <w:lang w:val="ro-RO" w:eastAsia="ro-RO"/>
        </w:rPr>
        <w:t>.</w:t>
      </w:r>
    </w:p>
    <w:p w:rsidR="00704074" w:rsidRPr="00112D72" w:rsidRDefault="008131BA" w:rsidP="00704074">
      <w:pPr>
        <w:widowControl w:val="0"/>
        <w:autoSpaceDE w:val="0"/>
        <w:autoSpaceDN w:val="0"/>
        <w:adjustRightInd w:val="0"/>
        <w:spacing w:after="0" w:line="240" w:lineRule="auto"/>
        <w:ind w:firstLine="720"/>
        <w:jc w:val="both"/>
        <w:rPr>
          <w:rFonts w:ascii="Arial" w:hAnsi="Arial" w:cs="Arial"/>
          <w:sz w:val="24"/>
          <w:szCs w:val="24"/>
          <w:lang w:val="ro-RO" w:eastAsia="ro-RO"/>
        </w:rPr>
      </w:pPr>
      <w:r w:rsidRPr="00112D72">
        <w:rPr>
          <w:rFonts w:ascii="Arial" w:hAnsi="Arial" w:cs="Arial"/>
          <w:sz w:val="24"/>
          <w:szCs w:val="24"/>
          <w:lang w:val="ro-RO" w:eastAsia="ro-RO"/>
        </w:rPr>
        <w:t>Astfel, în</w:t>
      </w:r>
      <w:r w:rsidR="00704074" w:rsidRPr="00112D72">
        <w:rPr>
          <w:rFonts w:ascii="Arial" w:hAnsi="Arial" w:cs="Arial"/>
          <w:sz w:val="24"/>
          <w:szCs w:val="24"/>
          <w:lang w:val="ro-RO" w:eastAsia="ro-RO"/>
        </w:rPr>
        <w:t xml:space="preserve"> atmosferă, în prezenţa luminii, dioxidul de sulf se oxidează fotochimic la trioxid de sulf, care, în reacţie cu vaporii de apă din atmosferă, determină formarea de aerosoli de acid sulfuric şi de sulfaţi (pulberi secundare). </w:t>
      </w:r>
    </w:p>
    <w:p w:rsidR="00704074" w:rsidRPr="00112D72" w:rsidRDefault="00704074" w:rsidP="00704074">
      <w:pPr>
        <w:widowControl w:val="0"/>
        <w:autoSpaceDE w:val="0"/>
        <w:autoSpaceDN w:val="0"/>
        <w:adjustRightInd w:val="0"/>
        <w:spacing w:after="0" w:line="240" w:lineRule="auto"/>
        <w:ind w:firstLine="720"/>
        <w:jc w:val="both"/>
        <w:rPr>
          <w:rFonts w:ascii="Arial" w:hAnsi="Arial" w:cs="Arial"/>
          <w:sz w:val="24"/>
          <w:szCs w:val="24"/>
          <w:lang w:val="ro-RO" w:eastAsia="ro-RO"/>
        </w:rPr>
      </w:pPr>
      <w:r w:rsidRPr="00112D72">
        <w:rPr>
          <w:rFonts w:ascii="Arial" w:hAnsi="Arial" w:cs="Arial"/>
          <w:sz w:val="24"/>
          <w:szCs w:val="24"/>
          <w:lang w:val="ro-RO" w:eastAsia="ro-RO"/>
        </w:rPr>
        <w:t>Oxizii de azot (NO</w:t>
      </w:r>
      <w:r w:rsidRPr="00112D72">
        <w:rPr>
          <w:rFonts w:ascii="Arial" w:hAnsi="Arial" w:cs="Arial"/>
          <w:sz w:val="24"/>
          <w:szCs w:val="24"/>
          <w:vertAlign w:val="subscript"/>
          <w:lang w:val="ro-RO" w:eastAsia="ro-RO"/>
        </w:rPr>
        <w:t>x</w:t>
      </w:r>
      <w:r w:rsidRPr="00112D72">
        <w:rPr>
          <w:rFonts w:ascii="Arial" w:hAnsi="Arial" w:cs="Arial"/>
          <w:sz w:val="24"/>
          <w:szCs w:val="24"/>
          <w:lang w:val="ro-RO" w:eastAsia="ro-RO"/>
        </w:rPr>
        <w:t xml:space="preserve">), ca urmare a unor transformări fotochimice în prezenţa altor poluanţi (ozonul, hidrocarburile) şi în reacţie cu vaporii de apă din atmosferă, determină formarea </w:t>
      </w:r>
      <w:r w:rsidR="00090CAF" w:rsidRPr="00112D72">
        <w:rPr>
          <w:rFonts w:ascii="Arial" w:hAnsi="Arial" w:cs="Arial"/>
          <w:sz w:val="24"/>
          <w:szCs w:val="24"/>
          <w:lang w:val="ro-RO" w:eastAsia="ro-RO"/>
        </w:rPr>
        <w:t>de aerosoli de acid</w:t>
      </w:r>
      <w:r w:rsidRPr="00112D72">
        <w:rPr>
          <w:rFonts w:ascii="Arial" w:hAnsi="Arial" w:cs="Arial"/>
          <w:sz w:val="24"/>
          <w:szCs w:val="24"/>
          <w:lang w:val="ro-RO" w:eastAsia="ro-RO"/>
        </w:rPr>
        <w:t xml:space="preserve"> azotic şi </w:t>
      </w:r>
      <w:r w:rsidR="00806AAA">
        <w:rPr>
          <w:rFonts w:ascii="Arial" w:hAnsi="Arial" w:cs="Arial"/>
          <w:sz w:val="24"/>
          <w:szCs w:val="24"/>
          <w:lang w:val="ro-RO" w:eastAsia="ro-RO"/>
        </w:rPr>
        <w:t>de</w:t>
      </w:r>
      <w:r w:rsidRPr="00112D72">
        <w:rPr>
          <w:rFonts w:ascii="Arial" w:hAnsi="Arial" w:cs="Arial"/>
          <w:sz w:val="24"/>
          <w:szCs w:val="24"/>
          <w:lang w:val="ro-RO" w:eastAsia="ro-RO"/>
        </w:rPr>
        <w:t xml:space="preserve"> pulberi secundare, după combinarea cu alte gaze din atmosferă (ex. azotat de amoniu).</w:t>
      </w:r>
    </w:p>
    <w:p w:rsidR="007A0A53" w:rsidRPr="00112D72" w:rsidRDefault="007A0A53" w:rsidP="00704074">
      <w:pPr>
        <w:widowControl w:val="0"/>
        <w:autoSpaceDE w:val="0"/>
        <w:autoSpaceDN w:val="0"/>
        <w:adjustRightInd w:val="0"/>
        <w:spacing w:after="0" w:line="240" w:lineRule="auto"/>
        <w:ind w:firstLine="720"/>
        <w:jc w:val="both"/>
        <w:rPr>
          <w:rFonts w:ascii="Arial" w:hAnsi="Arial" w:cs="Arial"/>
          <w:sz w:val="10"/>
          <w:szCs w:val="10"/>
          <w:lang w:val="ro-RO" w:eastAsia="ro-RO"/>
        </w:rPr>
      </w:pPr>
    </w:p>
    <w:p w:rsidR="00704074" w:rsidRPr="00112D72" w:rsidRDefault="00704074" w:rsidP="00704074">
      <w:pPr>
        <w:widowControl w:val="0"/>
        <w:spacing w:after="0" w:line="240" w:lineRule="auto"/>
        <w:jc w:val="center"/>
        <w:rPr>
          <w:rFonts w:ascii="Arial" w:hAnsi="Arial" w:cs="Arial"/>
          <w:lang w:val="ro-RO"/>
        </w:rPr>
      </w:pPr>
      <w:r w:rsidRPr="00112D72">
        <w:rPr>
          <w:rFonts w:ascii="Arial" w:hAnsi="Arial" w:cs="Arial"/>
          <w:lang w:val="ro-RO"/>
        </w:rPr>
        <w:t xml:space="preserve">Fig. I.2.1.3.  Contribuţia sectoarelor de activitate la emisiile de particule </w:t>
      </w:r>
      <w:r w:rsidR="00B44C94" w:rsidRPr="00112D72">
        <w:rPr>
          <w:rFonts w:ascii="Arial" w:hAnsi="Arial" w:cs="Arial"/>
          <w:lang w:val="ro-RO"/>
        </w:rPr>
        <w:t xml:space="preserve">primare </w:t>
      </w:r>
      <w:r w:rsidRPr="00112D72">
        <w:rPr>
          <w:rFonts w:ascii="Arial" w:hAnsi="Arial" w:cs="Arial"/>
          <w:lang w:val="ro-RO"/>
        </w:rPr>
        <w:t xml:space="preserve">în suspensie </w:t>
      </w:r>
    </w:p>
    <w:p w:rsidR="00704074" w:rsidRPr="00112D72" w:rsidRDefault="00EA7D7E" w:rsidP="00704074">
      <w:pPr>
        <w:widowControl w:val="0"/>
        <w:spacing w:after="0" w:line="240" w:lineRule="auto"/>
        <w:jc w:val="center"/>
        <w:rPr>
          <w:rFonts w:ascii="Arial" w:hAnsi="Arial" w:cs="Arial"/>
          <w:lang w:val="ro-RO"/>
        </w:rPr>
      </w:pPr>
      <w:r w:rsidRPr="00112D72">
        <w:rPr>
          <w:rFonts w:ascii="Arial" w:hAnsi="Arial" w:cs="Arial"/>
          <w:lang w:val="ro-RO"/>
        </w:rPr>
        <w:t>în anul 2017</w:t>
      </w:r>
      <w:r w:rsidR="00704074" w:rsidRPr="00112D72">
        <w:rPr>
          <w:rFonts w:ascii="Arial" w:hAnsi="Arial" w:cs="Arial"/>
          <w:lang w:val="ro-RO"/>
        </w:rPr>
        <w:t>, în judeţul Suceava</w:t>
      </w:r>
    </w:p>
    <w:p w:rsidR="00704074" w:rsidRPr="00112D72" w:rsidRDefault="00704074" w:rsidP="00704074">
      <w:pPr>
        <w:widowControl w:val="0"/>
        <w:spacing w:after="0" w:line="240" w:lineRule="auto"/>
        <w:jc w:val="center"/>
        <w:rPr>
          <w:b/>
          <w:bCs/>
          <w:sz w:val="20"/>
          <w:szCs w:val="20"/>
          <w:lang w:val="ro-RO"/>
        </w:rPr>
      </w:pPr>
      <w:r w:rsidRPr="00112D72">
        <w:rPr>
          <w:b/>
          <w:bCs/>
          <w:noProof/>
          <w:sz w:val="20"/>
          <w:szCs w:val="20"/>
          <w:lang w:val="ro-RO" w:eastAsia="ro-RO"/>
        </w:rPr>
        <w:drawing>
          <wp:inline distT="0" distB="0" distL="0" distR="0">
            <wp:extent cx="5438775" cy="1514475"/>
            <wp:effectExtent l="19050" t="0" r="0" b="0"/>
            <wp:docPr id="8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A0A53" w:rsidRPr="00112D72" w:rsidRDefault="007A0A53" w:rsidP="00704074">
      <w:pPr>
        <w:widowControl w:val="0"/>
        <w:autoSpaceDE w:val="0"/>
        <w:autoSpaceDN w:val="0"/>
        <w:adjustRightInd w:val="0"/>
        <w:spacing w:after="0" w:line="240" w:lineRule="auto"/>
        <w:ind w:firstLine="720"/>
        <w:jc w:val="both"/>
        <w:rPr>
          <w:rFonts w:ascii="Arial" w:hAnsi="Arial" w:cs="Arial"/>
          <w:sz w:val="10"/>
          <w:szCs w:val="10"/>
          <w:lang w:val="ro-RO" w:eastAsia="ro-RO"/>
        </w:rPr>
      </w:pPr>
    </w:p>
    <w:p w:rsidR="00704074" w:rsidRPr="00112D72" w:rsidRDefault="001C6A95" w:rsidP="001C6A95">
      <w:pPr>
        <w:autoSpaceDE w:val="0"/>
        <w:autoSpaceDN w:val="0"/>
        <w:adjustRightInd w:val="0"/>
        <w:spacing w:after="0" w:line="240" w:lineRule="auto"/>
        <w:ind w:firstLine="720"/>
        <w:jc w:val="both"/>
        <w:rPr>
          <w:rFonts w:ascii="Arial" w:eastAsia="Times New Roman" w:hAnsi="Arial" w:cs="Arial"/>
          <w:sz w:val="24"/>
          <w:szCs w:val="24"/>
          <w:lang w:val="ro-RO" w:eastAsia="ro-RO"/>
        </w:rPr>
      </w:pPr>
      <w:r w:rsidRPr="00112D72">
        <w:rPr>
          <w:rFonts w:ascii="Arial" w:eastAsia="Times New Roman" w:hAnsi="Arial" w:cs="Arial"/>
          <w:sz w:val="24"/>
          <w:szCs w:val="24"/>
          <w:lang w:val="ro-RO" w:eastAsia="ro-RO"/>
        </w:rPr>
        <w:t xml:space="preserve">Din fig. I.2.1.3 se observă că </w:t>
      </w:r>
      <w:r w:rsidR="00806AAA" w:rsidRPr="00112D72">
        <w:rPr>
          <w:rFonts w:ascii="Arial" w:eastAsia="Times New Roman" w:hAnsi="Arial" w:cs="Arial"/>
          <w:sz w:val="24"/>
          <w:szCs w:val="24"/>
          <w:lang w:val="ro-RO" w:eastAsia="ro-RO"/>
        </w:rPr>
        <w:t xml:space="preserve">sectorul </w:t>
      </w:r>
      <w:r w:rsidR="00806AAA">
        <w:rPr>
          <w:rFonts w:ascii="Arial" w:eastAsia="Times New Roman" w:hAnsi="Arial" w:cs="Arial"/>
          <w:sz w:val="24"/>
          <w:szCs w:val="24"/>
          <w:lang w:val="ro-RO" w:eastAsia="ro-RO"/>
        </w:rPr>
        <w:t>„</w:t>
      </w:r>
      <w:r w:rsidR="00806AAA" w:rsidRPr="00806AAA">
        <w:rPr>
          <w:rFonts w:ascii="Arial" w:eastAsia="Times New Roman" w:hAnsi="Arial" w:cs="Arial"/>
          <w:i/>
          <w:sz w:val="24"/>
          <w:szCs w:val="24"/>
          <w:lang w:val="ro-RO" w:eastAsia="ro-RO"/>
        </w:rPr>
        <w:t>Energie</w:t>
      </w:r>
      <w:r w:rsidR="00806AAA">
        <w:rPr>
          <w:rFonts w:ascii="Arial" w:eastAsia="Times New Roman" w:hAnsi="Arial" w:cs="Arial"/>
          <w:sz w:val="24"/>
          <w:szCs w:val="24"/>
          <w:lang w:val="ro-RO" w:eastAsia="ro-RO"/>
        </w:rPr>
        <w:t>”</w:t>
      </w:r>
      <w:r w:rsidR="00806AAA" w:rsidRPr="00112D72">
        <w:rPr>
          <w:rFonts w:ascii="Arial" w:eastAsia="Times New Roman" w:hAnsi="Arial" w:cs="Arial"/>
          <w:sz w:val="24"/>
          <w:szCs w:val="24"/>
          <w:lang w:val="ro-RO" w:eastAsia="ro-RO"/>
        </w:rPr>
        <w:t xml:space="preserve"> </w:t>
      </w:r>
      <w:r w:rsidR="003A3C23" w:rsidRPr="00112D72">
        <w:rPr>
          <w:rFonts w:ascii="Arial" w:eastAsia="Times New Roman" w:hAnsi="Arial" w:cs="Arial"/>
          <w:sz w:val="24"/>
          <w:szCs w:val="24"/>
          <w:lang w:val="ro-RO" w:eastAsia="ro-RO"/>
        </w:rPr>
        <w:t xml:space="preserve">are </w:t>
      </w:r>
      <w:r w:rsidRPr="00112D72">
        <w:rPr>
          <w:rFonts w:ascii="Arial" w:eastAsia="Times New Roman" w:hAnsi="Arial" w:cs="Arial"/>
          <w:sz w:val="24"/>
          <w:szCs w:val="24"/>
          <w:lang w:val="ro-RO" w:eastAsia="ro-RO"/>
        </w:rPr>
        <w:t xml:space="preserve">ponderea cea mai mare </w:t>
      </w:r>
      <w:r w:rsidR="003A3C23" w:rsidRPr="00112D72">
        <w:rPr>
          <w:rFonts w:ascii="Arial" w:eastAsia="Times New Roman" w:hAnsi="Arial" w:cs="Arial"/>
          <w:sz w:val="24"/>
          <w:szCs w:val="24"/>
          <w:lang w:val="ro-RO" w:eastAsia="ro-RO"/>
        </w:rPr>
        <w:t>din</w:t>
      </w:r>
      <w:r w:rsidRPr="00112D72">
        <w:rPr>
          <w:rFonts w:ascii="Arial" w:eastAsia="Times New Roman" w:hAnsi="Arial" w:cs="Arial"/>
          <w:sz w:val="24"/>
          <w:szCs w:val="24"/>
          <w:lang w:val="ro-RO" w:eastAsia="ro-RO"/>
        </w:rPr>
        <w:t xml:space="preserve"> emisiile totale de pulberi primare în suspensie PM10 și PM2,5 din județul Suceava.</w:t>
      </w:r>
    </w:p>
    <w:p w:rsidR="001C6A95" w:rsidRPr="00112D72" w:rsidRDefault="001C6A95" w:rsidP="00704074">
      <w:pPr>
        <w:widowControl w:val="0"/>
        <w:autoSpaceDE w:val="0"/>
        <w:autoSpaceDN w:val="0"/>
        <w:adjustRightInd w:val="0"/>
        <w:spacing w:after="0" w:line="240" w:lineRule="auto"/>
        <w:ind w:firstLine="720"/>
        <w:jc w:val="both"/>
        <w:rPr>
          <w:rFonts w:ascii="Arial" w:eastAsia="Times New Roman" w:hAnsi="Arial" w:cs="Arial"/>
          <w:sz w:val="16"/>
          <w:szCs w:val="16"/>
          <w:lang w:val="ro-RO" w:eastAsia="ro-RO"/>
        </w:rPr>
      </w:pPr>
    </w:p>
    <w:p w:rsidR="00704074" w:rsidRPr="00112D72" w:rsidRDefault="00704074" w:rsidP="00704074">
      <w:pPr>
        <w:widowControl w:val="0"/>
        <w:spacing w:after="0" w:line="240" w:lineRule="auto"/>
        <w:rPr>
          <w:rFonts w:ascii="Arial" w:hAnsi="Arial" w:cs="Arial"/>
          <w:b/>
          <w:bCs/>
          <w:i/>
          <w:sz w:val="24"/>
          <w:szCs w:val="24"/>
          <w:lang w:val="ro-RO"/>
        </w:rPr>
      </w:pPr>
      <w:r w:rsidRPr="00112D72">
        <w:rPr>
          <w:rFonts w:ascii="Arial" w:hAnsi="Arial" w:cs="Arial"/>
          <w:b/>
          <w:bCs/>
          <w:i/>
          <w:sz w:val="24"/>
          <w:szCs w:val="24"/>
          <w:lang w:val="ro-RO"/>
        </w:rPr>
        <w:t>Emisii de metale grele</w:t>
      </w:r>
    </w:p>
    <w:p w:rsidR="00704074" w:rsidRPr="00112D72" w:rsidRDefault="00704074" w:rsidP="00704074">
      <w:pPr>
        <w:widowControl w:val="0"/>
        <w:spacing w:after="0" w:line="240" w:lineRule="auto"/>
        <w:rPr>
          <w:rFonts w:ascii="Arial" w:hAnsi="Arial" w:cs="Arial"/>
          <w:b/>
          <w:bCs/>
          <w:i/>
          <w:sz w:val="10"/>
          <w:szCs w:val="10"/>
          <w:lang w:val="ro-RO"/>
        </w:rPr>
      </w:pPr>
    </w:p>
    <w:tbl>
      <w:tblPr>
        <w:tblStyle w:val="TableGrid"/>
        <w:tblW w:w="0" w:type="auto"/>
        <w:shd w:val="clear" w:color="auto" w:fill="B6DDE8" w:themeFill="accent5" w:themeFillTint="66"/>
        <w:tblLook w:val="04A0"/>
      </w:tblPr>
      <w:tblGrid>
        <w:gridCol w:w="9997"/>
      </w:tblGrid>
      <w:tr w:rsidR="00090CAF" w:rsidRPr="00112D72" w:rsidTr="00090CAF">
        <w:tc>
          <w:tcPr>
            <w:tcW w:w="9997" w:type="dxa"/>
            <w:shd w:val="clear" w:color="auto" w:fill="B6DDE8" w:themeFill="accent5" w:themeFillTint="66"/>
          </w:tcPr>
          <w:p w:rsidR="00090CAF" w:rsidRPr="00112D72" w:rsidRDefault="00090CAF" w:rsidP="00090CAF">
            <w:pPr>
              <w:autoSpaceDE w:val="0"/>
              <w:autoSpaceDN w:val="0"/>
              <w:adjustRightInd w:val="0"/>
              <w:spacing w:after="0" w:line="240" w:lineRule="auto"/>
              <w:rPr>
                <w:rFonts w:ascii="Arial" w:hAnsi="Arial" w:cs="Arial"/>
                <w:lang w:val="ro-RO" w:eastAsia="ro-RO"/>
              </w:rPr>
            </w:pPr>
            <w:r w:rsidRPr="00112D72">
              <w:rPr>
                <w:rFonts w:ascii="Arial" w:hAnsi="Arial" w:cs="Arial"/>
                <w:b/>
                <w:bCs/>
                <w:lang w:val="ro-RO" w:eastAsia="ro-RO"/>
              </w:rPr>
              <w:t>Cod indicator România</w:t>
            </w:r>
            <w:r w:rsidRPr="00112D72">
              <w:rPr>
                <w:rFonts w:ascii="Arial" w:hAnsi="Arial" w:cs="Arial"/>
                <w:lang w:val="ro-RO" w:eastAsia="ro-RO"/>
              </w:rPr>
              <w:t>: RO 38</w:t>
            </w:r>
          </w:p>
          <w:p w:rsidR="00090CAF" w:rsidRPr="00112D72" w:rsidRDefault="00090CAF" w:rsidP="00090CAF">
            <w:pPr>
              <w:autoSpaceDE w:val="0"/>
              <w:autoSpaceDN w:val="0"/>
              <w:adjustRightInd w:val="0"/>
              <w:spacing w:after="0" w:line="240" w:lineRule="auto"/>
              <w:rPr>
                <w:rFonts w:ascii="Arial" w:hAnsi="Arial" w:cs="Arial"/>
                <w:lang w:val="ro-RO" w:eastAsia="ro-RO"/>
              </w:rPr>
            </w:pPr>
            <w:r w:rsidRPr="00112D72">
              <w:rPr>
                <w:rFonts w:ascii="Arial" w:hAnsi="Arial" w:cs="Arial"/>
                <w:b/>
                <w:bCs/>
                <w:lang w:val="ro-RO" w:eastAsia="ro-RO"/>
              </w:rPr>
              <w:t>Cod indicator AEM</w:t>
            </w:r>
            <w:r w:rsidRPr="00112D72">
              <w:rPr>
                <w:rFonts w:ascii="Arial" w:hAnsi="Arial" w:cs="Arial"/>
                <w:lang w:val="ro-RO" w:eastAsia="ro-RO"/>
              </w:rPr>
              <w:t>: APE 05</w:t>
            </w:r>
          </w:p>
          <w:p w:rsidR="00090CAF" w:rsidRPr="00112D72" w:rsidRDefault="00090CAF" w:rsidP="00090CAF">
            <w:pPr>
              <w:autoSpaceDE w:val="0"/>
              <w:autoSpaceDN w:val="0"/>
              <w:adjustRightInd w:val="0"/>
              <w:spacing w:after="0" w:line="240" w:lineRule="auto"/>
              <w:rPr>
                <w:rFonts w:ascii="Arial" w:hAnsi="Arial" w:cs="Arial"/>
                <w:lang w:val="ro-RO" w:eastAsia="ro-RO"/>
              </w:rPr>
            </w:pPr>
            <w:r w:rsidRPr="00112D72">
              <w:rPr>
                <w:rFonts w:ascii="Arial" w:hAnsi="Arial" w:cs="Arial"/>
                <w:b/>
                <w:bCs/>
                <w:lang w:val="ro-RO" w:eastAsia="ro-RO"/>
              </w:rPr>
              <w:t>DENUMIRE</w:t>
            </w:r>
            <w:r w:rsidRPr="00112D72">
              <w:rPr>
                <w:rFonts w:ascii="Arial" w:hAnsi="Arial" w:cs="Arial"/>
                <w:lang w:val="ro-RO" w:eastAsia="ro-RO"/>
              </w:rPr>
              <w:t>: EMISII DE METALE GRELE</w:t>
            </w:r>
          </w:p>
          <w:p w:rsidR="00090CAF" w:rsidRPr="00112D72" w:rsidRDefault="00090CAF" w:rsidP="00090CAF">
            <w:pPr>
              <w:autoSpaceDE w:val="0"/>
              <w:autoSpaceDN w:val="0"/>
              <w:adjustRightInd w:val="0"/>
              <w:spacing w:after="0" w:line="240" w:lineRule="auto"/>
              <w:jc w:val="both"/>
              <w:rPr>
                <w:rFonts w:ascii="Arial" w:hAnsi="Arial" w:cs="Arial"/>
                <w:b/>
                <w:bCs/>
                <w:i/>
                <w:sz w:val="10"/>
                <w:szCs w:val="10"/>
                <w:lang w:val="ro-RO"/>
              </w:rPr>
            </w:pPr>
            <w:r w:rsidRPr="00112D72">
              <w:rPr>
                <w:rFonts w:ascii="Arial" w:hAnsi="Arial" w:cs="Arial"/>
                <w:b/>
                <w:bCs/>
                <w:lang w:val="ro-RO" w:eastAsia="ro-RO"/>
              </w:rPr>
              <w:t>DEFINIŢIE</w:t>
            </w:r>
            <w:r w:rsidRPr="00112D72">
              <w:rPr>
                <w:rFonts w:ascii="Arial" w:hAnsi="Arial" w:cs="Arial"/>
                <w:lang w:val="ro-RO" w:eastAsia="ro-RO"/>
              </w:rPr>
              <w:t>: Tendinţele emisiilor antropice de metale grele pe sectoare de activitate: producerea şi distribuţia energiei; utilizarea energiei în industrie; procese industriale; transportul rutier; transportul nerutier; comercial, instituţional şi rezidenţial; utilizarea solvenţilor şi a altor produse; agricultură; deşeuri; alte surse.</w:t>
            </w:r>
          </w:p>
        </w:tc>
      </w:tr>
    </w:tbl>
    <w:p w:rsidR="00090CAF" w:rsidRPr="00112D72" w:rsidRDefault="00090CAF" w:rsidP="00704074">
      <w:pPr>
        <w:widowControl w:val="0"/>
        <w:spacing w:after="0" w:line="240" w:lineRule="auto"/>
        <w:rPr>
          <w:rFonts w:ascii="Arial" w:hAnsi="Arial" w:cs="Arial"/>
          <w:b/>
          <w:bCs/>
          <w:i/>
          <w:sz w:val="10"/>
          <w:szCs w:val="10"/>
          <w:lang w:val="ro-RO"/>
        </w:rPr>
      </w:pPr>
    </w:p>
    <w:p w:rsidR="00704074" w:rsidRPr="00112D72" w:rsidRDefault="00704074" w:rsidP="00704074">
      <w:pPr>
        <w:widowControl w:val="0"/>
        <w:autoSpaceDE w:val="0"/>
        <w:autoSpaceDN w:val="0"/>
        <w:adjustRightInd w:val="0"/>
        <w:spacing w:after="0" w:line="240" w:lineRule="auto"/>
        <w:ind w:firstLine="720"/>
        <w:jc w:val="both"/>
        <w:rPr>
          <w:rFonts w:ascii="Arial" w:hAnsi="Arial" w:cs="Arial"/>
          <w:sz w:val="24"/>
          <w:szCs w:val="24"/>
          <w:lang w:val="ro-RO" w:eastAsia="ro-RO"/>
        </w:rPr>
      </w:pPr>
      <w:r w:rsidRPr="00112D72">
        <w:rPr>
          <w:rFonts w:ascii="Arial" w:hAnsi="Arial" w:cs="Arial"/>
          <w:sz w:val="24"/>
          <w:szCs w:val="24"/>
          <w:lang w:val="ro-RO" w:eastAsia="ro-RO"/>
        </w:rPr>
        <w:t xml:space="preserve">Metalele grele (cum ar fi cadmiul, mercurul şi plumbul) sunt toxice pentru biotă şi pot afecta numeroase funcţii ale organismului. Pot avea efecte pe termen lung prin capacitatea de acumulare în ţesuturi. Foarte important este faptul că se acumulează în mediu şi organismul uman, cu posibilitatea de a produce în mod insidios alterări patologice grave. </w:t>
      </w:r>
    </w:p>
    <w:p w:rsidR="00704074" w:rsidRPr="00112D72" w:rsidRDefault="00704074" w:rsidP="00704074">
      <w:pPr>
        <w:widowControl w:val="0"/>
        <w:autoSpaceDE w:val="0"/>
        <w:autoSpaceDN w:val="0"/>
        <w:adjustRightInd w:val="0"/>
        <w:spacing w:after="0" w:line="240" w:lineRule="auto"/>
        <w:ind w:firstLine="720"/>
        <w:jc w:val="both"/>
        <w:rPr>
          <w:rFonts w:ascii="Arial" w:hAnsi="Arial" w:cs="Arial"/>
          <w:sz w:val="24"/>
          <w:szCs w:val="24"/>
          <w:lang w:val="ro-RO" w:eastAsia="ro-RO"/>
        </w:rPr>
      </w:pPr>
      <w:r w:rsidRPr="00112D72">
        <w:rPr>
          <w:rFonts w:ascii="Arial" w:hAnsi="Arial" w:cs="Arial"/>
          <w:sz w:val="24"/>
          <w:szCs w:val="24"/>
          <w:lang w:val="ro-RO" w:eastAsia="ro-RO"/>
        </w:rPr>
        <w:t xml:space="preserve">Metalele grele se concentrează la nivelul fiecărui nivel trofic </w:t>
      </w:r>
      <w:r w:rsidR="00A93E50" w:rsidRPr="00112D72">
        <w:rPr>
          <w:rFonts w:ascii="Arial" w:hAnsi="Arial" w:cs="Arial"/>
          <w:sz w:val="24"/>
          <w:szCs w:val="24"/>
          <w:lang w:val="ro-RO" w:eastAsia="ro-RO"/>
        </w:rPr>
        <w:t>datorită slabei lor mobilităţi</w:t>
      </w:r>
      <w:r w:rsidRPr="00112D72">
        <w:rPr>
          <w:rFonts w:ascii="Arial" w:hAnsi="Arial" w:cs="Arial"/>
          <w:sz w:val="24"/>
          <w:szCs w:val="24"/>
          <w:lang w:val="ro-RO" w:eastAsia="ro-RO"/>
        </w:rPr>
        <w:t xml:space="preserve">, concentraţia cea mai mare fiind atinsă la capetele lanţurilor trofice, respectiv la răpitorii de vârf şi implicit la om. </w:t>
      </w:r>
    </w:p>
    <w:p w:rsidR="00704074" w:rsidRPr="00112D72" w:rsidRDefault="00704074" w:rsidP="00704074">
      <w:pPr>
        <w:widowControl w:val="0"/>
        <w:autoSpaceDE w:val="0"/>
        <w:autoSpaceDN w:val="0"/>
        <w:adjustRightInd w:val="0"/>
        <w:spacing w:after="0" w:line="240" w:lineRule="auto"/>
        <w:ind w:firstLine="720"/>
        <w:jc w:val="both"/>
        <w:rPr>
          <w:rFonts w:ascii="Arial" w:hAnsi="Arial" w:cs="Arial"/>
          <w:sz w:val="24"/>
          <w:szCs w:val="24"/>
          <w:lang w:val="ro-RO" w:eastAsia="ro-RO"/>
        </w:rPr>
      </w:pPr>
      <w:r w:rsidRPr="00112D72">
        <w:rPr>
          <w:rFonts w:ascii="Arial" w:hAnsi="Arial" w:cs="Arial"/>
          <w:sz w:val="24"/>
          <w:szCs w:val="24"/>
          <w:lang w:val="ro-RO" w:eastAsia="ro-RO"/>
        </w:rPr>
        <w:t xml:space="preserve">Poluanţii de tip metale grele sunt deosebit de periculoşi prin remanenţa de lungă durată în sol şi datorită preluării lor de către plante şi animale. Acestor elemente de toxicitate li se adaugă posibilitatea combinării metalelor grele cu minerale şi oligominerale, devenind blocanţi ai acestora, frustrând organismele de aceste elemente indispensabile vieţii. </w:t>
      </w:r>
    </w:p>
    <w:p w:rsidR="00704074" w:rsidRPr="00112D72" w:rsidRDefault="00704074" w:rsidP="00704074">
      <w:pPr>
        <w:widowControl w:val="0"/>
        <w:autoSpaceDE w:val="0"/>
        <w:autoSpaceDN w:val="0"/>
        <w:adjustRightInd w:val="0"/>
        <w:spacing w:after="0" w:line="240" w:lineRule="auto"/>
        <w:ind w:firstLine="720"/>
        <w:jc w:val="both"/>
        <w:rPr>
          <w:rFonts w:ascii="Arial" w:hAnsi="Arial" w:cs="Arial"/>
          <w:sz w:val="24"/>
          <w:szCs w:val="24"/>
          <w:lang w:val="ro-RO" w:eastAsia="ro-RO"/>
        </w:rPr>
      </w:pPr>
      <w:r w:rsidRPr="00112D72">
        <w:rPr>
          <w:rFonts w:ascii="Arial" w:hAnsi="Arial" w:cs="Arial"/>
          <w:sz w:val="24"/>
          <w:szCs w:val="24"/>
          <w:lang w:val="ro-RO" w:eastAsia="ro-RO"/>
        </w:rPr>
        <w:t xml:space="preserve">Există patru categorii de surse de emisie: staţionare (procesele industriale, arderile industriale şi casnice), mobile (trafic auto), naturale (erupţii vulcanice, incendii de pădure) şi poluările accidentale (deversări, incendii industriale). </w:t>
      </w:r>
    </w:p>
    <w:p w:rsidR="00704074" w:rsidRPr="00112D72" w:rsidRDefault="00704074" w:rsidP="00704074">
      <w:pPr>
        <w:widowControl w:val="0"/>
        <w:autoSpaceDE w:val="0"/>
        <w:autoSpaceDN w:val="0"/>
        <w:adjustRightInd w:val="0"/>
        <w:spacing w:after="0" w:line="240" w:lineRule="auto"/>
        <w:ind w:firstLine="720"/>
        <w:jc w:val="both"/>
        <w:rPr>
          <w:rFonts w:ascii="Arial" w:hAnsi="Arial" w:cs="Arial"/>
          <w:sz w:val="24"/>
          <w:szCs w:val="24"/>
          <w:lang w:val="ro-RO" w:eastAsia="ro-RO"/>
        </w:rPr>
      </w:pPr>
      <w:r w:rsidRPr="00112D72">
        <w:rPr>
          <w:rFonts w:ascii="Arial" w:hAnsi="Arial" w:cs="Arial"/>
          <w:sz w:val="24"/>
          <w:szCs w:val="24"/>
          <w:lang w:val="ro-RO" w:eastAsia="ro-RO"/>
        </w:rPr>
        <w:t xml:space="preserve">O dată ajunse în mediu, metalele grele suferă un proces de absorbţie între diferitele medii de viaţă (aer, apă, sol), dar şi între organismele din ecosistemele respective. Astfel, din aer, metalele grele pot fi inhalate direct sau pot contribui la poluarea solului prin precipitaţii. Din solul contaminat, plantele, pe de o parte, asimilează metalele dizolvate, iar, pe de altă parte, se produce poluarea prin infiltraţie a apelor subterane, din care, ulterior, </w:t>
      </w:r>
      <w:r w:rsidRPr="00112D72">
        <w:rPr>
          <w:rFonts w:ascii="Arial" w:hAnsi="Arial" w:cs="Arial"/>
          <w:sz w:val="24"/>
          <w:szCs w:val="24"/>
          <w:lang w:val="ro-RO" w:eastAsia="ro-RO"/>
        </w:rPr>
        <w:lastRenderedPageBreak/>
        <w:t>are loc transferul poluanţilor spre apele de suprafaţă şi spre cele potabile. Plantele contaminate cu metale grele reprezintă hrană pentru animale şi om.</w:t>
      </w:r>
      <w:r w:rsidRPr="00112D72">
        <w:rPr>
          <w:rFonts w:ascii="Arial" w:hAnsi="Arial" w:cs="Arial"/>
          <w:sz w:val="24"/>
          <w:vertAlign w:val="superscript"/>
          <w:lang w:val="ro-RO" w:eastAsia="ro-RO"/>
        </w:rPr>
        <w:footnoteReference w:id="13"/>
      </w:r>
      <w:r w:rsidRPr="00112D72">
        <w:rPr>
          <w:rFonts w:ascii="Arial" w:hAnsi="Arial" w:cs="Arial"/>
          <w:sz w:val="24"/>
          <w:szCs w:val="24"/>
          <w:lang w:val="ro-RO" w:eastAsia="ro-RO"/>
        </w:rPr>
        <w:t xml:space="preserve"> </w:t>
      </w:r>
    </w:p>
    <w:p w:rsidR="00704074" w:rsidRPr="00112D72" w:rsidRDefault="00704074" w:rsidP="00704074">
      <w:pPr>
        <w:widowControl w:val="0"/>
        <w:spacing w:after="0" w:line="240" w:lineRule="auto"/>
        <w:rPr>
          <w:rFonts w:ascii="Arial" w:hAnsi="Arial" w:cs="Arial"/>
          <w:b/>
          <w:bCs/>
          <w:sz w:val="10"/>
          <w:szCs w:val="10"/>
          <w:lang w:val="ro-RO"/>
        </w:rPr>
      </w:pPr>
    </w:p>
    <w:p w:rsidR="00704074" w:rsidRPr="00112D72" w:rsidRDefault="00704074" w:rsidP="00704074">
      <w:pPr>
        <w:widowControl w:val="0"/>
        <w:spacing w:after="0" w:line="240" w:lineRule="auto"/>
        <w:jc w:val="center"/>
        <w:rPr>
          <w:lang w:val="ro-RO"/>
        </w:rPr>
      </w:pPr>
      <w:r w:rsidRPr="00112D72">
        <w:rPr>
          <w:rFonts w:ascii="Arial" w:hAnsi="Arial" w:cs="Arial"/>
          <w:lang w:val="ro-RO"/>
        </w:rPr>
        <w:t>Fig. I.2.1.4. Contribuţiile sectoarelor de activitate la emisiile de metale grele</w:t>
      </w:r>
      <w:r w:rsidRPr="00112D72">
        <w:rPr>
          <w:lang w:val="ro-RO"/>
        </w:rPr>
        <w:t xml:space="preserve"> </w:t>
      </w:r>
    </w:p>
    <w:p w:rsidR="00704074" w:rsidRPr="00112D72" w:rsidRDefault="00EA7D7E" w:rsidP="00704074">
      <w:pPr>
        <w:widowControl w:val="0"/>
        <w:spacing w:after="0" w:line="240" w:lineRule="auto"/>
        <w:jc w:val="center"/>
        <w:rPr>
          <w:rFonts w:ascii="Arial" w:hAnsi="Arial" w:cs="Arial"/>
          <w:lang w:val="ro-RO"/>
        </w:rPr>
      </w:pPr>
      <w:r w:rsidRPr="00112D72">
        <w:rPr>
          <w:rFonts w:ascii="Arial" w:hAnsi="Arial" w:cs="Arial"/>
          <w:lang w:val="ro-RO"/>
        </w:rPr>
        <w:t>în anul 2017</w:t>
      </w:r>
      <w:r w:rsidR="00704074" w:rsidRPr="00112D72">
        <w:rPr>
          <w:rFonts w:ascii="Arial" w:hAnsi="Arial" w:cs="Arial"/>
          <w:lang w:val="ro-RO"/>
        </w:rPr>
        <w:t>, în judeţul Suceava</w:t>
      </w:r>
    </w:p>
    <w:p w:rsidR="00704074" w:rsidRPr="00112D72" w:rsidRDefault="00704074" w:rsidP="00704074">
      <w:pPr>
        <w:widowControl w:val="0"/>
        <w:spacing w:after="0" w:line="240" w:lineRule="auto"/>
        <w:jc w:val="center"/>
        <w:rPr>
          <w:lang w:val="ro-RO"/>
        </w:rPr>
      </w:pPr>
      <w:r w:rsidRPr="00112D72">
        <w:rPr>
          <w:noProof/>
          <w:lang w:val="ro-RO" w:eastAsia="ro-RO"/>
        </w:rPr>
        <w:drawing>
          <wp:inline distT="0" distB="0" distL="0" distR="0">
            <wp:extent cx="5628005" cy="1524000"/>
            <wp:effectExtent l="19050" t="0" r="10795" b="0"/>
            <wp:docPr id="8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A0A53" w:rsidRPr="00112D72" w:rsidRDefault="007A0A53" w:rsidP="00704074">
      <w:pPr>
        <w:widowControl w:val="0"/>
        <w:spacing w:after="0" w:line="240" w:lineRule="auto"/>
        <w:rPr>
          <w:rFonts w:ascii="Arial" w:hAnsi="Arial" w:cs="Arial"/>
          <w:b/>
          <w:bCs/>
          <w:i/>
          <w:sz w:val="10"/>
          <w:szCs w:val="10"/>
          <w:lang w:val="ro-RO"/>
        </w:rPr>
      </w:pPr>
    </w:p>
    <w:p w:rsidR="001C6A95" w:rsidRPr="00112D72" w:rsidRDefault="001C6A95" w:rsidP="001C6A95">
      <w:pPr>
        <w:widowControl w:val="0"/>
        <w:autoSpaceDE w:val="0"/>
        <w:autoSpaceDN w:val="0"/>
        <w:adjustRightInd w:val="0"/>
        <w:spacing w:after="0" w:line="240" w:lineRule="auto"/>
        <w:ind w:firstLine="720"/>
        <w:jc w:val="both"/>
        <w:rPr>
          <w:rFonts w:ascii="Arial" w:eastAsia="Times New Roman" w:hAnsi="Arial" w:cs="Arial"/>
          <w:sz w:val="24"/>
          <w:szCs w:val="24"/>
          <w:lang w:val="ro-RO" w:eastAsia="ro-RO"/>
        </w:rPr>
      </w:pPr>
      <w:r w:rsidRPr="00112D72">
        <w:rPr>
          <w:rFonts w:ascii="Arial" w:eastAsia="Times New Roman" w:hAnsi="Arial" w:cs="Arial"/>
          <w:sz w:val="24"/>
          <w:szCs w:val="24"/>
          <w:lang w:val="ro-RO" w:eastAsia="ro-RO"/>
        </w:rPr>
        <w:t xml:space="preserve">Datele prezentate în fig. I.2.1.4 pun în evidenţă faptul că </w:t>
      </w:r>
      <w:r w:rsidR="00806AAA" w:rsidRPr="00112D72">
        <w:rPr>
          <w:rFonts w:ascii="Arial" w:eastAsia="Times New Roman" w:hAnsi="Arial" w:cs="Arial"/>
          <w:sz w:val="24"/>
          <w:szCs w:val="24"/>
          <w:lang w:val="ro-RO" w:eastAsia="ro-RO"/>
        </w:rPr>
        <w:t xml:space="preserve">sectorul </w:t>
      </w:r>
      <w:r w:rsidR="00806AAA">
        <w:rPr>
          <w:rFonts w:ascii="Arial" w:eastAsia="Times New Roman" w:hAnsi="Arial" w:cs="Arial"/>
          <w:sz w:val="24"/>
          <w:szCs w:val="24"/>
          <w:lang w:val="ro-RO" w:eastAsia="ro-RO"/>
        </w:rPr>
        <w:t>„</w:t>
      </w:r>
      <w:r w:rsidR="00806AAA" w:rsidRPr="00806AAA">
        <w:rPr>
          <w:rFonts w:ascii="Arial" w:eastAsia="Times New Roman" w:hAnsi="Arial" w:cs="Arial"/>
          <w:i/>
          <w:sz w:val="24"/>
          <w:szCs w:val="24"/>
          <w:lang w:val="ro-RO" w:eastAsia="ro-RO"/>
        </w:rPr>
        <w:t>Energie</w:t>
      </w:r>
      <w:r w:rsidR="00806AAA">
        <w:rPr>
          <w:rFonts w:ascii="Arial" w:eastAsia="Times New Roman" w:hAnsi="Arial" w:cs="Arial"/>
          <w:sz w:val="24"/>
          <w:szCs w:val="24"/>
          <w:lang w:val="ro-RO" w:eastAsia="ro-RO"/>
        </w:rPr>
        <w:t>”</w:t>
      </w:r>
      <w:r w:rsidR="00806AAA" w:rsidRPr="00112D72">
        <w:rPr>
          <w:rFonts w:ascii="Arial" w:eastAsia="Times New Roman" w:hAnsi="Arial" w:cs="Arial"/>
          <w:sz w:val="24"/>
          <w:szCs w:val="24"/>
          <w:lang w:val="ro-RO" w:eastAsia="ro-RO"/>
        </w:rPr>
        <w:t xml:space="preserve"> </w:t>
      </w:r>
      <w:r w:rsidRPr="00112D72">
        <w:rPr>
          <w:rFonts w:ascii="Arial" w:eastAsia="Times New Roman" w:hAnsi="Arial" w:cs="Arial"/>
          <w:sz w:val="24"/>
          <w:szCs w:val="24"/>
          <w:lang w:val="ro-RO" w:eastAsia="ro-RO"/>
        </w:rPr>
        <w:t>contribuie semnificativ la emisiile de metale grele (Cd, Pb, Hg)</w:t>
      </w:r>
      <w:r w:rsidR="00824524" w:rsidRPr="00112D72">
        <w:rPr>
          <w:rFonts w:ascii="Arial" w:eastAsia="Times New Roman" w:hAnsi="Arial" w:cs="Arial"/>
          <w:sz w:val="24"/>
          <w:szCs w:val="24"/>
          <w:lang w:val="ro-RO" w:eastAsia="ro-RO"/>
        </w:rPr>
        <w:t>,</w:t>
      </w:r>
      <w:r w:rsidRPr="00112D72">
        <w:rPr>
          <w:rFonts w:ascii="Arial" w:eastAsia="Times New Roman" w:hAnsi="Arial" w:cs="Arial"/>
          <w:sz w:val="24"/>
          <w:szCs w:val="24"/>
          <w:lang w:val="ro-RO" w:eastAsia="ro-RO"/>
        </w:rPr>
        <w:t xml:space="preserve"> la nivelul județului Suceava.</w:t>
      </w:r>
    </w:p>
    <w:p w:rsidR="001C6A95" w:rsidRPr="00112D72" w:rsidRDefault="001C6A95">
      <w:pPr>
        <w:widowControl w:val="0"/>
        <w:spacing w:after="0" w:line="240" w:lineRule="auto"/>
        <w:rPr>
          <w:rFonts w:ascii="Arial" w:hAnsi="Arial" w:cs="Arial"/>
          <w:b/>
          <w:bCs/>
          <w:i/>
          <w:sz w:val="16"/>
          <w:szCs w:val="16"/>
          <w:lang w:val="ro-RO"/>
        </w:rPr>
      </w:pPr>
    </w:p>
    <w:p w:rsidR="00704074" w:rsidRPr="00112D72" w:rsidRDefault="00704074" w:rsidP="00704074">
      <w:pPr>
        <w:widowControl w:val="0"/>
        <w:spacing w:after="0" w:line="240" w:lineRule="auto"/>
        <w:rPr>
          <w:rFonts w:ascii="Arial" w:hAnsi="Arial" w:cs="Arial"/>
          <w:b/>
          <w:bCs/>
          <w:i/>
          <w:sz w:val="24"/>
          <w:szCs w:val="24"/>
          <w:lang w:val="ro-RO"/>
        </w:rPr>
      </w:pPr>
      <w:r w:rsidRPr="00112D72">
        <w:rPr>
          <w:rFonts w:ascii="Arial" w:hAnsi="Arial" w:cs="Arial"/>
          <w:b/>
          <w:bCs/>
          <w:i/>
          <w:sz w:val="24"/>
          <w:szCs w:val="24"/>
          <w:lang w:val="ro-RO"/>
        </w:rPr>
        <w:t>Emisii de poluanţi organici persistenţi</w:t>
      </w:r>
    </w:p>
    <w:p w:rsidR="00704074" w:rsidRPr="00112D72" w:rsidRDefault="00704074" w:rsidP="00704074">
      <w:pPr>
        <w:widowControl w:val="0"/>
        <w:spacing w:after="0" w:line="240" w:lineRule="auto"/>
        <w:rPr>
          <w:rFonts w:ascii="Arial" w:hAnsi="Arial" w:cs="Arial"/>
          <w:b/>
          <w:bCs/>
          <w:i/>
          <w:sz w:val="10"/>
          <w:szCs w:val="10"/>
          <w:lang w:val="ro-RO"/>
        </w:rPr>
      </w:pPr>
    </w:p>
    <w:tbl>
      <w:tblPr>
        <w:tblStyle w:val="TableGrid"/>
        <w:tblW w:w="0" w:type="auto"/>
        <w:shd w:val="clear" w:color="auto" w:fill="B6DDE8" w:themeFill="accent5" w:themeFillTint="66"/>
        <w:tblLook w:val="04A0"/>
      </w:tblPr>
      <w:tblGrid>
        <w:gridCol w:w="9997"/>
      </w:tblGrid>
      <w:tr w:rsidR="00A93E50" w:rsidRPr="00112D72" w:rsidTr="00A93E50">
        <w:tc>
          <w:tcPr>
            <w:tcW w:w="9997" w:type="dxa"/>
            <w:shd w:val="clear" w:color="auto" w:fill="B6DDE8" w:themeFill="accent5" w:themeFillTint="66"/>
          </w:tcPr>
          <w:p w:rsidR="00A93E50" w:rsidRPr="00112D72" w:rsidRDefault="00A93E50" w:rsidP="00A93E50">
            <w:pPr>
              <w:autoSpaceDE w:val="0"/>
              <w:autoSpaceDN w:val="0"/>
              <w:adjustRightInd w:val="0"/>
              <w:spacing w:after="0" w:line="240" w:lineRule="auto"/>
              <w:rPr>
                <w:rFonts w:ascii="Arial" w:hAnsi="Arial" w:cs="Arial"/>
                <w:lang w:val="ro-RO" w:eastAsia="ro-RO"/>
              </w:rPr>
            </w:pPr>
            <w:r w:rsidRPr="00112D72">
              <w:rPr>
                <w:rFonts w:ascii="Arial" w:hAnsi="Arial" w:cs="Arial"/>
                <w:b/>
                <w:bCs/>
                <w:lang w:val="ro-RO" w:eastAsia="ro-RO"/>
              </w:rPr>
              <w:t>Cod indicator România</w:t>
            </w:r>
            <w:r w:rsidRPr="00112D72">
              <w:rPr>
                <w:rFonts w:ascii="Arial" w:hAnsi="Arial" w:cs="Arial"/>
                <w:lang w:val="ro-RO" w:eastAsia="ro-RO"/>
              </w:rPr>
              <w:t>: RO 39</w:t>
            </w:r>
          </w:p>
          <w:p w:rsidR="00A93E50" w:rsidRPr="00112D72" w:rsidRDefault="00A93E50" w:rsidP="00A93E50">
            <w:pPr>
              <w:autoSpaceDE w:val="0"/>
              <w:autoSpaceDN w:val="0"/>
              <w:adjustRightInd w:val="0"/>
              <w:spacing w:after="0" w:line="240" w:lineRule="auto"/>
              <w:rPr>
                <w:rFonts w:ascii="Arial" w:hAnsi="Arial" w:cs="Arial"/>
                <w:lang w:val="ro-RO" w:eastAsia="ro-RO"/>
              </w:rPr>
            </w:pPr>
            <w:r w:rsidRPr="00112D72">
              <w:rPr>
                <w:rFonts w:ascii="Arial" w:hAnsi="Arial" w:cs="Arial"/>
                <w:b/>
                <w:bCs/>
                <w:lang w:val="ro-RO" w:eastAsia="ro-RO"/>
              </w:rPr>
              <w:t>Cod indicator AEM</w:t>
            </w:r>
            <w:r w:rsidRPr="00112D72">
              <w:rPr>
                <w:rFonts w:ascii="Arial" w:hAnsi="Arial" w:cs="Arial"/>
                <w:lang w:val="ro-RO" w:eastAsia="ro-RO"/>
              </w:rPr>
              <w:t>: APE 06</w:t>
            </w:r>
          </w:p>
          <w:p w:rsidR="00A93E50" w:rsidRPr="00112D72" w:rsidRDefault="00A93E50" w:rsidP="00A93E50">
            <w:pPr>
              <w:autoSpaceDE w:val="0"/>
              <w:autoSpaceDN w:val="0"/>
              <w:adjustRightInd w:val="0"/>
              <w:spacing w:after="0" w:line="240" w:lineRule="auto"/>
              <w:rPr>
                <w:rFonts w:ascii="Arial" w:hAnsi="Arial" w:cs="Arial"/>
                <w:lang w:val="ro-RO" w:eastAsia="ro-RO"/>
              </w:rPr>
            </w:pPr>
            <w:r w:rsidRPr="00112D72">
              <w:rPr>
                <w:rFonts w:ascii="Arial" w:hAnsi="Arial" w:cs="Arial"/>
                <w:b/>
                <w:bCs/>
                <w:lang w:val="ro-RO" w:eastAsia="ro-RO"/>
              </w:rPr>
              <w:t>DENUMIRE</w:t>
            </w:r>
            <w:r w:rsidRPr="00112D72">
              <w:rPr>
                <w:rFonts w:ascii="Arial" w:hAnsi="Arial" w:cs="Arial"/>
                <w:lang w:val="ro-RO" w:eastAsia="ro-RO"/>
              </w:rPr>
              <w:t>: EMISII DE POLUANŢI ORGANICI PERSISTENŢI</w:t>
            </w:r>
          </w:p>
          <w:p w:rsidR="00A93E50" w:rsidRPr="00112D72" w:rsidRDefault="00A93E50" w:rsidP="00A93E50">
            <w:pPr>
              <w:autoSpaceDE w:val="0"/>
              <w:autoSpaceDN w:val="0"/>
              <w:adjustRightInd w:val="0"/>
              <w:spacing w:after="0" w:line="240" w:lineRule="auto"/>
              <w:jc w:val="both"/>
              <w:rPr>
                <w:rFonts w:ascii="Arial" w:hAnsi="Arial" w:cs="Arial"/>
                <w:b/>
                <w:bCs/>
                <w:i/>
                <w:sz w:val="10"/>
                <w:szCs w:val="10"/>
                <w:lang w:val="ro-RO"/>
              </w:rPr>
            </w:pPr>
            <w:r w:rsidRPr="00112D72">
              <w:rPr>
                <w:rFonts w:ascii="Arial" w:hAnsi="Arial" w:cs="Arial"/>
                <w:b/>
                <w:bCs/>
                <w:lang w:val="ro-RO" w:eastAsia="ro-RO"/>
              </w:rPr>
              <w:t>DEFINIŢIE</w:t>
            </w:r>
            <w:r w:rsidRPr="00112D72">
              <w:rPr>
                <w:rFonts w:ascii="Arial" w:hAnsi="Arial" w:cs="Arial"/>
                <w:lang w:val="ro-RO" w:eastAsia="ro-RO"/>
              </w:rPr>
              <w:t>: Tendinţele emisiilor antropice de poluanţi organici persistenţi, de hidrocarburi aromatice policiclice (HAP), pe sectoare de activitate: producerea şi distribuţia energiei; utilizarea energiei în industrie; procese industriale; transportul rutier; transportul nerutier; comercial, instituţional şi rezidenţial; utilizarea solvenţilor şi a altor produse; agricultură; deşeuri; alte surse.</w:t>
            </w:r>
          </w:p>
        </w:tc>
      </w:tr>
    </w:tbl>
    <w:p w:rsidR="00A93E50" w:rsidRPr="00112D72" w:rsidRDefault="00A93E50" w:rsidP="00704074">
      <w:pPr>
        <w:widowControl w:val="0"/>
        <w:spacing w:after="0" w:line="240" w:lineRule="auto"/>
        <w:rPr>
          <w:rFonts w:ascii="Arial" w:hAnsi="Arial" w:cs="Arial"/>
          <w:b/>
          <w:bCs/>
          <w:i/>
          <w:sz w:val="10"/>
          <w:szCs w:val="10"/>
          <w:lang w:val="ro-RO"/>
        </w:rPr>
      </w:pPr>
    </w:p>
    <w:p w:rsidR="00B44C94" w:rsidRPr="00112D72" w:rsidRDefault="00704074" w:rsidP="00EE1954">
      <w:pPr>
        <w:widowControl w:val="0"/>
        <w:autoSpaceDE w:val="0"/>
        <w:autoSpaceDN w:val="0"/>
        <w:adjustRightInd w:val="0"/>
        <w:spacing w:after="0" w:line="240" w:lineRule="auto"/>
        <w:ind w:firstLine="720"/>
        <w:jc w:val="both"/>
        <w:rPr>
          <w:rFonts w:ascii="Arial" w:hAnsi="Arial" w:cs="Arial"/>
          <w:sz w:val="24"/>
          <w:szCs w:val="24"/>
          <w:lang w:val="ro-RO" w:eastAsia="ro-RO"/>
        </w:rPr>
      </w:pPr>
      <w:r w:rsidRPr="00112D72">
        <w:rPr>
          <w:rFonts w:ascii="Arial" w:hAnsi="Arial" w:cs="Arial"/>
          <w:sz w:val="24"/>
          <w:szCs w:val="24"/>
          <w:lang w:val="ro-RO" w:eastAsia="ro-RO"/>
        </w:rPr>
        <w:t>Poluanţii Organici Persistenţi (POP) sunt substanţe chimice care persistă perioade lungi în mediul înconjurător, se bioacumulează în organismele vii şi sunt toxice pentru om şi viaţa sălbatică. POP-urile circulă la nivel global prin atmosferă, apa mărilor şi oceanelor.</w:t>
      </w:r>
      <w:r w:rsidR="00B44C94" w:rsidRPr="00112D72">
        <w:rPr>
          <w:rFonts w:ascii="Arial" w:hAnsi="Arial" w:cs="Arial"/>
          <w:sz w:val="24"/>
          <w:szCs w:val="24"/>
          <w:lang w:val="ro-RO" w:eastAsia="ro-RO"/>
        </w:rPr>
        <w:t xml:space="preserve"> </w:t>
      </w:r>
      <w:r w:rsidR="00EE1954" w:rsidRPr="00112D72">
        <w:rPr>
          <w:rFonts w:ascii="Arial" w:hAnsi="Arial" w:cs="Arial"/>
          <w:sz w:val="24"/>
          <w:szCs w:val="24"/>
          <w:lang w:val="ro-RO" w:eastAsia="ro-RO"/>
        </w:rPr>
        <w:t xml:space="preserve">Dintre POP emiși în aer fac parte: hexaclorobenzen-HCB, hexaclorociclohexan-HCH, bifenili policloruraţi-PCB, dioxină-PCDD, furani-PCDF şi hidrocarburi poliaromate - </w:t>
      </w:r>
      <w:r w:rsidR="00BE235B" w:rsidRPr="00112D72">
        <w:rPr>
          <w:rFonts w:ascii="Arial" w:hAnsi="Arial" w:cs="Arial"/>
          <w:sz w:val="24"/>
          <w:szCs w:val="24"/>
          <w:lang w:val="ro-RO" w:eastAsia="ro-RO"/>
        </w:rPr>
        <w:t>PAH</w:t>
      </w:r>
      <w:r w:rsidR="00EE1954" w:rsidRPr="00112D72">
        <w:rPr>
          <w:rFonts w:ascii="Arial" w:hAnsi="Arial" w:cs="Arial"/>
          <w:sz w:val="24"/>
          <w:szCs w:val="24"/>
          <w:lang w:val="ro-RO" w:eastAsia="ro-RO"/>
        </w:rPr>
        <w:t>. Protocolul POP la Convenția UNECE LRTAP obligă părțile să-și reducă emisiile de dioxine, furani, PAH și HCB sub nivelul lor din 1990, sau un alt an din perioada 1985-1995.</w:t>
      </w:r>
    </w:p>
    <w:p w:rsidR="00704074" w:rsidRPr="00112D72" w:rsidRDefault="00704074" w:rsidP="00B44C94">
      <w:pPr>
        <w:widowControl w:val="0"/>
        <w:autoSpaceDE w:val="0"/>
        <w:autoSpaceDN w:val="0"/>
        <w:adjustRightInd w:val="0"/>
        <w:spacing w:after="0" w:line="240" w:lineRule="auto"/>
        <w:ind w:firstLine="720"/>
        <w:jc w:val="both"/>
        <w:rPr>
          <w:rFonts w:ascii="Arial" w:hAnsi="Arial" w:cs="Arial"/>
          <w:sz w:val="24"/>
          <w:szCs w:val="24"/>
          <w:lang w:val="ro-RO" w:eastAsia="ro-RO"/>
        </w:rPr>
      </w:pPr>
      <w:r w:rsidRPr="00112D72">
        <w:rPr>
          <w:rFonts w:ascii="Arial" w:hAnsi="Arial" w:cs="Arial"/>
          <w:sz w:val="24"/>
          <w:szCs w:val="24"/>
          <w:lang w:val="ro-RO" w:eastAsia="ro-RO"/>
        </w:rPr>
        <w:t>Efectele POP asupra sănătăţii omului sunt deosebit de grave: afectează sistemul imunitar, majoritatea sunt cancerigene, influenţează negativ graviditatea, afectează ficatul, tiroida, rinichii şi multe altele. Un aspect unic al POP este că acestea pătrund în lanţul trofic, având posibilitatea de a trece de la mamă la copil prin placentă şi laptele matern</w:t>
      </w:r>
      <w:r w:rsidR="00EE1954" w:rsidRPr="00112D72">
        <w:rPr>
          <w:rFonts w:ascii="Arial" w:hAnsi="Arial" w:cs="Arial"/>
          <w:sz w:val="24"/>
          <w:szCs w:val="24"/>
          <w:lang w:val="ro-RO" w:eastAsia="ro-RO"/>
        </w:rPr>
        <w:t>.</w:t>
      </w:r>
      <w:r w:rsidRPr="00112D72">
        <w:rPr>
          <w:rStyle w:val="FootnoteReference"/>
          <w:rFonts w:ascii="Arial" w:hAnsi="Arial" w:cs="Arial"/>
          <w:sz w:val="24"/>
          <w:szCs w:val="24"/>
          <w:lang w:val="ro-RO" w:eastAsia="ro-RO"/>
        </w:rPr>
        <w:footnoteReference w:id="14"/>
      </w:r>
      <w:r w:rsidRPr="00112D72">
        <w:rPr>
          <w:rFonts w:ascii="Arial" w:hAnsi="Arial" w:cs="Arial"/>
          <w:sz w:val="24"/>
          <w:szCs w:val="24"/>
          <w:lang w:val="ro-RO" w:eastAsia="ro-RO"/>
        </w:rPr>
        <w:t xml:space="preserve"> </w:t>
      </w:r>
    </w:p>
    <w:p w:rsidR="00704074" w:rsidRPr="00112D72" w:rsidRDefault="00704074" w:rsidP="00704074">
      <w:pPr>
        <w:widowControl w:val="0"/>
        <w:autoSpaceDE w:val="0"/>
        <w:autoSpaceDN w:val="0"/>
        <w:adjustRightInd w:val="0"/>
        <w:spacing w:after="0" w:line="240" w:lineRule="auto"/>
        <w:ind w:firstLine="720"/>
        <w:jc w:val="both"/>
        <w:rPr>
          <w:rFonts w:ascii="Arial" w:hAnsi="Arial" w:cs="Arial"/>
          <w:sz w:val="10"/>
          <w:szCs w:val="10"/>
          <w:lang w:val="ro-RO" w:eastAsia="ro-RO"/>
        </w:rPr>
      </w:pPr>
    </w:p>
    <w:p w:rsidR="00704074" w:rsidRPr="00112D72" w:rsidRDefault="00704074" w:rsidP="00704074">
      <w:pPr>
        <w:widowControl w:val="0"/>
        <w:spacing w:after="0" w:line="240" w:lineRule="auto"/>
        <w:jc w:val="center"/>
        <w:rPr>
          <w:rFonts w:ascii="Arial" w:hAnsi="Arial" w:cs="Arial"/>
          <w:lang w:val="ro-RO"/>
        </w:rPr>
      </w:pPr>
      <w:r w:rsidRPr="00112D72">
        <w:rPr>
          <w:rFonts w:ascii="Arial" w:hAnsi="Arial" w:cs="Arial"/>
          <w:lang w:val="ro-RO"/>
        </w:rPr>
        <w:t xml:space="preserve">Fig. I.2.1.5. Contributia sectoarelor de activitate la emisiile de poluanţi organici persistenţi </w:t>
      </w:r>
    </w:p>
    <w:p w:rsidR="00704074" w:rsidRPr="00112D72" w:rsidRDefault="00EA7D7E" w:rsidP="00704074">
      <w:pPr>
        <w:widowControl w:val="0"/>
        <w:spacing w:after="0" w:line="240" w:lineRule="auto"/>
        <w:jc w:val="center"/>
        <w:rPr>
          <w:rFonts w:ascii="Arial" w:hAnsi="Arial" w:cs="Arial"/>
          <w:lang w:val="ro-RO"/>
        </w:rPr>
      </w:pPr>
      <w:r w:rsidRPr="00112D72">
        <w:rPr>
          <w:rFonts w:ascii="Arial" w:hAnsi="Arial" w:cs="Arial"/>
          <w:lang w:val="ro-RO"/>
        </w:rPr>
        <w:t>în anul 2017</w:t>
      </w:r>
      <w:r w:rsidR="00704074" w:rsidRPr="00112D72">
        <w:rPr>
          <w:rFonts w:ascii="Arial" w:hAnsi="Arial" w:cs="Arial"/>
          <w:lang w:val="ro-RO"/>
        </w:rPr>
        <w:t>, în judeţul Suceava</w:t>
      </w:r>
    </w:p>
    <w:p w:rsidR="00704074" w:rsidRPr="00112D72" w:rsidRDefault="00704074" w:rsidP="00704074">
      <w:pPr>
        <w:widowControl w:val="0"/>
        <w:spacing w:after="0" w:line="240" w:lineRule="auto"/>
        <w:jc w:val="center"/>
        <w:rPr>
          <w:b/>
          <w:bCs/>
          <w:sz w:val="20"/>
          <w:szCs w:val="20"/>
          <w:lang w:val="ro-RO"/>
        </w:rPr>
      </w:pPr>
      <w:r w:rsidRPr="00112D72">
        <w:rPr>
          <w:b/>
          <w:bCs/>
          <w:noProof/>
          <w:sz w:val="20"/>
          <w:szCs w:val="20"/>
          <w:lang w:val="ro-RO" w:eastAsia="ro-RO"/>
        </w:rPr>
        <w:drawing>
          <wp:inline distT="0" distB="0" distL="0" distR="0">
            <wp:extent cx="5874385" cy="1466850"/>
            <wp:effectExtent l="19050" t="0" r="12065" b="0"/>
            <wp:docPr id="8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41A1E" w:rsidRDefault="00C41A1E" w:rsidP="00704074">
      <w:pPr>
        <w:widowControl w:val="0"/>
        <w:spacing w:after="0" w:line="240" w:lineRule="auto"/>
        <w:jc w:val="both"/>
        <w:rPr>
          <w:rFonts w:ascii="Arial" w:hAnsi="Arial" w:cs="Arial"/>
          <w:b/>
          <w:sz w:val="10"/>
          <w:szCs w:val="10"/>
          <w:lang w:val="ro-RO"/>
        </w:rPr>
      </w:pPr>
    </w:p>
    <w:p w:rsidR="0087725B" w:rsidRDefault="0087725B" w:rsidP="00704074">
      <w:pPr>
        <w:widowControl w:val="0"/>
        <w:spacing w:after="0" w:line="240" w:lineRule="auto"/>
        <w:jc w:val="both"/>
        <w:rPr>
          <w:rFonts w:ascii="Arial" w:hAnsi="Arial" w:cs="Arial"/>
          <w:b/>
          <w:sz w:val="10"/>
          <w:szCs w:val="10"/>
          <w:lang w:val="ro-RO"/>
        </w:rPr>
      </w:pPr>
    </w:p>
    <w:p w:rsidR="00BE235B" w:rsidRPr="00112D72" w:rsidRDefault="00BE235B" w:rsidP="00BE235B">
      <w:pPr>
        <w:widowControl w:val="0"/>
        <w:autoSpaceDE w:val="0"/>
        <w:autoSpaceDN w:val="0"/>
        <w:adjustRightInd w:val="0"/>
        <w:spacing w:after="0" w:line="240" w:lineRule="auto"/>
        <w:ind w:firstLine="720"/>
        <w:jc w:val="both"/>
        <w:rPr>
          <w:rFonts w:ascii="Arial" w:eastAsia="Times New Roman" w:hAnsi="Arial" w:cs="Arial"/>
          <w:sz w:val="24"/>
          <w:szCs w:val="24"/>
          <w:lang w:val="ro-RO" w:eastAsia="ro-RO"/>
        </w:rPr>
      </w:pPr>
      <w:r w:rsidRPr="00112D72">
        <w:rPr>
          <w:rFonts w:ascii="Arial" w:eastAsia="Times New Roman" w:hAnsi="Arial" w:cs="Arial"/>
          <w:sz w:val="24"/>
          <w:szCs w:val="24"/>
          <w:lang w:val="ro-RO" w:eastAsia="ro-RO"/>
        </w:rPr>
        <w:t xml:space="preserve">Din fig. I.2.1.5 se observă că, la nivelul județului Suceava, sectorul </w:t>
      </w:r>
      <w:r w:rsidR="00806AAA">
        <w:rPr>
          <w:rFonts w:ascii="Arial" w:eastAsia="Times New Roman" w:hAnsi="Arial" w:cs="Arial"/>
          <w:sz w:val="24"/>
          <w:szCs w:val="24"/>
          <w:lang w:val="ro-RO" w:eastAsia="ro-RO"/>
        </w:rPr>
        <w:t>„</w:t>
      </w:r>
      <w:r w:rsidR="00806AAA" w:rsidRPr="00806AAA">
        <w:rPr>
          <w:rFonts w:ascii="Arial" w:eastAsia="Times New Roman" w:hAnsi="Arial" w:cs="Arial"/>
          <w:i/>
          <w:sz w:val="24"/>
          <w:szCs w:val="24"/>
          <w:lang w:val="ro-RO" w:eastAsia="ro-RO"/>
        </w:rPr>
        <w:t>E</w:t>
      </w:r>
      <w:r w:rsidRPr="00806AAA">
        <w:rPr>
          <w:rFonts w:ascii="Arial" w:eastAsia="Times New Roman" w:hAnsi="Arial" w:cs="Arial"/>
          <w:i/>
          <w:sz w:val="24"/>
          <w:szCs w:val="24"/>
          <w:lang w:val="ro-RO" w:eastAsia="ro-RO"/>
        </w:rPr>
        <w:t>nergie</w:t>
      </w:r>
      <w:r w:rsidR="00806AAA">
        <w:rPr>
          <w:rFonts w:ascii="Arial" w:eastAsia="Times New Roman" w:hAnsi="Arial" w:cs="Arial"/>
          <w:sz w:val="24"/>
          <w:szCs w:val="24"/>
          <w:lang w:val="ro-RO" w:eastAsia="ro-RO"/>
        </w:rPr>
        <w:t>”</w:t>
      </w:r>
      <w:r w:rsidRPr="00112D72">
        <w:rPr>
          <w:rFonts w:ascii="Arial" w:eastAsia="Times New Roman" w:hAnsi="Arial" w:cs="Arial"/>
          <w:sz w:val="24"/>
          <w:szCs w:val="24"/>
          <w:lang w:val="ro-RO" w:eastAsia="ro-RO"/>
        </w:rPr>
        <w:t xml:space="preserve"> contribuie semnificativ la emisiile de PAH, dioxine și furani, iar sectorul deșeuri la cele de </w:t>
      </w:r>
      <w:r w:rsidR="00C2201F" w:rsidRPr="00112D72">
        <w:rPr>
          <w:rFonts w:ascii="Arial" w:eastAsia="Times New Roman" w:hAnsi="Arial" w:cs="Arial"/>
          <w:sz w:val="24"/>
          <w:szCs w:val="24"/>
          <w:lang w:val="ro-RO" w:eastAsia="ro-RO"/>
        </w:rPr>
        <w:t xml:space="preserve">HCB și </w:t>
      </w:r>
      <w:r w:rsidRPr="00112D72">
        <w:rPr>
          <w:rFonts w:ascii="Arial" w:eastAsia="Times New Roman" w:hAnsi="Arial" w:cs="Arial"/>
          <w:sz w:val="24"/>
          <w:szCs w:val="24"/>
          <w:lang w:val="ro-RO" w:eastAsia="ro-RO"/>
        </w:rPr>
        <w:t>PCB.</w:t>
      </w:r>
    </w:p>
    <w:p w:rsidR="00BE235B" w:rsidRPr="00112D72" w:rsidRDefault="00BE235B">
      <w:pPr>
        <w:widowControl w:val="0"/>
        <w:spacing w:after="0" w:line="240" w:lineRule="auto"/>
        <w:jc w:val="both"/>
        <w:rPr>
          <w:rFonts w:ascii="Arial" w:hAnsi="Arial" w:cs="Arial"/>
          <w:b/>
          <w:sz w:val="20"/>
          <w:szCs w:val="20"/>
          <w:lang w:val="ro-RO"/>
        </w:rPr>
      </w:pPr>
    </w:p>
    <w:p w:rsidR="00704074" w:rsidRPr="00112D72" w:rsidRDefault="00704074" w:rsidP="00704074">
      <w:pPr>
        <w:widowControl w:val="0"/>
        <w:spacing w:after="0" w:line="240" w:lineRule="auto"/>
        <w:jc w:val="both"/>
        <w:rPr>
          <w:rFonts w:ascii="Arial" w:hAnsi="Arial" w:cs="Arial"/>
          <w:b/>
          <w:sz w:val="24"/>
          <w:szCs w:val="24"/>
          <w:lang w:val="ro-RO"/>
        </w:rPr>
      </w:pPr>
      <w:r w:rsidRPr="00112D72">
        <w:rPr>
          <w:rFonts w:ascii="Arial" w:hAnsi="Arial" w:cs="Arial"/>
          <w:b/>
          <w:sz w:val="24"/>
          <w:szCs w:val="24"/>
          <w:lang w:val="ro-RO"/>
        </w:rPr>
        <w:t>I.2.1.1. Energia</w:t>
      </w:r>
    </w:p>
    <w:p w:rsidR="00704074" w:rsidRPr="00112D72" w:rsidRDefault="00704074" w:rsidP="00704074">
      <w:pPr>
        <w:widowControl w:val="0"/>
        <w:spacing w:after="0" w:line="240" w:lineRule="auto"/>
        <w:jc w:val="both"/>
        <w:rPr>
          <w:rFonts w:ascii="Arial" w:hAnsi="Arial" w:cs="Arial"/>
          <w:i/>
          <w:sz w:val="10"/>
          <w:szCs w:val="10"/>
          <w:lang w:val="ro-RO"/>
        </w:rPr>
      </w:pPr>
    </w:p>
    <w:p w:rsidR="00704074" w:rsidRPr="00112D72" w:rsidRDefault="00704074" w:rsidP="00704074">
      <w:pPr>
        <w:widowControl w:val="0"/>
        <w:spacing w:after="0" w:line="240" w:lineRule="auto"/>
        <w:jc w:val="both"/>
        <w:rPr>
          <w:rFonts w:ascii="Arial" w:hAnsi="Arial" w:cs="Arial"/>
          <w:b/>
          <w:i/>
          <w:sz w:val="24"/>
          <w:szCs w:val="24"/>
          <w:lang w:val="ro-RO"/>
        </w:rPr>
      </w:pPr>
      <w:r w:rsidRPr="00112D72">
        <w:rPr>
          <w:rFonts w:ascii="Arial" w:hAnsi="Arial" w:cs="Arial"/>
          <w:b/>
          <w:i/>
          <w:sz w:val="24"/>
          <w:szCs w:val="24"/>
          <w:lang w:val="ro-RO"/>
        </w:rPr>
        <w:t>Emisii de substanţe acidifiante</w:t>
      </w:r>
    </w:p>
    <w:p w:rsidR="00C41A1E" w:rsidRPr="00112D72" w:rsidRDefault="00C41A1E" w:rsidP="00704074">
      <w:pPr>
        <w:widowControl w:val="0"/>
        <w:spacing w:after="0" w:line="240" w:lineRule="auto"/>
        <w:jc w:val="both"/>
        <w:rPr>
          <w:rFonts w:ascii="Arial" w:hAnsi="Arial" w:cs="Arial"/>
          <w:b/>
          <w:i/>
          <w:sz w:val="10"/>
          <w:szCs w:val="10"/>
          <w:lang w:val="ro-RO"/>
        </w:rPr>
      </w:pPr>
    </w:p>
    <w:p w:rsidR="00C41A1E" w:rsidRPr="00112D72" w:rsidRDefault="002A526F" w:rsidP="00C41A1E">
      <w:pPr>
        <w:widowControl w:val="0"/>
        <w:spacing w:after="0" w:line="240" w:lineRule="auto"/>
        <w:ind w:firstLine="720"/>
        <w:jc w:val="both"/>
        <w:rPr>
          <w:rFonts w:ascii="Arial" w:hAnsi="Arial" w:cs="Arial"/>
          <w:sz w:val="24"/>
          <w:szCs w:val="24"/>
          <w:lang w:val="ro-RO" w:eastAsia="ro-RO"/>
        </w:rPr>
      </w:pPr>
      <w:r w:rsidRPr="00112D72">
        <w:rPr>
          <w:rFonts w:ascii="Arial" w:hAnsi="Arial" w:cs="Arial"/>
          <w:sz w:val="24"/>
          <w:szCs w:val="24"/>
          <w:lang w:val="ro-RO" w:eastAsia="ro-RO"/>
        </w:rPr>
        <w:t>Așa cum rezultă din fig. I.2.1.1.1, î</w:t>
      </w:r>
      <w:r w:rsidR="00815DA6" w:rsidRPr="00112D72">
        <w:rPr>
          <w:rFonts w:ascii="Arial" w:hAnsi="Arial" w:cs="Arial"/>
          <w:sz w:val="24"/>
          <w:szCs w:val="24"/>
          <w:lang w:val="ro-RO" w:eastAsia="ro-RO"/>
        </w:rPr>
        <w:t>n anul 2017, c</w:t>
      </w:r>
      <w:r w:rsidR="00C41A1E" w:rsidRPr="00112D72">
        <w:rPr>
          <w:rFonts w:ascii="Arial" w:hAnsi="Arial" w:cs="Arial"/>
          <w:sz w:val="24"/>
          <w:szCs w:val="24"/>
          <w:lang w:val="ro-RO" w:eastAsia="ro-RO"/>
        </w:rPr>
        <w:t xml:space="preserve">ele mai </w:t>
      </w:r>
      <w:r w:rsidR="008B2BCF" w:rsidRPr="00112D72">
        <w:rPr>
          <w:rFonts w:ascii="Arial" w:hAnsi="Arial" w:cs="Arial"/>
          <w:sz w:val="24"/>
          <w:szCs w:val="24"/>
          <w:lang w:val="ro-RO" w:eastAsia="ro-RO"/>
        </w:rPr>
        <w:t>mari</w:t>
      </w:r>
      <w:r w:rsidR="00C41A1E" w:rsidRPr="00112D72">
        <w:rPr>
          <w:rFonts w:ascii="Arial" w:hAnsi="Arial" w:cs="Arial"/>
          <w:sz w:val="24"/>
          <w:szCs w:val="24"/>
          <w:lang w:val="ro-RO" w:eastAsia="ro-RO"/>
        </w:rPr>
        <w:t xml:space="preserve"> contribuţii la totalul emisiilor de poluanți acidifianţi </w:t>
      </w:r>
      <w:r w:rsidR="008B2BCF" w:rsidRPr="00112D72">
        <w:rPr>
          <w:rFonts w:ascii="Arial" w:hAnsi="Arial" w:cs="Arial"/>
          <w:sz w:val="24"/>
          <w:szCs w:val="24"/>
          <w:lang w:val="ro-RO" w:eastAsia="ro-RO"/>
        </w:rPr>
        <w:t>(SO</w:t>
      </w:r>
      <w:r w:rsidR="008B2BCF" w:rsidRPr="00112D72">
        <w:rPr>
          <w:rFonts w:ascii="Arial" w:hAnsi="Arial" w:cs="Arial"/>
          <w:sz w:val="24"/>
          <w:szCs w:val="24"/>
          <w:vertAlign w:val="subscript"/>
          <w:lang w:val="ro-RO" w:eastAsia="ro-RO"/>
        </w:rPr>
        <w:t>2</w:t>
      </w:r>
      <w:r w:rsidR="008B2BCF" w:rsidRPr="00112D72">
        <w:rPr>
          <w:rFonts w:ascii="Arial" w:hAnsi="Arial" w:cs="Arial"/>
          <w:sz w:val="24"/>
          <w:szCs w:val="24"/>
          <w:lang w:val="ro-RO" w:eastAsia="ro-RO"/>
        </w:rPr>
        <w:t>, NO</w:t>
      </w:r>
      <w:r w:rsidR="008B2BCF" w:rsidRPr="00112D72">
        <w:rPr>
          <w:rFonts w:ascii="Arial" w:hAnsi="Arial" w:cs="Arial"/>
          <w:sz w:val="24"/>
          <w:szCs w:val="24"/>
          <w:vertAlign w:val="subscript"/>
          <w:lang w:val="ro-RO" w:eastAsia="ro-RO"/>
        </w:rPr>
        <w:t>x</w:t>
      </w:r>
      <w:r w:rsidR="008B2BCF" w:rsidRPr="00112D72">
        <w:rPr>
          <w:rFonts w:ascii="Arial" w:hAnsi="Arial" w:cs="Arial"/>
          <w:sz w:val="24"/>
          <w:szCs w:val="24"/>
          <w:lang w:val="ro-RO" w:eastAsia="ro-RO"/>
        </w:rPr>
        <w:t>, NH</w:t>
      </w:r>
      <w:r w:rsidR="008B2BCF" w:rsidRPr="00112D72">
        <w:rPr>
          <w:rFonts w:ascii="Arial" w:hAnsi="Arial" w:cs="Arial"/>
          <w:sz w:val="24"/>
          <w:szCs w:val="24"/>
          <w:vertAlign w:val="subscript"/>
          <w:lang w:val="ro-RO" w:eastAsia="ro-RO"/>
        </w:rPr>
        <w:t>3</w:t>
      </w:r>
      <w:r w:rsidR="008B2BCF" w:rsidRPr="00112D72">
        <w:rPr>
          <w:rFonts w:ascii="Arial" w:hAnsi="Arial" w:cs="Arial"/>
          <w:sz w:val="24"/>
          <w:szCs w:val="24"/>
          <w:lang w:val="ro-RO" w:eastAsia="ro-RO"/>
        </w:rPr>
        <w:t xml:space="preserve">) </w:t>
      </w:r>
      <w:r w:rsidR="00C41A1E" w:rsidRPr="00112D72">
        <w:rPr>
          <w:rFonts w:ascii="Arial" w:hAnsi="Arial" w:cs="Arial"/>
          <w:sz w:val="24"/>
          <w:szCs w:val="24"/>
          <w:lang w:val="ro-RO" w:eastAsia="ro-RO"/>
        </w:rPr>
        <w:t>din sectorul „</w:t>
      </w:r>
      <w:r w:rsidR="00C41A1E" w:rsidRPr="00112D72">
        <w:rPr>
          <w:rFonts w:ascii="Arial" w:hAnsi="Arial" w:cs="Arial"/>
          <w:i/>
          <w:sz w:val="24"/>
          <w:szCs w:val="24"/>
          <w:lang w:val="ro-RO" w:eastAsia="ro-RO"/>
        </w:rPr>
        <w:t>Energie</w:t>
      </w:r>
      <w:r w:rsidR="00C41A1E" w:rsidRPr="00112D72">
        <w:rPr>
          <w:rFonts w:ascii="Arial" w:hAnsi="Arial" w:cs="Arial"/>
          <w:sz w:val="24"/>
          <w:szCs w:val="24"/>
          <w:lang w:val="ro-RO" w:eastAsia="ro-RO"/>
        </w:rPr>
        <w:t>” în judeţul Suceava le-a avut subsectorul „</w:t>
      </w:r>
      <w:r w:rsidR="00C41A1E" w:rsidRPr="00112D72">
        <w:rPr>
          <w:rFonts w:ascii="Arial" w:hAnsi="Arial" w:cs="Arial"/>
          <w:i/>
          <w:sz w:val="24"/>
          <w:szCs w:val="24"/>
          <w:lang w:val="ro-RO" w:eastAsia="ro-RO"/>
        </w:rPr>
        <w:t>Arderi în sectorul rezidenţia</w:t>
      </w:r>
      <w:r w:rsidR="00C41A1E" w:rsidRPr="00112D72">
        <w:rPr>
          <w:rFonts w:ascii="Arial" w:hAnsi="Arial" w:cs="Arial"/>
          <w:sz w:val="24"/>
          <w:szCs w:val="24"/>
          <w:lang w:val="ro-RO" w:eastAsia="ro-RO"/>
        </w:rPr>
        <w:t>l</w:t>
      </w:r>
      <w:r w:rsidR="00C41A1E" w:rsidRPr="00112D72">
        <w:rPr>
          <w:rFonts w:ascii="Arial" w:hAnsi="Arial" w:cs="Arial"/>
          <w:i/>
          <w:sz w:val="24"/>
          <w:szCs w:val="24"/>
          <w:lang w:val="ro-RO" w:eastAsia="ro-RO"/>
        </w:rPr>
        <w:t xml:space="preserve">” </w:t>
      </w:r>
      <w:r w:rsidR="00C41A1E" w:rsidRPr="00112D72">
        <w:rPr>
          <w:rFonts w:ascii="Arial" w:hAnsi="Arial" w:cs="Arial"/>
          <w:sz w:val="24"/>
          <w:szCs w:val="24"/>
          <w:lang w:val="ro-RO" w:eastAsia="ro-RO"/>
        </w:rPr>
        <w:t xml:space="preserve"> (vezi fig. I.2.1.1.1).</w:t>
      </w:r>
    </w:p>
    <w:p w:rsidR="007A0A53" w:rsidRPr="00C5264C" w:rsidRDefault="007A0A53" w:rsidP="00704074">
      <w:pPr>
        <w:widowControl w:val="0"/>
        <w:spacing w:after="0" w:line="240" w:lineRule="auto"/>
        <w:rPr>
          <w:rFonts w:ascii="Arial" w:hAnsi="Arial" w:cs="Arial"/>
          <w:b/>
          <w:sz w:val="10"/>
          <w:szCs w:val="10"/>
          <w:lang w:val="ro-RO"/>
        </w:rPr>
      </w:pPr>
    </w:p>
    <w:p w:rsidR="00704074" w:rsidRPr="00112D72" w:rsidRDefault="00704074" w:rsidP="00704074">
      <w:pPr>
        <w:widowControl w:val="0"/>
        <w:spacing w:after="0" w:line="240" w:lineRule="auto"/>
        <w:jc w:val="center"/>
        <w:rPr>
          <w:rFonts w:ascii="Arial" w:hAnsi="Arial" w:cs="Arial"/>
          <w:lang w:val="ro-RO"/>
        </w:rPr>
      </w:pPr>
      <w:r w:rsidRPr="00112D72">
        <w:rPr>
          <w:rFonts w:ascii="Arial" w:hAnsi="Arial" w:cs="Arial"/>
          <w:lang w:val="ro-RO"/>
        </w:rPr>
        <w:t>Fig. I.2.1.1.1. Contribuţia s</w:t>
      </w:r>
      <w:r w:rsidR="008B2BCF" w:rsidRPr="00112D72">
        <w:rPr>
          <w:rFonts w:ascii="Arial" w:hAnsi="Arial" w:cs="Arial"/>
          <w:lang w:val="ro-RO"/>
        </w:rPr>
        <w:t>ubs</w:t>
      </w:r>
      <w:r w:rsidRPr="00112D72">
        <w:rPr>
          <w:rFonts w:ascii="Arial" w:hAnsi="Arial" w:cs="Arial"/>
          <w:lang w:val="ro-RO"/>
        </w:rPr>
        <w:t xml:space="preserve">ectoarelor de activitate din </w:t>
      </w:r>
      <w:r w:rsidRPr="00112D72">
        <w:rPr>
          <w:rFonts w:ascii="Arial" w:hAnsi="Arial" w:cs="Arial"/>
          <w:b/>
          <w:lang w:val="ro-RO"/>
        </w:rPr>
        <w:t>energie</w:t>
      </w:r>
      <w:r w:rsidRPr="00112D72">
        <w:rPr>
          <w:rFonts w:ascii="Arial" w:hAnsi="Arial" w:cs="Arial"/>
          <w:lang w:val="ro-RO"/>
        </w:rPr>
        <w:t xml:space="preserve"> </w:t>
      </w:r>
    </w:p>
    <w:p w:rsidR="00704074" w:rsidRPr="00112D72" w:rsidRDefault="00704074" w:rsidP="00704074">
      <w:pPr>
        <w:widowControl w:val="0"/>
        <w:spacing w:after="0" w:line="240" w:lineRule="auto"/>
        <w:jc w:val="center"/>
        <w:rPr>
          <w:rFonts w:ascii="Arial" w:hAnsi="Arial" w:cs="Arial"/>
          <w:lang w:val="ro-RO"/>
        </w:rPr>
      </w:pPr>
      <w:r w:rsidRPr="00112D72">
        <w:rPr>
          <w:rFonts w:ascii="Arial" w:hAnsi="Arial" w:cs="Arial"/>
          <w:lang w:val="ro-RO"/>
        </w:rPr>
        <w:t xml:space="preserve">la emisiile de poluanţi cu </w:t>
      </w:r>
      <w:r w:rsidR="00EA7D7E" w:rsidRPr="00112D72">
        <w:rPr>
          <w:rFonts w:ascii="Arial" w:hAnsi="Arial" w:cs="Arial"/>
          <w:lang w:val="ro-RO"/>
        </w:rPr>
        <w:t>efect de acidifiere în anul 2017</w:t>
      </w:r>
      <w:r w:rsidRPr="00112D72">
        <w:rPr>
          <w:rFonts w:ascii="Arial" w:hAnsi="Arial" w:cs="Arial"/>
          <w:lang w:val="ro-RO"/>
        </w:rPr>
        <w:t>, în judeţul Suceava</w:t>
      </w:r>
    </w:p>
    <w:p w:rsidR="00704074" w:rsidRPr="00112D72" w:rsidRDefault="00704074" w:rsidP="00704074">
      <w:pPr>
        <w:widowControl w:val="0"/>
        <w:spacing w:after="0" w:line="240" w:lineRule="auto"/>
        <w:jc w:val="center"/>
        <w:rPr>
          <w:b/>
          <w:bCs/>
          <w:sz w:val="20"/>
          <w:szCs w:val="20"/>
          <w:lang w:val="ro-RO" w:eastAsia="ro-RO"/>
        </w:rPr>
      </w:pPr>
      <w:r w:rsidRPr="00112D72">
        <w:rPr>
          <w:b/>
          <w:bCs/>
          <w:noProof/>
          <w:sz w:val="20"/>
          <w:szCs w:val="20"/>
          <w:lang w:val="ro-RO" w:eastAsia="ro-RO"/>
        </w:rPr>
        <w:drawing>
          <wp:inline distT="0" distB="0" distL="0" distR="0">
            <wp:extent cx="6010275" cy="1762125"/>
            <wp:effectExtent l="19050" t="0" r="0" b="0"/>
            <wp:docPr id="8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04074" w:rsidRPr="00C5264C" w:rsidRDefault="00704074" w:rsidP="00704074">
      <w:pPr>
        <w:widowControl w:val="0"/>
        <w:spacing w:after="0" w:line="240" w:lineRule="auto"/>
        <w:jc w:val="both"/>
        <w:rPr>
          <w:rFonts w:ascii="Arial" w:hAnsi="Arial" w:cs="Arial"/>
          <w:i/>
          <w:sz w:val="10"/>
          <w:szCs w:val="10"/>
          <w:lang w:val="ro-RO"/>
        </w:rPr>
      </w:pPr>
    </w:p>
    <w:p w:rsidR="0087725B" w:rsidRPr="0087725B" w:rsidRDefault="0087725B" w:rsidP="00704074">
      <w:pPr>
        <w:widowControl w:val="0"/>
        <w:spacing w:after="0" w:line="240" w:lineRule="auto"/>
        <w:rPr>
          <w:rFonts w:ascii="Arial" w:hAnsi="Arial" w:cs="Arial"/>
          <w:b/>
          <w:i/>
          <w:sz w:val="12"/>
          <w:szCs w:val="12"/>
          <w:lang w:val="ro-RO"/>
        </w:rPr>
      </w:pPr>
    </w:p>
    <w:p w:rsidR="00704074" w:rsidRPr="00112D72" w:rsidRDefault="00704074" w:rsidP="00704074">
      <w:pPr>
        <w:widowControl w:val="0"/>
        <w:spacing w:after="0" w:line="240" w:lineRule="auto"/>
        <w:rPr>
          <w:rFonts w:ascii="Arial" w:hAnsi="Arial" w:cs="Arial"/>
          <w:b/>
          <w:i/>
          <w:sz w:val="24"/>
          <w:szCs w:val="24"/>
          <w:lang w:val="ro-RO"/>
        </w:rPr>
      </w:pPr>
      <w:r w:rsidRPr="00112D72">
        <w:rPr>
          <w:rFonts w:ascii="Arial" w:hAnsi="Arial" w:cs="Arial"/>
          <w:b/>
          <w:i/>
          <w:sz w:val="24"/>
          <w:szCs w:val="24"/>
          <w:lang w:val="ro-RO"/>
        </w:rPr>
        <w:t>Emisii de precursori ai ozonului</w:t>
      </w:r>
    </w:p>
    <w:p w:rsidR="00704074" w:rsidRPr="00112D72" w:rsidRDefault="00704074" w:rsidP="00704074">
      <w:pPr>
        <w:widowControl w:val="0"/>
        <w:spacing w:after="0" w:line="240" w:lineRule="auto"/>
        <w:jc w:val="center"/>
        <w:rPr>
          <w:rFonts w:ascii="Arial" w:hAnsi="Arial" w:cs="Arial"/>
          <w:sz w:val="16"/>
          <w:szCs w:val="16"/>
          <w:lang w:val="ro-RO"/>
        </w:rPr>
      </w:pPr>
    </w:p>
    <w:p w:rsidR="00704074" w:rsidRPr="00112D72" w:rsidRDefault="00704074" w:rsidP="00704074">
      <w:pPr>
        <w:widowControl w:val="0"/>
        <w:spacing w:after="0" w:line="240" w:lineRule="auto"/>
        <w:jc w:val="center"/>
        <w:rPr>
          <w:rFonts w:ascii="Arial" w:hAnsi="Arial" w:cs="Arial"/>
          <w:lang w:val="ro-RO"/>
        </w:rPr>
      </w:pPr>
      <w:r w:rsidRPr="00112D72">
        <w:rPr>
          <w:rFonts w:ascii="Arial" w:hAnsi="Arial" w:cs="Arial"/>
          <w:lang w:val="ro-RO"/>
        </w:rPr>
        <w:t xml:space="preserve">Fig. I.2.1.1.2. Contribuţia </w:t>
      </w:r>
      <w:r w:rsidR="008B2BCF" w:rsidRPr="00112D72">
        <w:rPr>
          <w:rFonts w:ascii="Arial" w:hAnsi="Arial" w:cs="Arial"/>
          <w:lang w:val="ro-RO"/>
        </w:rPr>
        <w:t xml:space="preserve">subsectoarelor </w:t>
      </w:r>
      <w:r w:rsidRPr="00112D72">
        <w:rPr>
          <w:rFonts w:ascii="Arial" w:hAnsi="Arial" w:cs="Arial"/>
          <w:lang w:val="ro-RO"/>
        </w:rPr>
        <w:t xml:space="preserve">de activitate din </w:t>
      </w:r>
      <w:r w:rsidRPr="00112D72">
        <w:rPr>
          <w:rFonts w:ascii="Arial" w:hAnsi="Arial" w:cs="Arial"/>
          <w:b/>
          <w:lang w:val="ro-RO"/>
        </w:rPr>
        <w:t>energie</w:t>
      </w:r>
    </w:p>
    <w:p w:rsidR="00704074" w:rsidRPr="00112D72" w:rsidRDefault="00704074" w:rsidP="00704074">
      <w:pPr>
        <w:widowControl w:val="0"/>
        <w:spacing w:after="0" w:line="240" w:lineRule="auto"/>
        <w:jc w:val="center"/>
        <w:rPr>
          <w:rFonts w:ascii="Arial" w:hAnsi="Arial" w:cs="Arial"/>
          <w:lang w:val="ro-RO"/>
        </w:rPr>
      </w:pPr>
      <w:r w:rsidRPr="00112D72">
        <w:rPr>
          <w:rFonts w:ascii="Arial" w:hAnsi="Arial" w:cs="Arial"/>
          <w:lang w:val="ro-RO"/>
        </w:rPr>
        <w:t xml:space="preserve"> la emisiile de poluanţi pre</w:t>
      </w:r>
      <w:r w:rsidR="00EA7D7E" w:rsidRPr="00112D72">
        <w:rPr>
          <w:rFonts w:ascii="Arial" w:hAnsi="Arial" w:cs="Arial"/>
          <w:lang w:val="ro-RO"/>
        </w:rPr>
        <w:t>cursori ai ozonului în anul 2017</w:t>
      </w:r>
      <w:r w:rsidRPr="00112D72">
        <w:rPr>
          <w:rFonts w:ascii="Arial" w:hAnsi="Arial" w:cs="Arial"/>
          <w:lang w:val="ro-RO"/>
        </w:rPr>
        <w:t>, în judeţul Suceava</w:t>
      </w:r>
    </w:p>
    <w:p w:rsidR="00F02E0C" w:rsidRPr="00112D72" w:rsidRDefault="00F02E0C" w:rsidP="00704074">
      <w:pPr>
        <w:widowControl w:val="0"/>
        <w:spacing w:after="0" w:line="240" w:lineRule="auto"/>
        <w:jc w:val="center"/>
        <w:rPr>
          <w:rFonts w:ascii="Arial" w:hAnsi="Arial" w:cs="Arial"/>
          <w:sz w:val="10"/>
          <w:szCs w:val="10"/>
          <w:lang w:val="ro-RO"/>
        </w:rPr>
      </w:pPr>
    </w:p>
    <w:p w:rsidR="00704074" w:rsidRPr="00112D72" w:rsidRDefault="00704074" w:rsidP="00BD3F4F">
      <w:pPr>
        <w:widowControl w:val="0"/>
        <w:spacing w:after="0" w:line="240" w:lineRule="auto"/>
        <w:rPr>
          <w:rFonts w:ascii="Arial" w:hAnsi="Arial" w:cs="Arial"/>
          <w:b/>
          <w:sz w:val="24"/>
          <w:szCs w:val="24"/>
          <w:lang w:val="ro-RO"/>
        </w:rPr>
      </w:pPr>
      <w:r w:rsidRPr="00112D72">
        <w:rPr>
          <w:rFonts w:ascii="Arial" w:hAnsi="Arial" w:cs="Arial"/>
          <w:b/>
          <w:noProof/>
          <w:sz w:val="24"/>
          <w:szCs w:val="24"/>
          <w:lang w:val="ro-RO" w:eastAsia="ro-RO"/>
        </w:rPr>
        <w:drawing>
          <wp:inline distT="0" distB="0" distL="0" distR="0">
            <wp:extent cx="6219825" cy="1790700"/>
            <wp:effectExtent l="19050" t="0" r="0" b="0"/>
            <wp:docPr id="85"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A526F" w:rsidRPr="00112D72" w:rsidRDefault="00704074" w:rsidP="00704074">
      <w:pPr>
        <w:widowControl w:val="0"/>
        <w:spacing w:after="0" w:line="240" w:lineRule="auto"/>
        <w:jc w:val="both"/>
        <w:rPr>
          <w:rFonts w:ascii="Arial" w:hAnsi="Arial" w:cs="Arial"/>
          <w:b/>
          <w:sz w:val="10"/>
          <w:szCs w:val="10"/>
          <w:lang w:val="ro-RO" w:eastAsia="ro-RO"/>
        </w:rPr>
      </w:pPr>
      <w:r w:rsidRPr="00112D72">
        <w:rPr>
          <w:rFonts w:ascii="Arial" w:hAnsi="Arial" w:cs="Arial"/>
          <w:b/>
          <w:sz w:val="24"/>
          <w:szCs w:val="24"/>
          <w:lang w:val="ro-RO" w:eastAsia="ro-RO"/>
        </w:rPr>
        <w:tab/>
      </w:r>
    </w:p>
    <w:p w:rsidR="00704074" w:rsidRPr="00112D72" w:rsidRDefault="00704074" w:rsidP="002A526F">
      <w:pPr>
        <w:widowControl w:val="0"/>
        <w:spacing w:after="0" w:line="240" w:lineRule="auto"/>
        <w:ind w:firstLine="720"/>
        <w:jc w:val="both"/>
        <w:rPr>
          <w:rFonts w:ascii="Arial" w:hAnsi="Arial" w:cs="Arial"/>
          <w:sz w:val="24"/>
          <w:szCs w:val="24"/>
          <w:lang w:val="ro-RO" w:eastAsia="ro-RO"/>
        </w:rPr>
      </w:pPr>
      <w:r w:rsidRPr="00112D72">
        <w:rPr>
          <w:rFonts w:ascii="Arial" w:hAnsi="Arial" w:cs="Arial"/>
          <w:sz w:val="24"/>
          <w:szCs w:val="24"/>
          <w:lang w:val="ro-RO"/>
        </w:rPr>
        <w:t>Î</w:t>
      </w:r>
      <w:r w:rsidRPr="00112D72">
        <w:rPr>
          <w:rFonts w:ascii="Arial" w:hAnsi="Arial" w:cs="Arial"/>
          <w:sz w:val="24"/>
          <w:szCs w:val="24"/>
          <w:lang w:val="ro-RO" w:eastAsia="ro-RO"/>
        </w:rPr>
        <w:t xml:space="preserve">n anul </w:t>
      </w:r>
      <w:r w:rsidR="00EA7D7E" w:rsidRPr="00112D72">
        <w:rPr>
          <w:rFonts w:ascii="Arial" w:hAnsi="Arial" w:cs="Arial"/>
          <w:sz w:val="24"/>
          <w:szCs w:val="24"/>
          <w:lang w:val="ro-RO" w:eastAsia="ro-RO"/>
        </w:rPr>
        <w:t>2017</w:t>
      </w:r>
      <w:r w:rsidR="00C5264C">
        <w:rPr>
          <w:rFonts w:ascii="Arial" w:hAnsi="Arial" w:cs="Arial"/>
          <w:sz w:val="24"/>
          <w:szCs w:val="24"/>
          <w:lang w:val="ro-RO" w:eastAsia="ro-RO"/>
        </w:rPr>
        <w:t>,</w:t>
      </w:r>
      <w:r w:rsidRPr="00112D72">
        <w:rPr>
          <w:rFonts w:ascii="Arial" w:hAnsi="Arial" w:cs="Arial"/>
          <w:sz w:val="24"/>
          <w:szCs w:val="24"/>
          <w:lang w:val="ro-RO" w:eastAsia="ro-RO"/>
        </w:rPr>
        <w:t xml:space="preserve"> „</w:t>
      </w:r>
      <w:r w:rsidRPr="00112D72">
        <w:rPr>
          <w:rFonts w:ascii="Arial" w:hAnsi="Arial" w:cs="Arial"/>
          <w:i/>
          <w:sz w:val="24"/>
          <w:szCs w:val="24"/>
          <w:lang w:val="ro-RO" w:eastAsia="ro-RO"/>
        </w:rPr>
        <w:t>Arderile în sectorul rezidenţia</w:t>
      </w:r>
      <w:r w:rsidRPr="00112D72">
        <w:rPr>
          <w:rFonts w:ascii="Arial" w:hAnsi="Arial" w:cs="Arial"/>
          <w:sz w:val="24"/>
          <w:szCs w:val="24"/>
          <w:lang w:val="ro-RO" w:eastAsia="ro-RO"/>
        </w:rPr>
        <w:t>l</w:t>
      </w:r>
      <w:r w:rsidRPr="00112D72">
        <w:rPr>
          <w:rFonts w:ascii="Arial" w:hAnsi="Arial" w:cs="Arial"/>
          <w:i/>
          <w:sz w:val="24"/>
          <w:szCs w:val="24"/>
          <w:lang w:val="ro-RO" w:eastAsia="ro-RO"/>
        </w:rPr>
        <w:t xml:space="preserve">” </w:t>
      </w:r>
      <w:r w:rsidRPr="00112D72">
        <w:rPr>
          <w:rFonts w:ascii="Arial" w:hAnsi="Arial" w:cs="Arial"/>
          <w:sz w:val="24"/>
          <w:szCs w:val="24"/>
          <w:lang w:val="ro-RO" w:eastAsia="ro-RO"/>
        </w:rPr>
        <w:t xml:space="preserve">au contribuit majoritar la emisiile de poluanţi precursori ai ozonului </w:t>
      </w:r>
      <w:r w:rsidR="00C5264C" w:rsidRPr="00112D72">
        <w:rPr>
          <w:rFonts w:ascii="Arial" w:hAnsi="Arial" w:cs="Arial"/>
          <w:sz w:val="24"/>
          <w:szCs w:val="24"/>
          <w:lang w:val="ro-RO" w:eastAsia="ro-RO"/>
        </w:rPr>
        <w:t>din sectorul „</w:t>
      </w:r>
      <w:r w:rsidR="00C5264C" w:rsidRPr="00112D72">
        <w:rPr>
          <w:rFonts w:ascii="Arial" w:hAnsi="Arial" w:cs="Arial"/>
          <w:i/>
          <w:sz w:val="24"/>
          <w:szCs w:val="24"/>
          <w:lang w:val="ro-RO" w:eastAsia="ro-RO"/>
        </w:rPr>
        <w:t>Energie</w:t>
      </w:r>
      <w:r w:rsidR="00C5264C" w:rsidRPr="00112D72">
        <w:rPr>
          <w:rFonts w:ascii="Arial" w:hAnsi="Arial" w:cs="Arial"/>
          <w:sz w:val="24"/>
          <w:szCs w:val="24"/>
          <w:lang w:val="ro-RO" w:eastAsia="ro-RO"/>
        </w:rPr>
        <w:t>”</w:t>
      </w:r>
      <w:r w:rsidR="00C5264C" w:rsidRPr="00112D72">
        <w:rPr>
          <w:rFonts w:ascii="Arial" w:hAnsi="Arial" w:cs="Arial"/>
          <w:sz w:val="24"/>
          <w:szCs w:val="24"/>
          <w:lang w:val="ro-RO"/>
        </w:rPr>
        <w:t xml:space="preserve"> </w:t>
      </w:r>
      <w:r w:rsidRPr="00112D72">
        <w:rPr>
          <w:rFonts w:ascii="Arial" w:hAnsi="Arial" w:cs="Arial"/>
          <w:sz w:val="24"/>
          <w:szCs w:val="24"/>
          <w:lang w:val="ro-RO"/>
        </w:rPr>
        <w:t xml:space="preserve">(fig. I.2.1.1.2). </w:t>
      </w:r>
    </w:p>
    <w:p w:rsidR="007A0A53" w:rsidRPr="00112D72" w:rsidRDefault="007A0A53" w:rsidP="00704074">
      <w:pPr>
        <w:widowControl w:val="0"/>
        <w:spacing w:after="0" w:line="240" w:lineRule="auto"/>
        <w:jc w:val="both"/>
        <w:rPr>
          <w:rFonts w:ascii="Arial" w:hAnsi="Arial" w:cs="Arial"/>
          <w:i/>
          <w:sz w:val="16"/>
          <w:szCs w:val="16"/>
          <w:lang w:val="ro-RO"/>
        </w:rPr>
      </w:pPr>
    </w:p>
    <w:p w:rsidR="00704074" w:rsidRPr="00112D72" w:rsidRDefault="00704074" w:rsidP="00704074">
      <w:pPr>
        <w:widowControl w:val="0"/>
        <w:spacing w:after="0" w:line="240" w:lineRule="auto"/>
        <w:jc w:val="both"/>
        <w:rPr>
          <w:rFonts w:ascii="Arial" w:hAnsi="Arial" w:cs="Arial"/>
          <w:b/>
          <w:i/>
          <w:sz w:val="24"/>
          <w:szCs w:val="24"/>
          <w:lang w:val="ro-RO"/>
        </w:rPr>
      </w:pPr>
      <w:r w:rsidRPr="00112D72">
        <w:rPr>
          <w:rFonts w:ascii="Arial" w:hAnsi="Arial" w:cs="Arial"/>
          <w:b/>
          <w:i/>
          <w:sz w:val="24"/>
          <w:szCs w:val="24"/>
          <w:lang w:val="ro-RO"/>
        </w:rPr>
        <w:t>Emisii de particule primare şi precursori secundari de particule</w:t>
      </w:r>
    </w:p>
    <w:p w:rsidR="00D3354D" w:rsidRPr="00112D72" w:rsidRDefault="00D3354D" w:rsidP="00704074">
      <w:pPr>
        <w:widowControl w:val="0"/>
        <w:spacing w:after="0" w:line="240" w:lineRule="auto"/>
        <w:jc w:val="center"/>
        <w:rPr>
          <w:rFonts w:ascii="Arial" w:hAnsi="Arial" w:cs="Arial"/>
          <w:sz w:val="16"/>
          <w:szCs w:val="16"/>
          <w:lang w:val="ro-RO"/>
        </w:rPr>
      </w:pPr>
    </w:p>
    <w:p w:rsidR="00704074" w:rsidRPr="00112D72" w:rsidRDefault="00704074" w:rsidP="00704074">
      <w:pPr>
        <w:widowControl w:val="0"/>
        <w:spacing w:after="0" w:line="240" w:lineRule="auto"/>
        <w:jc w:val="center"/>
        <w:rPr>
          <w:rFonts w:ascii="Arial" w:hAnsi="Arial" w:cs="Arial"/>
          <w:lang w:val="ro-RO"/>
        </w:rPr>
      </w:pPr>
      <w:r w:rsidRPr="00112D72">
        <w:rPr>
          <w:rFonts w:ascii="Arial" w:hAnsi="Arial" w:cs="Arial"/>
          <w:lang w:val="ro-RO"/>
        </w:rPr>
        <w:t xml:space="preserve">Fig. I.2.1.1.3. Contribuţia </w:t>
      </w:r>
      <w:r w:rsidR="008B2BCF" w:rsidRPr="00112D72">
        <w:rPr>
          <w:rFonts w:ascii="Arial" w:hAnsi="Arial" w:cs="Arial"/>
          <w:lang w:val="ro-RO"/>
        </w:rPr>
        <w:t xml:space="preserve">subsectoarelor </w:t>
      </w:r>
      <w:r w:rsidRPr="00112D72">
        <w:rPr>
          <w:rFonts w:ascii="Arial" w:hAnsi="Arial" w:cs="Arial"/>
          <w:lang w:val="ro-RO"/>
        </w:rPr>
        <w:t xml:space="preserve">de activitate din </w:t>
      </w:r>
      <w:r w:rsidRPr="00112D72">
        <w:rPr>
          <w:rFonts w:ascii="Arial" w:hAnsi="Arial" w:cs="Arial"/>
          <w:b/>
          <w:lang w:val="ro-RO"/>
        </w:rPr>
        <w:t>energie</w:t>
      </w:r>
      <w:r w:rsidRPr="00112D72">
        <w:rPr>
          <w:rFonts w:ascii="Arial" w:hAnsi="Arial" w:cs="Arial"/>
          <w:lang w:val="ro-RO"/>
        </w:rPr>
        <w:t xml:space="preserve"> </w:t>
      </w:r>
    </w:p>
    <w:p w:rsidR="00704074" w:rsidRPr="00112D72" w:rsidRDefault="00704074" w:rsidP="00704074">
      <w:pPr>
        <w:widowControl w:val="0"/>
        <w:spacing w:after="0" w:line="240" w:lineRule="auto"/>
        <w:jc w:val="center"/>
        <w:rPr>
          <w:rFonts w:ascii="Arial" w:hAnsi="Arial" w:cs="Arial"/>
          <w:lang w:val="ro-RO"/>
        </w:rPr>
      </w:pPr>
      <w:r w:rsidRPr="00112D72">
        <w:rPr>
          <w:rFonts w:ascii="Arial" w:hAnsi="Arial" w:cs="Arial"/>
          <w:lang w:val="ro-RO"/>
        </w:rPr>
        <w:t>la emisiile de particule primare în suspensie în anul 201</w:t>
      </w:r>
      <w:r w:rsidR="00175FD0" w:rsidRPr="00112D72">
        <w:rPr>
          <w:rFonts w:ascii="Arial" w:hAnsi="Arial" w:cs="Arial"/>
          <w:lang w:val="ro-RO"/>
        </w:rPr>
        <w:t>7</w:t>
      </w:r>
      <w:r w:rsidRPr="00112D72">
        <w:rPr>
          <w:rFonts w:ascii="Arial" w:hAnsi="Arial" w:cs="Arial"/>
          <w:lang w:val="ro-RO"/>
        </w:rPr>
        <w:t>, în judeţul Suceava</w:t>
      </w:r>
    </w:p>
    <w:p w:rsidR="00704074" w:rsidRPr="00112D72" w:rsidRDefault="00704074" w:rsidP="00704074">
      <w:pPr>
        <w:widowControl w:val="0"/>
        <w:spacing w:after="0" w:line="240" w:lineRule="auto"/>
        <w:jc w:val="center"/>
        <w:rPr>
          <w:rFonts w:ascii="Arial" w:hAnsi="Arial" w:cs="Arial"/>
          <w:b/>
          <w:bCs/>
          <w:lang w:val="ro-RO"/>
        </w:rPr>
      </w:pPr>
      <w:r w:rsidRPr="00112D72">
        <w:rPr>
          <w:rFonts w:ascii="Arial" w:hAnsi="Arial" w:cs="Arial"/>
          <w:b/>
          <w:bCs/>
          <w:noProof/>
          <w:lang w:val="ro-RO" w:eastAsia="ro-RO"/>
        </w:rPr>
        <w:drawing>
          <wp:inline distT="0" distB="0" distL="0" distR="0">
            <wp:extent cx="5753100" cy="1533525"/>
            <wp:effectExtent l="19050" t="0" r="0" b="0"/>
            <wp:docPr id="86"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04074" w:rsidRPr="00112D72" w:rsidRDefault="00704074" w:rsidP="00C5264C">
      <w:pPr>
        <w:widowControl w:val="0"/>
        <w:spacing w:after="0" w:line="240" w:lineRule="auto"/>
        <w:jc w:val="both"/>
        <w:rPr>
          <w:rFonts w:ascii="Arial" w:hAnsi="Arial" w:cs="Arial"/>
          <w:sz w:val="24"/>
          <w:szCs w:val="24"/>
          <w:lang w:val="ro-RO"/>
        </w:rPr>
      </w:pPr>
      <w:r w:rsidRPr="00112D72">
        <w:rPr>
          <w:rFonts w:ascii="Arial" w:hAnsi="Arial" w:cs="Arial"/>
          <w:sz w:val="24"/>
          <w:szCs w:val="24"/>
          <w:lang w:val="ro-RO"/>
        </w:rPr>
        <w:tab/>
      </w:r>
      <w:r w:rsidR="0040484E" w:rsidRPr="00112D72">
        <w:rPr>
          <w:rFonts w:ascii="Arial" w:hAnsi="Arial" w:cs="Arial"/>
          <w:sz w:val="24"/>
          <w:szCs w:val="24"/>
          <w:lang w:val="ro-RO" w:eastAsia="ro-RO"/>
        </w:rPr>
        <w:t xml:space="preserve"> </w:t>
      </w:r>
      <w:r w:rsidRPr="00112D72">
        <w:rPr>
          <w:rFonts w:ascii="Arial" w:hAnsi="Arial" w:cs="Arial"/>
          <w:sz w:val="24"/>
          <w:szCs w:val="24"/>
          <w:lang w:val="ro-RO" w:eastAsia="ro-RO"/>
        </w:rPr>
        <w:t>„</w:t>
      </w:r>
      <w:r w:rsidRPr="00112D72">
        <w:rPr>
          <w:rFonts w:ascii="Arial" w:hAnsi="Arial" w:cs="Arial"/>
          <w:i/>
          <w:sz w:val="24"/>
          <w:szCs w:val="24"/>
          <w:lang w:val="ro-RO" w:eastAsia="ro-RO"/>
        </w:rPr>
        <w:t>Arderile în sectorul rezidenţia</w:t>
      </w:r>
      <w:r w:rsidRPr="00112D72">
        <w:rPr>
          <w:rFonts w:ascii="Arial" w:hAnsi="Arial" w:cs="Arial"/>
          <w:sz w:val="24"/>
          <w:szCs w:val="24"/>
          <w:lang w:val="ro-RO" w:eastAsia="ro-RO"/>
        </w:rPr>
        <w:t>l</w:t>
      </w:r>
      <w:r w:rsidRPr="00112D72">
        <w:rPr>
          <w:rFonts w:ascii="Arial" w:hAnsi="Arial" w:cs="Arial"/>
          <w:i/>
          <w:sz w:val="24"/>
          <w:szCs w:val="24"/>
          <w:lang w:val="ro-RO" w:eastAsia="ro-RO"/>
        </w:rPr>
        <w:t xml:space="preserve">” </w:t>
      </w:r>
      <w:r w:rsidRPr="00112D72">
        <w:rPr>
          <w:rFonts w:ascii="Arial" w:hAnsi="Arial" w:cs="Arial"/>
          <w:sz w:val="24"/>
          <w:szCs w:val="24"/>
          <w:lang w:val="ro-RO" w:eastAsia="ro-RO"/>
        </w:rPr>
        <w:t>au</w:t>
      </w:r>
      <w:r w:rsidRPr="00112D72">
        <w:rPr>
          <w:rFonts w:ascii="Arial" w:hAnsi="Arial" w:cs="Arial"/>
          <w:i/>
          <w:sz w:val="24"/>
          <w:szCs w:val="24"/>
          <w:lang w:val="ro-RO" w:eastAsia="ro-RO"/>
        </w:rPr>
        <w:t xml:space="preserve"> </w:t>
      </w:r>
      <w:r w:rsidRPr="00112D72">
        <w:rPr>
          <w:rFonts w:ascii="Arial" w:hAnsi="Arial" w:cs="Arial"/>
          <w:sz w:val="24"/>
          <w:szCs w:val="24"/>
          <w:lang w:val="ro-RO"/>
        </w:rPr>
        <w:t xml:space="preserve">contribuit </w:t>
      </w:r>
      <w:r w:rsidR="00FB4B39">
        <w:rPr>
          <w:rFonts w:ascii="Arial" w:hAnsi="Arial" w:cs="Arial"/>
          <w:sz w:val="24"/>
          <w:szCs w:val="24"/>
          <w:lang w:val="ro-RO"/>
        </w:rPr>
        <w:t>majoritar</w:t>
      </w:r>
      <w:r w:rsidRPr="00112D72">
        <w:rPr>
          <w:rFonts w:ascii="Arial" w:hAnsi="Arial" w:cs="Arial"/>
          <w:sz w:val="24"/>
          <w:szCs w:val="24"/>
          <w:lang w:val="ro-RO"/>
        </w:rPr>
        <w:t xml:space="preserve"> la emisiile</w:t>
      </w:r>
      <w:r w:rsidR="001469D1">
        <w:rPr>
          <w:rFonts w:ascii="Arial" w:hAnsi="Arial" w:cs="Arial"/>
          <w:sz w:val="24"/>
          <w:szCs w:val="24"/>
          <w:lang w:val="ro-RO"/>
        </w:rPr>
        <w:t xml:space="preserve"> </w:t>
      </w:r>
      <w:r w:rsidRPr="00112D72">
        <w:rPr>
          <w:rFonts w:ascii="Arial" w:hAnsi="Arial" w:cs="Arial"/>
          <w:sz w:val="24"/>
          <w:szCs w:val="24"/>
          <w:lang w:val="ro-RO"/>
        </w:rPr>
        <w:t xml:space="preserve">de </w:t>
      </w:r>
      <w:r w:rsidR="0040484E" w:rsidRPr="00112D72">
        <w:rPr>
          <w:rFonts w:ascii="Arial" w:hAnsi="Arial" w:cs="Arial"/>
          <w:sz w:val="24"/>
          <w:szCs w:val="24"/>
          <w:lang w:val="ro-RO"/>
        </w:rPr>
        <w:t xml:space="preserve">pulberi în suspensie </w:t>
      </w:r>
      <w:r w:rsidRPr="00112D72">
        <w:rPr>
          <w:rFonts w:ascii="Arial" w:hAnsi="Arial" w:cs="Arial"/>
          <w:sz w:val="24"/>
          <w:szCs w:val="24"/>
          <w:lang w:val="ro-RO"/>
        </w:rPr>
        <w:t>PM2,5 şi PM10</w:t>
      </w:r>
      <w:r w:rsidR="001469D1" w:rsidRPr="001469D1">
        <w:rPr>
          <w:rFonts w:ascii="Arial" w:hAnsi="Arial" w:cs="Arial"/>
          <w:sz w:val="24"/>
          <w:szCs w:val="24"/>
          <w:lang w:val="ro-RO" w:eastAsia="ro-RO"/>
        </w:rPr>
        <w:t xml:space="preserve"> </w:t>
      </w:r>
      <w:r w:rsidR="001469D1" w:rsidRPr="00112D72">
        <w:rPr>
          <w:rFonts w:ascii="Arial" w:hAnsi="Arial" w:cs="Arial"/>
          <w:sz w:val="24"/>
          <w:szCs w:val="24"/>
          <w:lang w:val="ro-RO" w:eastAsia="ro-RO"/>
        </w:rPr>
        <w:t>din sectorul „</w:t>
      </w:r>
      <w:r w:rsidR="001469D1" w:rsidRPr="00112D72">
        <w:rPr>
          <w:rFonts w:ascii="Arial" w:hAnsi="Arial" w:cs="Arial"/>
          <w:i/>
          <w:sz w:val="24"/>
          <w:szCs w:val="24"/>
          <w:lang w:val="ro-RO" w:eastAsia="ro-RO"/>
        </w:rPr>
        <w:t>Energie</w:t>
      </w:r>
      <w:r w:rsidR="001469D1" w:rsidRPr="00112D72">
        <w:rPr>
          <w:rFonts w:ascii="Arial" w:hAnsi="Arial" w:cs="Arial"/>
          <w:sz w:val="24"/>
          <w:szCs w:val="24"/>
          <w:lang w:val="ro-RO" w:eastAsia="ro-RO"/>
        </w:rPr>
        <w:t>”</w:t>
      </w:r>
      <w:r w:rsidR="001469D1">
        <w:rPr>
          <w:rFonts w:ascii="Arial" w:hAnsi="Arial" w:cs="Arial"/>
          <w:sz w:val="24"/>
          <w:szCs w:val="24"/>
          <w:lang w:val="ro-RO"/>
        </w:rPr>
        <w:t>,</w:t>
      </w:r>
      <w:r w:rsidR="001469D1" w:rsidRPr="001469D1">
        <w:rPr>
          <w:rFonts w:ascii="Arial" w:hAnsi="Arial" w:cs="Arial"/>
          <w:sz w:val="24"/>
          <w:szCs w:val="24"/>
          <w:lang w:val="ro-RO" w:eastAsia="ro-RO"/>
        </w:rPr>
        <w:t xml:space="preserve"> </w:t>
      </w:r>
      <w:r w:rsidR="001469D1">
        <w:rPr>
          <w:rFonts w:ascii="Arial" w:hAnsi="Arial" w:cs="Arial"/>
          <w:sz w:val="24"/>
          <w:szCs w:val="24"/>
          <w:lang w:val="ro-RO" w:eastAsia="ro-RO"/>
        </w:rPr>
        <w:t>în anul 2017</w:t>
      </w:r>
      <w:r w:rsidR="001469D1" w:rsidRPr="00112D72">
        <w:rPr>
          <w:rFonts w:ascii="Arial" w:hAnsi="Arial" w:cs="Arial"/>
          <w:sz w:val="24"/>
          <w:szCs w:val="24"/>
          <w:lang w:val="ro-RO"/>
        </w:rPr>
        <w:t xml:space="preserve"> (fig. I. </w:t>
      </w:r>
      <w:r w:rsidR="001469D1">
        <w:rPr>
          <w:rFonts w:ascii="Arial" w:hAnsi="Arial" w:cs="Arial"/>
          <w:sz w:val="24"/>
          <w:szCs w:val="24"/>
          <w:lang w:val="ro-RO"/>
        </w:rPr>
        <w:t>2.1.1.3)</w:t>
      </w:r>
      <w:r w:rsidR="00FB4B39">
        <w:rPr>
          <w:rFonts w:ascii="Arial" w:hAnsi="Arial" w:cs="Arial"/>
          <w:sz w:val="24"/>
          <w:szCs w:val="24"/>
          <w:lang w:val="ro-RO"/>
        </w:rPr>
        <w:t>, în principal arderea lemnului</w:t>
      </w:r>
      <w:r w:rsidR="001469D1">
        <w:rPr>
          <w:rFonts w:ascii="Arial" w:hAnsi="Arial" w:cs="Arial"/>
          <w:sz w:val="24"/>
          <w:szCs w:val="24"/>
          <w:lang w:val="ro-RO"/>
        </w:rPr>
        <w:t>.</w:t>
      </w:r>
    </w:p>
    <w:p w:rsidR="0040484E" w:rsidRPr="0087725B" w:rsidRDefault="0040484E" w:rsidP="00704074">
      <w:pPr>
        <w:widowControl w:val="0"/>
        <w:spacing w:after="0" w:line="240" w:lineRule="auto"/>
        <w:jc w:val="both"/>
        <w:rPr>
          <w:rFonts w:ascii="Arial" w:hAnsi="Arial" w:cs="Arial"/>
          <w:b/>
          <w:i/>
          <w:sz w:val="10"/>
          <w:szCs w:val="10"/>
          <w:lang w:val="ro-RO"/>
        </w:rPr>
      </w:pPr>
    </w:p>
    <w:p w:rsidR="00704074" w:rsidRPr="00112D72" w:rsidRDefault="00704074" w:rsidP="00704074">
      <w:pPr>
        <w:widowControl w:val="0"/>
        <w:spacing w:after="0" w:line="240" w:lineRule="auto"/>
        <w:jc w:val="both"/>
        <w:rPr>
          <w:rFonts w:ascii="Arial" w:hAnsi="Arial" w:cs="Arial"/>
          <w:b/>
          <w:i/>
          <w:sz w:val="24"/>
          <w:szCs w:val="24"/>
          <w:lang w:val="ro-RO"/>
        </w:rPr>
      </w:pPr>
      <w:r w:rsidRPr="00112D72">
        <w:rPr>
          <w:rFonts w:ascii="Arial" w:hAnsi="Arial" w:cs="Arial"/>
          <w:b/>
          <w:i/>
          <w:sz w:val="24"/>
          <w:szCs w:val="24"/>
          <w:lang w:val="ro-RO"/>
        </w:rPr>
        <w:lastRenderedPageBreak/>
        <w:t>Emisii de metale grele</w:t>
      </w:r>
    </w:p>
    <w:p w:rsidR="0040484E" w:rsidRPr="00112D72" w:rsidRDefault="0040484E" w:rsidP="00704074">
      <w:pPr>
        <w:widowControl w:val="0"/>
        <w:spacing w:after="0" w:line="240" w:lineRule="auto"/>
        <w:jc w:val="center"/>
        <w:rPr>
          <w:rFonts w:ascii="Arial" w:hAnsi="Arial" w:cs="Arial"/>
          <w:sz w:val="10"/>
          <w:szCs w:val="10"/>
          <w:lang w:val="ro-RO"/>
        </w:rPr>
      </w:pPr>
    </w:p>
    <w:p w:rsidR="00704074" w:rsidRPr="00112D72" w:rsidRDefault="00704074" w:rsidP="00704074">
      <w:pPr>
        <w:widowControl w:val="0"/>
        <w:spacing w:after="0" w:line="240" w:lineRule="auto"/>
        <w:jc w:val="center"/>
        <w:rPr>
          <w:rFonts w:ascii="Arial" w:hAnsi="Arial" w:cs="Arial"/>
          <w:lang w:val="ro-RO"/>
        </w:rPr>
      </w:pPr>
      <w:r w:rsidRPr="00112D72">
        <w:rPr>
          <w:rFonts w:ascii="Arial" w:hAnsi="Arial" w:cs="Arial"/>
          <w:lang w:val="ro-RO"/>
        </w:rPr>
        <w:t xml:space="preserve">Fig. I.2.1.1.4. Contribuţia </w:t>
      </w:r>
      <w:r w:rsidR="008B2BCF" w:rsidRPr="00112D72">
        <w:rPr>
          <w:rFonts w:ascii="Arial" w:hAnsi="Arial" w:cs="Arial"/>
          <w:lang w:val="ro-RO"/>
        </w:rPr>
        <w:t xml:space="preserve">subsectoarelor </w:t>
      </w:r>
      <w:r w:rsidRPr="00112D72">
        <w:rPr>
          <w:rFonts w:ascii="Arial" w:hAnsi="Arial" w:cs="Arial"/>
          <w:lang w:val="ro-RO"/>
        </w:rPr>
        <w:t xml:space="preserve">de activitate din </w:t>
      </w:r>
      <w:r w:rsidRPr="00112D72">
        <w:rPr>
          <w:rFonts w:ascii="Arial" w:hAnsi="Arial" w:cs="Arial"/>
          <w:b/>
          <w:lang w:val="ro-RO"/>
        </w:rPr>
        <w:t>energie</w:t>
      </w:r>
      <w:r w:rsidRPr="00112D72">
        <w:rPr>
          <w:rFonts w:ascii="Arial" w:hAnsi="Arial" w:cs="Arial"/>
          <w:lang w:val="ro-RO"/>
        </w:rPr>
        <w:t xml:space="preserve"> </w:t>
      </w:r>
    </w:p>
    <w:p w:rsidR="00704074" w:rsidRPr="00112D72" w:rsidRDefault="00704074" w:rsidP="00704074">
      <w:pPr>
        <w:widowControl w:val="0"/>
        <w:spacing w:after="0" w:line="240" w:lineRule="auto"/>
        <w:jc w:val="center"/>
        <w:rPr>
          <w:rFonts w:ascii="Arial" w:hAnsi="Arial" w:cs="Arial"/>
          <w:b/>
          <w:bCs/>
          <w:lang w:val="ro-RO"/>
        </w:rPr>
      </w:pPr>
      <w:r w:rsidRPr="00112D72">
        <w:rPr>
          <w:rFonts w:ascii="Arial" w:hAnsi="Arial" w:cs="Arial"/>
          <w:lang w:val="ro-RO"/>
        </w:rPr>
        <w:t>la emisiile de metale grele în anul 201</w:t>
      </w:r>
      <w:r w:rsidR="00EA7D7E" w:rsidRPr="00112D72">
        <w:rPr>
          <w:rFonts w:ascii="Arial" w:hAnsi="Arial" w:cs="Arial"/>
          <w:lang w:val="ro-RO"/>
        </w:rPr>
        <w:t>7</w:t>
      </w:r>
      <w:r w:rsidRPr="00112D72">
        <w:rPr>
          <w:rFonts w:ascii="Arial" w:hAnsi="Arial" w:cs="Arial"/>
          <w:lang w:val="ro-RO"/>
        </w:rPr>
        <w:t>, în judeţul Suceava</w:t>
      </w:r>
      <w:r w:rsidRPr="00112D72">
        <w:rPr>
          <w:rFonts w:ascii="Arial" w:hAnsi="Arial" w:cs="Arial"/>
          <w:b/>
          <w:bCs/>
          <w:noProof/>
          <w:lang w:val="ro-RO" w:eastAsia="ro-RO"/>
        </w:rPr>
        <w:drawing>
          <wp:inline distT="0" distB="0" distL="0" distR="0">
            <wp:extent cx="5991225" cy="1581150"/>
            <wp:effectExtent l="19050" t="0" r="0" b="0"/>
            <wp:docPr id="87"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0484E" w:rsidRPr="00FB4B39" w:rsidRDefault="0040484E" w:rsidP="00704074">
      <w:pPr>
        <w:widowControl w:val="0"/>
        <w:spacing w:after="0" w:line="240" w:lineRule="auto"/>
        <w:jc w:val="both"/>
        <w:rPr>
          <w:rFonts w:ascii="Arial" w:hAnsi="Arial" w:cs="Arial"/>
          <w:b/>
          <w:i/>
          <w:sz w:val="6"/>
          <w:szCs w:val="6"/>
          <w:lang w:val="ro-RO"/>
        </w:rPr>
      </w:pPr>
    </w:p>
    <w:p w:rsidR="00C5264C" w:rsidRPr="00112D72" w:rsidRDefault="00C5264C" w:rsidP="00C5264C">
      <w:pPr>
        <w:widowControl w:val="0"/>
        <w:spacing w:after="0" w:line="240" w:lineRule="auto"/>
        <w:jc w:val="both"/>
        <w:rPr>
          <w:rFonts w:ascii="Arial" w:hAnsi="Arial" w:cs="Arial"/>
          <w:sz w:val="24"/>
          <w:szCs w:val="24"/>
          <w:lang w:val="ro-RO"/>
        </w:rPr>
      </w:pPr>
      <w:r w:rsidRPr="00112D72">
        <w:rPr>
          <w:rFonts w:ascii="Arial" w:hAnsi="Arial" w:cs="Arial"/>
          <w:sz w:val="24"/>
          <w:szCs w:val="24"/>
          <w:lang w:val="ro-RO"/>
        </w:rPr>
        <w:tab/>
        <w:t xml:space="preserve">În anul 2017 </w:t>
      </w:r>
      <w:r w:rsidRPr="00112D72">
        <w:rPr>
          <w:rFonts w:ascii="Arial" w:hAnsi="Arial" w:cs="Arial"/>
          <w:sz w:val="24"/>
          <w:szCs w:val="24"/>
          <w:lang w:val="ro-RO" w:eastAsia="ro-RO"/>
        </w:rPr>
        <w:t>„</w:t>
      </w:r>
      <w:r w:rsidRPr="00112D72">
        <w:rPr>
          <w:rFonts w:ascii="Arial" w:hAnsi="Arial" w:cs="Arial"/>
          <w:i/>
          <w:sz w:val="24"/>
          <w:szCs w:val="24"/>
          <w:lang w:val="ro-RO" w:eastAsia="ro-RO"/>
        </w:rPr>
        <w:t>Arderile în sectorul rezidenţia</w:t>
      </w:r>
      <w:r w:rsidRPr="00112D72">
        <w:rPr>
          <w:rFonts w:ascii="Arial" w:hAnsi="Arial" w:cs="Arial"/>
          <w:sz w:val="24"/>
          <w:szCs w:val="24"/>
          <w:lang w:val="ro-RO" w:eastAsia="ro-RO"/>
        </w:rPr>
        <w:t>l</w:t>
      </w:r>
      <w:r w:rsidRPr="00112D72">
        <w:rPr>
          <w:rFonts w:ascii="Arial" w:hAnsi="Arial" w:cs="Arial"/>
          <w:i/>
          <w:sz w:val="24"/>
          <w:szCs w:val="24"/>
          <w:lang w:val="ro-RO" w:eastAsia="ro-RO"/>
        </w:rPr>
        <w:t xml:space="preserve">” </w:t>
      </w:r>
      <w:r w:rsidRPr="00112D72">
        <w:rPr>
          <w:rFonts w:ascii="Arial" w:hAnsi="Arial" w:cs="Arial"/>
          <w:sz w:val="24"/>
          <w:szCs w:val="24"/>
          <w:lang w:val="ro-RO" w:eastAsia="ro-RO"/>
        </w:rPr>
        <w:t>au</w:t>
      </w:r>
      <w:r w:rsidRPr="00112D72">
        <w:rPr>
          <w:rFonts w:ascii="Arial" w:hAnsi="Arial" w:cs="Arial"/>
          <w:i/>
          <w:sz w:val="24"/>
          <w:szCs w:val="24"/>
          <w:lang w:val="ro-RO" w:eastAsia="ro-RO"/>
        </w:rPr>
        <w:t xml:space="preserve"> </w:t>
      </w:r>
      <w:r w:rsidRPr="00112D72">
        <w:rPr>
          <w:rFonts w:ascii="Arial" w:hAnsi="Arial" w:cs="Arial"/>
          <w:bCs/>
          <w:sz w:val="24"/>
          <w:szCs w:val="24"/>
          <w:lang w:val="ro-RO"/>
        </w:rPr>
        <w:t>contribuit majoritar la emisiile de metale grele din sectorul „</w:t>
      </w:r>
      <w:r w:rsidRPr="00112D72">
        <w:rPr>
          <w:rFonts w:ascii="Arial" w:hAnsi="Arial" w:cs="Arial"/>
          <w:bCs/>
          <w:i/>
          <w:sz w:val="24"/>
          <w:szCs w:val="24"/>
          <w:lang w:val="ro-RO"/>
        </w:rPr>
        <w:t>Energie</w:t>
      </w:r>
      <w:r w:rsidRPr="00112D72">
        <w:rPr>
          <w:rFonts w:ascii="Arial" w:hAnsi="Arial" w:cs="Arial"/>
          <w:bCs/>
          <w:sz w:val="24"/>
          <w:szCs w:val="24"/>
          <w:lang w:val="ro-RO"/>
        </w:rPr>
        <w:t>”  (vezi fig. I.2.1.1.4).</w:t>
      </w:r>
    </w:p>
    <w:p w:rsidR="00C5264C" w:rsidRPr="0087725B" w:rsidRDefault="00C5264C">
      <w:pPr>
        <w:widowControl w:val="0"/>
        <w:spacing w:after="0" w:line="240" w:lineRule="auto"/>
        <w:jc w:val="both"/>
        <w:rPr>
          <w:rFonts w:ascii="Arial" w:hAnsi="Arial" w:cs="Arial"/>
          <w:b/>
          <w:i/>
          <w:sz w:val="16"/>
          <w:szCs w:val="16"/>
          <w:lang w:val="ro-RO"/>
        </w:rPr>
      </w:pPr>
    </w:p>
    <w:p w:rsidR="00704074" w:rsidRPr="00112D72" w:rsidRDefault="00704074" w:rsidP="00704074">
      <w:pPr>
        <w:widowControl w:val="0"/>
        <w:spacing w:after="0" w:line="240" w:lineRule="auto"/>
        <w:jc w:val="both"/>
        <w:rPr>
          <w:rFonts w:ascii="Arial" w:hAnsi="Arial" w:cs="Arial"/>
          <w:b/>
          <w:i/>
          <w:sz w:val="24"/>
          <w:szCs w:val="24"/>
          <w:lang w:val="ro-RO"/>
        </w:rPr>
      </w:pPr>
      <w:r w:rsidRPr="00112D72">
        <w:rPr>
          <w:rFonts w:ascii="Arial" w:hAnsi="Arial" w:cs="Arial"/>
          <w:b/>
          <w:i/>
          <w:sz w:val="24"/>
          <w:szCs w:val="24"/>
          <w:lang w:val="ro-RO"/>
        </w:rPr>
        <w:t>Emisii de poluanţi organici persistenţi</w:t>
      </w:r>
    </w:p>
    <w:p w:rsidR="00704074" w:rsidRPr="00112D72" w:rsidRDefault="00704074" w:rsidP="00704074">
      <w:pPr>
        <w:widowControl w:val="0"/>
        <w:spacing w:after="0" w:line="240" w:lineRule="auto"/>
        <w:jc w:val="both"/>
        <w:rPr>
          <w:rFonts w:ascii="Arial" w:hAnsi="Arial" w:cs="Arial"/>
          <w:i/>
          <w:sz w:val="10"/>
          <w:szCs w:val="10"/>
          <w:lang w:val="ro-RO"/>
        </w:rPr>
      </w:pPr>
    </w:p>
    <w:p w:rsidR="00704074" w:rsidRPr="00112D72" w:rsidRDefault="00704074" w:rsidP="00704074">
      <w:pPr>
        <w:widowControl w:val="0"/>
        <w:spacing w:after="0" w:line="240" w:lineRule="auto"/>
        <w:jc w:val="center"/>
        <w:rPr>
          <w:rFonts w:ascii="Arial" w:hAnsi="Arial" w:cs="Arial"/>
          <w:lang w:val="ro-RO"/>
        </w:rPr>
      </w:pPr>
      <w:r w:rsidRPr="00112D72">
        <w:rPr>
          <w:rFonts w:ascii="Arial" w:hAnsi="Arial" w:cs="Arial"/>
          <w:lang w:val="ro-RO"/>
        </w:rPr>
        <w:t xml:space="preserve">Fig. I.2.1.1.5. Contribuţia </w:t>
      </w:r>
      <w:r w:rsidR="008B2BCF" w:rsidRPr="00112D72">
        <w:rPr>
          <w:rFonts w:ascii="Arial" w:hAnsi="Arial" w:cs="Arial"/>
          <w:lang w:val="ro-RO"/>
        </w:rPr>
        <w:t xml:space="preserve">subsectoarelor </w:t>
      </w:r>
      <w:r w:rsidRPr="00112D72">
        <w:rPr>
          <w:rFonts w:ascii="Arial" w:hAnsi="Arial" w:cs="Arial"/>
          <w:lang w:val="ro-RO"/>
        </w:rPr>
        <w:t xml:space="preserve">de activitate din </w:t>
      </w:r>
      <w:r w:rsidRPr="00112D72">
        <w:rPr>
          <w:rFonts w:ascii="Arial" w:hAnsi="Arial" w:cs="Arial"/>
          <w:b/>
          <w:lang w:val="ro-RO"/>
        </w:rPr>
        <w:t>energie</w:t>
      </w:r>
      <w:r w:rsidRPr="00112D72">
        <w:rPr>
          <w:rFonts w:ascii="Arial" w:hAnsi="Arial" w:cs="Arial"/>
          <w:lang w:val="ro-RO"/>
        </w:rPr>
        <w:t xml:space="preserve"> </w:t>
      </w:r>
    </w:p>
    <w:p w:rsidR="00704074" w:rsidRPr="00112D72" w:rsidRDefault="00704074" w:rsidP="00704074">
      <w:pPr>
        <w:widowControl w:val="0"/>
        <w:spacing w:after="0" w:line="240" w:lineRule="auto"/>
        <w:jc w:val="center"/>
        <w:rPr>
          <w:rFonts w:ascii="Arial" w:hAnsi="Arial" w:cs="Arial"/>
          <w:lang w:val="ro-RO"/>
        </w:rPr>
      </w:pPr>
      <w:r w:rsidRPr="00112D72">
        <w:rPr>
          <w:rFonts w:ascii="Arial" w:hAnsi="Arial" w:cs="Arial"/>
          <w:lang w:val="ro-RO"/>
        </w:rPr>
        <w:t>la emisiile de poluanţi o</w:t>
      </w:r>
      <w:r w:rsidR="00EA7D7E" w:rsidRPr="00112D72">
        <w:rPr>
          <w:rFonts w:ascii="Arial" w:hAnsi="Arial" w:cs="Arial"/>
          <w:lang w:val="ro-RO"/>
        </w:rPr>
        <w:t>rganici persistenţi în anul 2017</w:t>
      </w:r>
      <w:r w:rsidRPr="00112D72">
        <w:rPr>
          <w:rFonts w:ascii="Arial" w:hAnsi="Arial" w:cs="Arial"/>
          <w:lang w:val="ro-RO"/>
        </w:rPr>
        <w:t>, în judeţul Suceava</w:t>
      </w:r>
    </w:p>
    <w:p w:rsidR="00704074" w:rsidRPr="00112D72" w:rsidRDefault="00704074" w:rsidP="00704074">
      <w:pPr>
        <w:widowControl w:val="0"/>
        <w:spacing w:after="0" w:line="240" w:lineRule="auto"/>
        <w:jc w:val="center"/>
        <w:rPr>
          <w:rFonts w:ascii="Arial" w:hAnsi="Arial" w:cs="Arial"/>
          <w:b/>
          <w:sz w:val="28"/>
          <w:szCs w:val="28"/>
          <w:lang w:val="ro-RO"/>
        </w:rPr>
      </w:pPr>
      <w:r w:rsidRPr="00112D72">
        <w:rPr>
          <w:rFonts w:ascii="Arial" w:hAnsi="Arial" w:cs="Arial"/>
          <w:b/>
          <w:noProof/>
          <w:sz w:val="28"/>
          <w:szCs w:val="28"/>
          <w:lang w:val="ro-RO" w:eastAsia="ro-RO"/>
        </w:rPr>
        <w:drawing>
          <wp:inline distT="0" distB="0" distL="0" distR="0">
            <wp:extent cx="6057900" cy="1390650"/>
            <wp:effectExtent l="19050" t="0" r="0" b="0"/>
            <wp:docPr id="8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02E0C" w:rsidRPr="00112D72" w:rsidRDefault="009941DB" w:rsidP="00704074">
      <w:pPr>
        <w:widowControl w:val="0"/>
        <w:spacing w:after="0" w:line="240" w:lineRule="auto"/>
        <w:jc w:val="both"/>
        <w:rPr>
          <w:rFonts w:ascii="Arial" w:hAnsi="Arial" w:cs="Arial"/>
          <w:sz w:val="10"/>
          <w:szCs w:val="10"/>
          <w:lang w:val="ro-RO"/>
        </w:rPr>
      </w:pPr>
      <w:r w:rsidRPr="00112D72">
        <w:rPr>
          <w:rFonts w:ascii="Arial" w:hAnsi="Arial" w:cs="Arial"/>
          <w:sz w:val="24"/>
          <w:szCs w:val="24"/>
          <w:lang w:val="ro-RO"/>
        </w:rPr>
        <w:tab/>
      </w:r>
    </w:p>
    <w:p w:rsidR="00704074" w:rsidRPr="00112D72" w:rsidRDefault="009941DB" w:rsidP="00F02E0C">
      <w:pPr>
        <w:widowControl w:val="0"/>
        <w:spacing w:after="0" w:line="240" w:lineRule="auto"/>
        <w:ind w:firstLine="720"/>
        <w:jc w:val="both"/>
        <w:rPr>
          <w:rFonts w:ascii="Arial" w:hAnsi="Arial" w:cs="Arial"/>
          <w:sz w:val="24"/>
          <w:szCs w:val="24"/>
          <w:lang w:val="ro-RO"/>
        </w:rPr>
      </w:pPr>
      <w:r w:rsidRPr="00112D72">
        <w:rPr>
          <w:rFonts w:ascii="Arial" w:hAnsi="Arial" w:cs="Arial"/>
          <w:sz w:val="24"/>
          <w:szCs w:val="24"/>
          <w:lang w:val="ro-RO"/>
        </w:rPr>
        <w:t>Din fig. I.2.1.1.5</w:t>
      </w:r>
      <w:r w:rsidR="00704074" w:rsidRPr="00112D72">
        <w:rPr>
          <w:rFonts w:ascii="Arial" w:hAnsi="Arial" w:cs="Arial"/>
          <w:sz w:val="24"/>
          <w:szCs w:val="24"/>
          <w:lang w:val="ro-RO"/>
        </w:rPr>
        <w:t xml:space="preserve"> se constată că</w:t>
      </w:r>
      <w:r w:rsidR="00B44C94" w:rsidRPr="00112D72">
        <w:rPr>
          <w:rFonts w:ascii="Arial" w:hAnsi="Arial" w:cs="Arial"/>
          <w:sz w:val="24"/>
          <w:szCs w:val="24"/>
          <w:lang w:val="ro-RO"/>
        </w:rPr>
        <w:t>,</w:t>
      </w:r>
      <w:r w:rsidR="00704074" w:rsidRPr="00112D72">
        <w:rPr>
          <w:rFonts w:ascii="Arial" w:hAnsi="Arial" w:cs="Arial"/>
          <w:sz w:val="24"/>
          <w:szCs w:val="24"/>
          <w:lang w:val="ro-RO"/>
        </w:rPr>
        <w:t xml:space="preserve"> </w:t>
      </w:r>
      <w:r w:rsidR="00B44C94" w:rsidRPr="00112D72">
        <w:rPr>
          <w:rFonts w:ascii="Arial" w:hAnsi="Arial" w:cs="Arial"/>
          <w:sz w:val="24"/>
          <w:szCs w:val="24"/>
          <w:lang w:val="ro-RO"/>
        </w:rPr>
        <w:t xml:space="preserve">din total sector </w:t>
      </w:r>
      <w:r w:rsidR="00A157F1" w:rsidRPr="00112D72">
        <w:rPr>
          <w:rFonts w:ascii="Arial" w:hAnsi="Arial" w:cs="Arial"/>
          <w:sz w:val="24"/>
          <w:szCs w:val="24"/>
          <w:lang w:val="ro-RO"/>
        </w:rPr>
        <w:t>„</w:t>
      </w:r>
      <w:r w:rsidR="00B44C94" w:rsidRPr="00112D72">
        <w:rPr>
          <w:rFonts w:ascii="Arial" w:hAnsi="Arial" w:cs="Arial"/>
          <w:i/>
          <w:sz w:val="24"/>
          <w:szCs w:val="24"/>
          <w:lang w:val="ro-RO"/>
        </w:rPr>
        <w:t>Energie</w:t>
      </w:r>
      <w:r w:rsidR="00A157F1" w:rsidRPr="00112D72">
        <w:rPr>
          <w:rFonts w:ascii="Arial" w:hAnsi="Arial" w:cs="Arial"/>
          <w:sz w:val="24"/>
          <w:szCs w:val="24"/>
          <w:lang w:val="ro-RO"/>
        </w:rPr>
        <w:t>”</w:t>
      </w:r>
      <w:r w:rsidR="00B44C94" w:rsidRPr="00112D72">
        <w:rPr>
          <w:rFonts w:ascii="Arial" w:hAnsi="Arial" w:cs="Arial"/>
          <w:i/>
          <w:sz w:val="24"/>
          <w:szCs w:val="24"/>
          <w:lang w:val="ro-RO"/>
        </w:rPr>
        <w:t>,</w:t>
      </w:r>
      <w:r w:rsidR="00B44C94" w:rsidRPr="00112D72">
        <w:rPr>
          <w:rFonts w:ascii="Arial" w:hAnsi="Arial" w:cs="Arial"/>
          <w:sz w:val="24"/>
          <w:szCs w:val="24"/>
          <w:lang w:val="ro-RO" w:eastAsia="ro-RO"/>
        </w:rPr>
        <w:t xml:space="preserve"> </w:t>
      </w:r>
      <w:r w:rsidR="00704074" w:rsidRPr="00112D72">
        <w:rPr>
          <w:rFonts w:ascii="Arial" w:hAnsi="Arial" w:cs="Arial"/>
          <w:sz w:val="24"/>
          <w:szCs w:val="24"/>
          <w:lang w:val="ro-RO" w:eastAsia="ro-RO"/>
        </w:rPr>
        <w:t>„</w:t>
      </w:r>
      <w:r w:rsidR="00704074" w:rsidRPr="00112D72">
        <w:rPr>
          <w:rFonts w:ascii="Arial" w:hAnsi="Arial" w:cs="Arial"/>
          <w:i/>
          <w:sz w:val="24"/>
          <w:szCs w:val="24"/>
          <w:lang w:val="ro-RO" w:eastAsia="ro-RO"/>
        </w:rPr>
        <w:t>Arderile din sectorul rezidenţia</w:t>
      </w:r>
      <w:r w:rsidR="00704074" w:rsidRPr="00112D72">
        <w:rPr>
          <w:rFonts w:ascii="Arial" w:hAnsi="Arial" w:cs="Arial"/>
          <w:sz w:val="24"/>
          <w:szCs w:val="24"/>
          <w:lang w:val="ro-RO" w:eastAsia="ro-RO"/>
        </w:rPr>
        <w:t>l</w:t>
      </w:r>
      <w:r w:rsidR="00704074" w:rsidRPr="00112D72">
        <w:rPr>
          <w:rFonts w:ascii="Arial" w:hAnsi="Arial" w:cs="Arial"/>
          <w:i/>
          <w:sz w:val="24"/>
          <w:szCs w:val="24"/>
          <w:lang w:val="ro-RO" w:eastAsia="ro-RO"/>
        </w:rPr>
        <w:t xml:space="preserve">” </w:t>
      </w:r>
      <w:r w:rsidR="00704074" w:rsidRPr="00112D72">
        <w:rPr>
          <w:rFonts w:ascii="Arial" w:hAnsi="Arial" w:cs="Arial"/>
          <w:sz w:val="24"/>
          <w:szCs w:val="24"/>
          <w:lang w:val="ro-RO" w:eastAsia="ro-RO"/>
        </w:rPr>
        <w:t>sunt principala sursă de e</w:t>
      </w:r>
      <w:r w:rsidR="00B44C94" w:rsidRPr="00112D72">
        <w:rPr>
          <w:rFonts w:ascii="Arial" w:hAnsi="Arial" w:cs="Arial"/>
          <w:sz w:val="24"/>
          <w:szCs w:val="24"/>
          <w:lang w:val="ro-RO" w:eastAsia="ro-RO"/>
        </w:rPr>
        <w:t>misie a PAH, PCDD/PCDF</w:t>
      </w:r>
      <w:r w:rsidR="00704074" w:rsidRPr="00112D72">
        <w:rPr>
          <w:rFonts w:ascii="Arial" w:hAnsi="Arial" w:cs="Arial"/>
          <w:sz w:val="24"/>
          <w:szCs w:val="24"/>
          <w:lang w:val="ro-RO"/>
        </w:rPr>
        <w:t xml:space="preserve"> </w:t>
      </w:r>
      <w:r w:rsidR="00B44C94" w:rsidRPr="00112D72">
        <w:rPr>
          <w:rFonts w:ascii="Arial" w:hAnsi="Arial" w:cs="Arial"/>
          <w:sz w:val="24"/>
          <w:szCs w:val="24"/>
          <w:lang w:val="ro-RO"/>
        </w:rPr>
        <w:t>și HCB</w:t>
      </w:r>
      <w:r w:rsidR="00B44C94" w:rsidRPr="00112D72">
        <w:rPr>
          <w:rFonts w:ascii="Arial" w:hAnsi="Arial" w:cs="Arial"/>
          <w:i/>
          <w:sz w:val="24"/>
          <w:szCs w:val="24"/>
          <w:lang w:val="ro-RO"/>
        </w:rPr>
        <w:t xml:space="preserve">, </w:t>
      </w:r>
      <w:r w:rsidR="00B44C94" w:rsidRPr="00112D72">
        <w:rPr>
          <w:rFonts w:ascii="Arial" w:hAnsi="Arial" w:cs="Arial"/>
          <w:sz w:val="24"/>
          <w:szCs w:val="24"/>
          <w:lang w:val="ro-RO"/>
        </w:rPr>
        <w:t xml:space="preserve">în timp ce sursa majoritară de PCB a fost </w:t>
      </w:r>
      <w:r w:rsidR="00704074" w:rsidRPr="00112D72">
        <w:rPr>
          <w:rFonts w:ascii="Arial" w:hAnsi="Arial" w:cs="Arial"/>
          <w:sz w:val="24"/>
          <w:szCs w:val="24"/>
          <w:lang w:val="ro-RO"/>
        </w:rPr>
        <w:t>„</w:t>
      </w:r>
      <w:r w:rsidR="00704074" w:rsidRPr="00112D72">
        <w:rPr>
          <w:rFonts w:ascii="Arial" w:hAnsi="Arial" w:cs="Arial"/>
          <w:i/>
          <w:sz w:val="24"/>
          <w:szCs w:val="24"/>
          <w:lang w:val="ro-RO"/>
        </w:rPr>
        <w:t>Producţia</w:t>
      </w:r>
      <w:r w:rsidR="00704074" w:rsidRPr="00112D72">
        <w:rPr>
          <w:rFonts w:ascii="Arial" w:hAnsi="Arial" w:cs="Arial"/>
          <w:sz w:val="24"/>
          <w:szCs w:val="24"/>
          <w:lang w:val="ro-RO"/>
        </w:rPr>
        <w:t xml:space="preserve"> </w:t>
      </w:r>
      <w:r w:rsidR="00704074" w:rsidRPr="00112D72">
        <w:rPr>
          <w:rFonts w:ascii="Arial" w:hAnsi="Arial" w:cs="Arial"/>
          <w:i/>
          <w:sz w:val="24"/>
          <w:szCs w:val="24"/>
          <w:lang w:val="ro-RO"/>
        </w:rPr>
        <w:t>de energie electrică şi termică</w:t>
      </w:r>
      <w:r w:rsidR="00704074" w:rsidRPr="00112D72">
        <w:rPr>
          <w:rFonts w:ascii="Arial" w:hAnsi="Arial" w:cs="Arial"/>
          <w:sz w:val="24"/>
          <w:szCs w:val="24"/>
          <w:lang w:val="ro-RO"/>
        </w:rPr>
        <w:t xml:space="preserve">”. </w:t>
      </w:r>
    </w:p>
    <w:p w:rsidR="00704074" w:rsidRPr="0087725B" w:rsidRDefault="00704074" w:rsidP="00704074">
      <w:pPr>
        <w:widowControl w:val="0"/>
        <w:spacing w:after="0" w:line="240" w:lineRule="auto"/>
        <w:rPr>
          <w:rFonts w:ascii="Arial" w:hAnsi="Arial" w:cs="Arial"/>
          <w:b/>
          <w:sz w:val="20"/>
          <w:szCs w:val="20"/>
          <w:lang w:val="ro-RO"/>
        </w:rPr>
      </w:pPr>
    </w:p>
    <w:p w:rsidR="00704074" w:rsidRPr="00112D72" w:rsidRDefault="00704074" w:rsidP="00704074">
      <w:pPr>
        <w:widowControl w:val="0"/>
        <w:spacing w:after="0" w:line="240" w:lineRule="auto"/>
        <w:rPr>
          <w:rFonts w:ascii="Arial" w:hAnsi="Arial" w:cs="Arial"/>
          <w:b/>
          <w:sz w:val="24"/>
          <w:szCs w:val="24"/>
          <w:lang w:val="ro-RO"/>
        </w:rPr>
      </w:pPr>
      <w:r w:rsidRPr="00112D72">
        <w:rPr>
          <w:rFonts w:ascii="Arial" w:hAnsi="Arial" w:cs="Arial"/>
          <w:b/>
          <w:sz w:val="24"/>
          <w:szCs w:val="24"/>
          <w:lang w:val="ro-RO"/>
        </w:rPr>
        <w:t>I.2.1.2. Industria</w:t>
      </w:r>
    </w:p>
    <w:p w:rsidR="00704074" w:rsidRPr="0087725B" w:rsidRDefault="00704074" w:rsidP="00704074">
      <w:pPr>
        <w:widowControl w:val="0"/>
        <w:spacing w:after="0" w:line="240" w:lineRule="auto"/>
        <w:rPr>
          <w:rFonts w:ascii="Arial" w:hAnsi="Arial" w:cs="Arial"/>
          <w:b/>
          <w:sz w:val="12"/>
          <w:szCs w:val="12"/>
          <w:lang w:val="ro-RO"/>
        </w:rPr>
      </w:pPr>
    </w:p>
    <w:p w:rsidR="00704074" w:rsidRPr="00112D72" w:rsidRDefault="00704074" w:rsidP="00704074">
      <w:pPr>
        <w:widowControl w:val="0"/>
        <w:spacing w:after="0" w:line="240" w:lineRule="auto"/>
        <w:rPr>
          <w:rFonts w:ascii="Arial" w:hAnsi="Arial" w:cs="Arial"/>
          <w:b/>
          <w:i/>
          <w:sz w:val="24"/>
          <w:szCs w:val="24"/>
          <w:lang w:val="ro-RO"/>
        </w:rPr>
      </w:pPr>
      <w:r w:rsidRPr="00112D72">
        <w:rPr>
          <w:rFonts w:ascii="Arial" w:hAnsi="Arial" w:cs="Arial"/>
          <w:b/>
          <w:i/>
          <w:sz w:val="24"/>
          <w:szCs w:val="24"/>
          <w:lang w:val="ro-RO"/>
        </w:rPr>
        <w:t>Emisii de substanţe acidifiante</w:t>
      </w:r>
    </w:p>
    <w:p w:rsidR="00704074" w:rsidRPr="00D36710" w:rsidRDefault="00704074" w:rsidP="00704074">
      <w:pPr>
        <w:widowControl w:val="0"/>
        <w:spacing w:after="0" w:line="240" w:lineRule="auto"/>
        <w:rPr>
          <w:rFonts w:ascii="Arial" w:hAnsi="Arial" w:cs="Arial"/>
          <w:i/>
          <w:color w:val="FF0000"/>
          <w:sz w:val="6"/>
          <w:szCs w:val="6"/>
          <w:lang w:val="ro-RO"/>
        </w:rPr>
      </w:pPr>
    </w:p>
    <w:p w:rsidR="00704074" w:rsidRPr="00112D72" w:rsidRDefault="00704074" w:rsidP="00704074">
      <w:pPr>
        <w:widowControl w:val="0"/>
        <w:spacing w:after="0" w:line="240" w:lineRule="auto"/>
        <w:ind w:firstLine="720"/>
        <w:jc w:val="both"/>
        <w:rPr>
          <w:rFonts w:ascii="Arial" w:hAnsi="Arial" w:cs="Arial"/>
          <w:bCs/>
          <w:sz w:val="24"/>
          <w:szCs w:val="24"/>
          <w:lang w:val="ro-RO"/>
        </w:rPr>
      </w:pPr>
      <w:r w:rsidRPr="00112D72">
        <w:rPr>
          <w:rFonts w:ascii="Arial" w:hAnsi="Arial" w:cs="Arial"/>
          <w:sz w:val="24"/>
          <w:szCs w:val="24"/>
          <w:lang w:val="ro-RO"/>
        </w:rPr>
        <w:t>În judeţul Suceava, în anul 201</w:t>
      </w:r>
      <w:r w:rsidR="00EA7D7E" w:rsidRPr="00112D72">
        <w:rPr>
          <w:rFonts w:ascii="Arial" w:hAnsi="Arial" w:cs="Arial"/>
          <w:sz w:val="24"/>
          <w:szCs w:val="24"/>
          <w:lang w:val="ro-RO"/>
        </w:rPr>
        <w:t>7</w:t>
      </w:r>
      <w:r w:rsidRPr="00112D72">
        <w:rPr>
          <w:rFonts w:ascii="Arial" w:hAnsi="Arial" w:cs="Arial"/>
          <w:sz w:val="24"/>
          <w:szCs w:val="24"/>
          <w:lang w:val="ro-RO"/>
        </w:rPr>
        <w:t>, nu s-au emis în atmosferă gaze acidifiante şi eutrofizante (NO</w:t>
      </w:r>
      <w:r w:rsidRPr="00112D72">
        <w:rPr>
          <w:rFonts w:ascii="Arial" w:hAnsi="Arial" w:cs="Arial"/>
          <w:sz w:val="24"/>
          <w:szCs w:val="24"/>
          <w:vertAlign w:val="subscript"/>
          <w:lang w:val="ro-RO"/>
        </w:rPr>
        <w:t>x</w:t>
      </w:r>
      <w:r w:rsidRPr="00112D72">
        <w:rPr>
          <w:rFonts w:ascii="Arial" w:hAnsi="Arial" w:cs="Arial"/>
          <w:sz w:val="24"/>
          <w:szCs w:val="24"/>
          <w:lang w:val="ro-RO"/>
        </w:rPr>
        <w:t>, SO</w:t>
      </w:r>
      <w:r w:rsidRPr="00112D72">
        <w:rPr>
          <w:rFonts w:ascii="Arial" w:hAnsi="Arial" w:cs="Arial"/>
          <w:sz w:val="24"/>
          <w:szCs w:val="24"/>
          <w:vertAlign w:val="subscript"/>
          <w:lang w:val="ro-RO"/>
        </w:rPr>
        <w:t>x</w:t>
      </w:r>
      <w:r w:rsidRPr="00112D72">
        <w:rPr>
          <w:rFonts w:ascii="Arial" w:hAnsi="Arial" w:cs="Arial"/>
          <w:sz w:val="24"/>
          <w:szCs w:val="24"/>
          <w:lang w:val="ro-RO"/>
        </w:rPr>
        <w:t>, NH</w:t>
      </w:r>
      <w:r w:rsidRPr="00112D72">
        <w:rPr>
          <w:rFonts w:ascii="Arial" w:hAnsi="Arial" w:cs="Arial"/>
          <w:sz w:val="24"/>
          <w:szCs w:val="24"/>
          <w:vertAlign w:val="subscript"/>
          <w:lang w:val="ro-RO"/>
        </w:rPr>
        <w:t>3</w:t>
      </w:r>
      <w:r w:rsidRPr="00112D72">
        <w:rPr>
          <w:rFonts w:ascii="Arial" w:hAnsi="Arial" w:cs="Arial"/>
          <w:sz w:val="24"/>
          <w:szCs w:val="24"/>
          <w:lang w:val="ro-RO"/>
        </w:rPr>
        <w:t>) din activităţi industria</w:t>
      </w:r>
      <w:r w:rsidR="006201C5" w:rsidRPr="00112D72">
        <w:rPr>
          <w:rFonts w:ascii="Arial" w:hAnsi="Arial" w:cs="Arial"/>
          <w:sz w:val="24"/>
          <w:szCs w:val="24"/>
          <w:lang w:val="ro-RO"/>
        </w:rPr>
        <w:t>le. A</w:t>
      </w:r>
      <w:r w:rsidRPr="00112D72">
        <w:rPr>
          <w:rFonts w:ascii="Arial" w:hAnsi="Arial" w:cs="Arial"/>
          <w:sz w:val="24"/>
          <w:szCs w:val="24"/>
          <w:lang w:val="ro-RO"/>
        </w:rPr>
        <w:t>stfel de emisii au rezultat doar din activităţile de „</w:t>
      </w:r>
      <w:r w:rsidRPr="00112D72">
        <w:rPr>
          <w:rFonts w:ascii="Arial" w:hAnsi="Arial" w:cs="Arial"/>
          <w:i/>
          <w:sz w:val="24"/>
          <w:szCs w:val="24"/>
          <w:lang w:val="ro-RO"/>
        </w:rPr>
        <w:t>Arderi din industrie</w:t>
      </w:r>
      <w:r w:rsidRPr="00112D72">
        <w:rPr>
          <w:rFonts w:ascii="Arial" w:hAnsi="Arial" w:cs="Arial"/>
          <w:sz w:val="24"/>
          <w:szCs w:val="24"/>
          <w:lang w:val="ro-RO"/>
        </w:rPr>
        <w:t>”, nu şi din procesele industriale ca atare.</w:t>
      </w:r>
    </w:p>
    <w:p w:rsidR="00704074" w:rsidRPr="0087725B" w:rsidRDefault="00704074" w:rsidP="00704074">
      <w:pPr>
        <w:widowControl w:val="0"/>
        <w:spacing w:after="0" w:line="240" w:lineRule="auto"/>
        <w:jc w:val="center"/>
        <w:rPr>
          <w:rFonts w:ascii="Arial" w:hAnsi="Arial" w:cs="Arial"/>
          <w:sz w:val="18"/>
          <w:szCs w:val="18"/>
          <w:lang w:val="ro-RO"/>
        </w:rPr>
      </w:pPr>
    </w:p>
    <w:p w:rsidR="00704074" w:rsidRPr="00112D72" w:rsidRDefault="00704074" w:rsidP="00704074">
      <w:pPr>
        <w:widowControl w:val="0"/>
        <w:spacing w:after="0" w:line="240" w:lineRule="auto"/>
        <w:rPr>
          <w:rFonts w:ascii="Arial" w:hAnsi="Arial" w:cs="Arial"/>
          <w:b/>
          <w:i/>
          <w:sz w:val="24"/>
          <w:szCs w:val="24"/>
          <w:lang w:val="ro-RO"/>
        </w:rPr>
      </w:pPr>
      <w:r w:rsidRPr="00112D72">
        <w:rPr>
          <w:rFonts w:ascii="Arial" w:hAnsi="Arial" w:cs="Arial"/>
          <w:b/>
          <w:i/>
          <w:sz w:val="24"/>
          <w:szCs w:val="24"/>
          <w:lang w:val="ro-RO"/>
        </w:rPr>
        <w:t>Emisii de precursori ai ozonului</w:t>
      </w:r>
    </w:p>
    <w:p w:rsidR="00704074" w:rsidRPr="00D36710" w:rsidRDefault="00704074" w:rsidP="00704074">
      <w:pPr>
        <w:widowControl w:val="0"/>
        <w:spacing w:after="0" w:line="240" w:lineRule="auto"/>
        <w:rPr>
          <w:rFonts w:ascii="Arial" w:hAnsi="Arial" w:cs="Arial"/>
          <w:bCs/>
          <w:i/>
          <w:sz w:val="6"/>
          <w:szCs w:val="6"/>
          <w:lang w:val="ro-RO"/>
        </w:rPr>
      </w:pPr>
    </w:p>
    <w:p w:rsidR="009941DB" w:rsidRPr="00112D72" w:rsidRDefault="00F02E0C" w:rsidP="009941DB">
      <w:pPr>
        <w:widowControl w:val="0"/>
        <w:spacing w:after="0" w:line="240" w:lineRule="auto"/>
        <w:ind w:firstLine="720"/>
        <w:jc w:val="both"/>
        <w:rPr>
          <w:rFonts w:ascii="Arial" w:hAnsi="Arial" w:cs="Arial"/>
          <w:bCs/>
          <w:sz w:val="24"/>
          <w:szCs w:val="24"/>
          <w:lang w:val="ro-RO"/>
        </w:rPr>
      </w:pPr>
      <w:r w:rsidRPr="00112D72">
        <w:rPr>
          <w:rFonts w:ascii="Arial" w:hAnsi="Arial" w:cs="Arial"/>
          <w:sz w:val="24"/>
          <w:szCs w:val="24"/>
          <w:lang w:val="ro-RO"/>
        </w:rPr>
        <w:t>D</w:t>
      </w:r>
      <w:r w:rsidR="009941DB" w:rsidRPr="00112D72">
        <w:rPr>
          <w:rFonts w:ascii="Arial" w:hAnsi="Arial" w:cs="Arial"/>
          <w:sz w:val="24"/>
          <w:szCs w:val="24"/>
          <w:lang w:val="ro-RO"/>
        </w:rPr>
        <w:t>intre precurso</w:t>
      </w:r>
      <w:r w:rsidR="00D36710">
        <w:rPr>
          <w:rFonts w:ascii="Arial" w:hAnsi="Arial" w:cs="Arial"/>
          <w:sz w:val="24"/>
          <w:szCs w:val="24"/>
          <w:lang w:val="ro-RO"/>
        </w:rPr>
        <w:t xml:space="preserve">rii </w:t>
      </w:r>
      <w:r w:rsidR="009941DB" w:rsidRPr="00112D72">
        <w:rPr>
          <w:rFonts w:ascii="Arial" w:hAnsi="Arial" w:cs="Arial"/>
          <w:sz w:val="24"/>
          <w:szCs w:val="24"/>
          <w:lang w:val="ro-RO"/>
        </w:rPr>
        <w:t>ozonului (NO</w:t>
      </w:r>
      <w:r w:rsidR="009941DB" w:rsidRPr="00112D72">
        <w:rPr>
          <w:rFonts w:ascii="Arial" w:hAnsi="Arial" w:cs="Arial"/>
          <w:sz w:val="24"/>
          <w:szCs w:val="24"/>
          <w:vertAlign w:val="subscript"/>
          <w:lang w:val="ro-RO"/>
        </w:rPr>
        <w:t>x</w:t>
      </w:r>
      <w:r w:rsidR="00D36710">
        <w:rPr>
          <w:rFonts w:ascii="Arial" w:hAnsi="Arial" w:cs="Arial"/>
          <w:sz w:val="24"/>
          <w:szCs w:val="24"/>
          <w:lang w:val="ro-RO"/>
        </w:rPr>
        <w:t>, CO, NMVOC),</w:t>
      </w:r>
      <w:r w:rsidRPr="00112D72">
        <w:rPr>
          <w:rFonts w:ascii="Arial" w:hAnsi="Arial" w:cs="Arial"/>
          <w:sz w:val="24"/>
          <w:szCs w:val="24"/>
          <w:lang w:val="ro-RO"/>
        </w:rPr>
        <w:t xml:space="preserve"> </w:t>
      </w:r>
      <w:r w:rsidR="006A0113" w:rsidRPr="00112D72">
        <w:rPr>
          <w:rFonts w:ascii="Arial" w:hAnsi="Arial" w:cs="Arial"/>
          <w:sz w:val="24"/>
          <w:szCs w:val="24"/>
          <w:lang w:val="ro-RO"/>
        </w:rPr>
        <w:t>din activităţi</w:t>
      </w:r>
      <w:r w:rsidRPr="00112D72">
        <w:rPr>
          <w:rFonts w:ascii="Arial" w:hAnsi="Arial" w:cs="Arial"/>
          <w:sz w:val="24"/>
          <w:szCs w:val="24"/>
          <w:lang w:val="ro-RO"/>
        </w:rPr>
        <w:t>le</w:t>
      </w:r>
      <w:r w:rsidR="006A0113" w:rsidRPr="00112D72">
        <w:rPr>
          <w:rFonts w:ascii="Arial" w:hAnsi="Arial" w:cs="Arial"/>
          <w:sz w:val="24"/>
          <w:szCs w:val="24"/>
          <w:lang w:val="ro-RO"/>
        </w:rPr>
        <w:t xml:space="preserve"> industriale </w:t>
      </w:r>
      <w:r w:rsidRPr="00112D72">
        <w:rPr>
          <w:rFonts w:ascii="Arial" w:hAnsi="Arial" w:cs="Arial"/>
          <w:sz w:val="24"/>
          <w:szCs w:val="24"/>
          <w:lang w:val="ro-RO"/>
        </w:rPr>
        <w:t xml:space="preserve">desfășurate în județul Suceava </w:t>
      </w:r>
      <w:r w:rsidR="00D36710" w:rsidRPr="00112D72">
        <w:rPr>
          <w:rFonts w:ascii="Arial" w:hAnsi="Arial" w:cs="Arial"/>
          <w:sz w:val="24"/>
          <w:szCs w:val="24"/>
          <w:lang w:val="ro-RO"/>
        </w:rPr>
        <w:t>în anul 2017</w:t>
      </w:r>
      <w:r w:rsidR="00D36710">
        <w:rPr>
          <w:rFonts w:ascii="Arial" w:hAnsi="Arial" w:cs="Arial"/>
          <w:sz w:val="24"/>
          <w:szCs w:val="24"/>
          <w:lang w:val="ro-RO"/>
        </w:rPr>
        <w:t xml:space="preserve"> </w:t>
      </w:r>
      <w:r w:rsidR="006A0113" w:rsidRPr="00112D72">
        <w:rPr>
          <w:rFonts w:ascii="Arial" w:hAnsi="Arial" w:cs="Arial"/>
          <w:sz w:val="24"/>
          <w:szCs w:val="24"/>
          <w:lang w:val="ro-RO"/>
        </w:rPr>
        <w:t xml:space="preserve">s-au emis în atmosferă </w:t>
      </w:r>
      <w:r w:rsidR="00E71B03" w:rsidRPr="00112D72">
        <w:rPr>
          <w:rFonts w:ascii="Arial" w:hAnsi="Arial" w:cs="Arial"/>
          <w:sz w:val="24"/>
          <w:szCs w:val="24"/>
          <w:lang w:val="ro-RO"/>
        </w:rPr>
        <w:t>doar NMVOC</w:t>
      </w:r>
      <w:r w:rsidR="009941DB" w:rsidRPr="00112D72">
        <w:rPr>
          <w:rFonts w:ascii="Arial" w:hAnsi="Arial" w:cs="Arial"/>
          <w:sz w:val="24"/>
          <w:szCs w:val="24"/>
          <w:lang w:val="ro-RO"/>
        </w:rPr>
        <w:t xml:space="preserve">. Emisii </w:t>
      </w:r>
      <w:r w:rsidR="006A0113" w:rsidRPr="00112D72">
        <w:rPr>
          <w:rFonts w:ascii="Arial" w:hAnsi="Arial" w:cs="Arial"/>
          <w:sz w:val="24"/>
          <w:szCs w:val="24"/>
          <w:lang w:val="ro-RO"/>
        </w:rPr>
        <w:t>de</w:t>
      </w:r>
      <w:r w:rsidR="009941DB" w:rsidRPr="00112D72">
        <w:rPr>
          <w:rFonts w:ascii="Arial" w:hAnsi="Arial" w:cs="Arial"/>
          <w:sz w:val="24"/>
          <w:szCs w:val="24"/>
          <w:lang w:val="ro-RO"/>
        </w:rPr>
        <w:t xml:space="preserve"> NO</w:t>
      </w:r>
      <w:r w:rsidR="009941DB" w:rsidRPr="00112D72">
        <w:rPr>
          <w:rFonts w:ascii="Arial" w:hAnsi="Arial" w:cs="Arial"/>
          <w:sz w:val="24"/>
          <w:szCs w:val="24"/>
          <w:vertAlign w:val="subscript"/>
          <w:lang w:val="ro-RO"/>
        </w:rPr>
        <w:t>x</w:t>
      </w:r>
      <w:r w:rsidR="009941DB" w:rsidRPr="00112D72">
        <w:rPr>
          <w:rFonts w:ascii="Arial" w:hAnsi="Arial" w:cs="Arial"/>
          <w:sz w:val="24"/>
          <w:szCs w:val="24"/>
          <w:lang w:val="ro-RO"/>
        </w:rPr>
        <w:t xml:space="preserve"> și CO au rezultat doar din „</w:t>
      </w:r>
      <w:r w:rsidR="009941DB" w:rsidRPr="00112D72">
        <w:rPr>
          <w:rFonts w:ascii="Arial" w:hAnsi="Arial" w:cs="Arial"/>
          <w:i/>
          <w:sz w:val="24"/>
          <w:szCs w:val="24"/>
          <w:lang w:val="ro-RO"/>
        </w:rPr>
        <w:t>Arderi din industrie</w:t>
      </w:r>
      <w:r w:rsidR="009941DB" w:rsidRPr="00112D72">
        <w:rPr>
          <w:rFonts w:ascii="Arial" w:hAnsi="Arial" w:cs="Arial"/>
          <w:sz w:val="24"/>
          <w:szCs w:val="24"/>
          <w:lang w:val="ro-RO"/>
        </w:rPr>
        <w:t>”</w:t>
      </w:r>
      <w:r w:rsidR="00E71B03" w:rsidRPr="00112D72">
        <w:rPr>
          <w:rFonts w:ascii="Arial" w:hAnsi="Arial" w:cs="Arial"/>
          <w:sz w:val="24"/>
          <w:szCs w:val="24"/>
          <w:lang w:val="ro-RO"/>
        </w:rPr>
        <w:t xml:space="preserve"> (fig. I.2.1.1.2)</w:t>
      </w:r>
      <w:r w:rsidR="00D36710">
        <w:rPr>
          <w:rFonts w:ascii="Arial" w:hAnsi="Arial" w:cs="Arial"/>
          <w:sz w:val="24"/>
          <w:szCs w:val="24"/>
          <w:lang w:val="ro-RO"/>
        </w:rPr>
        <w:t>, nu şi din procesele</w:t>
      </w:r>
      <w:r w:rsidR="009941DB" w:rsidRPr="00112D72">
        <w:rPr>
          <w:rFonts w:ascii="Arial" w:hAnsi="Arial" w:cs="Arial"/>
          <w:sz w:val="24"/>
          <w:szCs w:val="24"/>
          <w:lang w:val="ro-RO"/>
        </w:rPr>
        <w:t xml:space="preserve"> industriale</w:t>
      </w:r>
      <w:r w:rsidR="00D36710">
        <w:rPr>
          <w:rFonts w:ascii="Arial" w:hAnsi="Arial" w:cs="Arial"/>
          <w:sz w:val="24"/>
          <w:szCs w:val="24"/>
          <w:lang w:val="ro-RO"/>
        </w:rPr>
        <w:t xml:space="preserve"> propriu-zise</w:t>
      </w:r>
      <w:r w:rsidR="009941DB" w:rsidRPr="00112D72">
        <w:rPr>
          <w:rFonts w:ascii="Arial" w:hAnsi="Arial" w:cs="Arial"/>
          <w:sz w:val="24"/>
          <w:szCs w:val="24"/>
          <w:lang w:val="ro-RO"/>
        </w:rPr>
        <w:t>.</w:t>
      </w:r>
    </w:p>
    <w:p w:rsidR="00704074" w:rsidRPr="00112D72" w:rsidRDefault="00704074" w:rsidP="00704074">
      <w:pPr>
        <w:widowControl w:val="0"/>
        <w:spacing w:after="0" w:line="240" w:lineRule="auto"/>
        <w:jc w:val="center"/>
        <w:rPr>
          <w:rFonts w:ascii="Arial" w:hAnsi="Arial" w:cs="Arial"/>
          <w:bCs/>
          <w:lang w:val="ro-RO"/>
        </w:rPr>
      </w:pPr>
      <w:r w:rsidRPr="00112D72">
        <w:rPr>
          <w:rFonts w:ascii="Arial" w:hAnsi="Arial" w:cs="Arial"/>
          <w:bCs/>
          <w:lang w:val="ro-RO"/>
        </w:rPr>
        <w:t xml:space="preserve">Fig. </w:t>
      </w:r>
      <w:r w:rsidRPr="00112D72">
        <w:rPr>
          <w:rFonts w:ascii="Arial" w:hAnsi="Arial" w:cs="Arial"/>
          <w:lang w:val="ro-RO"/>
        </w:rPr>
        <w:t>I.2.1.2.1.</w:t>
      </w:r>
      <w:r w:rsidRPr="00112D72">
        <w:rPr>
          <w:rFonts w:ascii="Arial" w:hAnsi="Arial" w:cs="Arial"/>
          <w:bCs/>
          <w:lang w:val="ro-RO"/>
        </w:rPr>
        <w:t xml:space="preserve"> Contribuţia </w:t>
      </w:r>
      <w:r w:rsidR="008B2BCF" w:rsidRPr="00112D72">
        <w:rPr>
          <w:rFonts w:ascii="Arial" w:hAnsi="Arial" w:cs="Arial"/>
          <w:lang w:val="ro-RO"/>
        </w:rPr>
        <w:t xml:space="preserve">subsectoarelor </w:t>
      </w:r>
      <w:r w:rsidRPr="00112D72">
        <w:rPr>
          <w:rFonts w:ascii="Arial" w:hAnsi="Arial" w:cs="Arial"/>
          <w:bCs/>
          <w:lang w:val="ro-RO"/>
        </w:rPr>
        <w:t xml:space="preserve">de activitate din </w:t>
      </w:r>
      <w:r w:rsidRPr="00112D72">
        <w:rPr>
          <w:rFonts w:ascii="Arial" w:hAnsi="Arial" w:cs="Arial"/>
          <w:b/>
          <w:bCs/>
          <w:lang w:val="ro-RO"/>
        </w:rPr>
        <w:t>industrie</w:t>
      </w:r>
      <w:r w:rsidRPr="00112D72">
        <w:rPr>
          <w:rFonts w:ascii="Arial" w:hAnsi="Arial" w:cs="Arial"/>
          <w:bCs/>
          <w:lang w:val="ro-RO"/>
        </w:rPr>
        <w:t xml:space="preserve"> </w:t>
      </w:r>
    </w:p>
    <w:p w:rsidR="00704074" w:rsidRPr="00112D72" w:rsidRDefault="00704074" w:rsidP="00704074">
      <w:pPr>
        <w:widowControl w:val="0"/>
        <w:spacing w:after="0" w:line="240" w:lineRule="auto"/>
        <w:jc w:val="center"/>
        <w:rPr>
          <w:rFonts w:ascii="Arial" w:hAnsi="Arial" w:cs="Arial"/>
          <w:lang w:val="ro-RO"/>
        </w:rPr>
      </w:pPr>
      <w:r w:rsidRPr="00112D72">
        <w:rPr>
          <w:rFonts w:ascii="Arial" w:hAnsi="Arial" w:cs="Arial"/>
          <w:bCs/>
          <w:lang w:val="ro-RO"/>
        </w:rPr>
        <w:t xml:space="preserve">la emisiile de precursori ai ozonului </w:t>
      </w:r>
      <w:r w:rsidRPr="00112D72">
        <w:rPr>
          <w:rFonts w:ascii="Arial" w:hAnsi="Arial" w:cs="Arial"/>
          <w:lang w:val="ro-RO"/>
        </w:rPr>
        <w:t>în anul 201</w:t>
      </w:r>
      <w:r w:rsidR="00666A8F" w:rsidRPr="00112D72">
        <w:rPr>
          <w:rFonts w:ascii="Arial" w:hAnsi="Arial" w:cs="Arial"/>
          <w:lang w:val="ro-RO"/>
        </w:rPr>
        <w:t>7</w:t>
      </w:r>
      <w:r w:rsidRPr="00112D72">
        <w:rPr>
          <w:rFonts w:ascii="Arial" w:hAnsi="Arial" w:cs="Arial"/>
          <w:lang w:val="ro-RO"/>
        </w:rPr>
        <w:t>, în judeţul Suceava</w:t>
      </w:r>
    </w:p>
    <w:p w:rsidR="00704074" w:rsidRPr="00112D72" w:rsidRDefault="00704074" w:rsidP="00704074">
      <w:pPr>
        <w:widowControl w:val="0"/>
        <w:spacing w:after="0" w:line="240" w:lineRule="auto"/>
        <w:jc w:val="center"/>
        <w:rPr>
          <w:b/>
          <w:bCs/>
          <w:sz w:val="20"/>
          <w:szCs w:val="20"/>
          <w:lang w:val="ro-RO" w:eastAsia="ro-RO"/>
        </w:rPr>
      </w:pPr>
      <w:r w:rsidRPr="00112D72">
        <w:rPr>
          <w:b/>
          <w:bCs/>
          <w:noProof/>
          <w:sz w:val="20"/>
          <w:szCs w:val="20"/>
          <w:lang w:val="ro-RO" w:eastAsia="ro-RO"/>
        </w:rPr>
        <w:drawing>
          <wp:inline distT="0" distB="0" distL="0" distR="0">
            <wp:extent cx="5591175" cy="1419225"/>
            <wp:effectExtent l="19050" t="0" r="0" b="0"/>
            <wp:docPr id="89"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04074" w:rsidRPr="00112D72" w:rsidRDefault="00704074" w:rsidP="00704074">
      <w:pPr>
        <w:widowControl w:val="0"/>
        <w:spacing w:after="0" w:line="240" w:lineRule="auto"/>
        <w:jc w:val="both"/>
        <w:rPr>
          <w:rFonts w:ascii="Arial" w:hAnsi="Arial" w:cs="Arial"/>
          <w:sz w:val="10"/>
          <w:szCs w:val="10"/>
          <w:lang w:val="ro-RO"/>
        </w:rPr>
      </w:pPr>
    </w:p>
    <w:p w:rsidR="00704074" w:rsidRPr="00112D72" w:rsidRDefault="00E71B03" w:rsidP="00704074">
      <w:pPr>
        <w:widowControl w:val="0"/>
        <w:spacing w:after="0" w:line="240" w:lineRule="auto"/>
        <w:ind w:firstLine="720"/>
        <w:jc w:val="both"/>
        <w:rPr>
          <w:rFonts w:ascii="Arial" w:hAnsi="Arial" w:cs="Arial"/>
          <w:sz w:val="24"/>
          <w:szCs w:val="24"/>
          <w:lang w:val="ro-RO"/>
        </w:rPr>
      </w:pPr>
      <w:r w:rsidRPr="00112D72">
        <w:rPr>
          <w:rFonts w:ascii="Arial" w:hAnsi="Arial" w:cs="Arial"/>
          <w:sz w:val="24"/>
          <w:szCs w:val="24"/>
          <w:lang w:val="ro-RO"/>
        </w:rPr>
        <w:lastRenderedPageBreak/>
        <w:t>Din fig. I.2.1.2.1 se constată că, d</w:t>
      </w:r>
      <w:r w:rsidR="00704074" w:rsidRPr="00112D72">
        <w:rPr>
          <w:rFonts w:ascii="Arial" w:hAnsi="Arial" w:cs="Arial"/>
          <w:sz w:val="24"/>
          <w:szCs w:val="24"/>
          <w:lang w:val="ro-RO"/>
        </w:rPr>
        <w:t>in totalul emisiilor de NMVOC provenite din sectorul „</w:t>
      </w:r>
      <w:r w:rsidR="00704074" w:rsidRPr="00112D72">
        <w:rPr>
          <w:rFonts w:ascii="Arial" w:hAnsi="Arial" w:cs="Arial"/>
          <w:i/>
          <w:sz w:val="24"/>
          <w:szCs w:val="24"/>
          <w:lang w:val="ro-RO"/>
        </w:rPr>
        <w:t>Industrie</w:t>
      </w:r>
      <w:r w:rsidRPr="00112D72">
        <w:rPr>
          <w:rFonts w:ascii="Arial" w:hAnsi="Arial" w:cs="Arial"/>
          <w:sz w:val="24"/>
          <w:szCs w:val="24"/>
          <w:lang w:val="ro-RO"/>
        </w:rPr>
        <w:t>”</w:t>
      </w:r>
      <w:r w:rsidR="00704074" w:rsidRPr="00112D72">
        <w:rPr>
          <w:rFonts w:ascii="Arial" w:hAnsi="Arial" w:cs="Arial"/>
          <w:sz w:val="24"/>
          <w:szCs w:val="24"/>
          <w:lang w:val="ro-RO"/>
        </w:rPr>
        <w:t xml:space="preserve"> </w:t>
      </w:r>
      <w:r w:rsidRPr="00112D72">
        <w:rPr>
          <w:rFonts w:ascii="Arial" w:hAnsi="Arial" w:cs="Arial"/>
          <w:sz w:val="24"/>
          <w:szCs w:val="24"/>
          <w:lang w:val="ro-RO"/>
        </w:rPr>
        <w:t xml:space="preserve">în anul 2017, </w:t>
      </w:r>
      <w:r w:rsidR="00344921" w:rsidRPr="00112D72">
        <w:rPr>
          <w:rFonts w:ascii="Arial" w:hAnsi="Arial" w:cs="Arial"/>
          <w:sz w:val="24"/>
          <w:szCs w:val="24"/>
          <w:lang w:val="ro-RO"/>
        </w:rPr>
        <w:t xml:space="preserve">majoritatea </w:t>
      </w:r>
      <w:r w:rsidR="00704074" w:rsidRPr="00112D72">
        <w:rPr>
          <w:rFonts w:ascii="Arial" w:hAnsi="Arial" w:cs="Arial"/>
          <w:sz w:val="24"/>
          <w:szCs w:val="24"/>
          <w:lang w:val="ro-RO"/>
        </w:rPr>
        <w:t>au provenit din subsectorul „</w:t>
      </w:r>
      <w:r w:rsidR="00704074" w:rsidRPr="00112D72">
        <w:rPr>
          <w:rFonts w:ascii="Arial" w:hAnsi="Arial" w:cs="Arial"/>
          <w:i/>
          <w:sz w:val="24"/>
          <w:szCs w:val="24"/>
          <w:lang w:val="ro-RO"/>
        </w:rPr>
        <w:t>Procesarea lemnului</w:t>
      </w:r>
      <w:r w:rsidR="00704074" w:rsidRPr="00112D72">
        <w:rPr>
          <w:rFonts w:ascii="Arial" w:hAnsi="Arial" w:cs="Arial"/>
          <w:sz w:val="24"/>
          <w:szCs w:val="24"/>
          <w:lang w:val="ro-RO"/>
        </w:rPr>
        <w:t>”, urmat de subsectorul „</w:t>
      </w:r>
      <w:r w:rsidR="00704074" w:rsidRPr="00112D72">
        <w:rPr>
          <w:rFonts w:ascii="Arial" w:hAnsi="Arial" w:cs="Arial"/>
          <w:i/>
          <w:sz w:val="24"/>
          <w:szCs w:val="24"/>
          <w:lang w:val="ro-RO"/>
        </w:rPr>
        <w:t>Utilizare solvenţi şi alte produse</w:t>
      </w:r>
      <w:r w:rsidR="00F02E0C" w:rsidRPr="00112D72">
        <w:rPr>
          <w:rFonts w:ascii="Arial" w:hAnsi="Arial" w:cs="Arial"/>
          <w:i/>
          <w:sz w:val="24"/>
          <w:szCs w:val="24"/>
          <w:lang w:val="ro-RO"/>
        </w:rPr>
        <w:t xml:space="preserve"> pe bază de solvenți</w:t>
      </w:r>
      <w:r w:rsidR="00704074" w:rsidRPr="00112D72">
        <w:rPr>
          <w:rFonts w:ascii="Arial" w:hAnsi="Arial" w:cs="Arial"/>
          <w:sz w:val="24"/>
          <w:szCs w:val="24"/>
          <w:lang w:val="ro-RO"/>
        </w:rPr>
        <w:t>”</w:t>
      </w:r>
      <w:r w:rsidR="00344921" w:rsidRPr="00112D72">
        <w:rPr>
          <w:rFonts w:ascii="Arial" w:hAnsi="Arial" w:cs="Arial"/>
          <w:sz w:val="24"/>
          <w:szCs w:val="24"/>
          <w:lang w:val="ro-RO"/>
        </w:rPr>
        <w:t>.</w:t>
      </w:r>
    </w:p>
    <w:p w:rsidR="00704074" w:rsidRPr="0087725B" w:rsidRDefault="00704074" w:rsidP="00704074">
      <w:pPr>
        <w:widowControl w:val="0"/>
        <w:spacing w:after="0" w:line="240" w:lineRule="auto"/>
        <w:rPr>
          <w:rFonts w:ascii="Arial" w:hAnsi="Arial" w:cs="Arial"/>
          <w:i/>
          <w:sz w:val="18"/>
          <w:szCs w:val="18"/>
          <w:lang w:val="ro-RO"/>
        </w:rPr>
      </w:pPr>
    </w:p>
    <w:p w:rsidR="00704074" w:rsidRPr="00112D72" w:rsidRDefault="00704074" w:rsidP="00704074">
      <w:pPr>
        <w:widowControl w:val="0"/>
        <w:spacing w:after="0" w:line="240" w:lineRule="auto"/>
        <w:rPr>
          <w:rFonts w:ascii="Arial" w:hAnsi="Arial" w:cs="Arial"/>
          <w:b/>
          <w:i/>
          <w:sz w:val="24"/>
          <w:szCs w:val="24"/>
          <w:lang w:val="ro-RO"/>
        </w:rPr>
      </w:pPr>
      <w:r w:rsidRPr="00112D72">
        <w:rPr>
          <w:rFonts w:ascii="Arial" w:hAnsi="Arial" w:cs="Arial"/>
          <w:b/>
          <w:i/>
          <w:sz w:val="24"/>
          <w:szCs w:val="24"/>
          <w:lang w:val="ro-RO"/>
        </w:rPr>
        <w:t>Emisii de particule primare şi precursori secundari de particule</w:t>
      </w:r>
    </w:p>
    <w:p w:rsidR="00704074" w:rsidRPr="0087725B" w:rsidRDefault="00704074" w:rsidP="00704074">
      <w:pPr>
        <w:widowControl w:val="0"/>
        <w:spacing w:after="0" w:line="240" w:lineRule="auto"/>
        <w:jc w:val="center"/>
        <w:rPr>
          <w:rFonts w:ascii="Arial" w:hAnsi="Arial" w:cs="Arial"/>
          <w:sz w:val="16"/>
          <w:szCs w:val="16"/>
          <w:lang w:val="ro-RO"/>
        </w:rPr>
      </w:pPr>
    </w:p>
    <w:p w:rsidR="00704074" w:rsidRPr="00112D72" w:rsidRDefault="00704074" w:rsidP="00704074">
      <w:pPr>
        <w:widowControl w:val="0"/>
        <w:spacing w:after="0" w:line="240" w:lineRule="auto"/>
        <w:jc w:val="center"/>
        <w:rPr>
          <w:rFonts w:ascii="Arial" w:hAnsi="Arial" w:cs="Arial"/>
          <w:lang w:val="ro-RO"/>
        </w:rPr>
      </w:pPr>
      <w:r w:rsidRPr="00112D72">
        <w:rPr>
          <w:rFonts w:ascii="Arial" w:hAnsi="Arial" w:cs="Arial"/>
          <w:lang w:val="ro-RO"/>
        </w:rPr>
        <w:t xml:space="preserve">Fig. I.2.1.2.2. Contribuţia </w:t>
      </w:r>
      <w:r w:rsidR="008B2BCF" w:rsidRPr="00112D72">
        <w:rPr>
          <w:rFonts w:ascii="Arial" w:hAnsi="Arial" w:cs="Arial"/>
          <w:lang w:val="ro-RO"/>
        </w:rPr>
        <w:t xml:space="preserve">subsectoarelor </w:t>
      </w:r>
      <w:r w:rsidRPr="00112D72">
        <w:rPr>
          <w:rFonts w:ascii="Arial" w:hAnsi="Arial" w:cs="Arial"/>
          <w:lang w:val="ro-RO"/>
        </w:rPr>
        <w:t xml:space="preserve">de activitate din </w:t>
      </w:r>
      <w:r w:rsidRPr="00112D72">
        <w:rPr>
          <w:rFonts w:ascii="Arial" w:hAnsi="Arial" w:cs="Arial"/>
          <w:b/>
          <w:lang w:val="ro-RO"/>
        </w:rPr>
        <w:t>industrie</w:t>
      </w:r>
      <w:r w:rsidRPr="00112D72">
        <w:rPr>
          <w:rFonts w:ascii="Arial" w:hAnsi="Arial" w:cs="Arial"/>
          <w:lang w:val="ro-RO"/>
        </w:rPr>
        <w:t xml:space="preserve"> </w:t>
      </w:r>
    </w:p>
    <w:p w:rsidR="00704074" w:rsidRPr="00112D72" w:rsidRDefault="00704074" w:rsidP="00704074">
      <w:pPr>
        <w:widowControl w:val="0"/>
        <w:spacing w:after="0" w:line="240" w:lineRule="auto"/>
        <w:jc w:val="center"/>
        <w:rPr>
          <w:rFonts w:ascii="Arial" w:hAnsi="Arial" w:cs="Arial"/>
          <w:lang w:val="ro-RO"/>
        </w:rPr>
      </w:pPr>
      <w:r w:rsidRPr="00112D72">
        <w:rPr>
          <w:rFonts w:ascii="Arial" w:hAnsi="Arial" w:cs="Arial"/>
          <w:lang w:val="ro-RO"/>
        </w:rPr>
        <w:t>la emisiile de de par</w:t>
      </w:r>
      <w:r w:rsidR="00AC6D08" w:rsidRPr="00112D72">
        <w:rPr>
          <w:rFonts w:ascii="Arial" w:hAnsi="Arial" w:cs="Arial"/>
          <w:lang w:val="ro-RO"/>
        </w:rPr>
        <w:t>ticule în suspensie în anul 2017</w:t>
      </w:r>
      <w:r w:rsidRPr="00112D72">
        <w:rPr>
          <w:rFonts w:ascii="Arial" w:hAnsi="Arial" w:cs="Arial"/>
          <w:lang w:val="ro-RO"/>
        </w:rPr>
        <w:t>, în judeţul Suceava</w:t>
      </w:r>
    </w:p>
    <w:p w:rsidR="00704074" w:rsidRPr="00112D72" w:rsidRDefault="00704074" w:rsidP="00704074">
      <w:pPr>
        <w:widowControl w:val="0"/>
        <w:spacing w:after="0" w:line="240" w:lineRule="auto"/>
        <w:jc w:val="center"/>
        <w:rPr>
          <w:b/>
          <w:bCs/>
          <w:sz w:val="20"/>
          <w:szCs w:val="20"/>
          <w:lang w:val="ro-RO"/>
        </w:rPr>
      </w:pPr>
      <w:r w:rsidRPr="00112D72">
        <w:rPr>
          <w:b/>
          <w:bCs/>
          <w:noProof/>
          <w:sz w:val="20"/>
          <w:szCs w:val="20"/>
          <w:lang w:val="ro-RO" w:eastAsia="ro-RO"/>
        </w:rPr>
        <w:drawing>
          <wp:inline distT="0" distB="0" distL="0" distR="0">
            <wp:extent cx="5724525" cy="1628775"/>
            <wp:effectExtent l="19050" t="0" r="9525" b="0"/>
            <wp:docPr id="9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36710" w:rsidRPr="004335C1" w:rsidRDefault="00D36710" w:rsidP="00C626B9">
      <w:pPr>
        <w:widowControl w:val="0"/>
        <w:spacing w:after="0" w:line="240" w:lineRule="auto"/>
        <w:ind w:firstLine="720"/>
        <w:jc w:val="both"/>
        <w:rPr>
          <w:rFonts w:ascii="Arial" w:hAnsi="Arial" w:cs="Arial"/>
          <w:sz w:val="6"/>
          <w:szCs w:val="6"/>
          <w:lang w:val="ro-RO"/>
        </w:rPr>
      </w:pPr>
    </w:p>
    <w:p w:rsidR="00704074" w:rsidRPr="00112D72" w:rsidRDefault="00704074" w:rsidP="00704074">
      <w:pPr>
        <w:widowControl w:val="0"/>
        <w:spacing w:after="0" w:line="240" w:lineRule="auto"/>
        <w:ind w:firstLine="720"/>
        <w:jc w:val="both"/>
        <w:rPr>
          <w:rFonts w:ascii="Arial" w:hAnsi="Arial" w:cs="Arial"/>
          <w:sz w:val="24"/>
          <w:szCs w:val="24"/>
          <w:lang w:val="ro-RO"/>
        </w:rPr>
      </w:pPr>
      <w:r w:rsidRPr="00112D72">
        <w:rPr>
          <w:rFonts w:ascii="Arial" w:hAnsi="Arial" w:cs="Arial"/>
          <w:sz w:val="24"/>
          <w:szCs w:val="24"/>
          <w:lang w:val="ro-RO"/>
        </w:rPr>
        <w:t xml:space="preserve">Din figura I.2.1.2.2. se observă că </w:t>
      </w:r>
      <w:r w:rsidR="00C626B9" w:rsidRPr="00112D72">
        <w:rPr>
          <w:rFonts w:ascii="Arial" w:hAnsi="Arial" w:cs="Arial"/>
          <w:sz w:val="24"/>
          <w:szCs w:val="24"/>
          <w:lang w:val="ro-RO"/>
        </w:rPr>
        <w:t>cea mai mare pondere</w:t>
      </w:r>
      <w:r w:rsidRPr="00112D72">
        <w:rPr>
          <w:rFonts w:ascii="Arial" w:hAnsi="Arial" w:cs="Arial"/>
          <w:sz w:val="24"/>
          <w:szCs w:val="24"/>
          <w:lang w:val="ro-RO"/>
        </w:rPr>
        <w:t xml:space="preserve"> în emisiile </w:t>
      </w:r>
      <w:r w:rsidR="004F5622" w:rsidRPr="00112D72">
        <w:rPr>
          <w:rFonts w:ascii="Arial" w:hAnsi="Arial" w:cs="Arial"/>
          <w:sz w:val="24"/>
          <w:szCs w:val="24"/>
          <w:lang w:val="ro-RO"/>
        </w:rPr>
        <w:t xml:space="preserve">totale </w:t>
      </w:r>
      <w:r w:rsidRPr="00112D72">
        <w:rPr>
          <w:rFonts w:ascii="Arial" w:hAnsi="Arial" w:cs="Arial"/>
          <w:sz w:val="24"/>
          <w:szCs w:val="24"/>
          <w:lang w:val="ro-RO"/>
        </w:rPr>
        <w:t>de PM10 din sectorul „</w:t>
      </w:r>
      <w:r w:rsidRPr="00112D72">
        <w:rPr>
          <w:rFonts w:ascii="Arial" w:hAnsi="Arial" w:cs="Arial"/>
          <w:i/>
          <w:sz w:val="24"/>
          <w:szCs w:val="24"/>
          <w:lang w:val="ro-RO"/>
        </w:rPr>
        <w:t>Industrie</w:t>
      </w:r>
      <w:r w:rsidRPr="00112D72">
        <w:rPr>
          <w:rFonts w:ascii="Arial" w:hAnsi="Arial" w:cs="Arial"/>
          <w:sz w:val="24"/>
          <w:szCs w:val="24"/>
          <w:lang w:val="ro-RO"/>
        </w:rPr>
        <w:t>” o deţin</w:t>
      </w:r>
      <w:r w:rsidR="00C626B9" w:rsidRPr="00112D72">
        <w:rPr>
          <w:rFonts w:ascii="Arial" w:hAnsi="Arial" w:cs="Arial"/>
          <w:sz w:val="24"/>
          <w:szCs w:val="24"/>
          <w:lang w:val="ro-RO"/>
        </w:rPr>
        <w:t>e subsecto</w:t>
      </w:r>
      <w:r w:rsidRPr="00112D72">
        <w:rPr>
          <w:rFonts w:ascii="Arial" w:hAnsi="Arial" w:cs="Arial"/>
          <w:sz w:val="24"/>
          <w:szCs w:val="24"/>
          <w:lang w:val="ro-RO"/>
        </w:rPr>
        <w:t>r</w:t>
      </w:r>
      <w:r w:rsidR="00C626B9" w:rsidRPr="00112D72">
        <w:rPr>
          <w:rFonts w:ascii="Arial" w:hAnsi="Arial" w:cs="Arial"/>
          <w:sz w:val="24"/>
          <w:szCs w:val="24"/>
          <w:lang w:val="ro-RO"/>
        </w:rPr>
        <w:t>ul</w:t>
      </w:r>
      <w:r w:rsidRPr="00112D72">
        <w:rPr>
          <w:rFonts w:ascii="Arial" w:hAnsi="Arial" w:cs="Arial"/>
          <w:sz w:val="24"/>
          <w:szCs w:val="24"/>
          <w:lang w:val="ro-RO"/>
        </w:rPr>
        <w:t xml:space="preserve"> „</w:t>
      </w:r>
      <w:r w:rsidRPr="00112D72">
        <w:rPr>
          <w:rFonts w:ascii="Arial" w:hAnsi="Arial" w:cs="Arial"/>
          <w:i/>
          <w:sz w:val="24"/>
          <w:szCs w:val="24"/>
          <w:lang w:val="ro-RO"/>
        </w:rPr>
        <w:t>Procesarea lemnului</w:t>
      </w:r>
      <w:r w:rsidRPr="00112D72">
        <w:rPr>
          <w:rFonts w:ascii="Arial" w:hAnsi="Arial" w:cs="Arial"/>
          <w:sz w:val="24"/>
          <w:szCs w:val="24"/>
          <w:lang w:val="ro-RO"/>
        </w:rPr>
        <w:t>”</w:t>
      </w:r>
      <w:r w:rsidR="00C626B9" w:rsidRPr="00112D72">
        <w:rPr>
          <w:rFonts w:ascii="Arial" w:hAnsi="Arial" w:cs="Arial"/>
          <w:sz w:val="24"/>
          <w:szCs w:val="24"/>
          <w:lang w:val="ro-RO"/>
        </w:rPr>
        <w:t>, urmat de</w:t>
      </w:r>
      <w:r w:rsidRPr="00112D72">
        <w:rPr>
          <w:rFonts w:ascii="Arial" w:hAnsi="Arial" w:cs="Arial"/>
          <w:sz w:val="24"/>
          <w:szCs w:val="24"/>
          <w:lang w:val="ro-RO"/>
        </w:rPr>
        <w:t xml:space="preserve"> „</w:t>
      </w:r>
      <w:r w:rsidRPr="00112D72">
        <w:rPr>
          <w:rFonts w:ascii="Arial" w:hAnsi="Arial" w:cs="Arial"/>
          <w:i/>
          <w:sz w:val="24"/>
          <w:szCs w:val="24"/>
          <w:lang w:val="ro-RO"/>
        </w:rPr>
        <w:t>Construcţii şi demolări</w:t>
      </w:r>
      <w:r w:rsidRPr="00112D72">
        <w:rPr>
          <w:rFonts w:ascii="Arial" w:hAnsi="Arial" w:cs="Arial"/>
          <w:sz w:val="24"/>
          <w:szCs w:val="24"/>
          <w:lang w:val="ro-RO"/>
        </w:rPr>
        <w:t>”.</w:t>
      </w:r>
      <w:r w:rsidR="0066455C">
        <w:rPr>
          <w:rFonts w:ascii="Arial" w:hAnsi="Arial" w:cs="Arial"/>
          <w:sz w:val="24"/>
          <w:szCs w:val="24"/>
          <w:lang w:val="ro-RO"/>
        </w:rPr>
        <w:t xml:space="preserve"> </w:t>
      </w:r>
      <w:r w:rsidR="004335C1">
        <w:rPr>
          <w:rFonts w:ascii="Arial" w:hAnsi="Arial" w:cs="Arial"/>
          <w:sz w:val="24"/>
          <w:szCs w:val="24"/>
          <w:lang w:val="ro-RO"/>
        </w:rPr>
        <w:t>De precizat că</w:t>
      </w:r>
      <w:r w:rsidR="004335C1" w:rsidRPr="00112D72">
        <w:rPr>
          <w:rFonts w:ascii="Arial" w:hAnsi="Arial" w:cs="Arial"/>
          <w:sz w:val="24"/>
          <w:szCs w:val="24"/>
          <w:lang w:val="ro-RO"/>
        </w:rPr>
        <w:t xml:space="preserve">, pentru </w:t>
      </w:r>
      <w:r w:rsidR="004335C1">
        <w:rPr>
          <w:rFonts w:ascii="Arial" w:hAnsi="Arial" w:cs="Arial"/>
          <w:sz w:val="24"/>
          <w:szCs w:val="24"/>
          <w:lang w:val="ro-RO"/>
        </w:rPr>
        <w:t xml:space="preserve">unele activităţi </w:t>
      </w:r>
      <w:r w:rsidR="004335C1" w:rsidRPr="00112D72">
        <w:rPr>
          <w:rFonts w:ascii="Arial" w:hAnsi="Arial" w:cs="Arial"/>
          <w:sz w:val="24"/>
          <w:szCs w:val="24"/>
          <w:lang w:val="ro-RO"/>
        </w:rPr>
        <w:t>(ex. prelucrarea lemnului)</w:t>
      </w:r>
      <w:r w:rsidR="004335C1">
        <w:rPr>
          <w:rFonts w:ascii="Arial" w:hAnsi="Arial" w:cs="Arial"/>
          <w:sz w:val="24"/>
          <w:szCs w:val="24"/>
          <w:lang w:val="ro-RO"/>
        </w:rPr>
        <w:t xml:space="preserve">, </w:t>
      </w:r>
      <w:r w:rsidR="00851FB6" w:rsidRPr="00112D72">
        <w:rPr>
          <w:rFonts w:ascii="Arial" w:hAnsi="Arial" w:cs="Arial"/>
          <w:sz w:val="24"/>
          <w:szCs w:val="24"/>
          <w:lang w:val="ro-RO"/>
        </w:rPr>
        <w:t>m</w:t>
      </w:r>
      <w:r w:rsidRPr="00112D72">
        <w:rPr>
          <w:rFonts w:ascii="Arial" w:hAnsi="Arial" w:cs="Arial"/>
          <w:sz w:val="24"/>
          <w:szCs w:val="24"/>
          <w:lang w:val="ro-RO"/>
        </w:rPr>
        <w:t>etodologia EMEP/EEA 201</w:t>
      </w:r>
      <w:r w:rsidR="00E75730" w:rsidRPr="00112D72">
        <w:rPr>
          <w:rFonts w:ascii="Arial" w:hAnsi="Arial" w:cs="Arial"/>
          <w:sz w:val="24"/>
          <w:szCs w:val="24"/>
          <w:lang w:val="ro-RO"/>
        </w:rPr>
        <w:t>6</w:t>
      </w:r>
      <w:r w:rsidRPr="00112D72">
        <w:rPr>
          <w:rFonts w:ascii="Arial" w:hAnsi="Arial" w:cs="Arial"/>
          <w:sz w:val="24"/>
          <w:szCs w:val="24"/>
          <w:lang w:val="ro-RO"/>
        </w:rPr>
        <w:t xml:space="preserve"> nu include </w:t>
      </w:r>
      <w:r w:rsidR="004335C1">
        <w:rPr>
          <w:rFonts w:ascii="Arial" w:hAnsi="Arial" w:cs="Arial"/>
          <w:sz w:val="24"/>
          <w:szCs w:val="24"/>
          <w:lang w:val="ro-RO"/>
        </w:rPr>
        <w:t xml:space="preserve">decât </w:t>
      </w:r>
      <w:r w:rsidR="00851FB6" w:rsidRPr="00112D72">
        <w:rPr>
          <w:rFonts w:ascii="Arial" w:hAnsi="Arial" w:cs="Arial"/>
          <w:sz w:val="24"/>
          <w:szCs w:val="24"/>
          <w:lang w:val="ro-RO"/>
        </w:rPr>
        <w:t>factori de emisie pentru fracția de pulberi PM</w:t>
      </w:r>
      <w:r w:rsidR="004335C1">
        <w:rPr>
          <w:rFonts w:ascii="Arial" w:hAnsi="Arial" w:cs="Arial"/>
          <w:sz w:val="24"/>
          <w:szCs w:val="24"/>
          <w:lang w:val="ro-RO"/>
        </w:rPr>
        <w:t>10, nu și pentru PM</w:t>
      </w:r>
      <w:r w:rsidR="00851FB6" w:rsidRPr="00112D72">
        <w:rPr>
          <w:rFonts w:ascii="Arial" w:hAnsi="Arial" w:cs="Arial"/>
          <w:sz w:val="24"/>
          <w:szCs w:val="24"/>
          <w:lang w:val="ro-RO"/>
        </w:rPr>
        <w:t>2,5</w:t>
      </w:r>
      <w:r w:rsidR="00C626B9" w:rsidRPr="00112D72">
        <w:rPr>
          <w:rFonts w:ascii="Arial" w:hAnsi="Arial" w:cs="Arial"/>
          <w:sz w:val="24"/>
          <w:szCs w:val="24"/>
          <w:lang w:val="ro-RO"/>
        </w:rPr>
        <w:t xml:space="preserve">, </w:t>
      </w:r>
      <w:r w:rsidR="00926573" w:rsidRPr="00112D72">
        <w:rPr>
          <w:rFonts w:ascii="Arial" w:hAnsi="Arial" w:cs="Arial"/>
          <w:sz w:val="24"/>
          <w:szCs w:val="24"/>
          <w:lang w:val="ro-RO"/>
        </w:rPr>
        <w:t xml:space="preserve">deși </w:t>
      </w:r>
      <w:r w:rsidR="004335C1">
        <w:rPr>
          <w:rFonts w:ascii="Arial" w:hAnsi="Arial" w:cs="Arial"/>
          <w:sz w:val="24"/>
          <w:szCs w:val="24"/>
          <w:lang w:val="ro-RO"/>
        </w:rPr>
        <w:t>acestea din urmă</w:t>
      </w:r>
      <w:r w:rsidR="00C626B9" w:rsidRPr="00112D72">
        <w:rPr>
          <w:rFonts w:ascii="Arial" w:hAnsi="Arial" w:cs="Arial"/>
          <w:sz w:val="24"/>
          <w:szCs w:val="24"/>
          <w:lang w:val="ro-RO"/>
        </w:rPr>
        <w:t xml:space="preserve"> </w:t>
      </w:r>
      <w:r w:rsidR="004335C1">
        <w:rPr>
          <w:rFonts w:ascii="Arial" w:hAnsi="Arial" w:cs="Arial"/>
          <w:sz w:val="24"/>
          <w:szCs w:val="24"/>
          <w:lang w:val="ro-RO"/>
        </w:rPr>
        <w:t>reprezintă</w:t>
      </w:r>
      <w:r w:rsidR="00C626B9" w:rsidRPr="00112D72">
        <w:rPr>
          <w:rFonts w:ascii="Arial" w:hAnsi="Arial" w:cs="Arial"/>
          <w:sz w:val="24"/>
          <w:szCs w:val="24"/>
          <w:lang w:val="ro-RO"/>
        </w:rPr>
        <w:t xml:space="preserve"> o </w:t>
      </w:r>
      <w:r w:rsidR="00851FB6" w:rsidRPr="00112D72">
        <w:rPr>
          <w:rFonts w:ascii="Arial" w:hAnsi="Arial" w:cs="Arial"/>
          <w:sz w:val="24"/>
          <w:szCs w:val="24"/>
          <w:lang w:val="ro-RO"/>
        </w:rPr>
        <w:t>parte</w:t>
      </w:r>
      <w:r w:rsidR="00C626B9" w:rsidRPr="00112D72">
        <w:rPr>
          <w:rFonts w:ascii="Arial" w:hAnsi="Arial" w:cs="Arial"/>
          <w:sz w:val="24"/>
          <w:szCs w:val="24"/>
          <w:lang w:val="ro-RO"/>
        </w:rPr>
        <w:t xml:space="preserve"> </w:t>
      </w:r>
      <w:r w:rsidR="00851FB6" w:rsidRPr="00112D72">
        <w:rPr>
          <w:rFonts w:ascii="Arial" w:hAnsi="Arial" w:cs="Arial"/>
          <w:sz w:val="24"/>
          <w:szCs w:val="24"/>
          <w:lang w:val="ro-RO"/>
        </w:rPr>
        <w:t>importantă</w:t>
      </w:r>
      <w:r w:rsidRPr="00112D72">
        <w:rPr>
          <w:rFonts w:ascii="Arial" w:hAnsi="Arial" w:cs="Arial"/>
          <w:sz w:val="24"/>
          <w:szCs w:val="24"/>
          <w:lang w:val="ro-RO"/>
        </w:rPr>
        <w:t xml:space="preserve"> din </w:t>
      </w:r>
      <w:r w:rsidR="00926573" w:rsidRPr="00112D72">
        <w:rPr>
          <w:rFonts w:ascii="Arial" w:hAnsi="Arial" w:cs="Arial"/>
          <w:sz w:val="24"/>
          <w:szCs w:val="24"/>
          <w:lang w:val="ro-RO"/>
        </w:rPr>
        <w:t xml:space="preserve">pulberile </w:t>
      </w:r>
      <w:r w:rsidRPr="00112D72">
        <w:rPr>
          <w:rFonts w:ascii="Arial" w:hAnsi="Arial" w:cs="Arial"/>
          <w:sz w:val="24"/>
          <w:szCs w:val="24"/>
          <w:lang w:val="ro-RO"/>
        </w:rPr>
        <w:t>fracţia PM10.</w:t>
      </w:r>
      <w:r w:rsidRPr="00112D72">
        <w:rPr>
          <w:rFonts w:ascii="Arial" w:hAnsi="Arial" w:cs="Arial"/>
          <w:i/>
          <w:sz w:val="24"/>
          <w:szCs w:val="24"/>
          <w:lang w:val="ro-RO"/>
        </w:rPr>
        <w:t xml:space="preserve"> </w:t>
      </w:r>
    </w:p>
    <w:p w:rsidR="00704074" w:rsidRPr="0087725B" w:rsidRDefault="00704074" w:rsidP="00704074">
      <w:pPr>
        <w:widowControl w:val="0"/>
        <w:spacing w:after="0" w:line="240" w:lineRule="auto"/>
        <w:rPr>
          <w:rFonts w:ascii="Arial" w:hAnsi="Arial" w:cs="Arial"/>
          <w:i/>
          <w:sz w:val="16"/>
          <w:szCs w:val="16"/>
          <w:lang w:val="ro-RO"/>
        </w:rPr>
      </w:pPr>
    </w:p>
    <w:p w:rsidR="00704074" w:rsidRPr="00112D72" w:rsidRDefault="00704074" w:rsidP="00704074">
      <w:pPr>
        <w:widowControl w:val="0"/>
        <w:spacing w:after="0" w:line="240" w:lineRule="auto"/>
        <w:rPr>
          <w:rFonts w:ascii="Arial" w:hAnsi="Arial" w:cs="Arial"/>
          <w:b/>
          <w:bCs/>
          <w:i/>
          <w:sz w:val="24"/>
          <w:szCs w:val="24"/>
          <w:lang w:val="ro-RO"/>
        </w:rPr>
      </w:pPr>
      <w:r w:rsidRPr="00112D72">
        <w:rPr>
          <w:rFonts w:ascii="Arial" w:hAnsi="Arial" w:cs="Arial"/>
          <w:b/>
          <w:bCs/>
          <w:i/>
          <w:sz w:val="24"/>
          <w:szCs w:val="24"/>
          <w:lang w:val="ro-RO"/>
        </w:rPr>
        <w:t>Emisii de metale grele – Pb, Cd, Hg</w:t>
      </w:r>
    </w:p>
    <w:p w:rsidR="00704074" w:rsidRPr="00112D72" w:rsidRDefault="00704074" w:rsidP="00704074">
      <w:pPr>
        <w:widowControl w:val="0"/>
        <w:spacing w:after="0" w:line="240" w:lineRule="auto"/>
        <w:rPr>
          <w:rFonts w:ascii="Arial" w:hAnsi="Arial" w:cs="Arial"/>
          <w:bCs/>
          <w:i/>
          <w:sz w:val="10"/>
          <w:szCs w:val="10"/>
          <w:lang w:val="ro-RO"/>
        </w:rPr>
      </w:pPr>
    </w:p>
    <w:p w:rsidR="00704074" w:rsidRPr="00112D72" w:rsidRDefault="00704074" w:rsidP="00704074">
      <w:pPr>
        <w:widowControl w:val="0"/>
        <w:spacing w:after="0" w:line="240" w:lineRule="auto"/>
        <w:ind w:firstLine="720"/>
        <w:jc w:val="both"/>
        <w:rPr>
          <w:rFonts w:ascii="Arial" w:hAnsi="Arial" w:cs="Arial"/>
          <w:sz w:val="24"/>
          <w:szCs w:val="24"/>
          <w:lang w:val="ro-RO"/>
        </w:rPr>
      </w:pPr>
      <w:r w:rsidRPr="00112D72">
        <w:rPr>
          <w:rFonts w:ascii="Arial" w:hAnsi="Arial" w:cs="Arial"/>
          <w:sz w:val="24"/>
          <w:szCs w:val="24"/>
          <w:lang w:val="ro-RO"/>
        </w:rPr>
        <w:t>La nivelul judeţului Suceava, în anul 201</w:t>
      </w:r>
      <w:r w:rsidR="00DD4992" w:rsidRPr="00112D72">
        <w:rPr>
          <w:rFonts w:ascii="Arial" w:hAnsi="Arial" w:cs="Arial"/>
          <w:sz w:val="24"/>
          <w:szCs w:val="24"/>
          <w:lang w:val="ro-RO"/>
        </w:rPr>
        <w:t>7</w:t>
      </w:r>
      <w:r w:rsidRPr="00112D72">
        <w:rPr>
          <w:rFonts w:ascii="Arial" w:hAnsi="Arial" w:cs="Arial"/>
          <w:sz w:val="24"/>
          <w:szCs w:val="24"/>
          <w:lang w:val="ro-RO"/>
        </w:rPr>
        <w:t xml:space="preserve">, dintre toate activităţile industriale inventariate, doar din activitatea de </w:t>
      </w:r>
      <w:r w:rsidRPr="00112D72">
        <w:rPr>
          <w:rFonts w:ascii="Arial" w:hAnsi="Arial" w:cs="Arial"/>
          <w:i/>
          <w:sz w:val="24"/>
          <w:szCs w:val="24"/>
          <w:lang w:val="ro-RO"/>
        </w:rPr>
        <w:t xml:space="preserve">fabricare a sticlei </w:t>
      </w:r>
      <w:r w:rsidRPr="00112D72">
        <w:rPr>
          <w:rFonts w:ascii="Arial" w:hAnsi="Arial" w:cs="Arial"/>
          <w:sz w:val="24"/>
          <w:szCs w:val="24"/>
          <w:lang w:val="ro-RO"/>
        </w:rPr>
        <w:t>au fost emise mici cantităţi de metale grele (</w:t>
      </w:r>
      <w:r w:rsidR="00DD4992" w:rsidRPr="00112D72">
        <w:rPr>
          <w:rFonts w:ascii="Arial" w:hAnsi="Arial" w:cs="Arial"/>
          <w:sz w:val="24"/>
          <w:szCs w:val="24"/>
          <w:lang w:val="ro-RO"/>
        </w:rPr>
        <w:t>1,04</w:t>
      </w:r>
      <w:r w:rsidRPr="00112D72">
        <w:rPr>
          <w:rFonts w:ascii="Arial" w:hAnsi="Arial" w:cs="Arial"/>
          <w:sz w:val="24"/>
          <w:szCs w:val="24"/>
          <w:lang w:val="ro-RO"/>
        </w:rPr>
        <w:t xml:space="preserve"> kg </w:t>
      </w:r>
      <w:r w:rsidR="006201C5" w:rsidRPr="00112D72">
        <w:rPr>
          <w:rFonts w:ascii="Arial" w:hAnsi="Arial" w:cs="Arial"/>
          <w:sz w:val="24"/>
          <w:szCs w:val="24"/>
          <w:lang w:val="ro-RO"/>
        </w:rPr>
        <w:t>plumb</w:t>
      </w:r>
      <w:r w:rsidRPr="00112D72">
        <w:rPr>
          <w:rFonts w:ascii="Arial" w:hAnsi="Arial" w:cs="Arial"/>
          <w:sz w:val="24"/>
          <w:szCs w:val="24"/>
          <w:lang w:val="ro-RO"/>
        </w:rPr>
        <w:t xml:space="preserve"> şi 0,0</w:t>
      </w:r>
      <w:r w:rsidR="00DD4992" w:rsidRPr="00112D72">
        <w:rPr>
          <w:rFonts w:ascii="Arial" w:hAnsi="Arial" w:cs="Arial"/>
          <w:sz w:val="24"/>
          <w:szCs w:val="24"/>
          <w:lang w:val="ro-RO"/>
        </w:rPr>
        <w:t>4</w:t>
      </w:r>
      <w:r w:rsidR="004F5622" w:rsidRPr="00112D72">
        <w:rPr>
          <w:rFonts w:ascii="Arial" w:hAnsi="Arial" w:cs="Arial"/>
          <w:sz w:val="24"/>
          <w:szCs w:val="24"/>
          <w:lang w:val="ro-RO"/>
        </w:rPr>
        <w:t>3</w:t>
      </w:r>
      <w:r w:rsidRPr="00112D72">
        <w:rPr>
          <w:rFonts w:ascii="Arial" w:hAnsi="Arial" w:cs="Arial"/>
          <w:sz w:val="24"/>
          <w:szCs w:val="24"/>
          <w:lang w:val="ro-RO"/>
        </w:rPr>
        <w:t xml:space="preserve"> kg </w:t>
      </w:r>
      <w:r w:rsidR="006201C5" w:rsidRPr="00112D72">
        <w:rPr>
          <w:rFonts w:ascii="Arial" w:hAnsi="Arial" w:cs="Arial"/>
          <w:sz w:val="24"/>
          <w:szCs w:val="24"/>
          <w:lang w:val="ro-RO"/>
        </w:rPr>
        <w:t>cadmiu</w:t>
      </w:r>
      <w:r w:rsidRPr="00112D72">
        <w:rPr>
          <w:rFonts w:ascii="Arial" w:hAnsi="Arial" w:cs="Arial"/>
          <w:sz w:val="24"/>
          <w:szCs w:val="24"/>
          <w:lang w:val="ro-RO"/>
        </w:rPr>
        <w:t xml:space="preserve">). </w:t>
      </w:r>
    </w:p>
    <w:p w:rsidR="00704074" w:rsidRPr="0087725B" w:rsidRDefault="00704074" w:rsidP="00704074">
      <w:pPr>
        <w:widowControl w:val="0"/>
        <w:spacing w:after="0" w:line="240" w:lineRule="auto"/>
        <w:rPr>
          <w:rFonts w:ascii="Arial" w:hAnsi="Arial" w:cs="Arial"/>
          <w:i/>
          <w:sz w:val="16"/>
          <w:szCs w:val="16"/>
          <w:lang w:val="ro-RO"/>
        </w:rPr>
      </w:pPr>
    </w:p>
    <w:p w:rsidR="00704074" w:rsidRPr="00112D72" w:rsidRDefault="00704074" w:rsidP="00704074">
      <w:pPr>
        <w:widowControl w:val="0"/>
        <w:spacing w:after="0" w:line="240" w:lineRule="auto"/>
        <w:rPr>
          <w:rFonts w:ascii="Arial" w:hAnsi="Arial" w:cs="Arial"/>
          <w:b/>
          <w:bCs/>
          <w:i/>
          <w:sz w:val="24"/>
          <w:szCs w:val="24"/>
          <w:lang w:val="ro-RO"/>
        </w:rPr>
      </w:pPr>
      <w:r w:rsidRPr="00112D72">
        <w:rPr>
          <w:rFonts w:ascii="Arial" w:hAnsi="Arial" w:cs="Arial"/>
          <w:b/>
          <w:bCs/>
          <w:i/>
          <w:sz w:val="24"/>
          <w:szCs w:val="24"/>
          <w:lang w:val="ro-RO"/>
        </w:rPr>
        <w:t>Emisii de poluanţi organici persistenţi</w:t>
      </w:r>
      <w:r w:rsidR="004F5622" w:rsidRPr="00112D72">
        <w:rPr>
          <w:rFonts w:ascii="Arial" w:hAnsi="Arial" w:cs="Arial"/>
          <w:b/>
          <w:bCs/>
          <w:i/>
          <w:sz w:val="24"/>
          <w:szCs w:val="24"/>
          <w:lang w:val="ro-RO"/>
        </w:rPr>
        <w:t xml:space="preserve"> (POP)</w:t>
      </w:r>
    </w:p>
    <w:p w:rsidR="00704074" w:rsidRPr="00112D72" w:rsidRDefault="00704074" w:rsidP="00704074">
      <w:pPr>
        <w:widowControl w:val="0"/>
        <w:spacing w:after="0" w:line="240" w:lineRule="auto"/>
        <w:rPr>
          <w:rFonts w:ascii="Arial" w:hAnsi="Arial" w:cs="Arial"/>
          <w:sz w:val="10"/>
          <w:szCs w:val="10"/>
          <w:lang w:val="ro-RO"/>
        </w:rPr>
      </w:pPr>
    </w:p>
    <w:p w:rsidR="00704074" w:rsidRPr="00112D72" w:rsidRDefault="00704074" w:rsidP="00704074">
      <w:pPr>
        <w:widowControl w:val="0"/>
        <w:autoSpaceDE w:val="0"/>
        <w:autoSpaceDN w:val="0"/>
        <w:adjustRightInd w:val="0"/>
        <w:spacing w:after="0" w:line="240" w:lineRule="auto"/>
        <w:ind w:firstLine="720"/>
        <w:jc w:val="both"/>
        <w:rPr>
          <w:rFonts w:ascii="Arial" w:hAnsi="Arial" w:cs="Arial"/>
          <w:sz w:val="24"/>
          <w:szCs w:val="24"/>
          <w:lang w:val="ro-RO"/>
        </w:rPr>
      </w:pPr>
      <w:r w:rsidRPr="00112D72">
        <w:rPr>
          <w:rFonts w:ascii="Arial" w:hAnsi="Arial" w:cs="Arial"/>
          <w:sz w:val="24"/>
          <w:szCs w:val="24"/>
          <w:lang w:val="ro-RO" w:eastAsia="ro-RO"/>
        </w:rPr>
        <w:t>La nivelul judeţului Suce</w:t>
      </w:r>
      <w:r w:rsidR="00344921" w:rsidRPr="00112D72">
        <w:rPr>
          <w:rFonts w:ascii="Arial" w:hAnsi="Arial" w:cs="Arial"/>
          <w:sz w:val="24"/>
          <w:szCs w:val="24"/>
          <w:lang w:val="ro-RO" w:eastAsia="ro-RO"/>
        </w:rPr>
        <w:t>ava nu există surse industriale</w:t>
      </w:r>
      <w:r w:rsidRPr="00112D72">
        <w:rPr>
          <w:rFonts w:ascii="Arial" w:hAnsi="Arial" w:cs="Arial"/>
          <w:sz w:val="24"/>
          <w:szCs w:val="24"/>
          <w:lang w:val="ro-RO" w:eastAsia="ro-RO"/>
        </w:rPr>
        <w:t xml:space="preserve"> de emisie a POP (d</w:t>
      </w:r>
      <w:r w:rsidR="006201C5" w:rsidRPr="00112D72">
        <w:rPr>
          <w:rFonts w:ascii="Arial" w:hAnsi="Arial" w:cs="Arial"/>
          <w:sz w:val="24"/>
          <w:szCs w:val="24"/>
          <w:lang w:val="ro-RO"/>
        </w:rPr>
        <w:t xml:space="preserve">ioxine şi furani, PAH, PCB, </w:t>
      </w:r>
      <w:r w:rsidRPr="00112D72">
        <w:rPr>
          <w:rFonts w:ascii="Arial" w:hAnsi="Arial" w:cs="Arial"/>
          <w:sz w:val="24"/>
          <w:szCs w:val="24"/>
          <w:lang w:val="ro-RO"/>
        </w:rPr>
        <w:t>HCB)</w:t>
      </w:r>
      <w:r w:rsidR="004F5622" w:rsidRPr="00112D72">
        <w:rPr>
          <w:rFonts w:ascii="Arial" w:hAnsi="Arial" w:cs="Arial"/>
          <w:sz w:val="24"/>
          <w:szCs w:val="24"/>
          <w:lang w:val="ro-RO"/>
        </w:rPr>
        <w:t>. Emisii de POP au rezultat doar din activităţile de „</w:t>
      </w:r>
      <w:r w:rsidR="004F5622" w:rsidRPr="00112D72">
        <w:rPr>
          <w:rFonts w:ascii="Arial" w:hAnsi="Arial" w:cs="Arial"/>
          <w:i/>
          <w:sz w:val="24"/>
          <w:szCs w:val="24"/>
          <w:lang w:val="ro-RO"/>
        </w:rPr>
        <w:t>Arderi din industrie</w:t>
      </w:r>
      <w:r w:rsidR="004F5622" w:rsidRPr="00112D72">
        <w:rPr>
          <w:rFonts w:ascii="Arial" w:hAnsi="Arial" w:cs="Arial"/>
          <w:sz w:val="24"/>
          <w:szCs w:val="24"/>
          <w:lang w:val="ro-RO"/>
        </w:rPr>
        <w:t>” (vezi fig. I.2.1.1.5), nu şi din procesele industriale ca atare.</w:t>
      </w:r>
    </w:p>
    <w:p w:rsidR="00704074" w:rsidRPr="00112D72" w:rsidRDefault="00704074" w:rsidP="00704074">
      <w:pPr>
        <w:widowControl w:val="0"/>
        <w:spacing w:after="0" w:line="240" w:lineRule="auto"/>
        <w:rPr>
          <w:rFonts w:ascii="Arial" w:hAnsi="Arial" w:cs="Arial"/>
          <w:b/>
          <w:sz w:val="20"/>
          <w:szCs w:val="20"/>
          <w:lang w:val="ro-RO"/>
        </w:rPr>
      </w:pPr>
    </w:p>
    <w:p w:rsidR="00704074" w:rsidRPr="00112D72" w:rsidRDefault="00704074" w:rsidP="00704074">
      <w:pPr>
        <w:widowControl w:val="0"/>
        <w:spacing w:after="0" w:line="240" w:lineRule="auto"/>
        <w:rPr>
          <w:rFonts w:ascii="Arial" w:hAnsi="Arial" w:cs="Arial"/>
          <w:b/>
          <w:sz w:val="24"/>
          <w:szCs w:val="24"/>
          <w:lang w:val="ro-RO"/>
        </w:rPr>
      </w:pPr>
      <w:r w:rsidRPr="00112D72">
        <w:rPr>
          <w:rFonts w:ascii="Arial" w:hAnsi="Arial" w:cs="Arial"/>
          <w:b/>
          <w:sz w:val="24"/>
          <w:szCs w:val="24"/>
          <w:lang w:val="ro-RO"/>
        </w:rPr>
        <w:t xml:space="preserve">I.2.1.3. Transportul </w:t>
      </w:r>
    </w:p>
    <w:p w:rsidR="00704074" w:rsidRPr="0087725B" w:rsidRDefault="00704074" w:rsidP="00704074">
      <w:pPr>
        <w:widowControl w:val="0"/>
        <w:spacing w:after="0" w:line="240" w:lineRule="auto"/>
        <w:rPr>
          <w:rFonts w:ascii="Arial" w:hAnsi="Arial" w:cs="Arial"/>
          <w:b/>
          <w:sz w:val="16"/>
          <w:szCs w:val="16"/>
          <w:lang w:val="ro-RO"/>
        </w:rPr>
      </w:pPr>
    </w:p>
    <w:p w:rsidR="00704074" w:rsidRPr="00112D72" w:rsidRDefault="00704074" w:rsidP="00704074">
      <w:pPr>
        <w:widowControl w:val="0"/>
        <w:spacing w:after="0" w:line="240" w:lineRule="auto"/>
        <w:jc w:val="both"/>
        <w:rPr>
          <w:rFonts w:ascii="Arial" w:hAnsi="Arial" w:cs="Arial"/>
          <w:b/>
          <w:i/>
          <w:sz w:val="24"/>
          <w:szCs w:val="24"/>
          <w:lang w:val="ro-RO"/>
        </w:rPr>
      </w:pPr>
      <w:r w:rsidRPr="00112D72">
        <w:rPr>
          <w:rFonts w:ascii="Arial" w:hAnsi="Arial" w:cs="Arial"/>
          <w:b/>
          <w:i/>
          <w:sz w:val="24"/>
          <w:szCs w:val="24"/>
          <w:lang w:val="ro-RO"/>
        </w:rPr>
        <w:t>Emisiile de substanţe acidifiante</w:t>
      </w:r>
    </w:p>
    <w:p w:rsidR="00704074" w:rsidRPr="0087725B" w:rsidRDefault="00704074" w:rsidP="00704074">
      <w:pPr>
        <w:widowControl w:val="0"/>
        <w:spacing w:after="0" w:line="240" w:lineRule="auto"/>
        <w:jc w:val="both"/>
        <w:rPr>
          <w:rFonts w:ascii="Arial" w:hAnsi="Arial" w:cs="Arial"/>
          <w:i/>
          <w:sz w:val="12"/>
          <w:szCs w:val="12"/>
          <w:lang w:val="ro-RO"/>
        </w:rPr>
      </w:pPr>
    </w:p>
    <w:p w:rsidR="00704074" w:rsidRPr="00112D72" w:rsidRDefault="00704074" w:rsidP="00704074">
      <w:pPr>
        <w:widowControl w:val="0"/>
        <w:spacing w:after="0" w:line="240" w:lineRule="auto"/>
        <w:jc w:val="center"/>
        <w:rPr>
          <w:rFonts w:ascii="Arial" w:hAnsi="Arial" w:cs="Arial"/>
          <w:lang w:val="ro-RO"/>
        </w:rPr>
      </w:pPr>
      <w:r w:rsidRPr="00112D72">
        <w:rPr>
          <w:rFonts w:ascii="Arial" w:hAnsi="Arial" w:cs="Arial"/>
          <w:lang w:val="ro-RO"/>
        </w:rPr>
        <w:t xml:space="preserve">Fig. I.2.1.3.1. Contribuţia din </w:t>
      </w:r>
      <w:r w:rsidR="008B2BCF" w:rsidRPr="00112D72">
        <w:rPr>
          <w:rFonts w:ascii="Arial" w:hAnsi="Arial" w:cs="Arial"/>
          <w:lang w:val="ro-RO"/>
        </w:rPr>
        <w:t xml:space="preserve">subsectoarele </w:t>
      </w:r>
      <w:r w:rsidRPr="00112D72">
        <w:rPr>
          <w:rFonts w:ascii="Arial" w:hAnsi="Arial" w:cs="Arial"/>
          <w:lang w:val="ro-RO"/>
        </w:rPr>
        <w:t>de activitate</w:t>
      </w:r>
      <w:r w:rsidR="008B2BCF" w:rsidRPr="00112D72">
        <w:rPr>
          <w:rFonts w:ascii="Arial" w:hAnsi="Arial" w:cs="Arial"/>
          <w:lang w:val="ro-RO"/>
        </w:rPr>
        <w:t xml:space="preserve"> ale sectorului</w:t>
      </w:r>
      <w:r w:rsidRPr="00112D72">
        <w:rPr>
          <w:rFonts w:ascii="Arial" w:hAnsi="Arial" w:cs="Arial"/>
          <w:lang w:val="ro-RO"/>
        </w:rPr>
        <w:t xml:space="preserve"> </w:t>
      </w:r>
      <w:r w:rsidRPr="00112D72">
        <w:rPr>
          <w:rFonts w:ascii="Arial" w:hAnsi="Arial" w:cs="Arial"/>
          <w:b/>
          <w:lang w:val="ro-RO"/>
        </w:rPr>
        <w:t>transport</w:t>
      </w:r>
      <w:r w:rsidR="008B2BCF" w:rsidRPr="00112D72">
        <w:rPr>
          <w:rFonts w:ascii="Arial" w:hAnsi="Arial" w:cs="Arial"/>
          <w:b/>
          <w:lang w:val="ro-RO"/>
        </w:rPr>
        <w:t>uri</w:t>
      </w:r>
      <w:r w:rsidRPr="00112D72">
        <w:rPr>
          <w:rFonts w:ascii="Arial" w:hAnsi="Arial" w:cs="Arial"/>
          <w:lang w:val="ro-RO"/>
        </w:rPr>
        <w:t xml:space="preserve"> la emisiile poluanţilor cu efect de acidifiere şi eutrofizare în anul 2017, în judeţul Suceava</w:t>
      </w:r>
    </w:p>
    <w:p w:rsidR="00704074" w:rsidRPr="00112D72" w:rsidRDefault="00704074" w:rsidP="00704074">
      <w:pPr>
        <w:widowControl w:val="0"/>
        <w:spacing w:after="0" w:line="240" w:lineRule="auto"/>
        <w:jc w:val="center"/>
        <w:rPr>
          <w:rFonts w:ascii="Arial" w:hAnsi="Arial" w:cs="Arial"/>
          <w:sz w:val="24"/>
          <w:szCs w:val="24"/>
          <w:lang w:val="ro-RO"/>
        </w:rPr>
      </w:pPr>
      <w:r w:rsidRPr="00112D72">
        <w:rPr>
          <w:rFonts w:ascii="Arial" w:hAnsi="Arial" w:cs="Arial"/>
          <w:noProof/>
          <w:sz w:val="24"/>
          <w:szCs w:val="24"/>
          <w:lang w:val="ro-RO" w:eastAsia="ro-RO"/>
        </w:rPr>
        <w:drawing>
          <wp:inline distT="0" distB="0" distL="0" distR="0">
            <wp:extent cx="5991225" cy="1704975"/>
            <wp:effectExtent l="0" t="0" r="0" b="0"/>
            <wp:docPr id="9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7725B" w:rsidRPr="0087725B" w:rsidRDefault="00704074" w:rsidP="00FE7FDD">
      <w:pPr>
        <w:widowControl w:val="0"/>
        <w:spacing w:after="0" w:line="240" w:lineRule="auto"/>
        <w:jc w:val="both"/>
        <w:rPr>
          <w:rFonts w:ascii="Arial" w:hAnsi="Arial" w:cs="Arial"/>
          <w:sz w:val="16"/>
          <w:szCs w:val="16"/>
          <w:lang w:val="ro-RO"/>
        </w:rPr>
      </w:pPr>
      <w:r w:rsidRPr="00112D72">
        <w:rPr>
          <w:rFonts w:ascii="Arial" w:hAnsi="Arial" w:cs="Arial"/>
          <w:sz w:val="24"/>
          <w:szCs w:val="24"/>
          <w:lang w:val="ro-RO"/>
        </w:rPr>
        <w:tab/>
      </w:r>
    </w:p>
    <w:p w:rsidR="00381172" w:rsidRPr="00112D72" w:rsidRDefault="00C626B9" w:rsidP="0087725B">
      <w:pPr>
        <w:widowControl w:val="0"/>
        <w:spacing w:after="0" w:line="240" w:lineRule="auto"/>
        <w:ind w:firstLine="720"/>
        <w:jc w:val="both"/>
        <w:rPr>
          <w:rFonts w:ascii="Arial" w:hAnsi="Arial" w:cs="Arial"/>
          <w:sz w:val="24"/>
          <w:szCs w:val="24"/>
          <w:lang w:val="ro-RO"/>
        </w:rPr>
      </w:pPr>
      <w:r w:rsidRPr="00112D72">
        <w:rPr>
          <w:rFonts w:ascii="Arial" w:hAnsi="Arial" w:cs="Arial"/>
          <w:sz w:val="24"/>
          <w:szCs w:val="24"/>
          <w:lang w:val="ro-RO"/>
        </w:rPr>
        <w:t>Din fig. I.2.1.3.1 se observă că ponderea majoritară în anul 2017</w:t>
      </w:r>
      <w:r w:rsidR="00381172" w:rsidRPr="00112D72">
        <w:rPr>
          <w:rFonts w:ascii="Arial" w:hAnsi="Arial" w:cs="Arial"/>
          <w:sz w:val="24"/>
          <w:szCs w:val="24"/>
          <w:lang w:val="ro-RO"/>
        </w:rPr>
        <w:t xml:space="preserve"> d</w:t>
      </w:r>
      <w:r w:rsidR="00FB3C26" w:rsidRPr="00112D72">
        <w:rPr>
          <w:rFonts w:ascii="Arial" w:hAnsi="Arial" w:cs="Arial"/>
          <w:sz w:val="24"/>
          <w:szCs w:val="24"/>
          <w:lang w:val="ro-RO"/>
        </w:rPr>
        <w:t>in totalul emisi</w:t>
      </w:r>
      <w:r w:rsidRPr="00112D72">
        <w:rPr>
          <w:rFonts w:ascii="Arial" w:hAnsi="Arial" w:cs="Arial"/>
          <w:sz w:val="24"/>
          <w:szCs w:val="24"/>
          <w:lang w:val="ro-RO"/>
        </w:rPr>
        <w:t>ilor de NO</w:t>
      </w:r>
      <w:r w:rsidRPr="00112D72">
        <w:rPr>
          <w:rFonts w:ascii="Arial" w:hAnsi="Arial" w:cs="Arial"/>
          <w:sz w:val="24"/>
          <w:szCs w:val="24"/>
          <w:vertAlign w:val="subscript"/>
          <w:lang w:val="ro-RO"/>
        </w:rPr>
        <w:t>x</w:t>
      </w:r>
      <w:r w:rsidRPr="00112D72">
        <w:rPr>
          <w:rFonts w:ascii="Arial" w:hAnsi="Arial" w:cs="Arial"/>
          <w:sz w:val="24"/>
          <w:szCs w:val="24"/>
          <w:lang w:val="ro-RO"/>
        </w:rPr>
        <w:t xml:space="preserve"> din sectorul </w:t>
      </w:r>
      <w:r w:rsidR="006A0113" w:rsidRPr="00112D72">
        <w:rPr>
          <w:rFonts w:ascii="Arial" w:hAnsi="Arial" w:cs="Arial"/>
          <w:sz w:val="24"/>
          <w:szCs w:val="24"/>
          <w:lang w:val="ro-RO"/>
        </w:rPr>
        <w:t>„</w:t>
      </w:r>
      <w:r w:rsidR="006A0113" w:rsidRPr="00112D72">
        <w:rPr>
          <w:rFonts w:ascii="Arial" w:hAnsi="Arial" w:cs="Arial"/>
          <w:i/>
          <w:sz w:val="24"/>
          <w:szCs w:val="24"/>
          <w:lang w:val="ro-RO"/>
        </w:rPr>
        <w:t>T</w:t>
      </w:r>
      <w:r w:rsidRPr="00112D72">
        <w:rPr>
          <w:rFonts w:ascii="Arial" w:hAnsi="Arial" w:cs="Arial"/>
          <w:i/>
          <w:sz w:val="24"/>
          <w:szCs w:val="24"/>
          <w:lang w:val="ro-RO"/>
        </w:rPr>
        <w:t>ransporturi</w:t>
      </w:r>
      <w:r w:rsidR="006A0113" w:rsidRPr="00112D72">
        <w:rPr>
          <w:rFonts w:ascii="Arial" w:hAnsi="Arial" w:cs="Arial"/>
          <w:sz w:val="24"/>
          <w:szCs w:val="24"/>
          <w:lang w:val="ro-RO"/>
        </w:rPr>
        <w:t>”</w:t>
      </w:r>
      <w:r w:rsidR="002602FA" w:rsidRPr="00112D72">
        <w:rPr>
          <w:rFonts w:ascii="Arial" w:hAnsi="Arial" w:cs="Arial"/>
          <w:sz w:val="24"/>
          <w:szCs w:val="24"/>
          <w:lang w:val="ro-RO"/>
        </w:rPr>
        <w:t xml:space="preserve"> </w:t>
      </w:r>
      <w:r w:rsidR="00FB3C26" w:rsidRPr="00112D72">
        <w:rPr>
          <w:rFonts w:ascii="Arial" w:hAnsi="Arial" w:cs="Arial"/>
          <w:sz w:val="24"/>
          <w:szCs w:val="24"/>
          <w:lang w:val="ro-RO"/>
        </w:rPr>
        <w:t>o a</w:t>
      </w:r>
      <w:r w:rsidRPr="00112D72">
        <w:rPr>
          <w:rFonts w:ascii="Arial" w:hAnsi="Arial" w:cs="Arial"/>
          <w:sz w:val="24"/>
          <w:szCs w:val="24"/>
          <w:lang w:val="ro-RO"/>
        </w:rPr>
        <w:t xml:space="preserve">u emisiile de la </w:t>
      </w:r>
      <w:r w:rsidR="00077CF7" w:rsidRPr="00112D72">
        <w:rPr>
          <w:rFonts w:ascii="Arial" w:hAnsi="Arial" w:cs="Arial"/>
          <w:i/>
          <w:sz w:val="24"/>
          <w:szCs w:val="24"/>
          <w:lang w:val="ro-RO"/>
        </w:rPr>
        <w:t>a</w:t>
      </w:r>
      <w:r w:rsidR="00704074" w:rsidRPr="00112D72">
        <w:rPr>
          <w:rFonts w:ascii="Arial" w:hAnsi="Arial" w:cs="Arial"/>
          <w:i/>
          <w:sz w:val="24"/>
          <w:szCs w:val="24"/>
          <w:lang w:val="ro-RO"/>
        </w:rPr>
        <w:t>utovehiculele grele, incluzând şi autobuzele</w:t>
      </w:r>
      <w:r w:rsidRPr="00112D72">
        <w:rPr>
          <w:rFonts w:ascii="Arial" w:hAnsi="Arial" w:cs="Arial"/>
          <w:sz w:val="24"/>
          <w:szCs w:val="24"/>
          <w:lang w:val="ro-RO"/>
        </w:rPr>
        <w:t>,</w:t>
      </w:r>
      <w:r w:rsidR="00FB3C26" w:rsidRPr="00112D72">
        <w:rPr>
          <w:rFonts w:ascii="Arial" w:hAnsi="Arial" w:cs="Arial"/>
          <w:sz w:val="24"/>
          <w:szCs w:val="24"/>
          <w:lang w:val="ro-RO"/>
        </w:rPr>
        <w:t xml:space="preserve"> iar </w:t>
      </w:r>
      <w:r w:rsidRPr="00112D72">
        <w:rPr>
          <w:rFonts w:ascii="Arial" w:hAnsi="Arial" w:cs="Arial"/>
          <w:sz w:val="24"/>
          <w:szCs w:val="24"/>
          <w:lang w:val="ro-RO"/>
        </w:rPr>
        <w:t>din</w:t>
      </w:r>
      <w:r w:rsidR="00FB3C26" w:rsidRPr="00112D72">
        <w:rPr>
          <w:rFonts w:ascii="Arial" w:hAnsi="Arial" w:cs="Arial"/>
          <w:sz w:val="24"/>
          <w:szCs w:val="24"/>
          <w:lang w:val="ro-RO"/>
        </w:rPr>
        <w:t xml:space="preserve"> </w:t>
      </w:r>
      <w:r w:rsidR="00381172" w:rsidRPr="00112D72">
        <w:rPr>
          <w:rFonts w:ascii="Arial" w:hAnsi="Arial" w:cs="Arial"/>
          <w:sz w:val="24"/>
          <w:szCs w:val="24"/>
          <w:lang w:val="ro-RO"/>
        </w:rPr>
        <w:t>emisiile</w:t>
      </w:r>
      <w:r w:rsidR="00FB3C26" w:rsidRPr="00112D72">
        <w:rPr>
          <w:rFonts w:ascii="Arial" w:hAnsi="Arial" w:cs="Arial"/>
          <w:sz w:val="24"/>
          <w:szCs w:val="24"/>
          <w:lang w:val="ro-RO"/>
        </w:rPr>
        <w:t xml:space="preserve"> </w:t>
      </w:r>
      <w:r w:rsidRPr="00112D72">
        <w:rPr>
          <w:rFonts w:ascii="Arial" w:hAnsi="Arial" w:cs="Arial"/>
          <w:sz w:val="24"/>
          <w:szCs w:val="24"/>
          <w:lang w:val="ro-RO"/>
        </w:rPr>
        <w:t xml:space="preserve">totale </w:t>
      </w:r>
      <w:r w:rsidR="00FB3C26" w:rsidRPr="00112D72">
        <w:rPr>
          <w:rFonts w:ascii="Arial" w:hAnsi="Arial" w:cs="Arial"/>
          <w:sz w:val="24"/>
          <w:szCs w:val="24"/>
          <w:lang w:val="ro-RO"/>
        </w:rPr>
        <w:t xml:space="preserve">de </w:t>
      </w:r>
      <w:r w:rsidR="00704074" w:rsidRPr="00112D72">
        <w:rPr>
          <w:rFonts w:ascii="Arial" w:hAnsi="Arial" w:cs="Arial"/>
          <w:sz w:val="24"/>
          <w:szCs w:val="24"/>
          <w:lang w:val="ro-RO"/>
        </w:rPr>
        <w:t>NH</w:t>
      </w:r>
      <w:r w:rsidR="00704074" w:rsidRPr="00112D72">
        <w:rPr>
          <w:rFonts w:ascii="Arial" w:hAnsi="Arial" w:cs="Arial"/>
          <w:sz w:val="24"/>
          <w:szCs w:val="24"/>
          <w:vertAlign w:val="subscript"/>
          <w:lang w:val="ro-RO"/>
        </w:rPr>
        <w:t>3</w:t>
      </w:r>
      <w:r w:rsidR="00704074" w:rsidRPr="00112D72">
        <w:rPr>
          <w:rFonts w:ascii="Arial" w:hAnsi="Arial" w:cs="Arial"/>
          <w:sz w:val="24"/>
          <w:szCs w:val="24"/>
          <w:lang w:val="ro-RO"/>
        </w:rPr>
        <w:t xml:space="preserve">, </w:t>
      </w:r>
      <w:r w:rsidR="00077CF7" w:rsidRPr="00112D72">
        <w:rPr>
          <w:rFonts w:ascii="Arial" w:hAnsi="Arial" w:cs="Arial"/>
          <w:i/>
          <w:sz w:val="24"/>
          <w:szCs w:val="24"/>
          <w:lang w:val="ro-RO"/>
        </w:rPr>
        <w:t>a</w:t>
      </w:r>
      <w:r w:rsidR="00704074" w:rsidRPr="00112D72">
        <w:rPr>
          <w:rFonts w:ascii="Arial" w:hAnsi="Arial" w:cs="Arial"/>
          <w:i/>
          <w:sz w:val="24"/>
          <w:szCs w:val="24"/>
          <w:lang w:val="ro-RO"/>
        </w:rPr>
        <w:t>utoturisme</w:t>
      </w:r>
      <w:r w:rsidR="00381172" w:rsidRPr="00112D72">
        <w:rPr>
          <w:rFonts w:ascii="Arial" w:hAnsi="Arial" w:cs="Arial"/>
          <w:i/>
          <w:sz w:val="24"/>
          <w:szCs w:val="24"/>
          <w:lang w:val="ro-RO"/>
        </w:rPr>
        <w:t>le</w:t>
      </w:r>
      <w:r w:rsidRPr="00112D72">
        <w:rPr>
          <w:rFonts w:ascii="Arial" w:hAnsi="Arial" w:cs="Arial"/>
          <w:sz w:val="24"/>
          <w:szCs w:val="24"/>
          <w:lang w:val="ro-RO"/>
        </w:rPr>
        <w:t>.</w:t>
      </w:r>
      <w:r w:rsidR="00381172" w:rsidRPr="00112D72">
        <w:rPr>
          <w:rFonts w:ascii="Arial" w:hAnsi="Arial" w:cs="Arial"/>
          <w:sz w:val="24"/>
          <w:szCs w:val="24"/>
          <w:lang w:val="ro-RO"/>
        </w:rPr>
        <w:t xml:space="preserve"> </w:t>
      </w:r>
    </w:p>
    <w:p w:rsidR="006D19F6" w:rsidRPr="00FE7FDD" w:rsidRDefault="006D19F6" w:rsidP="00704074">
      <w:pPr>
        <w:widowControl w:val="0"/>
        <w:spacing w:after="0" w:line="240" w:lineRule="auto"/>
        <w:jc w:val="both"/>
        <w:rPr>
          <w:rFonts w:ascii="Arial" w:hAnsi="Arial" w:cs="Arial"/>
          <w:b/>
          <w:i/>
          <w:sz w:val="14"/>
          <w:szCs w:val="14"/>
          <w:lang w:val="ro-RO"/>
        </w:rPr>
      </w:pPr>
    </w:p>
    <w:p w:rsidR="00704074" w:rsidRPr="00112D72" w:rsidRDefault="00704074" w:rsidP="00704074">
      <w:pPr>
        <w:widowControl w:val="0"/>
        <w:spacing w:after="0" w:line="240" w:lineRule="auto"/>
        <w:jc w:val="both"/>
        <w:rPr>
          <w:rFonts w:ascii="Arial" w:hAnsi="Arial" w:cs="Arial"/>
          <w:b/>
          <w:i/>
          <w:sz w:val="24"/>
          <w:szCs w:val="24"/>
          <w:lang w:val="ro-RO"/>
        </w:rPr>
      </w:pPr>
      <w:r w:rsidRPr="00112D72">
        <w:rPr>
          <w:rFonts w:ascii="Arial" w:hAnsi="Arial" w:cs="Arial"/>
          <w:b/>
          <w:i/>
          <w:sz w:val="24"/>
          <w:szCs w:val="24"/>
          <w:lang w:val="ro-RO"/>
        </w:rPr>
        <w:lastRenderedPageBreak/>
        <w:t>Emisiile de precursori ai ozonului</w:t>
      </w:r>
    </w:p>
    <w:p w:rsidR="00381172" w:rsidRPr="0087725B" w:rsidRDefault="00381172" w:rsidP="00704074">
      <w:pPr>
        <w:widowControl w:val="0"/>
        <w:spacing w:after="0" w:line="240" w:lineRule="auto"/>
        <w:jc w:val="both"/>
        <w:rPr>
          <w:rFonts w:ascii="Arial" w:hAnsi="Arial" w:cs="Arial"/>
          <w:i/>
          <w:sz w:val="16"/>
          <w:szCs w:val="16"/>
          <w:lang w:val="ro-RO"/>
        </w:rPr>
      </w:pPr>
    </w:p>
    <w:p w:rsidR="00F02E0C" w:rsidRPr="00112D72" w:rsidRDefault="00F02E0C" w:rsidP="00F02E0C">
      <w:pPr>
        <w:widowControl w:val="0"/>
        <w:spacing w:after="0" w:line="240" w:lineRule="auto"/>
        <w:ind w:firstLine="720"/>
        <w:jc w:val="both"/>
        <w:rPr>
          <w:rFonts w:ascii="Arial" w:hAnsi="Arial" w:cs="Arial"/>
          <w:sz w:val="24"/>
          <w:szCs w:val="24"/>
          <w:lang w:val="ro-RO"/>
        </w:rPr>
      </w:pPr>
      <w:r w:rsidRPr="00112D72">
        <w:rPr>
          <w:rFonts w:ascii="Arial" w:hAnsi="Arial" w:cs="Arial"/>
          <w:sz w:val="24"/>
          <w:szCs w:val="24"/>
          <w:lang w:val="ro-RO"/>
        </w:rPr>
        <w:t>În anul 2017, din totalul emisiilor de CO și NMVOC din sectorul „</w:t>
      </w:r>
      <w:r w:rsidRPr="00112D72">
        <w:rPr>
          <w:rFonts w:ascii="Arial" w:hAnsi="Arial" w:cs="Arial"/>
          <w:i/>
          <w:sz w:val="24"/>
          <w:szCs w:val="24"/>
          <w:lang w:val="ro-RO"/>
        </w:rPr>
        <w:t>Transporturi</w:t>
      </w:r>
      <w:r w:rsidRPr="00112D72">
        <w:rPr>
          <w:rFonts w:ascii="Arial" w:hAnsi="Arial" w:cs="Arial"/>
          <w:sz w:val="24"/>
          <w:szCs w:val="24"/>
          <w:lang w:val="ro-RO"/>
        </w:rPr>
        <w:t xml:space="preserve">” la nivelul județului Suceava, sursele principale de emisie a precursorilor ozonului au fost </w:t>
      </w:r>
      <w:r w:rsidRPr="00112D72">
        <w:rPr>
          <w:rFonts w:ascii="Arial" w:hAnsi="Arial" w:cs="Arial"/>
          <w:i/>
          <w:sz w:val="24"/>
          <w:szCs w:val="24"/>
          <w:lang w:val="ro-RO"/>
        </w:rPr>
        <w:t>autoturismele</w:t>
      </w:r>
      <w:r w:rsidRPr="00112D72">
        <w:rPr>
          <w:rFonts w:ascii="Arial" w:hAnsi="Arial" w:cs="Arial"/>
          <w:sz w:val="24"/>
          <w:szCs w:val="24"/>
          <w:lang w:val="ro-RO"/>
        </w:rPr>
        <w:t>, iar din totalul emisiilor de NO</w:t>
      </w:r>
      <w:r w:rsidRPr="00112D72">
        <w:rPr>
          <w:rFonts w:ascii="Arial" w:hAnsi="Arial" w:cs="Arial"/>
          <w:sz w:val="24"/>
          <w:szCs w:val="24"/>
          <w:vertAlign w:val="subscript"/>
          <w:lang w:val="ro-RO"/>
        </w:rPr>
        <w:t>x</w:t>
      </w:r>
      <w:r w:rsidRPr="00112D72">
        <w:rPr>
          <w:rFonts w:ascii="Arial" w:hAnsi="Arial" w:cs="Arial"/>
          <w:sz w:val="24"/>
          <w:szCs w:val="24"/>
          <w:lang w:val="ro-RO"/>
        </w:rPr>
        <w:t xml:space="preserve">, </w:t>
      </w:r>
      <w:r w:rsidRPr="00112D72">
        <w:rPr>
          <w:rFonts w:ascii="Arial" w:hAnsi="Arial" w:cs="Arial"/>
          <w:i/>
          <w:sz w:val="24"/>
          <w:szCs w:val="24"/>
          <w:lang w:val="ro-RO"/>
        </w:rPr>
        <w:t>autovehiculele grele, inclusiv autobuzele</w:t>
      </w:r>
      <w:r w:rsidRPr="00112D72">
        <w:rPr>
          <w:rFonts w:ascii="Arial" w:hAnsi="Arial" w:cs="Arial"/>
          <w:sz w:val="24"/>
          <w:szCs w:val="24"/>
          <w:lang w:val="ro-RO"/>
        </w:rPr>
        <w:t xml:space="preserve">. </w:t>
      </w:r>
    </w:p>
    <w:p w:rsidR="00F02E0C" w:rsidRPr="0087725B" w:rsidRDefault="00F02E0C">
      <w:pPr>
        <w:widowControl w:val="0"/>
        <w:spacing w:after="0" w:line="240" w:lineRule="auto"/>
        <w:contextualSpacing/>
        <w:jc w:val="center"/>
        <w:rPr>
          <w:rFonts w:ascii="Arial" w:hAnsi="Arial" w:cs="Arial"/>
          <w:sz w:val="16"/>
          <w:szCs w:val="16"/>
          <w:lang w:val="ro-RO"/>
        </w:rPr>
      </w:pPr>
    </w:p>
    <w:p w:rsidR="00704074" w:rsidRPr="00112D72" w:rsidRDefault="00704074" w:rsidP="00704074">
      <w:pPr>
        <w:widowControl w:val="0"/>
        <w:spacing w:after="0" w:line="240" w:lineRule="auto"/>
        <w:contextualSpacing/>
        <w:jc w:val="center"/>
        <w:rPr>
          <w:rFonts w:ascii="Arial" w:hAnsi="Arial" w:cs="Arial"/>
          <w:lang w:val="ro-RO"/>
        </w:rPr>
      </w:pPr>
      <w:r w:rsidRPr="00112D72">
        <w:rPr>
          <w:rFonts w:ascii="Arial" w:hAnsi="Arial" w:cs="Arial"/>
          <w:lang w:val="ro-RO"/>
        </w:rPr>
        <w:t xml:space="preserve">Fig. I.2.1.3.2. Contribuţia din </w:t>
      </w:r>
      <w:r w:rsidR="008B2BCF" w:rsidRPr="00112D72">
        <w:rPr>
          <w:rFonts w:ascii="Arial" w:hAnsi="Arial" w:cs="Arial"/>
          <w:lang w:val="ro-RO"/>
        </w:rPr>
        <w:t xml:space="preserve">subsectoarele de activitate ale sectorului </w:t>
      </w:r>
      <w:r w:rsidRPr="00112D72">
        <w:rPr>
          <w:rFonts w:ascii="Arial" w:hAnsi="Arial" w:cs="Arial"/>
          <w:b/>
          <w:lang w:val="ro-RO"/>
        </w:rPr>
        <w:t>transport</w:t>
      </w:r>
      <w:r w:rsidR="008B2BCF" w:rsidRPr="00112D72">
        <w:rPr>
          <w:rFonts w:ascii="Arial" w:hAnsi="Arial" w:cs="Arial"/>
          <w:b/>
          <w:lang w:val="ro-RO"/>
        </w:rPr>
        <w:t>uri</w:t>
      </w:r>
      <w:r w:rsidRPr="00112D72">
        <w:rPr>
          <w:rFonts w:ascii="Arial" w:hAnsi="Arial" w:cs="Arial"/>
          <w:lang w:val="ro-RO"/>
        </w:rPr>
        <w:t xml:space="preserve"> </w:t>
      </w:r>
    </w:p>
    <w:p w:rsidR="00704074" w:rsidRPr="00112D72" w:rsidRDefault="00704074" w:rsidP="00704074">
      <w:pPr>
        <w:widowControl w:val="0"/>
        <w:spacing w:after="0" w:line="240" w:lineRule="auto"/>
        <w:contextualSpacing/>
        <w:jc w:val="center"/>
        <w:rPr>
          <w:rFonts w:ascii="Arial" w:hAnsi="Arial" w:cs="Arial"/>
          <w:lang w:val="ro-RO"/>
        </w:rPr>
      </w:pPr>
      <w:r w:rsidRPr="00112D72">
        <w:rPr>
          <w:rFonts w:ascii="Arial" w:hAnsi="Arial" w:cs="Arial"/>
          <w:lang w:val="ro-RO"/>
        </w:rPr>
        <w:t>la emisiile de precursori ai ozonului în anul 2017, în judeţul Suceava</w:t>
      </w:r>
    </w:p>
    <w:p w:rsidR="00704074" w:rsidRPr="00112D72" w:rsidRDefault="00704074" w:rsidP="00704074">
      <w:pPr>
        <w:widowControl w:val="0"/>
        <w:tabs>
          <w:tab w:val="left" w:pos="567"/>
        </w:tabs>
        <w:spacing w:after="0" w:line="240" w:lineRule="auto"/>
        <w:jc w:val="center"/>
        <w:rPr>
          <w:rFonts w:ascii="Arial" w:hAnsi="Arial" w:cs="Arial"/>
          <w:color w:val="FF0000"/>
          <w:sz w:val="24"/>
          <w:szCs w:val="24"/>
          <w:lang w:val="ro-RO"/>
        </w:rPr>
      </w:pPr>
      <w:r w:rsidRPr="00112D72">
        <w:rPr>
          <w:rFonts w:ascii="Arial" w:hAnsi="Arial" w:cs="Arial"/>
          <w:noProof/>
          <w:color w:val="FF0000"/>
          <w:sz w:val="24"/>
          <w:szCs w:val="24"/>
          <w:lang w:val="ro-RO" w:eastAsia="ro-RO"/>
        </w:rPr>
        <w:drawing>
          <wp:inline distT="0" distB="0" distL="0" distR="0">
            <wp:extent cx="6181725" cy="1743075"/>
            <wp:effectExtent l="0" t="0" r="0" b="0"/>
            <wp:docPr id="9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04074" w:rsidRPr="00112D72" w:rsidRDefault="00704074" w:rsidP="00704074">
      <w:pPr>
        <w:widowControl w:val="0"/>
        <w:tabs>
          <w:tab w:val="left" w:pos="3660"/>
        </w:tabs>
        <w:spacing w:after="0" w:line="240" w:lineRule="auto"/>
        <w:ind w:firstLine="720"/>
        <w:jc w:val="both"/>
        <w:rPr>
          <w:rFonts w:ascii="Arial" w:hAnsi="Arial" w:cs="Arial"/>
          <w:i/>
          <w:color w:val="FF0000"/>
          <w:sz w:val="12"/>
          <w:szCs w:val="12"/>
          <w:lang w:val="ro-RO"/>
        </w:rPr>
      </w:pPr>
      <w:r w:rsidRPr="00112D72">
        <w:rPr>
          <w:rFonts w:ascii="Arial" w:hAnsi="Arial" w:cs="Arial"/>
          <w:i/>
          <w:color w:val="FF0000"/>
          <w:sz w:val="12"/>
          <w:szCs w:val="12"/>
          <w:lang w:val="ro-RO"/>
        </w:rPr>
        <w:tab/>
      </w:r>
    </w:p>
    <w:p w:rsidR="00704074" w:rsidRPr="00112D72" w:rsidRDefault="00704074" w:rsidP="00704074">
      <w:pPr>
        <w:widowControl w:val="0"/>
        <w:spacing w:after="0" w:line="240" w:lineRule="auto"/>
        <w:jc w:val="both"/>
        <w:rPr>
          <w:rFonts w:ascii="Arial" w:hAnsi="Arial" w:cs="Arial"/>
          <w:b/>
          <w:i/>
          <w:sz w:val="24"/>
          <w:szCs w:val="24"/>
          <w:lang w:val="ro-RO"/>
        </w:rPr>
      </w:pPr>
      <w:r w:rsidRPr="00112D72">
        <w:rPr>
          <w:rFonts w:ascii="Arial" w:hAnsi="Arial" w:cs="Arial"/>
          <w:b/>
          <w:i/>
          <w:sz w:val="24"/>
          <w:szCs w:val="24"/>
          <w:lang w:val="ro-RO"/>
        </w:rPr>
        <w:t>Emisii de particule primare şi precursori secundari de particule</w:t>
      </w:r>
    </w:p>
    <w:p w:rsidR="00704074" w:rsidRPr="0087725B" w:rsidRDefault="00704074" w:rsidP="00704074">
      <w:pPr>
        <w:widowControl w:val="0"/>
        <w:spacing w:after="0" w:line="240" w:lineRule="auto"/>
        <w:jc w:val="both"/>
        <w:rPr>
          <w:rFonts w:ascii="Arial" w:hAnsi="Arial" w:cs="Arial"/>
          <w:i/>
          <w:sz w:val="16"/>
          <w:szCs w:val="16"/>
          <w:lang w:val="ro-RO"/>
        </w:rPr>
      </w:pPr>
    </w:p>
    <w:p w:rsidR="00D470A0" w:rsidRPr="00112D72" w:rsidRDefault="00D470A0" w:rsidP="00D470A0">
      <w:pPr>
        <w:widowControl w:val="0"/>
        <w:tabs>
          <w:tab w:val="left" w:pos="0"/>
        </w:tabs>
        <w:spacing w:after="0" w:line="240" w:lineRule="auto"/>
        <w:contextualSpacing/>
        <w:jc w:val="both"/>
        <w:rPr>
          <w:rFonts w:ascii="Arial" w:hAnsi="Arial" w:cs="Arial"/>
          <w:sz w:val="24"/>
          <w:szCs w:val="24"/>
          <w:lang w:val="ro-RO"/>
        </w:rPr>
      </w:pPr>
      <w:r w:rsidRPr="00112D72">
        <w:rPr>
          <w:rFonts w:ascii="Arial" w:hAnsi="Arial" w:cs="Arial"/>
          <w:sz w:val="24"/>
          <w:szCs w:val="24"/>
          <w:lang w:val="ro-RO"/>
        </w:rPr>
        <w:tab/>
        <w:t>Din totalul emisiilor de pulberi micronice din sectorul „</w:t>
      </w:r>
      <w:r w:rsidRPr="00112D72">
        <w:rPr>
          <w:rFonts w:ascii="Arial" w:hAnsi="Arial" w:cs="Arial"/>
          <w:i/>
          <w:sz w:val="24"/>
          <w:szCs w:val="24"/>
          <w:lang w:val="ro-RO"/>
        </w:rPr>
        <w:t>Transporturi</w:t>
      </w:r>
      <w:r w:rsidRPr="00112D72">
        <w:rPr>
          <w:rFonts w:ascii="Arial" w:hAnsi="Arial" w:cs="Arial"/>
          <w:sz w:val="24"/>
          <w:szCs w:val="24"/>
          <w:lang w:val="ro-RO"/>
        </w:rPr>
        <w:t xml:space="preserve">”, cea mai mare contribuție au avut-o </w:t>
      </w:r>
      <w:r w:rsidRPr="00112D72">
        <w:rPr>
          <w:rFonts w:ascii="Arial" w:hAnsi="Arial" w:cs="Arial"/>
          <w:i/>
          <w:sz w:val="24"/>
          <w:szCs w:val="24"/>
          <w:lang w:val="ro-RO"/>
        </w:rPr>
        <w:t>autovehiculele grele, inclusiv autobuzele</w:t>
      </w:r>
      <w:r w:rsidRPr="00112D72">
        <w:rPr>
          <w:rFonts w:ascii="Arial" w:hAnsi="Arial" w:cs="Arial"/>
          <w:sz w:val="24"/>
          <w:szCs w:val="24"/>
          <w:lang w:val="ro-RO"/>
        </w:rPr>
        <w:t xml:space="preserve">, urmate de </w:t>
      </w:r>
      <w:r w:rsidRPr="00112D72">
        <w:rPr>
          <w:rFonts w:ascii="Arial" w:hAnsi="Arial" w:cs="Arial"/>
          <w:i/>
          <w:sz w:val="24"/>
          <w:szCs w:val="24"/>
          <w:lang w:val="ro-RO"/>
        </w:rPr>
        <w:t>autoturisme</w:t>
      </w:r>
      <w:r w:rsidRPr="00112D72">
        <w:rPr>
          <w:rFonts w:ascii="Arial" w:hAnsi="Arial" w:cs="Arial"/>
          <w:sz w:val="24"/>
          <w:szCs w:val="24"/>
          <w:lang w:val="ro-RO"/>
        </w:rPr>
        <w:t xml:space="preserve"> și de </w:t>
      </w:r>
      <w:r w:rsidRPr="00112D72">
        <w:rPr>
          <w:rFonts w:ascii="Arial" w:hAnsi="Arial" w:cs="Arial"/>
          <w:i/>
          <w:sz w:val="24"/>
          <w:szCs w:val="24"/>
          <w:lang w:val="ro-RO"/>
        </w:rPr>
        <w:t>autoutilitare</w:t>
      </w:r>
      <w:r>
        <w:rPr>
          <w:rFonts w:ascii="Arial" w:hAnsi="Arial" w:cs="Arial"/>
          <w:sz w:val="24"/>
          <w:szCs w:val="24"/>
          <w:lang w:val="ro-RO"/>
        </w:rPr>
        <w:t>, așa cum rezultă din fig. I.2.1.3.3</w:t>
      </w:r>
      <w:r w:rsidRPr="00112D72">
        <w:rPr>
          <w:rFonts w:ascii="Arial" w:hAnsi="Arial" w:cs="Arial"/>
          <w:sz w:val="24"/>
          <w:szCs w:val="24"/>
          <w:lang w:val="ro-RO"/>
        </w:rPr>
        <w:t>.</w:t>
      </w:r>
    </w:p>
    <w:p w:rsidR="00D470A0" w:rsidRPr="0087725B" w:rsidRDefault="00D470A0" w:rsidP="00704074">
      <w:pPr>
        <w:widowControl w:val="0"/>
        <w:spacing w:after="0" w:line="240" w:lineRule="auto"/>
        <w:jc w:val="both"/>
        <w:rPr>
          <w:rFonts w:ascii="Arial" w:hAnsi="Arial" w:cs="Arial"/>
          <w:i/>
          <w:sz w:val="16"/>
          <w:szCs w:val="16"/>
          <w:lang w:val="ro-RO"/>
        </w:rPr>
      </w:pPr>
    </w:p>
    <w:p w:rsidR="00704074" w:rsidRPr="00112D72" w:rsidRDefault="00704074" w:rsidP="00704074">
      <w:pPr>
        <w:widowControl w:val="0"/>
        <w:tabs>
          <w:tab w:val="left" w:pos="0"/>
        </w:tabs>
        <w:spacing w:after="0" w:line="240" w:lineRule="auto"/>
        <w:contextualSpacing/>
        <w:jc w:val="center"/>
        <w:rPr>
          <w:rFonts w:ascii="Arial" w:hAnsi="Arial" w:cs="Arial"/>
          <w:lang w:val="ro-RO"/>
        </w:rPr>
      </w:pPr>
      <w:r w:rsidRPr="00112D72">
        <w:rPr>
          <w:rFonts w:ascii="Arial" w:hAnsi="Arial" w:cs="Arial"/>
          <w:lang w:val="ro-RO"/>
        </w:rPr>
        <w:t xml:space="preserve">Fig. I.2.1.3.3.  Contribuţia din </w:t>
      </w:r>
      <w:r w:rsidR="008B2BCF" w:rsidRPr="00112D72">
        <w:rPr>
          <w:rFonts w:ascii="Arial" w:hAnsi="Arial" w:cs="Arial"/>
          <w:lang w:val="ro-RO"/>
        </w:rPr>
        <w:t xml:space="preserve">subsectoarele de activitate ale sectorului </w:t>
      </w:r>
      <w:r w:rsidR="008B2BCF" w:rsidRPr="00112D72">
        <w:rPr>
          <w:rFonts w:ascii="Arial" w:hAnsi="Arial" w:cs="Arial"/>
          <w:b/>
          <w:lang w:val="ro-RO"/>
        </w:rPr>
        <w:t>transporturi</w:t>
      </w:r>
    </w:p>
    <w:p w:rsidR="00704074" w:rsidRPr="00112D72" w:rsidRDefault="00704074" w:rsidP="00704074">
      <w:pPr>
        <w:widowControl w:val="0"/>
        <w:tabs>
          <w:tab w:val="left" w:pos="0"/>
        </w:tabs>
        <w:spacing w:after="0" w:line="240" w:lineRule="auto"/>
        <w:contextualSpacing/>
        <w:jc w:val="center"/>
        <w:rPr>
          <w:rFonts w:ascii="Arial" w:hAnsi="Arial" w:cs="Arial"/>
          <w:lang w:val="ro-RO"/>
        </w:rPr>
      </w:pPr>
      <w:r w:rsidRPr="00112D72">
        <w:rPr>
          <w:rFonts w:ascii="Arial" w:hAnsi="Arial" w:cs="Arial"/>
          <w:lang w:val="ro-RO"/>
        </w:rPr>
        <w:t>la emisiile de particule primare în suspensie în anul 2017, în judeţul Suceava</w:t>
      </w:r>
    </w:p>
    <w:p w:rsidR="00704074" w:rsidRPr="00112D72" w:rsidRDefault="00704074" w:rsidP="00704074">
      <w:pPr>
        <w:widowControl w:val="0"/>
        <w:tabs>
          <w:tab w:val="left" w:pos="0"/>
        </w:tabs>
        <w:spacing w:after="0" w:line="240" w:lineRule="auto"/>
        <w:contextualSpacing/>
        <w:jc w:val="center"/>
        <w:rPr>
          <w:rFonts w:ascii="Arial" w:hAnsi="Arial" w:cs="Arial"/>
          <w:color w:val="FF0000"/>
          <w:lang w:val="ro-RO"/>
        </w:rPr>
      </w:pPr>
      <w:r w:rsidRPr="00112D72">
        <w:rPr>
          <w:rFonts w:ascii="Arial" w:hAnsi="Arial" w:cs="Arial"/>
          <w:noProof/>
          <w:color w:val="FF0000"/>
          <w:lang w:val="ro-RO" w:eastAsia="ro-RO"/>
        </w:rPr>
        <w:drawing>
          <wp:inline distT="0" distB="0" distL="0" distR="0">
            <wp:extent cx="5829300" cy="1685925"/>
            <wp:effectExtent l="0" t="0" r="0"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51FB6" w:rsidRPr="0087725B" w:rsidRDefault="000446C5" w:rsidP="000446C5">
      <w:pPr>
        <w:widowControl w:val="0"/>
        <w:tabs>
          <w:tab w:val="left" w:pos="0"/>
        </w:tabs>
        <w:spacing w:after="0" w:line="240" w:lineRule="auto"/>
        <w:contextualSpacing/>
        <w:jc w:val="both"/>
        <w:rPr>
          <w:rFonts w:ascii="Arial" w:hAnsi="Arial" w:cs="Arial"/>
          <w:sz w:val="16"/>
          <w:szCs w:val="16"/>
          <w:lang w:val="ro-RO"/>
        </w:rPr>
      </w:pPr>
      <w:r w:rsidRPr="0087725B">
        <w:rPr>
          <w:rFonts w:ascii="Arial" w:hAnsi="Arial" w:cs="Arial"/>
          <w:sz w:val="16"/>
          <w:szCs w:val="16"/>
          <w:lang w:val="ro-RO"/>
        </w:rPr>
        <w:tab/>
      </w:r>
    </w:p>
    <w:p w:rsidR="00704074" w:rsidRPr="00112D72" w:rsidRDefault="00704074" w:rsidP="00704074">
      <w:pPr>
        <w:widowControl w:val="0"/>
        <w:spacing w:after="0" w:line="240" w:lineRule="auto"/>
        <w:jc w:val="both"/>
        <w:rPr>
          <w:rFonts w:ascii="Arial" w:hAnsi="Arial" w:cs="Arial"/>
          <w:b/>
          <w:sz w:val="24"/>
          <w:szCs w:val="24"/>
          <w:lang w:val="ro-RO"/>
        </w:rPr>
      </w:pPr>
      <w:r w:rsidRPr="00112D72">
        <w:rPr>
          <w:rFonts w:ascii="Arial" w:hAnsi="Arial" w:cs="Arial"/>
          <w:i/>
          <w:sz w:val="24"/>
          <w:szCs w:val="24"/>
          <w:lang w:val="ro-RO"/>
        </w:rPr>
        <w:t xml:space="preserve"> </w:t>
      </w:r>
      <w:r w:rsidRPr="00112D72">
        <w:rPr>
          <w:rFonts w:ascii="Arial" w:hAnsi="Arial" w:cs="Arial"/>
          <w:b/>
          <w:i/>
          <w:sz w:val="24"/>
          <w:szCs w:val="24"/>
          <w:lang w:val="ro-RO"/>
        </w:rPr>
        <w:t>Emisii de metale grele</w:t>
      </w:r>
    </w:p>
    <w:p w:rsidR="00704074" w:rsidRPr="0087725B" w:rsidRDefault="00704074" w:rsidP="00704074">
      <w:pPr>
        <w:widowControl w:val="0"/>
        <w:autoSpaceDE w:val="0"/>
        <w:autoSpaceDN w:val="0"/>
        <w:adjustRightInd w:val="0"/>
        <w:spacing w:after="0" w:line="240" w:lineRule="auto"/>
        <w:rPr>
          <w:rFonts w:ascii="Arial" w:hAnsi="Arial" w:cs="Arial"/>
          <w:sz w:val="16"/>
          <w:szCs w:val="16"/>
          <w:lang w:val="ro-RO" w:eastAsia="ro-RO"/>
        </w:rPr>
      </w:pPr>
    </w:p>
    <w:p w:rsidR="00704074" w:rsidRPr="00112D72" w:rsidRDefault="00704074" w:rsidP="00704074">
      <w:pPr>
        <w:widowControl w:val="0"/>
        <w:tabs>
          <w:tab w:val="left" w:pos="567"/>
        </w:tabs>
        <w:spacing w:after="0" w:line="240" w:lineRule="auto"/>
        <w:jc w:val="center"/>
        <w:rPr>
          <w:rFonts w:ascii="Arial" w:hAnsi="Arial" w:cs="Arial"/>
          <w:lang w:val="ro-RO"/>
        </w:rPr>
      </w:pPr>
      <w:r w:rsidRPr="00112D72">
        <w:rPr>
          <w:rFonts w:ascii="Arial" w:hAnsi="Arial" w:cs="Arial"/>
          <w:lang w:val="ro-RO"/>
        </w:rPr>
        <w:t xml:space="preserve">Fig. I.2.1.3.4.  Contribuţii din </w:t>
      </w:r>
      <w:r w:rsidR="008B2BCF" w:rsidRPr="00112D72">
        <w:rPr>
          <w:rFonts w:ascii="Arial" w:hAnsi="Arial" w:cs="Arial"/>
          <w:lang w:val="ro-RO"/>
        </w:rPr>
        <w:t xml:space="preserve">subsectoarele de activitate ale sectorului </w:t>
      </w:r>
      <w:r w:rsidR="008B2BCF" w:rsidRPr="00112D72">
        <w:rPr>
          <w:rFonts w:ascii="Arial" w:hAnsi="Arial" w:cs="Arial"/>
          <w:b/>
          <w:lang w:val="ro-RO"/>
        </w:rPr>
        <w:t>transporturi</w:t>
      </w:r>
    </w:p>
    <w:p w:rsidR="00704074" w:rsidRPr="00112D72" w:rsidRDefault="00704074" w:rsidP="00704074">
      <w:pPr>
        <w:widowControl w:val="0"/>
        <w:tabs>
          <w:tab w:val="left" w:pos="567"/>
        </w:tabs>
        <w:spacing w:after="0" w:line="240" w:lineRule="auto"/>
        <w:jc w:val="center"/>
        <w:rPr>
          <w:rFonts w:ascii="Arial" w:hAnsi="Arial" w:cs="Arial"/>
          <w:lang w:val="ro-RO"/>
        </w:rPr>
      </w:pPr>
      <w:r w:rsidRPr="00112D72">
        <w:rPr>
          <w:rFonts w:ascii="Arial" w:hAnsi="Arial" w:cs="Arial"/>
          <w:lang w:val="ro-RO"/>
        </w:rPr>
        <w:t>la emisiile de metale grele în anul 2017, în judeţul Suceava</w:t>
      </w:r>
    </w:p>
    <w:p w:rsidR="00704074" w:rsidRPr="00112D72" w:rsidRDefault="00704074" w:rsidP="00704074">
      <w:pPr>
        <w:widowControl w:val="0"/>
        <w:spacing w:after="120" w:line="240" w:lineRule="auto"/>
        <w:jc w:val="center"/>
        <w:rPr>
          <w:rFonts w:ascii="Arial" w:hAnsi="Arial" w:cs="Arial"/>
          <w:color w:val="FF0000"/>
          <w:lang w:val="ro-RO"/>
        </w:rPr>
      </w:pPr>
      <w:r w:rsidRPr="00112D72">
        <w:rPr>
          <w:rFonts w:ascii="Arial" w:hAnsi="Arial" w:cs="Arial"/>
          <w:noProof/>
          <w:color w:val="FF0000"/>
          <w:lang w:val="ro-RO" w:eastAsia="ro-RO"/>
        </w:rPr>
        <w:drawing>
          <wp:inline distT="0" distB="0" distL="0" distR="0">
            <wp:extent cx="5772150" cy="1666875"/>
            <wp:effectExtent l="19050" t="0" r="19050" b="0"/>
            <wp:docPr id="9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D19F6" w:rsidRPr="00112D72" w:rsidRDefault="000446C5" w:rsidP="000446C5">
      <w:pPr>
        <w:widowControl w:val="0"/>
        <w:tabs>
          <w:tab w:val="left" w:pos="0"/>
        </w:tabs>
        <w:spacing w:after="0" w:line="240" w:lineRule="auto"/>
        <w:contextualSpacing/>
        <w:jc w:val="both"/>
        <w:rPr>
          <w:rFonts w:ascii="Arial" w:hAnsi="Arial" w:cs="Arial"/>
          <w:sz w:val="10"/>
          <w:szCs w:val="10"/>
          <w:lang w:val="ro-RO"/>
        </w:rPr>
      </w:pPr>
      <w:r w:rsidRPr="00112D72">
        <w:rPr>
          <w:rFonts w:ascii="Arial" w:hAnsi="Arial" w:cs="Arial"/>
          <w:sz w:val="10"/>
          <w:szCs w:val="10"/>
          <w:lang w:val="ro-RO"/>
        </w:rPr>
        <w:tab/>
      </w:r>
    </w:p>
    <w:p w:rsidR="000446C5" w:rsidRPr="00112D72" w:rsidRDefault="006D19F6" w:rsidP="000446C5">
      <w:pPr>
        <w:widowControl w:val="0"/>
        <w:tabs>
          <w:tab w:val="left" w:pos="0"/>
        </w:tabs>
        <w:spacing w:after="0" w:line="240" w:lineRule="auto"/>
        <w:contextualSpacing/>
        <w:jc w:val="both"/>
        <w:rPr>
          <w:rFonts w:ascii="Arial" w:hAnsi="Arial" w:cs="Arial"/>
          <w:sz w:val="24"/>
          <w:szCs w:val="24"/>
          <w:lang w:val="ro-RO"/>
        </w:rPr>
      </w:pPr>
      <w:r w:rsidRPr="00112D72">
        <w:rPr>
          <w:rFonts w:ascii="Arial" w:hAnsi="Arial" w:cs="Arial"/>
          <w:sz w:val="24"/>
          <w:szCs w:val="24"/>
          <w:lang w:val="ro-RO"/>
        </w:rPr>
        <w:tab/>
      </w:r>
      <w:r w:rsidR="000446C5" w:rsidRPr="00112D72">
        <w:rPr>
          <w:rFonts w:ascii="Arial" w:hAnsi="Arial" w:cs="Arial"/>
          <w:sz w:val="24"/>
          <w:szCs w:val="24"/>
          <w:lang w:val="ro-RO"/>
        </w:rPr>
        <w:t>În anul 2017, di</w:t>
      </w:r>
      <w:r w:rsidRPr="00112D72">
        <w:rPr>
          <w:rFonts w:ascii="Arial" w:hAnsi="Arial" w:cs="Arial"/>
          <w:sz w:val="24"/>
          <w:szCs w:val="24"/>
          <w:lang w:val="ro-RO"/>
        </w:rPr>
        <w:t>n totalul emisiilor de Pb și Cd</w:t>
      </w:r>
      <w:r w:rsidR="000446C5" w:rsidRPr="00112D72">
        <w:rPr>
          <w:rFonts w:ascii="Arial" w:hAnsi="Arial" w:cs="Arial"/>
          <w:sz w:val="24"/>
          <w:szCs w:val="24"/>
          <w:lang w:val="ro-RO"/>
        </w:rPr>
        <w:t xml:space="preserve"> </w:t>
      </w:r>
      <w:r w:rsidR="006A0113" w:rsidRPr="00112D72">
        <w:rPr>
          <w:rFonts w:ascii="Arial" w:hAnsi="Arial" w:cs="Arial"/>
          <w:sz w:val="24"/>
          <w:szCs w:val="24"/>
          <w:lang w:val="ro-RO"/>
        </w:rPr>
        <w:t>din sectorul „</w:t>
      </w:r>
      <w:r w:rsidR="006A0113" w:rsidRPr="00112D72">
        <w:rPr>
          <w:rFonts w:ascii="Arial" w:hAnsi="Arial" w:cs="Arial"/>
          <w:i/>
          <w:sz w:val="24"/>
          <w:szCs w:val="24"/>
          <w:lang w:val="ro-RO"/>
        </w:rPr>
        <w:t>Transporturi</w:t>
      </w:r>
      <w:r w:rsidR="006A0113" w:rsidRPr="00112D72">
        <w:rPr>
          <w:rFonts w:ascii="Arial" w:hAnsi="Arial" w:cs="Arial"/>
          <w:sz w:val="24"/>
          <w:szCs w:val="24"/>
          <w:lang w:val="ro-RO"/>
        </w:rPr>
        <w:t>”</w:t>
      </w:r>
      <w:r w:rsidR="00A101AB" w:rsidRPr="00112D72">
        <w:rPr>
          <w:rFonts w:ascii="Arial" w:hAnsi="Arial" w:cs="Arial"/>
          <w:sz w:val="24"/>
          <w:szCs w:val="24"/>
          <w:lang w:val="ro-RO"/>
        </w:rPr>
        <w:t>,</w:t>
      </w:r>
      <w:r w:rsidRPr="00112D72">
        <w:rPr>
          <w:rFonts w:ascii="Arial" w:hAnsi="Arial" w:cs="Arial"/>
          <w:sz w:val="24"/>
          <w:szCs w:val="24"/>
          <w:lang w:val="ro-RO"/>
        </w:rPr>
        <w:t xml:space="preserve"> la nivelul județului Suceava,</w:t>
      </w:r>
      <w:r w:rsidR="00A101AB" w:rsidRPr="00112D72">
        <w:rPr>
          <w:rFonts w:ascii="Arial" w:hAnsi="Arial" w:cs="Arial"/>
          <w:sz w:val="24"/>
          <w:szCs w:val="24"/>
          <w:lang w:val="ro-RO"/>
        </w:rPr>
        <w:t xml:space="preserve"> </w:t>
      </w:r>
      <w:r w:rsidR="000446C5" w:rsidRPr="00112D72">
        <w:rPr>
          <w:rFonts w:ascii="Arial" w:hAnsi="Arial" w:cs="Arial"/>
          <w:sz w:val="24"/>
          <w:szCs w:val="24"/>
          <w:lang w:val="ro-RO"/>
        </w:rPr>
        <w:t xml:space="preserve">ponderea majoritară au avut-o </w:t>
      </w:r>
      <w:r w:rsidR="000446C5" w:rsidRPr="00112D72">
        <w:rPr>
          <w:rFonts w:ascii="Arial" w:hAnsi="Arial" w:cs="Arial"/>
          <w:i/>
          <w:sz w:val="24"/>
          <w:szCs w:val="24"/>
          <w:lang w:val="ro-RO"/>
        </w:rPr>
        <w:t>autovehiculele grele, inclusiv autobuzele</w:t>
      </w:r>
      <w:r w:rsidR="000446C5" w:rsidRPr="00112D72">
        <w:rPr>
          <w:rFonts w:ascii="Arial" w:hAnsi="Arial" w:cs="Arial"/>
          <w:sz w:val="24"/>
          <w:szCs w:val="24"/>
          <w:lang w:val="ro-RO"/>
        </w:rPr>
        <w:t xml:space="preserve">, urmate de </w:t>
      </w:r>
      <w:r w:rsidR="000446C5" w:rsidRPr="00112D72">
        <w:rPr>
          <w:rFonts w:ascii="Arial" w:hAnsi="Arial" w:cs="Arial"/>
          <w:i/>
          <w:sz w:val="24"/>
          <w:szCs w:val="24"/>
          <w:lang w:val="ro-RO"/>
        </w:rPr>
        <w:t>autoturisme</w:t>
      </w:r>
      <w:r w:rsidR="000446C5" w:rsidRPr="00112D72">
        <w:rPr>
          <w:rFonts w:ascii="Arial" w:hAnsi="Arial" w:cs="Arial"/>
          <w:sz w:val="24"/>
          <w:szCs w:val="24"/>
          <w:lang w:val="ro-RO"/>
        </w:rPr>
        <w:t xml:space="preserve"> și de </w:t>
      </w:r>
      <w:r w:rsidR="000446C5" w:rsidRPr="00112D72">
        <w:rPr>
          <w:rFonts w:ascii="Arial" w:hAnsi="Arial" w:cs="Arial"/>
          <w:i/>
          <w:sz w:val="24"/>
          <w:szCs w:val="24"/>
          <w:lang w:val="ro-RO"/>
        </w:rPr>
        <w:t>autoutilitare</w:t>
      </w:r>
      <w:r w:rsidR="000446C5" w:rsidRPr="00112D72">
        <w:rPr>
          <w:rFonts w:ascii="Arial" w:hAnsi="Arial" w:cs="Arial"/>
          <w:sz w:val="24"/>
          <w:szCs w:val="24"/>
          <w:lang w:val="ro-RO"/>
        </w:rPr>
        <w:t>.</w:t>
      </w:r>
    </w:p>
    <w:p w:rsidR="00704074" w:rsidRPr="00112D72" w:rsidRDefault="00704074" w:rsidP="00704074">
      <w:pPr>
        <w:widowControl w:val="0"/>
        <w:spacing w:after="0" w:line="240" w:lineRule="auto"/>
        <w:rPr>
          <w:rFonts w:ascii="Arial" w:hAnsi="Arial" w:cs="Arial"/>
          <w:b/>
          <w:color w:val="FF0000"/>
          <w:sz w:val="20"/>
          <w:szCs w:val="20"/>
          <w:lang w:val="ro-RO"/>
        </w:rPr>
      </w:pPr>
    </w:p>
    <w:p w:rsidR="00704074" w:rsidRPr="00112D72" w:rsidRDefault="00704074" w:rsidP="00704074">
      <w:pPr>
        <w:widowControl w:val="0"/>
        <w:spacing w:after="0" w:line="240" w:lineRule="auto"/>
        <w:rPr>
          <w:rFonts w:ascii="Arial" w:hAnsi="Arial" w:cs="Arial"/>
          <w:b/>
          <w:sz w:val="24"/>
          <w:szCs w:val="24"/>
          <w:lang w:val="ro-RO"/>
        </w:rPr>
      </w:pPr>
      <w:r w:rsidRPr="00112D72">
        <w:rPr>
          <w:rFonts w:ascii="Arial" w:hAnsi="Arial" w:cs="Arial"/>
          <w:b/>
          <w:sz w:val="24"/>
          <w:szCs w:val="24"/>
          <w:lang w:val="ro-RO"/>
        </w:rPr>
        <w:lastRenderedPageBreak/>
        <w:t>I.2.1.4. Agricultura</w:t>
      </w:r>
    </w:p>
    <w:p w:rsidR="00704074" w:rsidRPr="00112D72" w:rsidRDefault="00704074" w:rsidP="00704074">
      <w:pPr>
        <w:widowControl w:val="0"/>
        <w:spacing w:after="0" w:line="240" w:lineRule="auto"/>
        <w:rPr>
          <w:rFonts w:ascii="Arial" w:hAnsi="Arial" w:cs="Arial"/>
          <w:b/>
          <w:bCs/>
          <w:sz w:val="16"/>
          <w:szCs w:val="16"/>
          <w:lang w:val="ro-RO"/>
        </w:rPr>
      </w:pPr>
    </w:p>
    <w:p w:rsidR="00704074" w:rsidRPr="00112D72" w:rsidRDefault="00704074" w:rsidP="00704074">
      <w:pPr>
        <w:widowControl w:val="0"/>
        <w:spacing w:after="0" w:line="240" w:lineRule="auto"/>
        <w:jc w:val="both"/>
        <w:rPr>
          <w:rFonts w:ascii="Arial" w:hAnsi="Arial" w:cs="Arial"/>
          <w:b/>
          <w:i/>
          <w:sz w:val="24"/>
          <w:szCs w:val="24"/>
          <w:lang w:val="ro-RO"/>
        </w:rPr>
      </w:pPr>
      <w:r w:rsidRPr="00112D72">
        <w:rPr>
          <w:rFonts w:ascii="Arial" w:hAnsi="Arial" w:cs="Arial"/>
          <w:b/>
          <w:i/>
          <w:sz w:val="24"/>
          <w:szCs w:val="24"/>
          <w:lang w:val="ro-RO"/>
        </w:rPr>
        <w:t>Emisiile de substanţe acidifiante</w:t>
      </w:r>
    </w:p>
    <w:p w:rsidR="00851FB6" w:rsidRPr="00112D72" w:rsidRDefault="00851FB6" w:rsidP="00704074">
      <w:pPr>
        <w:widowControl w:val="0"/>
        <w:spacing w:after="0" w:line="240" w:lineRule="auto"/>
        <w:jc w:val="both"/>
        <w:rPr>
          <w:rFonts w:ascii="Arial" w:hAnsi="Arial" w:cs="Arial"/>
          <w:sz w:val="10"/>
          <w:szCs w:val="10"/>
          <w:lang w:val="ro-RO"/>
        </w:rPr>
      </w:pPr>
    </w:p>
    <w:p w:rsidR="00851FB6" w:rsidRPr="00112D72" w:rsidRDefault="00851FB6" w:rsidP="00851FB6">
      <w:pPr>
        <w:widowControl w:val="0"/>
        <w:spacing w:after="0" w:line="240" w:lineRule="auto"/>
        <w:ind w:firstLine="709"/>
        <w:jc w:val="both"/>
        <w:rPr>
          <w:rFonts w:ascii="Arial" w:hAnsi="Arial" w:cs="Arial"/>
          <w:sz w:val="24"/>
          <w:szCs w:val="24"/>
          <w:lang w:val="ro-RO"/>
        </w:rPr>
      </w:pPr>
      <w:r w:rsidRPr="00112D72">
        <w:rPr>
          <w:rFonts w:ascii="Arial" w:hAnsi="Arial" w:cs="Arial"/>
          <w:sz w:val="24"/>
          <w:szCs w:val="24"/>
          <w:lang w:val="ro-RO"/>
        </w:rPr>
        <w:tab/>
        <w:t xml:space="preserve">Așa cum se constată din fig. I.2.1.4.1, </w:t>
      </w:r>
      <w:r w:rsidR="003947F6">
        <w:rPr>
          <w:rFonts w:ascii="Arial" w:hAnsi="Arial" w:cs="Arial"/>
          <w:sz w:val="24"/>
          <w:szCs w:val="24"/>
          <w:lang w:val="ro-RO"/>
        </w:rPr>
        <w:t xml:space="preserve">la nivelul județului Suceava, </w:t>
      </w:r>
      <w:r w:rsidRPr="00112D72">
        <w:rPr>
          <w:rFonts w:ascii="Arial" w:hAnsi="Arial" w:cs="Arial"/>
          <w:sz w:val="24"/>
          <w:szCs w:val="24"/>
          <w:lang w:val="ro-RO"/>
        </w:rPr>
        <w:t>marea majoritate a emisiilor de NO (exprimat ca NO</w:t>
      </w:r>
      <w:r w:rsidRPr="00112D72">
        <w:rPr>
          <w:rFonts w:ascii="Arial" w:hAnsi="Arial" w:cs="Arial"/>
          <w:sz w:val="24"/>
          <w:szCs w:val="24"/>
          <w:vertAlign w:val="subscript"/>
          <w:lang w:val="ro-RO"/>
        </w:rPr>
        <w:t>2</w:t>
      </w:r>
      <w:r w:rsidRPr="00112D72">
        <w:rPr>
          <w:rFonts w:ascii="Arial" w:hAnsi="Arial" w:cs="Arial"/>
          <w:sz w:val="24"/>
          <w:szCs w:val="24"/>
          <w:lang w:val="ro-RO"/>
        </w:rPr>
        <w:t xml:space="preserve">) pe anul 2017 </w:t>
      </w:r>
      <w:r w:rsidRPr="00112D72">
        <w:rPr>
          <w:rFonts w:ascii="Arial" w:hAnsi="Arial" w:cs="Arial"/>
          <w:bCs/>
          <w:lang w:val="ro-RO"/>
        </w:rPr>
        <w:t>d</w:t>
      </w:r>
      <w:r w:rsidRPr="00112D72">
        <w:rPr>
          <w:rFonts w:ascii="Arial" w:hAnsi="Arial" w:cs="Arial"/>
          <w:sz w:val="24"/>
          <w:szCs w:val="24"/>
          <w:lang w:val="ro-RO"/>
        </w:rPr>
        <w:t>in sectorul „</w:t>
      </w:r>
      <w:r w:rsidRPr="00112D72">
        <w:rPr>
          <w:rFonts w:ascii="Arial" w:hAnsi="Arial" w:cs="Arial"/>
          <w:i/>
          <w:sz w:val="24"/>
          <w:szCs w:val="24"/>
          <w:lang w:val="ro-RO"/>
        </w:rPr>
        <w:t>Agricultură</w:t>
      </w:r>
      <w:r w:rsidRPr="00112D72">
        <w:rPr>
          <w:rFonts w:ascii="Arial" w:hAnsi="Arial" w:cs="Arial"/>
          <w:sz w:val="24"/>
          <w:szCs w:val="24"/>
          <w:lang w:val="ro-RO"/>
        </w:rPr>
        <w:t xml:space="preserve">” au provenit de la </w:t>
      </w:r>
      <w:r w:rsidRPr="00112D72">
        <w:rPr>
          <w:rFonts w:ascii="Arial" w:hAnsi="Arial" w:cs="Arial"/>
          <w:i/>
          <w:sz w:val="24"/>
          <w:szCs w:val="24"/>
          <w:lang w:val="ro-RO"/>
        </w:rPr>
        <w:t>aplicarea de</w:t>
      </w:r>
      <w:r w:rsidRPr="00112D72">
        <w:rPr>
          <w:rFonts w:ascii="Arial" w:hAnsi="Arial" w:cs="Arial"/>
          <w:sz w:val="24"/>
          <w:szCs w:val="24"/>
          <w:lang w:val="ro-RO"/>
        </w:rPr>
        <w:t xml:space="preserve"> </w:t>
      </w:r>
      <w:r w:rsidRPr="00112D72">
        <w:rPr>
          <w:rFonts w:ascii="Arial" w:hAnsi="Arial" w:cs="Arial"/>
          <w:i/>
          <w:sz w:val="24"/>
          <w:szCs w:val="24"/>
          <w:lang w:val="ro-RO"/>
        </w:rPr>
        <w:t>îngrăşăminte sintetice cu azot</w:t>
      </w:r>
      <w:r w:rsidRPr="00112D72">
        <w:rPr>
          <w:rFonts w:ascii="Arial" w:hAnsi="Arial" w:cs="Arial"/>
          <w:sz w:val="24"/>
          <w:szCs w:val="24"/>
          <w:lang w:val="ro-RO"/>
        </w:rPr>
        <w:t>, în timp ce ponderea cea mai mare din emisiile de NH</w:t>
      </w:r>
      <w:r w:rsidRPr="00112D72">
        <w:rPr>
          <w:rFonts w:ascii="Arial" w:hAnsi="Arial" w:cs="Arial"/>
          <w:sz w:val="24"/>
          <w:szCs w:val="24"/>
          <w:vertAlign w:val="subscript"/>
          <w:lang w:val="ro-RO"/>
        </w:rPr>
        <w:t>3</w:t>
      </w:r>
      <w:r w:rsidRPr="00112D72">
        <w:rPr>
          <w:rFonts w:ascii="Arial" w:hAnsi="Arial" w:cs="Arial"/>
          <w:sz w:val="24"/>
          <w:szCs w:val="24"/>
          <w:lang w:val="ro-RO"/>
        </w:rPr>
        <w:t xml:space="preserve"> din acest sector au provenit de la </w:t>
      </w:r>
      <w:r w:rsidRPr="00112D72">
        <w:rPr>
          <w:rFonts w:ascii="Arial" w:hAnsi="Arial" w:cs="Arial"/>
          <w:i/>
          <w:sz w:val="24"/>
          <w:szCs w:val="24"/>
          <w:lang w:val="ro-RO"/>
        </w:rPr>
        <w:t>creşterea vacilor de lapte</w:t>
      </w:r>
      <w:r w:rsidRPr="00112D72">
        <w:rPr>
          <w:rFonts w:ascii="Arial" w:hAnsi="Arial" w:cs="Arial"/>
          <w:sz w:val="24"/>
          <w:szCs w:val="24"/>
          <w:lang w:val="ro-RO"/>
        </w:rPr>
        <w:t xml:space="preserve"> (din managementul dejecţiilor animaliere). </w:t>
      </w:r>
    </w:p>
    <w:p w:rsidR="00A101AB" w:rsidRPr="00112D72" w:rsidRDefault="00A101AB" w:rsidP="00704074">
      <w:pPr>
        <w:widowControl w:val="0"/>
        <w:spacing w:after="0" w:line="240" w:lineRule="auto"/>
        <w:jc w:val="center"/>
        <w:rPr>
          <w:rFonts w:ascii="Arial" w:hAnsi="Arial" w:cs="Arial"/>
          <w:bCs/>
          <w:sz w:val="10"/>
          <w:szCs w:val="10"/>
          <w:lang w:val="ro-RO"/>
        </w:rPr>
      </w:pPr>
    </w:p>
    <w:p w:rsidR="00704074" w:rsidRPr="00112D72" w:rsidRDefault="00704074" w:rsidP="00704074">
      <w:pPr>
        <w:widowControl w:val="0"/>
        <w:spacing w:after="0" w:line="240" w:lineRule="auto"/>
        <w:jc w:val="center"/>
        <w:rPr>
          <w:rFonts w:ascii="Arial" w:hAnsi="Arial" w:cs="Arial"/>
          <w:bCs/>
          <w:lang w:val="ro-RO"/>
        </w:rPr>
      </w:pPr>
      <w:r w:rsidRPr="00112D72">
        <w:rPr>
          <w:rFonts w:ascii="Arial" w:hAnsi="Arial" w:cs="Arial"/>
          <w:bCs/>
          <w:lang w:val="ro-RO"/>
        </w:rPr>
        <w:t xml:space="preserve">Fig. </w:t>
      </w:r>
      <w:r w:rsidR="00851FB6" w:rsidRPr="00112D72">
        <w:rPr>
          <w:rFonts w:ascii="Arial" w:hAnsi="Arial" w:cs="Arial"/>
          <w:bCs/>
          <w:lang w:val="ro-RO"/>
        </w:rPr>
        <w:t>I</w:t>
      </w:r>
      <w:r w:rsidRPr="00112D72">
        <w:rPr>
          <w:rFonts w:ascii="Arial" w:hAnsi="Arial" w:cs="Arial"/>
          <w:bCs/>
          <w:lang w:val="ro-RO"/>
        </w:rPr>
        <w:t xml:space="preserve">.2.1.4.1. Contribuţii ale </w:t>
      </w:r>
      <w:r w:rsidR="008B2BCF" w:rsidRPr="00112D72">
        <w:rPr>
          <w:rFonts w:ascii="Arial" w:hAnsi="Arial" w:cs="Arial"/>
          <w:bCs/>
          <w:lang w:val="ro-RO"/>
        </w:rPr>
        <w:t>sub</w:t>
      </w:r>
      <w:r w:rsidRPr="00112D72">
        <w:rPr>
          <w:rFonts w:ascii="Arial" w:hAnsi="Arial" w:cs="Arial"/>
          <w:bCs/>
          <w:lang w:val="ro-RO"/>
        </w:rPr>
        <w:t xml:space="preserve">sectoarelor de activitate din </w:t>
      </w:r>
      <w:r w:rsidRPr="00112D72">
        <w:rPr>
          <w:rFonts w:ascii="Arial" w:hAnsi="Arial" w:cs="Arial"/>
          <w:b/>
          <w:bCs/>
          <w:lang w:val="ro-RO"/>
        </w:rPr>
        <w:t>agricultură</w:t>
      </w:r>
    </w:p>
    <w:p w:rsidR="00704074" w:rsidRPr="00112D72" w:rsidRDefault="00704074" w:rsidP="00704074">
      <w:pPr>
        <w:widowControl w:val="0"/>
        <w:spacing w:after="0" w:line="240" w:lineRule="auto"/>
        <w:jc w:val="center"/>
        <w:rPr>
          <w:rFonts w:ascii="Arial" w:hAnsi="Arial" w:cs="Arial"/>
          <w:lang w:val="ro-RO"/>
        </w:rPr>
      </w:pPr>
      <w:r w:rsidRPr="00112D72">
        <w:rPr>
          <w:rFonts w:ascii="Arial" w:hAnsi="Arial" w:cs="Arial"/>
          <w:bCs/>
          <w:lang w:val="ro-RO"/>
        </w:rPr>
        <w:t xml:space="preserve"> la emisiile de poluanţi cu efect de acidifiere </w:t>
      </w:r>
      <w:r w:rsidRPr="00112D72">
        <w:rPr>
          <w:rFonts w:ascii="Arial" w:hAnsi="Arial" w:cs="Arial"/>
          <w:lang w:val="ro-RO"/>
        </w:rPr>
        <w:t>în anul 201</w:t>
      </w:r>
      <w:r w:rsidR="00DB0920" w:rsidRPr="00112D72">
        <w:rPr>
          <w:rFonts w:ascii="Arial" w:hAnsi="Arial" w:cs="Arial"/>
          <w:lang w:val="ro-RO"/>
        </w:rPr>
        <w:t>7</w:t>
      </w:r>
      <w:r w:rsidRPr="00112D72">
        <w:rPr>
          <w:rFonts w:ascii="Arial" w:hAnsi="Arial" w:cs="Arial"/>
          <w:lang w:val="ro-RO"/>
        </w:rPr>
        <w:t>, în judeţul Suceava</w:t>
      </w:r>
    </w:p>
    <w:p w:rsidR="00B50840" w:rsidRPr="00112D72" w:rsidRDefault="00B50840" w:rsidP="00B50840">
      <w:pPr>
        <w:widowControl w:val="0"/>
        <w:spacing w:after="120" w:line="240" w:lineRule="auto"/>
        <w:jc w:val="center"/>
        <w:rPr>
          <w:bCs/>
          <w:sz w:val="20"/>
          <w:szCs w:val="20"/>
          <w:lang w:val="ro-RO"/>
        </w:rPr>
      </w:pPr>
      <w:r w:rsidRPr="00112D72">
        <w:rPr>
          <w:bCs/>
          <w:noProof/>
          <w:sz w:val="20"/>
          <w:szCs w:val="20"/>
          <w:lang w:val="ro-RO" w:eastAsia="ro-RO"/>
        </w:rPr>
        <w:drawing>
          <wp:inline distT="0" distB="0" distL="0" distR="0">
            <wp:extent cx="6000750" cy="1676400"/>
            <wp:effectExtent l="0" t="0" r="0"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63F4C" w:rsidRPr="00112D72" w:rsidRDefault="00063F4C" w:rsidP="00704074">
      <w:pPr>
        <w:widowControl w:val="0"/>
        <w:spacing w:after="0" w:line="240" w:lineRule="auto"/>
        <w:jc w:val="both"/>
        <w:rPr>
          <w:rFonts w:ascii="Arial" w:hAnsi="Arial" w:cs="Arial"/>
          <w:b/>
          <w:i/>
          <w:sz w:val="10"/>
          <w:szCs w:val="10"/>
          <w:lang w:val="ro-RO"/>
        </w:rPr>
      </w:pPr>
    </w:p>
    <w:p w:rsidR="00704074" w:rsidRPr="00112D72" w:rsidRDefault="00704074" w:rsidP="00704074">
      <w:pPr>
        <w:widowControl w:val="0"/>
        <w:spacing w:after="0" w:line="240" w:lineRule="auto"/>
        <w:jc w:val="both"/>
        <w:rPr>
          <w:rFonts w:ascii="Arial" w:hAnsi="Arial" w:cs="Arial"/>
          <w:b/>
          <w:i/>
          <w:sz w:val="24"/>
          <w:szCs w:val="24"/>
          <w:lang w:val="ro-RO"/>
        </w:rPr>
      </w:pPr>
      <w:r w:rsidRPr="00112D72">
        <w:rPr>
          <w:rFonts w:ascii="Arial" w:hAnsi="Arial" w:cs="Arial"/>
          <w:b/>
          <w:i/>
          <w:sz w:val="24"/>
          <w:szCs w:val="24"/>
          <w:lang w:val="ro-RO"/>
        </w:rPr>
        <w:t>Emisiile de precursori ai ozonului</w:t>
      </w:r>
    </w:p>
    <w:p w:rsidR="00704074" w:rsidRPr="003947F6" w:rsidRDefault="00704074" w:rsidP="00704074">
      <w:pPr>
        <w:widowControl w:val="0"/>
        <w:spacing w:after="0" w:line="240" w:lineRule="auto"/>
        <w:rPr>
          <w:rFonts w:ascii="Arial" w:hAnsi="Arial" w:cs="Arial"/>
          <w:sz w:val="12"/>
          <w:szCs w:val="12"/>
          <w:lang w:val="ro-RO"/>
        </w:rPr>
      </w:pPr>
    </w:p>
    <w:p w:rsidR="003947F6" w:rsidRDefault="003947F6" w:rsidP="003947F6">
      <w:pPr>
        <w:widowControl w:val="0"/>
        <w:spacing w:after="0" w:line="240" w:lineRule="auto"/>
        <w:ind w:firstLine="709"/>
        <w:jc w:val="both"/>
        <w:rPr>
          <w:rFonts w:ascii="Arial" w:hAnsi="Arial" w:cs="Arial"/>
          <w:sz w:val="24"/>
          <w:szCs w:val="24"/>
          <w:lang w:val="ro-RO"/>
        </w:rPr>
      </w:pPr>
      <w:r w:rsidRPr="00112D72">
        <w:rPr>
          <w:rFonts w:ascii="Arial" w:hAnsi="Arial" w:cs="Arial"/>
          <w:sz w:val="24"/>
          <w:szCs w:val="24"/>
          <w:lang w:val="ro-RO"/>
        </w:rPr>
        <w:t>În anul 2017, ponderea cea mai mare din emisiile totale de NO din sectorul „</w:t>
      </w:r>
      <w:r w:rsidRPr="00112D72">
        <w:rPr>
          <w:rFonts w:ascii="Arial" w:hAnsi="Arial" w:cs="Arial"/>
          <w:i/>
          <w:sz w:val="24"/>
          <w:szCs w:val="24"/>
          <w:lang w:val="ro-RO"/>
        </w:rPr>
        <w:t>Agricultură</w:t>
      </w:r>
      <w:r w:rsidRPr="00112D72">
        <w:rPr>
          <w:rFonts w:ascii="Arial" w:hAnsi="Arial" w:cs="Arial"/>
          <w:sz w:val="24"/>
          <w:szCs w:val="24"/>
          <w:lang w:val="ro-RO"/>
        </w:rPr>
        <w:t xml:space="preserve">”, au provenit din </w:t>
      </w:r>
      <w:r w:rsidRPr="00112D72">
        <w:rPr>
          <w:rFonts w:ascii="Arial" w:hAnsi="Arial" w:cs="Arial"/>
          <w:i/>
          <w:sz w:val="24"/>
          <w:szCs w:val="24"/>
          <w:lang w:val="ro-RO"/>
        </w:rPr>
        <w:t>aplicarea de îngrăşăminte sintetice cu azot.</w:t>
      </w:r>
      <w:r w:rsidRPr="00112D72">
        <w:rPr>
          <w:rFonts w:ascii="Arial" w:hAnsi="Arial" w:cs="Arial"/>
          <w:sz w:val="24"/>
          <w:szCs w:val="24"/>
          <w:lang w:val="ro-RO"/>
        </w:rPr>
        <w:t xml:space="preserve"> </w:t>
      </w:r>
    </w:p>
    <w:p w:rsidR="003947F6" w:rsidRDefault="003947F6" w:rsidP="003947F6">
      <w:pPr>
        <w:widowControl w:val="0"/>
        <w:spacing w:after="0" w:line="240" w:lineRule="auto"/>
        <w:ind w:firstLine="709"/>
        <w:jc w:val="both"/>
        <w:rPr>
          <w:rFonts w:ascii="Arial" w:hAnsi="Arial" w:cs="Arial"/>
          <w:sz w:val="24"/>
          <w:szCs w:val="24"/>
          <w:lang w:val="ro-RO"/>
        </w:rPr>
      </w:pPr>
      <w:r w:rsidRPr="00112D72">
        <w:rPr>
          <w:rFonts w:ascii="Arial" w:hAnsi="Arial" w:cs="Arial"/>
          <w:sz w:val="24"/>
          <w:szCs w:val="24"/>
          <w:lang w:val="ro-RO"/>
        </w:rPr>
        <w:t xml:space="preserve">Emisiile de NMVOC din acest sector au provenit în principal de la </w:t>
      </w:r>
      <w:r w:rsidRPr="00112D72">
        <w:rPr>
          <w:rFonts w:ascii="Arial" w:hAnsi="Arial" w:cs="Arial"/>
          <w:i/>
          <w:sz w:val="24"/>
          <w:szCs w:val="24"/>
          <w:lang w:val="ro-RO"/>
        </w:rPr>
        <w:t>creşterea vacilor de lapte</w:t>
      </w:r>
      <w:r w:rsidRPr="00112D72">
        <w:rPr>
          <w:rFonts w:ascii="Arial" w:hAnsi="Arial" w:cs="Arial"/>
          <w:sz w:val="24"/>
          <w:szCs w:val="24"/>
          <w:lang w:val="ro-RO"/>
        </w:rPr>
        <w:t xml:space="preserve">, urmată de </w:t>
      </w:r>
      <w:r w:rsidRPr="00112D72">
        <w:rPr>
          <w:rFonts w:ascii="Arial" w:hAnsi="Arial" w:cs="Arial"/>
          <w:i/>
          <w:sz w:val="24"/>
          <w:szCs w:val="24"/>
          <w:lang w:val="ro-RO"/>
        </w:rPr>
        <w:t>creşterea altor bovine</w:t>
      </w:r>
      <w:r w:rsidRPr="00112D72">
        <w:rPr>
          <w:rFonts w:ascii="Arial" w:hAnsi="Arial" w:cs="Arial"/>
          <w:sz w:val="24"/>
          <w:szCs w:val="24"/>
          <w:lang w:val="ro-RO"/>
        </w:rPr>
        <w:t>.</w:t>
      </w:r>
    </w:p>
    <w:p w:rsidR="003947F6" w:rsidRPr="00112D72" w:rsidRDefault="003947F6" w:rsidP="003947F6">
      <w:pPr>
        <w:widowControl w:val="0"/>
        <w:spacing w:after="0" w:line="240" w:lineRule="auto"/>
        <w:ind w:firstLine="709"/>
        <w:jc w:val="both"/>
        <w:rPr>
          <w:rFonts w:ascii="Arial" w:hAnsi="Arial" w:cs="Arial"/>
          <w:sz w:val="24"/>
          <w:szCs w:val="24"/>
          <w:lang w:val="ro-RO"/>
        </w:rPr>
      </w:pPr>
    </w:p>
    <w:p w:rsidR="00704074" w:rsidRPr="00112D72" w:rsidRDefault="00704074" w:rsidP="00704074">
      <w:pPr>
        <w:widowControl w:val="0"/>
        <w:spacing w:after="0" w:line="240" w:lineRule="auto"/>
        <w:jc w:val="center"/>
        <w:rPr>
          <w:rFonts w:ascii="Arial" w:hAnsi="Arial" w:cs="Arial"/>
          <w:lang w:val="ro-RO"/>
        </w:rPr>
      </w:pPr>
      <w:r w:rsidRPr="00112D72">
        <w:rPr>
          <w:rFonts w:ascii="Arial" w:hAnsi="Arial" w:cs="Arial"/>
          <w:lang w:val="ro-RO"/>
        </w:rPr>
        <w:t xml:space="preserve">Fig. I.2.1.4.2. Contribuţii ale </w:t>
      </w:r>
      <w:r w:rsidR="008B2BCF" w:rsidRPr="00112D72">
        <w:rPr>
          <w:rFonts w:ascii="Arial" w:hAnsi="Arial" w:cs="Arial"/>
          <w:bCs/>
          <w:lang w:val="ro-RO"/>
        </w:rPr>
        <w:t xml:space="preserve">subsectoarelor </w:t>
      </w:r>
      <w:r w:rsidRPr="00112D72">
        <w:rPr>
          <w:rFonts w:ascii="Arial" w:hAnsi="Arial" w:cs="Arial"/>
          <w:lang w:val="ro-RO"/>
        </w:rPr>
        <w:t xml:space="preserve">de activitate din </w:t>
      </w:r>
      <w:r w:rsidRPr="00112D72">
        <w:rPr>
          <w:rFonts w:ascii="Arial" w:hAnsi="Arial" w:cs="Arial"/>
          <w:b/>
          <w:lang w:val="ro-RO"/>
        </w:rPr>
        <w:t>agricultură</w:t>
      </w:r>
    </w:p>
    <w:p w:rsidR="00704074" w:rsidRPr="00112D72" w:rsidRDefault="00704074" w:rsidP="00704074">
      <w:pPr>
        <w:widowControl w:val="0"/>
        <w:spacing w:after="0" w:line="240" w:lineRule="auto"/>
        <w:jc w:val="center"/>
        <w:rPr>
          <w:rFonts w:ascii="Arial" w:hAnsi="Arial" w:cs="Arial"/>
          <w:bCs/>
          <w:sz w:val="24"/>
          <w:szCs w:val="24"/>
          <w:lang w:val="ro-RO"/>
        </w:rPr>
      </w:pPr>
      <w:r w:rsidRPr="00112D72">
        <w:rPr>
          <w:rFonts w:ascii="Arial" w:hAnsi="Arial" w:cs="Arial"/>
          <w:lang w:val="ro-RO"/>
        </w:rPr>
        <w:t xml:space="preserve"> la emisiile precursorilor ozonului</w:t>
      </w:r>
      <w:r w:rsidRPr="00112D72">
        <w:rPr>
          <w:rFonts w:ascii="Arial" w:hAnsi="Arial" w:cs="Arial"/>
          <w:bCs/>
          <w:lang w:val="ro-RO"/>
        </w:rPr>
        <w:t xml:space="preserve"> </w:t>
      </w:r>
      <w:r w:rsidR="00DB0920" w:rsidRPr="00112D72">
        <w:rPr>
          <w:rFonts w:ascii="Arial" w:hAnsi="Arial" w:cs="Arial"/>
          <w:lang w:val="ro-RO"/>
        </w:rPr>
        <w:t>în anul 2017</w:t>
      </w:r>
      <w:r w:rsidRPr="00112D72">
        <w:rPr>
          <w:rFonts w:ascii="Arial" w:hAnsi="Arial" w:cs="Arial"/>
          <w:lang w:val="ro-RO"/>
        </w:rPr>
        <w:t>, în judeţul Suceava</w:t>
      </w:r>
    </w:p>
    <w:p w:rsidR="00704074" w:rsidRPr="00112D72" w:rsidRDefault="00704074" w:rsidP="0000109B">
      <w:pPr>
        <w:widowControl w:val="0"/>
        <w:spacing w:after="120" w:line="240" w:lineRule="auto"/>
        <w:rPr>
          <w:bCs/>
          <w:sz w:val="20"/>
          <w:szCs w:val="20"/>
          <w:lang w:val="ro-RO"/>
        </w:rPr>
      </w:pPr>
      <w:r w:rsidRPr="00112D72">
        <w:rPr>
          <w:bCs/>
          <w:noProof/>
          <w:sz w:val="20"/>
          <w:szCs w:val="20"/>
          <w:lang w:val="ro-RO" w:eastAsia="ro-RO"/>
        </w:rPr>
        <w:drawing>
          <wp:inline distT="0" distB="0" distL="0" distR="0">
            <wp:extent cx="6315075" cy="1819275"/>
            <wp:effectExtent l="0" t="0" r="0" b="0"/>
            <wp:docPr id="9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04074" w:rsidRPr="00112D72" w:rsidRDefault="00704074" w:rsidP="00704074">
      <w:pPr>
        <w:widowControl w:val="0"/>
        <w:spacing w:after="0" w:line="240" w:lineRule="auto"/>
        <w:jc w:val="both"/>
        <w:rPr>
          <w:rFonts w:ascii="Arial" w:hAnsi="Arial" w:cs="Arial"/>
          <w:b/>
          <w:i/>
          <w:sz w:val="24"/>
          <w:szCs w:val="24"/>
          <w:lang w:val="ro-RO"/>
        </w:rPr>
      </w:pPr>
      <w:r w:rsidRPr="00112D72">
        <w:rPr>
          <w:rFonts w:ascii="Arial" w:hAnsi="Arial" w:cs="Arial"/>
          <w:b/>
          <w:i/>
          <w:sz w:val="24"/>
          <w:szCs w:val="24"/>
          <w:lang w:val="ro-RO"/>
        </w:rPr>
        <w:t>Emisii de particule primare şi precursori secundari de particule</w:t>
      </w:r>
    </w:p>
    <w:p w:rsidR="00704074" w:rsidRPr="00112D72" w:rsidRDefault="00704074" w:rsidP="00704074">
      <w:pPr>
        <w:widowControl w:val="0"/>
        <w:spacing w:after="0" w:line="240" w:lineRule="auto"/>
        <w:jc w:val="center"/>
        <w:rPr>
          <w:rFonts w:ascii="Arial" w:hAnsi="Arial" w:cs="Arial"/>
          <w:sz w:val="10"/>
          <w:szCs w:val="10"/>
          <w:lang w:val="ro-RO"/>
        </w:rPr>
      </w:pPr>
    </w:p>
    <w:p w:rsidR="00704074" w:rsidRPr="00112D72" w:rsidRDefault="00704074" w:rsidP="00704074">
      <w:pPr>
        <w:widowControl w:val="0"/>
        <w:spacing w:after="0" w:line="240" w:lineRule="auto"/>
        <w:jc w:val="center"/>
        <w:rPr>
          <w:rFonts w:ascii="Arial" w:hAnsi="Arial" w:cs="Arial"/>
          <w:lang w:val="ro-RO"/>
        </w:rPr>
      </w:pPr>
      <w:r w:rsidRPr="00112D72">
        <w:rPr>
          <w:rFonts w:ascii="Arial" w:hAnsi="Arial" w:cs="Arial"/>
          <w:lang w:val="ro-RO"/>
        </w:rPr>
        <w:t xml:space="preserve">Fig. I.2.1.4.3.Contributii ale </w:t>
      </w:r>
      <w:r w:rsidR="008B2BCF" w:rsidRPr="00112D72">
        <w:rPr>
          <w:rFonts w:ascii="Arial" w:hAnsi="Arial" w:cs="Arial"/>
          <w:bCs/>
          <w:lang w:val="ro-RO"/>
        </w:rPr>
        <w:t xml:space="preserve">subsectoarelor </w:t>
      </w:r>
      <w:r w:rsidRPr="00112D72">
        <w:rPr>
          <w:rFonts w:ascii="Arial" w:hAnsi="Arial" w:cs="Arial"/>
          <w:lang w:val="ro-RO"/>
        </w:rPr>
        <w:t xml:space="preserve">de activitate din </w:t>
      </w:r>
      <w:r w:rsidRPr="00112D72">
        <w:rPr>
          <w:rFonts w:ascii="Arial" w:hAnsi="Arial" w:cs="Arial"/>
          <w:b/>
          <w:lang w:val="ro-RO"/>
        </w:rPr>
        <w:t>agricultură</w:t>
      </w:r>
    </w:p>
    <w:p w:rsidR="00704074" w:rsidRPr="00112D72" w:rsidRDefault="00704074" w:rsidP="00B1254B">
      <w:pPr>
        <w:widowControl w:val="0"/>
        <w:spacing w:after="0" w:line="240" w:lineRule="auto"/>
        <w:jc w:val="center"/>
        <w:rPr>
          <w:rFonts w:ascii="Arial" w:hAnsi="Arial" w:cs="Arial"/>
          <w:lang w:val="ro-RO"/>
        </w:rPr>
      </w:pPr>
      <w:r w:rsidRPr="00112D72">
        <w:rPr>
          <w:rFonts w:ascii="Arial" w:hAnsi="Arial" w:cs="Arial"/>
          <w:lang w:val="ro-RO"/>
        </w:rPr>
        <w:t>la emisiile de particule p</w:t>
      </w:r>
      <w:r w:rsidR="00B1254B" w:rsidRPr="00112D72">
        <w:rPr>
          <w:rFonts w:ascii="Arial" w:hAnsi="Arial" w:cs="Arial"/>
          <w:lang w:val="ro-RO"/>
        </w:rPr>
        <w:t>rimare în suspensie în anul 2017</w:t>
      </w:r>
      <w:r w:rsidRPr="00112D72">
        <w:rPr>
          <w:rFonts w:ascii="Arial" w:hAnsi="Arial" w:cs="Arial"/>
          <w:lang w:val="ro-RO"/>
        </w:rPr>
        <w:t>, în judeţul Suceava</w:t>
      </w:r>
    </w:p>
    <w:p w:rsidR="00704074" w:rsidRPr="00112D72" w:rsidRDefault="00704074" w:rsidP="00704074">
      <w:pPr>
        <w:widowControl w:val="0"/>
        <w:spacing w:after="0" w:line="240" w:lineRule="auto"/>
        <w:jc w:val="center"/>
        <w:rPr>
          <w:lang w:val="ro-RO"/>
        </w:rPr>
      </w:pPr>
      <w:r w:rsidRPr="00112D72">
        <w:rPr>
          <w:noProof/>
          <w:lang w:val="ro-RO" w:eastAsia="ro-RO"/>
        </w:rPr>
        <w:drawing>
          <wp:inline distT="0" distB="0" distL="0" distR="0">
            <wp:extent cx="6181725" cy="1600200"/>
            <wp:effectExtent l="0" t="0" r="0" b="0"/>
            <wp:docPr id="11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04074" w:rsidRPr="00112D72" w:rsidRDefault="00704074" w:rsidP="001133E5">
      <w:pPr>
        <w:widowControl w:val="0"/>
        <w:spacing w:after="0" w:line="240" w:lineRule="auto"/>
        <w:ind w:firstLine="720"/>
        <w:jc w:val="both"/>
        <w:rPr>
          <w:rFonts w:ascii="Arial" w:hAnsi="Arial" w:cs="Arial"/>
          <w:sz w:val="24"/>
          <w:szCs w:val="24"/>
          <w:lang w:val="ro-RO"/>
        </w:rPr>
      </w:pPr>
      <w:r w:rsidRPr="00112D72">
        <w:rPr>
          <w:rFonts w:ascii="Arial" w:hAnsi="Arial" w:cs="Arial"/>
          <w:i/>
          <w:sz w:val="24"/>
          <w:szCs w:val="24"/>
          <w:lang w:val="ro-RO"/>
        </w:rPr>
        <w:lastRenderedPageBreak/>
        <w:t>Operaţiile agricole</w:t>
      </w:r>
      <w:r w:rsidR="00B1254B" w:rsidRPr="00112D72">
        <w:rPr>
          <w:rFonts w:ascii="Arial" w:hAnsi="Arial" w:cs="Arial"/>
          <w:sz w:val="24"/>
          <w:szCs w:val="24"/>
          <w:lang w:val="ro-RO"/>
        </w:rPr>
        <w:t xml:space="preserve"> și </w:t>
      </w:r>
      <w:r w:rsidR="00B1254B" w:rsidRPr="00112D72">
        <w:rPr>
          <w:rFonts w:ascii="Arial" w:hAnsi="Arial" w:cs="Arial"/>
          <w:i/>
          <w:sz w:val="24"/>
          <w:szCs w:val="24"/>
          <w:lang w:val="ro-RO"/>
        </w:rPr>
        <w:t>creșterea vacilor de lapte</w:t>
      </w:r>
      <w:r w:rsidRPr="00112D72">
        <w:rPr>
          <w:rFonts w:ascii="Arial" w:hAnsi="Arial" w:cs="Arial"/>
          <w:sz w:val="24"/>
          <w:szCs w:val="24"/>
          <w:lang w:val="ro-RO"/>
        </w:rPr>
        <w:t xml:space="preserve"> au contribuit </w:t>
      </w:r>
      <w:r w:rsidR="001133E5" w:rsidRPr="00112D72">
        <w:rPr>
          <w:rFonts w:ascii="Arial" w:hAnsi="Arial" w:cs="Arial"/>
          <w:sz w:val="24"/>
          <w:szCs w:val="24"/>
          <w:lang w:val="ro-RO"/>
        </w:rPr>
        <w:t>în cea mai mare măsură la</w:t>
      </w:r>
      <w:r w:rsidRPr="00112D72">
        <w:rPr>
          <w:rFonts w:ascii="Arial" w:hAnsi="Arial" w:cs="Arial"/>
          <w:sz w:val="24"/>
          <w:szCs w:val="24"/>
          <w:lang w:val="ro-RO"/>
        </w:rPr>
        <w:t xml:space="preserve"> emisiile </w:t>
      </w:r>
      <w:r w:rsidR="00E530C9" w:rsidRPr="00112D72">
        <w:rPr>
          <w:rFonts w:ascii="Arial" w:hAnsi="Arial" w:cs="Arial"/>
          <w:sz w:val="24"/>
          <w:szCs w:val="24"/>
          <w:lang w:val="ro-RO"/>
        </w:rPr>
        <w:t xml:space="preserve">totale de particule primare PM2,5 și PM10  </w:t>
      </w:r>
      <w:r w:rsidR="001133E5" w:rsidRPr="00112D72">
        <w:rPr>
          <w:rFonts w:ascii="Arial" w:hAnsi="Arial" w:cs="Arial"/>
          <w:sz w:val="24"/>
          <w:szCs w:val="24"/>
          <w:lang w:val="ro-RO"/>
        </w:rPr>
        <w:t>provenite din agricultură</w:t>
      </w:r>
      <w:r w:rsidRPr="00112D72">
        <w:rPr>
          <w:rFonts w:ascii="Arial" w:hAnsi="Arial" w:cs="Arial"/>
          <w:sz w:val="24"/>
          <w:szCs w:val="24"/>
          <w:lang w:val="ro-RO"/>
        </w:rPr>
        <w:t>.</w:t>
      </w:r>
    </w:p>
    <w:p w:rsidR="00704074" w:rsidRPr="00112D72" w:rsidRDefault="00704074" w:rsidP="00704074">
      <w:pPr>
        <w:widowControl w:val="0"/>
        <w:spacing w:after="0" w:line="240" w:lineRule="auto"/>
        <w:rPr>
          <w:rFonts w:ascii="Arial" w:hAnsi="Arial" w:cs="Arial"/>
          <w:b/>
          <w:bCs/>
          <w:iCs/>
          <w:sz w:val="24"/>
          <w:szCs w:val="24"/>
          <w:lang w:val="ro-RO"/>
        </w:rPr>
      </w:pPr>
    </w:p>
    <w:p w:rsidR="00704074" w:rsidRPr="00112D72" w:rsidRDefault="00704074" w:rsidP="00704074">
      <w:pPr>
        <w:widowControl w:val="0"/>
        <w:spacing w:after="0" w:line="240" w:lineRule="auto"/>
        <w:rPr>
          <w:rFonts w:ascii="Arial" w:hAnsi="Arial" w:cs="Arial"/>
          <w:b/>
          <w:bCs/>
          <w:iCs/>
          <w:sz w:val="24"/>
          <w:szCs w:val="24"/>
          <w:lang w:val="ro-RO"/>
        </w:rPr>
      </w:pPr>
      <w:r w:rsidRPr="00112D72">
        <w:rPr>
          <w:rFonts w:ascii="Arial" w:hAnsi="Arial" w:cs="Arial"/>
          <w:b/>
          <w:bCs/>
          <w:iCs/>
          <w:sz w:val="24"/>
          <w:szCs w:val="24"/>
          <w:lang w:val="ro-RO"/>
        </w:rPr>
        <w:t>I.3. Tendinţe şi prognoze privind poluarea aerului înconjurător</w:t>
      </w:r>
    </w:p>
    <w:p w:rsidR="00704074" w:rsidRPr="00112D72" w:rsidRDefault="00704074" w:rsidP="00704074">
      <w:pPr>
        <w:widowControl w:val="0"/>
        <w:autoSpaceDE w:val="0"/>
        <w:autoSpaceDN w:val="0"/>
        <w:adjustRightInd w:val="0"/>
        <w:spacing w:after="0" w:line="240" w:lineRule="auto"/>
        <w:ind w:firstLine="360"/>
        <w:jc w:val="both"/>
        <w:rPr>
          <w:rFonts w:ascii="Arial" w:hAnsi="Arial" w:cs="Arial"/>
          <w:sz w:val="20"/>
          <w:szCs w:val="20"/>
          <w:lang w:val="ro-RO" w:eastAsia="ro-RO"/>
        </w:rPr>
      </w:pPr>
    </w:p>
    <w:p w:rsidR="00704074" w:rsidRPr="00112D72" w:rsidRDefault="00704074" w:rsidP="00704074">
      <w:pPr>
        <w:widowControl w:val="0"/>
        <w:autoSpaceDE w:val="0"/>
        <w:autoSpaceDN w:val="0"/>
        <w:adjustRightInd w:val="0"/>
        <w:spacing w:after="0" w:line="240" w:lineRule="auto"/>
        <w:jc w:val="both"/>
        <w:rPr>
          <w:rFonts w:ascii="Arial" w:hAnsi="Arial" w:cs="Arial"/>
          <w:b/>
          <w:sz w:val="24"/>
          <w:szCs w:val="24"/>
          <w:lang w:val="ro-RO" w:eastAsia="ro-RO"/>
        </w:rPr>
      </w:pPr>
      <w:r w:rsidRPr="00112D72">
        <w:rPr>
          <w:rFonts w:ascii="Arial" w:hAnsi="Arial" w:cs="Arial"/>
          <w:b/>
          <w:sz w:val="24"/>
          <w:szCs w:val="24"/>
          <w:lang w:val="ro-RO" w:eastAsia="ro-RO"/>
        </w:rPr>
        <w:t>I.3.1. Tendinţe privind emisiile principalilor poluanţi atmosferici</w:t>
      </w:r>
    </w:p>
    <w:p w:rsidR="00704074" w:rsidRPr="00112D72" w:rsidRDefault="00704074" w:rsidP="00704074">
      <w:pPr>
        <w:widowControl w:val="0"/>
        <w:autoSpaceDE w:val="0"/>
        <w:autoSpaceDN w:val="0"/>
        <w:adjustRightInd w:val="0"/>
        <w:spacing w:after="0" w:line="240" w:lineRule="auto"/>
        <w:jc w:val="both"/>
        <w:rPr>
          <w:rFonts w:ascii="Arial" w:hAnsi="Arial" w:cs="Arial"/>
          <w:b/>
          <w:color w:val="FF0000"/>
          <w:sz w:val="16"/>
          <w:szCs w:val="16"/>
          <w:lang w:val="ro-RO" w:eastAsia="ro-RO"/>
        </w:rPr>
      </w:pPr>
    </w:p>
    <w:p w:rsidR="00704074" w:rsidRPr="00112D72" w:rsidRDefault="00704074" w:rsidP="00704074">
      <w:pPr>
        <w:spacing w:after="0" w:line="240" w:lineRule="auto"/>
        <w:rPr>
          <w:rFonts w:ascii="Arial" w:hAnsi="Arial" w:cs="Arial"/>
          <w:b/>
          <w:bCs/>
          <w:i/>
          <w:sz w:val="24"/>
          <w:szCs w:val="24"/>
          <w:lang w:val="ro-RO"/>
        </w:rPr>
      </w:pPr>
      <w:r w:rsidRPr="00112D72">
        <w:rPr>
          <w:rFonts w:ascii="Arial" w:hAnsi="Arial" w:cs="Arial"/>
          <w:b/>
          <w:i/>
          <w:sz w:val="24"/>
          <w:szCs w:val="24"/>
          <w:lang w:val="ro-RO" w:eastAsia="ro-RO"/>
        </w:rPr>
        <w:t xml:space="preserve"> </w:t>
      </w:r>
      <w:r w:rsidRPr="00112D72">
        <w:rPr>
          <w:rFonts w:ascii="Arial" w:hAnsi="Arial" w:cs="Arial"/>
          <w:b/>
          <w:bCs/>
          <w:i/>
          <w:sz w:val="24"/>
          <w:szCs w:val="24"/>
          <w:lang w:val="ro-RO"/>
        </w:rPr>
        <w:t>Emisiile de substanţe acidifiante</w:t>
      </w:r>
    </w:p>
    <w:p w:rsidR="00704074" w:rsidRPr="0087725B" w:rsidRDefault="00704074" w:rsidP="00704074">
      <w:pPr>
        <w:spacing w:after="0" w:line="240" w:lineRule="auto"/>
        <w:rPr>
          <w:rFonts w:ascii="Arial" w:hAnsi="Arial" w:cs="Arial"/>
          <w:b/>
          <w:bCs/>
          <w:i/>
          <w:sz w:val="16"/>
          <w:szCs w:val="16"/>
          <w:lang w:val="ro-RO"/>
        </w:rPr>
      </w:pPr>
    </w:p>
    <w:p w:rsidR="00063F4C" w:rsidRPr="00112D72" w:rsidRDefault="00063F4C" w:rsidP="00063F4C">
      <w:pPr>
        <w:widowControl w:val="0"/>
        <w:spacing w:after="0" w:line="240" w:lineRule="auto"/>
        <w:ind w:firstLine="709"/>
        <w:jc w:val="both"/>
        <w:rPr>
          <w:rFonts w:ascii="Arial" w:hAnsi="Arial" w:cs="Arial"/>
          <w:sz w:val="24"/>
          <w:szCs w:val="24"/>
          <w:lang w:val="ro-RO"/>
        </w:rPr>
      </w:pPr>
      <w:r w:rsidRPr="00112D72">
        <w:rPr>
          <w:rFonts w:ascii="Arial" w:hAnsi="Arial" w:cs="Arial"/>
          <w:sz w:val="24"/>
          <w:szCs w:val="24"/>
          <w:lang w:val="ro-RO"/>
        </w:rPr>
        <w:t>Din fig. I.3.1.1. se constată că, în intervalul 2013-2017:</w:t>
      </w:r>
    </w:p>
    <w:p w:rsidR="00063F4C" w:rsidRPr="00112D72" w:rsidRDefault="00063F4C" w:rsidP="00063F4C">
      <w:pPr>
        <w:pStyle w:val="ListParagraph"/>
        <w:widowControl w:val="0"/>
        <w:numPr>
          <w:ilvl w:val="0"/>
          <w:numId w:val="28"/>
        </w:numPr>
        <w:ind w:left="284" w:hanging="284"/>
        <w:jc w:val="both"/>
        <w:rPr>
          <w:rFonts w:ascii="Arial" w:hAnsi="Arial" w:cs="Arial"/>
          <w:sz w:val="24"/>
          <w:szCs w:val="24"/>
          <w:lang w:val="ro-RO"/>
        </w:rPr>
      </w:pPr>
      <w:r w:rsidRPr="00112D72">
        <w:rPr>
          <w:rFonts w:ascii="Arial" w:hAnsi="Arial" w:cs="Arial"/>
          <w:sz w:val="24"/>
          <w:szCs w:val="24"/>
          <w:lang w:val="ro-RO"/>
        </w:rPr>
        <w:t>emisiile anuale totale de SO</w:t>
      </w:r>
      <w:r w:rsidRPr="00112D72">
        <w:rPr>
          <w:rFonts w:ascii="Arial" w:hAnsi="Arial" w:cs="Arial"/>
          <w:sz w:val="24"/>
          <w:szCs w:val="24"/>
          <w:vertAlign w:val="subscript"/>
          <w:lang w:val="ro-RO"/>
        </w:rPr>
        <w:t>x</w:t>
      </w:r>
      <w:r w:rsidRPr="00112D72">
        <w:rPr>
          <w:rFonts w:ascii="Arial" w:hAnsi="Arial" w:cs="Arial"/>
          <w:sz w:val="24"/>
          <w:szCs w:val="24"/>
          <w:lang w:val="ro-RO"/>
        </w:rPr>
        <w:t xml:space="preserve"> au scăzut după oprirea definitivă a activității CET Suceava pe huilă, din luna aprilie 2013;</w:t>
      </w:r>
    </w:p>
    <w:p w:rsidR="00063F4C" w:rsidRPr="00112D72" w:rsidRDefault="00063F4C" w:rsidP="00063F4C">
      <w:pPr>
        <w:pStyle w:val="ListParagraph"/>
        <w:widowControl w:val="0"/>
        <w:numPr>
          <w:ilvl w:val="0"/>
          <w:numId w:val="28"/>
        </w:numPr>
        <w:ind w:left="284" w:hanging="284"/>
        <w:jc w:val="both"/>
        <w:rPr>
          <w:rFonts w:ascii="Arial" w:hAnsi="Arial" w:cs="Arial"/>
          <w:sz w:val="24"/>
          <w:szCs w:val="24"/>
          <w:lang w:val="ro-RO"/>
        </w:rPr>
      </w:pPr>
      <w:r w:rsidRPr="00112D72">
        <w:rPr>
          <w:rFonts w:ascii="Arial" w:hAnsi="Arial" w:cs="Arial"/>
          <w:sz w:val="24"/>
          <w:szCs w:val="24"/>
          <w:lang w:val="ro-RO"/>
        </w:rPr>
        <w:t>emisiile anuale de NO</w:t>
      </w:r>
      <w:r w:rsidRPr="00112D72">
        <w:rPr>
          <w:rFonts w:ascii="Arial" w:hAnsi="Arial" w:cs="Arial"/>
          <w:sz w:val="24"/>
          <w:szCs w:val="24"/>
          <w:vertAlign w:val="subscript"/>
          <w:lang w:val="ro-RO"/>
        </w:rPr>
        <w:t>x</w:t>
      </w:r>
      <w:r w:rsidRPr="00112D72">
        <w:rPr>
          <w:rFonts w:ascii="Arial" w:hAnsi="Arial" w:cs="Arial"/>
          <w:sz w:val="24"/>
          <w:szCs w:val="24"/>
          <w:lang w:val="ro-RO"/>
        </w:rPr>
        <w:t xml:space="preserve"> au o tendință relativ staționară;</w:t>
      </w:r>
    </w:p>
    <w:p w:rsidR="00063F4C" w:rsidRPr="00112D72" w:rsidRDefault="00063F4C" w:rsidP="00063F4C">
      <w:pPr>
        <w:pStyle w:val="ListParagraph"/>
        <w:widowControl w:val="0"/>
        <w:numPr>
          <w:ilvl w:val="0"/>
          <w:numId w:val="28"/>
        </w:numPr>
        <w:ind w:left="284" w:hanging="284"/>
        <w:jc w:val="both"/>
        <w:rPr>
          <w:rFonts w:ascii="Arial" w:hAnsi="Arial" w:cs="Arial"/>
          <w:sz w:val="24"/>
          <w:szCs w:val="24"/>
          <w:lang w:val="ro-RO"/>
        </w:rPr>
      </w:pPr>
      <w:r w:rsidRPr="00112D72">
        <w:rPr>
          <w:rFonts w:ascii="Arial" w:hAnsi="Arial" w:cs="Arial"/>
          <w:sz w:val="24"/>
          <w:szCs w:val="24"/>
          <w:lang w:val="ro-RO"/>
        </w:rPr>
        <w:t>emisiile anuale totale de NH</w:t>
      </w:r>
      <w:r w:rsidRPr="00112D72">
        <w:rPr>
          <w:rFonts w:ascii="Arial" w:hAnsi="Arial" w:cs="Arial"/>
          <w:sz w:val="24"/>
          <w:szCs w:val="24"/>
          <w:vertAlign w:val="subscript"/>
          <w:lang w:val="ro-RO"/>
        </w:rPr>
        <w:t>3</w:t>
      </w:r>
      <w:r w:rsidRPr="00112D72">
        <w:rPr>
          <w:rFonts w:ascii="Arial" w:hAnsi="Arial" w:cs="Arial"/>
          <w:sz w:val="24"/>
          <w:szCs w:val="24"/>
          <w:lang w:val="ro-RO"/>
        </w:rPr>
        <w:t xml:space="preserve"> au avut o tendință de scădere (mai accentuată în anul 2016), scădere corelată cu scăderea numărului de animale din sectorul zootehnic (mai ales cel de vaci de lapte şi de alte bovine), conform datelor anuale furnizate de Direcția pentru Agricultură Județeană Suceava.</w:t>
      </w:r>
      <w:r w:rsidRPr="00112D72">
        <w:rPr>
          <w:rFonts w:ascii="Arial" w:hAnsi="Arial" w:cs="Arial"/>
          <w:i/>
          <w:sz w:val="24"/>
          <w:szCs w:val="24"/>
          <w:lang w:val="ro-RO"/>
        </w:rPr>
        <w:t xml:space="preserve"> </w:t>
      </w:r>
    </w:p>
    <w:p w:rsidR="00063F4C" w:rsidRPr="0087725B" w:rsidRDefault="00063F4C" w:rsidP="00063F4C">
      <w:pPr>
        <w:pStyle w:val="ListParagraph"/>
        <w:widowControl w:val="0"/>
        <w:ind w:left="284"/>
        <w:jc w:val="both"/>
        <w:rPr>
          <w:rFonts w:ascii="Arial" w:hAnsi="Arial" w:cs="Arial"/>
          <w:sz w:val="16"/>
          <w:szCs w:val="16"/>
          <w:lang w:val="ro-RO"/>
        </w:rPr>
      </w:pPr>
    </w:p>
    <w:p w:rsidR="00704074" w:rsidRPr="00112D72" w:rsidRDefault="00704074" w:rsidP="00704074">
      <w:pPr>
        <w:spacing w:after="0" w:line="240" w:lineRule="auto"/>
        <w:jc w:val="center"/>
        <w:rPr>
          <w:rFonts w:ascii="Arial" w:hAnsi="Arial" w:cs="Arial"/>
          <w:lang w:val="ro-RO"/>
        </w:rPr>
      </w:pPr>
      <w:r w:rsidRPr="00112D72">
        <w:rPr>
          <w:rFonts w:ascii="Arial" w:hAnsi="Arial" w:cs="Arial"/>
          <w:lang w:val="ro-RO"/>
        </w:rPr>
        <w:t xml:space="preserve">Fig. I.3.1.1. Tendinţa emisiilor totale de poluanţi cu efect de acidifiere şi eutrofizare </w:t>
      </w:r>
    </w:p>
    <w:p w:rsidR="00704074" w:rsidRPr="00112D72" w:rsidRDefault="00704074" w:rsidP="00704074">
      <w:pPr>
        <w:spacing w:after="0" w:line="240" w:lineRule="auto"/>
        <w:jc w:val="center"/>
        <w:rPr>
          <w:rFonts w:ascii="Arial" w:hAnsi="Arial" w:cs="Arial"/>
          <w:lang w:val="ro-RO"/>
        </w:rPr>
      </w:pPr>
      <w:r w:rsidRPr="00112D72">
        <w:rPr>
          <w:rFonts w:ascii="Arial" w:hAnsi="Arial" w:cs="Arial"/>
          <w:lang w:val="ro-RO"/>
        </w:rPr>
        <w:t xml:space="preserve">în judeţul Suceava în perioada </w:t>
      </w:r>
      <w:r w:rsidR="00504C10" w:rsidRPr="00112D72">
        <w:rPr>
          <w:rFonts w:ascii="Arial" w:hAnsi="Arial" w:cs="Arial"/>
          <w:lang w:val="ro-RO"/>
        </w:rPr>
        <w:t xml:space="preserve">2013 </w:t>
      </w:r>
      <w:r w:rsidRPr="00112D72">
        <w:rPr>
          <w:rFonts w:ascii="Arial" w:hAnsi="Arial" w:cs="Arial"/>
          <w:lang w:val="ro-RO"/>
        </w:rPr>
        <w:t>-</w:t>
      </w:r>
      <w:r w:rsidR="00504C10" w:rsidRPr="00112D72">
        <w:rPr>
          <w:rFonts w:ascii="Arial" w:hAnsi="Arial" w:cs="Arial"/>
          <w:lang w:val="ro-RO"/>
        </w:rPr>
        <w:t xml:space="preserve"> </w:t>
      </w:r>
      <w:r w:rsidRPr="00112D72">
        <w:rPr>
          <w:rFonts w:ascii="Arial" w:hAnsi="Arial" w:cs="Arial"/>
          <w:lang w:val="ro-RO"/>
        </w:rPr>
        <w:t>201</w:t>
      </w:r>
      <w:r w:rsidR="002F289F" w:rsidRPr="00112D72">
        <w:rPr>
          <w:rFonts w:ascii="Arial" w:hAnsi="Arial" w:cs="Arial"/>
          <w:lang w:val="ro-RO"/>
        </w:rPr>
        <w:t>7</w:t>
      </w:r>
    </w:p>
    <w:p w:rsidR="00704074" w:rsidRPr="00112D72" w:rsidRDefault="00704074" w:rsidP="00704074">
      <w:pPr>
        <w:spacing w:after="120" w:line="240" w:lineRule="auto"/>
        <w:jc w:val="center"/>
        <w:rPr>
          <w:rFonts w:ascii="Arial" w:hAnsi="Arial" w:cs="Arial"/>
          <w:b/>
          <w:bCs/>
          <w:sz w:val="24"/>
          <w:szCs w:val="24"/>
          <w:lang w:val="ro-RO"/>
        </w:rPr>
      </w:pPr>
      <w:r w:rsidRPr="00112D72">
        <w:rPr>
          <w:rFonts w:ascii="Arial" w:hAnsi="Arial" w:cs="Arial"/>
          <w:b/>
          <w:bCs/>
          <w:noProof/>
          <w:sz w:val="24"/>
          <w:szCs w:val="24"/>
          <w:lang w:val="ro-RO" w:eastAsia="ro-RO"/>
        </w:rPr>
        <w:drawing>
          <wp:inline distT="0" distB="0" distL="0" distR="0">
            <wp:extent cx="5486400" cy="1695450"/>
            <wp:effectExtent l="57150" t="19050" r="19050" b="0"/>
            <wp:docPr id="101"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00109B" w:rsidRDefault="0000109B" w:rsidP="0000109B">
      <w:pPr>
        <w:widowControl w:val="0"/>
        <w:spacing w:after="0" w:line="240" w:lineRule="auto"/>
        <w:ind w:firstLine="720"/>
        <w:jc w:val="both"/>
        <w:rPr>
          <w:rFonts w:ascii="Arial" w:hAnsi="Arial" w:cs="Arial"/>
          <w:sz w:val="24"/>
          <w:szCs w:val="24"/>
          <w:lang w:val="ro-RO"/>
        </w:rPr>
      </w:pPr>
      <w:r w:rsidRPr="00112D72">
        <w:rPr>
          <w:rFonts w:ascii="Arial" w:hAnsi="Arial" w:cs="Arial"/>
          <w:sz w:val="24"/>
          <w:szCs w:val="24"/>
          <w:lang w:val="ro-RO"/>
        </w:rPr>
        <w:t>Din fig. I.3.1.2</w:t>
      </w:r>
      <w:r>
        <w:rPr>
          <w:rFonts w:ascii="Arial" w:hAnsi="Arial" w:cs="Arial"/>
          <w:sz w:val="24"/>
          <w:szCs w:val="24"/>
          <w:lang w:val="ro-RO"/>
        </w:rPr>
        <w:t xml:space="preserve"> de mai jos</w:t>
      </w:r>
      <w:r w:rsidRPr="00112D72">
        <w:rPr>
          <w:rFonts w:ascii="Arial" w:hAnsi="Arial" w:cs="Arial"/>
          <w:sz w:val="24"/>
          <w:szCs w:val="24"/>
          <w:lang w:val="ro-RO"/>
        </w:rPr>
        <w:t xml:space="preserve"> se constată scăderea emisiilor de SO</w:t>
      </w:r>
      <w:r w:rsidRPr="00112D72">
        <w:rPr>
          <w:rFonts w:ascii="Arial" w:hAnsi="Arial" w:cs="Arial"/>
          <w:sz w:val="24"/>
          <w:szCs w:val="24"/>
          <w:vertAlign w:val="subscript"/>
          <w:lang w:val="ro-RO"/>
        </w:rPr>
        <w:t>x</w:t>
      </w:r>
      <w:r w:rsidRPr="00112D72">
        <w:rPr>
          <w:rFonts w:ascii="Arial" w:hAnsi="Arial" w:cs="Arial"/>
          <w:sz w:val="24"/>
          <w:szCs w:val="24"/>
          <w:lang w:val="ro-RO"/>
        </w:rPr>
        <w:t xml:space="preserve"> și NO</w:t>
      </w:r>
      <w:r w:rsidRPr="00112D72">
        <w:rPr>
          <w:rFonts w:ascii="Arial" w:hAnsi="Arial" w:cs="Arial"/>
          <w:sz w:val="24"/>
          <w:szCs w:val="24"/>
          <w:vertAlign w:val="subscript"/>
          <w:lang w:val="ro-RO"/>
        </w:rPr>
        <w:t>x</w:t>
      </w:r>
      <w:r w:rsidRPr="00112D72">
        <w:rPr>
          <w:rFonts w:ascii="Arial" w:hAnsi="Arial" w:cs="Arial"/>
          <w:sz w:val="24"/>
          <w:szCs w:val="24"/>
          <w:lang w:val="ro-RO"/>
        </w:rPr>
        <w:t xml:space="preserve"> din sectorul „</w:t>
      </w:r>
      <w:r w:rsidRPr="00112D72">
        <w:rPr>
          <w:rFonts w:ascii="Arial" w:hAnsi="Arial" w:cs="Arial"/>
          <w:i/>
          <w:sz w:val="24"/>
          <w:szCs w:val="24"/>
          <w:lang w:val="ro-RO"/>
        </w:rPr>
        <w:t>Energie</w:t>
      </w:r>
      <w:r w:rsidRPr="00112D72">
        <w:rPr>
          <w:rFonts w:ascii="Arial" w:hAnsi="Arial" w:cs="Arial"/>
          <w:sz w:val="24"/>
          <w:szCs w:val="24"/>
          <w:lang w:val="ro-RO"/>
        </w:rPr>
        <w:t xml:space="preserve">” în intervalul analizat, cu o tendință de staționare a emisiilor acidifiante în ultimii 3 ani. </w:t>
      </w:r>
    </w:p>
    <w:p w:rsidR="0000109B" w:rsidRPr="0087725B" w:rsidRDefault="0000109B">
      <w:pPr>
        <w:spacing w:after="0" w:line="240" w:lineRule="auto"/>
        <w:jc w:val="center"/>
        <w:rPr>
          <w:rFonts w:ascii="Arial" w:hAnsi="Arial" w:cs="Arial"/>
          <w:sz w:val="16"/>
          <w:szCs w:val="16"/>
          <w:lang w:val="ro-RO"/>
        </w:rPr>
      </w:pPr>
    </w:p>
    <w:p w:rsidR="00704074" w:rsidRPr="00112D72" w:rsidRDefault="00704074" w:rsidP="00704074">
      <w:pPr>
        <w:spacing w:after="0" w:line="240" w:lineRule="auto"/>
        <w:jc w:val="center"/>
        <w:rPr>
          <w:rFonts w:ascii="Arial" w:hAnsi="Arial" w:cs="Arial"/>
          <w:lang w:val="ro-RO"/>
        </w:rPr>
      </w:pPr>
      <w:r w:rsidRPr="00112D72">
        <w:rPr>
          <w:rFonts w:ascii="Arial" w:hAnsi="Arial" w:cs="Arial"/>
          <w:lang w:val="ro-RO"/>
        </w:rPr>
        <w:t xml:space="preserve">Fig. I.3.1.2. Tendinţa emisiilor poluanţilor cu efect de acidifiere </w:t>
      </w:r>
    </w:p>
    <w:p w:rsidR="00704074" w:rsidRPr="00112D72" w:rsidRDefault="00704074" w:rsidP="00704074">
      <w:pPr>
        <w:spacing w:after="0" w:line="240" w:lineRule="auto"/>
        <w:jc w:val="center"/>
        <w:rPr>
          <w:rFonts w:ascii="Arial" w:hAnsi="Arial" w:cs="Arial"/>
          <w:lang w:val="ro-RO"/>
        </w:rPr>
      </w:pPr>
      <w:r w:rsidRPr="00112D72">
        <w:rPr>
          <w:rFonts w:ascii="Arial" w:hAnsi="Arial" w:cs="Arial"/>
          <w:lang w:val="ro-RO"/>
        </w:rPr>
        <w:t xml:space="preserve">din sectorul </w:t>
      </w:r>
      <w:r w:rsidRPr="00112D72">
        <w:rPr>
          <w:rFonts w:ascii="Arial" w:hAnsi="Arial" w:cs="Arial"/>
          <w:b/>
          <w:lang w:val="ro-RO"/>
        </w:rPr>
        <w:t>energie</w:t>
      </w:r>
      <w:r w:rsidRPr="00112D72">
        <w:rPr>
          <w:rFonts w:ascii="Arial" w:hAnsi="Arial" w:cs="Arial"/>
          <w:lang w:val="ro-RO"/>
        </w:rPr>
        <w:t xml:space="preserve"> în judeţul Suceava în perioada </w:t>
      </w:r>
      <w:r w:rsidR="00504C10" w:rsidRPr="00112D72">
        <w:rPr>
          <w:rFonts w:ascii="Arial" w:hAnsi="Arial" w:cs="Arial"/>
          <w:lang w:val="ro-RO"/>
        </w:rPr>
        <w:t>2013</w:t>
      </w:r>
      <w:r w:rsidRPr="00112D72">
        <w:rPr>
          <w:rFonts w:ascii="Arial" w:hAnsi="Arial" w:cs="Arial"/>
          <w:lang w:val="ro-RO"/>
        </w:rPr>
        <w:t>-201</w:t>
      </w:r>
      <w:r w:rsidR="002F289F" w:rsidRPr="00112D72">
        <w:rPr>
          <w:rFonts w:ascii="Arial" w:hAnsi="Arial" w:cs="Arial"/>
          <w:lang w:val="ro-RO"/>
        </w:rPr>
        <w:t>7</w:t>
      </w:r>
    </w:p>
    <w:p w:rsidR="00704074" w:rsidRPr="00112D72" w:rsidRDefault="00704074" w:rsidP="00704074">
      <w:pPr>
        <w:spacing w:after="0" w:line="240" w:lineRule="auto"/>
        <w:ind w:firstLine="720"/>
        <w:rPr>
          <w:rFonts w:ascii="Arial" w:hAnsi="Arial" w:cs="Arial"/>
          <w:noProof/>
          <w:lang w:val="ro-RO" w:eastAsia="ro-RO"/>
        </w:rPr>
      </w:pPr>
      <w:r w:rsidRPr="00112D72">
        <w:rPr>
          <w:rFonts w:ascii="Arial" w:hAnsi="Arial" w:cs="Arial"/>
          <w:noProof/>
          <w:lang w:val="ro-RO" w:eastAsia="ro-RO"/>
        </w:rPr>
        <w:drawing>
          <wp:inline distT="0" distB="0" distL="0" distR="0">
            <wp:extent cx="5486400" cy="1600200"/>
            <wp:effectExtent l="19050" t="0" r="0" b="0"/>
            <wp:docPr id="102"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00109B" w:rsidRDefault="0000109B" w:rsidP="0000109B">
      <w:pPr>
        <w:widowControl w:val="0"/>
        <w:spacing w:after="0" w:line="240" w:lineRule="auto"/>
        <w:ind w:firstLine="720"/>
        <w:jc w:val="both"/>
        <w:rPr>
          <w:rFonts w:ascii="Arial" w:hAnsi="Arial" w:cs="Arial"/>
          <w:sz w:val="24"/>
          <w:szCs w:val="24"/>
          <w:lang w:val="ro-RO"/>
        </w:rPr>
      </w:pPr>
      <w:r w:rsidRPr="00112D72">
        <w:rPr>
          <w:rFonts w:ascii="Arial" w:hAnsi="Arial" w:cs="Arial"/>
          <w:sz w:val="24"/>
          <w:szCs w:val="24"/>
          <w:lang w:val="ro-RO"/>
        </w:rPr>
        <w:t>Creşterea semnificativă a emisiilor de NH</w:t>
      </w:r>
      <w:r w:rsidRPr="00112D72">
        <w:rPr>
          <w:rFonts w:ascii="Arial" w:hAnsi="Arial" w:cs="Arial"/>
          <w:sz w:val="24"/>
          <w:szCs w:val="24"/>
          <w:vertAlign w:val="subscript"/>
          <w:lang w:val="ro-RO"/>
        </w:rPr>
        <w:t>3</w:t>
      </w:r>
      <w:r w:rsidRPr="00112D72">
        <w:rPr>
          <w:rFonts w:ascii="Arial" w:hAnsi="Arial" w:cs="Arial"/>
          <w:sz w:val="24"/>
          <w:szCs w:val="24"/>
          <w:lang w:val="ro-RO"/>
        </w:rPr>
        <w:t xml:space="preserve"> din sectorul „</w:t>
      </w:r>
      <w:r w:rsidRPr="00112D72">
        <w:rPr>
          <w:rFonts w:ascii="Arial" w:hAnsi="Arial" w:cs="Arial"/>
          <w:i/>
          <w:sz w:val="24"/>
          <w:szCs w:val="24"/>
          <w:lang w:val="ro-RO"/>
        </w:rPr>
        <w:t>Energie</w:t>
      </w:r>
      <w:r w:rsidRPr="00112D72">
        <w:rPr>
          <w:rFonts w:ascii="Arial" w:hAnsi="Arial" w:cs="Arial"/>
          <w:sz w:val="24"/>
          <w:szCs w:val="24"/>
          <w:lang w:val="ro-RO"/>
        </w:rPr>
        <w:t>” începând cu anul 2015, se datorează diferenţelor metodologice - ex. în metodologia EMEP/EEA 2009 nu au existat deloc factori de emisie aferenţi NH</w:t>
      </w:r>
      <w:r w:rsidRPr="00112D72">
        <w:rPr>
          <w:rFonts w:ascii="Arial" w:hAnsi="Arial" w:cs="Arial"/>
          <w:sz w:val="24"/>
          <w:szCs w:val="24"/>
          <w:vertAlign w:val="subscript"/>
          <w:lang w:val="ro-RO"/>
        </w:rPr>
        <w:t>3</w:t>
      </w:r>
      <w:r w:rsidRPr="00112D72">
        <w:rPr>
          <w:rFonts w:ascii="Arial" w:hAnsi="Arial" w:cs="Arial"/>
          <w:sz w:val="24"/>
          <w:szCs w:val="24"/>
          <w:lang w:val="ro-RO"/>
        </w:rPr>
        <w:t xml:space="preserve"> în sectorul </w:t>
      </w:r>
      <w:r w:rsidRPr="00112D72">
        <w:rPr>
          <w:rFonts w:ascii="Arial" w:hAnsi="Arial" w:cs="Arial"/>
          <w:sz w:val="24"/>
          <w:szCs w:val="24"/>
          <w:lang w:val="ro-RO" w:eastAsia="ro-RO"/>
        </w:rPr>
        <w:t>„</w:t>
      </w:r>
      <w:r w:rsidRPr="00112D72">
        <w:rPr>
          <w:rFonts w:ascii="Arial" w:hAnsi="Arial" w:cs="Arial"/>
          <w:i/>
          <w:sz w:val="24"/>
          <w:szCs w:val="24"/>
          <w:lang w:val="ro-RO" w:eastAsia="ro-RO"/>
        </w:rPr>
        <w:t>Arderi în industrie</w:t>
      </w:r>
      <w:r w:rsidRPr="00112D72">
        <w:rPr>
          <w:rFonts w:ascii="Arial" w:hAnsi="Arial" w:cs="Arial"/>
          <w:sz w:val="24"/>
          <w:szCs w:val="24"/>
          <w:lang w:val="ro-RO" w:eastAsia="ro-RO"/>
        </w:rPr>
        <w:t>”</w:t>
      </w:r>
      <w:r w:rsidRPr="00112D72">
        <w:rPr>
          <w:rFonts w:ascii="Arial" w:hAnsi="Arial" w:cs="Arial"/>
          <w:sz w:val="24"/>
          <w:szCs w:val="24"/>
          <w:lang w:val="ro-RO"/>
        </w:rPr>
        <w:t xml:space="preserve">, iar în sectorul </w:t>
      </w:r>
      <w:r w:rsidRPr="00112D72">
        <w:rPr>
          <w:rFonts w:ascii="Arial" w:hAnsi="Arial" w:cs="Arial"/>
          <w:sz w:val="24"/>
          <w:lang w:val="ro-RO"/>
        </w:rPr>
        <w:t>„</w:t>
      </w:r>
      <w:r w:rsidRPr="00112D72">
        <w:rPr>
          <w:rFonts w:ascii="Arial" w:hAnsi="Arial" w:cs="Arial"/>
          <w:i/>
          <w:sz w:val="24"/>
          <w:lang w:val="ro-RO"/>
        </w:rPr>
        <w:t>Arderi din sectorul rezidenţial</w:t>
      </w:r>
      <w:r w:rsidRPr="00112D72">
        <w:rPr>
          <w:rFonts w:ascii="Arial" w:hAnsi="Arial" w:cs="Arial"/>
          <w:sz w:val="24"/>
          <w:lang w:val="ro-RO"/>
        </w:rPr>
        <w:t>” factorul de emisie a variat  de la 5g/GJ (vers. EMEP/EEA 2009) la 70 g/GJ (vers. EMEP/EEA 2013), respectiv 50g/GJ (vers.EMEP/EEA 2016)</w:t>
      </w:r>
      <w:r w:rsidRPr="00112D72">
        <w:rPr>
          <w:rFonts w:ascii="Arial" w:hAnsi="Arial" w:cs="Arial"/>
          <w:sz w:val="24"/>
          <w:szCs w:val="24"/>
          <w:lang w:val="ro-RO"/>
        </w:rPr>
        <w:t xml:space="preserve">. </w:t>
      </w:r>
    </w:p>
    <w:p w:rsidR="00EC2099" w:rsidRPr="00EC2099" w:rsidRDefault="00EC2099" w:rsidP="0000109B">
      <w:pPr>
        <w:widowControl w:val="0"/>
        <w:spacing w:after="0" w:line="240" w:lineRule="auto"/>
        <w:ind w:firstLine="720"/>
        <w:jc w:val="both"/>
        <w:rPr>
          <w:rFonts w:ascii="Arial" w:hAnsi="Arial" w:cs="Arial"/>
          <w:sz w:val="10"/>
          <w:szCs w:val="10"/>
          <w:lang w:val="ro-RO"/>
        </w:rPr>
      </w:pPr>
    </w:p>
    <w:p w:rsidR="00EC2099" w:rsidRPr="00112D72" w:rsidRDefault="00EC2099" w:rsidP="00EC2099">
      <w:pPr>
        <w:autoSpaceDE w:val="0"/>
        <w:autoSpaceDN w:val="0"/>
        <w:adjustRightInd w:val="0"/>
        <w:spacing w:after="0" w:line="240" w:lineRule="auto"/>
        <w:ind w:firstLine="709"/>
        <w:jc w:val="both"/>
        <w:rPr>
          <w:rFonts w:ascii="Arial" w:hAnsi="Arial" w:cs="Arial"/>
          <w:sz w:val="24"/>
          <w:szCs w:val="24"/>
          <w:lang w:val="ro-RO"/>
        </w:rPr>
      </w:pPr>
      <w:r>
        <w:rPr>
          <w:rFonts w:ascii="Arial" w:hAnsi="Arial" w:cs="Arial"/>
          <w:sz w:val="24"/>
          <w:szCs w:val="24"/>
          <w:lang w:val="ro-RO"/>
        </w:rPr>
        <w:t>Din fig. I.3.1.3. de mai jos s</w:t>
      </w:r>
      <w:r w:rsidRPr="00112D72">
        <w:rPr>
          <w:rFonts w:ascii="Arial" w:hAnsi="Arial" w:cs="Arial"/>
          <w:sz w:val="24"/>
          <w:szCs w:val="24"/>
          <w:lang w:val="ro-RO"/>
        </w:rPr>
        <w:t xml:space="preserve">e observă o ușoară tendință de creştere a emisiilor acidifiante din acest sector în intervalul analizat, care se datorează în principal creșterii emisiilor din transportul rutier. </w:t>
      </w:r>
    </w:p>
    <w:p w:rsidR="00704074" w:rsidRPr="00112D72" w:rsidRDefault="00704074" w:rsidP="00704074">
      <w:pPr>
        <w:spacing w:after="0" w:line="240" w:lineRule="auto"/>
        <w:jc w:val="both"/>
        <w:rPr>
          <w:rFonts w:ascii="Arial" w:hAnsi="Arial" w:cs="Arial"/>
          <w:i/>
          <w:sz w:val="10"/>
          <w:szCs w:val="10"/>
          <w:lang w:val="ro-RO"/>
        </w:rPr>
      </w:pPr>
    </w:p>
    <w:p w:rsidR="00704074" w:rsidRPr="00112D72" w:rsidRDefault="00704074" w:rsidP="00704074">
      <w:pPr>
        <w:spacing w:after="0" w:line="240" w:lineRule="auto"/>
        <w:jc w:val="center"/>
        <w:rPr>
          <w:rFonts w:ascii="Arial" w:hAnsi="Arial" w:cs="Arial"/>
          <w:sz w:val="10"/>
          <w:szCs w:val="10"/>
          <w:lang w:val="ro-RO"/>
        </w:rPr>
      </w:pPr>
    </w:p>
    <w:p w:rsidR="00704074" w:rsidRPr="00112D72" w:rsidRDefault="00704074" w:rsidP="00704074">
      <w:pPr>
        <w:spacing w:after="0" w:line="240" w:lineRule="auto"/>
        <w:jc w:val="center"/>
        <w:rPr>
          <w:rFonts w:ascii="Arial" w:hAnsi="Arial" w:cs="Arial"/>
          <w:lang w:val="ro-RO"/>
        </w:rPr>
      </w:pPr>
      <w:r w:rsidRPr="00112D72">
        <w:rPr>
          <w:rFonts w:ascii="Arial" w:hAnsi="Arial" w:cs="Arial"/>
          <w:lang w:val="ro-RO"/>
        </w:rPr>
        <w:t xml:space="preserve">Fig. I.3.1.3.Tendinţa emisiilor de poluanţi cu efect de acidifiere şi eutrofizare </w:t>
      </w:r>
    </w:p>
    <w:p w:rsidR="00704074" w:rsidRPr="00112D72" w:rsidRDefault="00704074" w:rsidP="00704074">
      <w:pPr>
        <w:spacing w:after="0" w:line="240" w:lineRule="auto"/>
        <w:jc w:val="center"/>
        <w:rPr>
          <w:rFonts w:ascii="Arial" w:hAnsi="Arial" w:cs="Arial"/>
          <w:lang w:val="ro-RO"/>
        </w:rPr>
      </w:pPr>
      <w:r w:rsidRPr="00112D72">
        <w:rPr>
          <w:rFonts w:ascii="Arial" w:hAnsi="Arial" w:cs="Arial"/>
          <w:lang w:val="ro-RO"/>
        </w:rPr>
        <w:t xml:space="preserve">din sectorul </w:t>
      </w:r>
      <w:r w:rsidRPr="00112D72">
        <w:rPr>
          <w:rFonts w:ascii="Arial" w:hAnsi="Arial" w:cs="Arial"/>
          <w:b/>
          <w:lang w:val="ro-RO"/>
        </w:rPr>
        <w:t>transport</w:t>
      </w:r>
      <w:r w:rsidR="00082E88" w:rsidRPr="00112D72">
        <w:rPr>
          <w:rFonts w:ascii="Arial" w:hAnsi="Arial" w:cs="Arial"/>
          <w:b/>
          <w:lang w:val="ro-RO"/>
        </w:rPr>
        <w:t>uri</w:t>
      </w:r>
      <w:r w:rsidRPr="00112D72">
        <w:rPr>
          <w:rFonts w:ascii="Arial" w:hAnsi="Arial" w:cs="Arial"/>
          <w:lang w:val="ro-RO"/>
        </w:rPr>
        <w:t xml:space="preserve"> în judeţul Suceava în perioada 201</w:t>
      </w:r>
      <w:r w:rsidR="00082E88" w:rsidRPr="00112D72">
        <w:rPr>
          <w:rFonts w:ascii="Arial" w:hAnsi="Arial" w:cs="Arial"/>
          <w:lang w:val="ro-RO"/>
        </w:rPr>
        <w:t>3</w:t>
      </w:r>
      <w:r w:rsidRPr="00112D72">
        <w:rPr>
          <w:rFonts w:ascii="Arial" w:hAnsi="Arial" w:cs="Arial"/>
          <w:lang w:val="ro-RO"/>
        </w:rPr>
        <w:t>-</w:t>
      </w:r>
      <w:r w:rsidR="005962CC" w:rsidRPr="00112D72">
        <w:rPr>
          <w:rFonts w:ascii="Arial" w:hAnsi="Arial" w:cs="Arial"/>
          <w:lang w:val="ro-RO"/>
        </w:rPr>
        <w:t>2017</w:t>
      </w:r>
    </w:p>
    <w:p w:rsidR="00704074" w:rsidRPr="00112D72" w:rsidRDefault="00704074" w:rsidP="00704074">
      <w:pPr>
        <w:spacing w:after="120" w:line="240" w:lineRule="auto"/>
        <w:jc w:val="center"/>
        <w:rPr>
          <w:rFonts w:ascii="Arial" w:hAnsi="Arial" w:cs="Arial"/>
          <w:b/>
          <w:bCs/>
          <w:noProof/>
          <w:sz w:val="24"/>
          <w:szCs w:val="24"/>
          <w:lang w:val="ro-RO" w:eastAsia="ro-RO"/>
        </w:rPr>
      </w:pPr>
      <w:r w:rsidRPr="00112D72">
        <w:rPr>
          <w:rFonts w:ascii="Arial" w:hAnsi="Arial" w:cs="Arial"/>
          <w:b/>
          <w:bCs/>
          <w:noProof/>
          <w:sz w:val="24"/>
          <w:szCs w:val="24"/>
          <w:lang w:val="ro-RO" w:eastAsia="ro-RO"/>
        </w:rPr>
        <w:drawing>
          <wp:inline distT="0" distB="0" distL="0" distR="0">
            <wp:extent cx="5038725" cy="1504950"/>
            <wp:effectExtent l="19050" t="0" r="0" b="0"/>
            <wp:docPr id="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6C47F1" w:rsidRPr="00112D72" w:rsidRDefault="006C47F1" w:rsidP="006C47F1">
      <w:pPr>
        <w:spacing w:after="0" w:line="240" w:lineRule="auto"/>
        <w:jc w:val="center"/>
        <w:rPr>
          <w:rFonts w:ascii="Arial" w:hAnsi="Arial" w:cs="Arial"/>
          <w:sz w:val="10"/>
          <w:szCs w:val="10"/>
          <w:lang w:val="ro-RO"/>
        </w:rPr>
      </w:pPr>
      <w:r w:rsidRPr="00112D72">
        <w:rPr>
          <w:rFonts w:ascii="Arial" w:hAnsi="Arial" w:cs="Arial"/>
          <w:b/>
          <w:i/>
          <w:sz w:val="20"/>
          <w:szCs w:val="20"/>
          <w:lang w:val="ro-RO"/>
        </w:rPr>
        <w:t>Notă</w:t>
      </w:r>
      <w:r w:rsidRPr="00112D72">
        <w:rPr>
          <w:rFonts w:ascii="Arial" w:hAnsi="Arial" w:cs="Arial"/>
          <w:i/>
          <w:sz w:val="20"/>
          <w:szCs w:val="20"/>
          <w:lang w:val="ro-RO"/>
        </w:rPr>
        <w:t>: emisiile aferente transportului feroviar au fost calculate doar începând cu anul 2015.</w:t>
      </w:r>
    </w:p>
    <w:p w:rsidR="00704074" w:rsidRPr="00EC2099" w:rsidRDefault="00704074" w:rsidP="00704074">
      <w:pPr>
        <w:spacing w:after="0" w:line="240" w:lineRule="auto"/>
        <w:jc w:val="center"/>
        <w:rPr>
          <w:rFonts w:ascii="Arial" w:hAnsi="Arial" w:cs="Arial"/>
          <w:sz w:val="16"/>
          <w:szCs w:val="16"/>
          <w:lang w:val="ro-RO"/>
        </w:rPr>
      </w:pPr>
    </w:p>
    <w:p w:rsidR="00704074" w:rsidRPr="00112D72" w:rsidRDefault="00704074" w:rsidP="00704074">
      <w:pPr>
        <w:spacing w:after="0" w:line="240" w:lineRule="auto"/>
        <w:jc w:val="center"/>
        <w:rPr>
          <w:rFonts w:ascii="Arial" w:hAnsi="Arial" w:cs="Arial"/>
          <w:lang w:val="ro-RO"/>
        </w:rPr>
      </w:pPr>
      <w:r w:rsidRPr="00112D72">
        <w:rPr>
          <w:rFonts w:ascii="Arial" w:hAnsi="Arial" w:cs="Arial"/>
          <w:lang w:val="ro-RO"/>
        </w:rPr>
        <w:t xml:space="preserve">Fig. I.3.1.4. Tendinţa emisiilor de poluanţi cu efect de acidifiere şi eutrofizare </w:t>
      </w:r>
    </w:p>
    <w:p w:rsidR="00704074" w:rsidRPr="00112D72" w:rsidRDefault="00704074" w:rsidP="00704074">
      <w:pPr>
        <w:spacing w:after="0" w:line="240" w:lineRule="auto"/>
        <w:jc w:val="center"/>
        <w:rPr>
          <w:rFonts w:ascii="Arial" w:hAnsi="Arial" w:cs="Arial"/>
          <w:lang w:val="ro-RO"/>
        </w:rPr>
      </w:pPr>
      <w:r w:rsidRPr="00112D72">
        <w:rPr>
          <w:rFonts w:ascii="Arial" w:hAnsi="Arial" w:cs="Arial"/>
          <w:lang w:val="ro-RO"/>
        </w:rPr>
        <w:t xml:space="preserve">din sectorul </w:t>
      </w:r>
      <w:r w:rsidRPr="00112D72">
        <w:rPr>
          <w:rFonts w:ascii="Arial" w:hAnsi="Arial" w:cs="Arial"/>
          <w:b/>
          <w:lang w:val="ro-RO"/>
        </w:rPr>
        <w:t>agricultură</w:t>
      </w:r>
      <w:r w:rsidRPr="00112D72">
        <w:rPr>
          <w:rFonts w:ascii="Arial" w:hAnsi="Arial" w:cs="Arial"/>
          <w:lang w:val="ro-RO"/>
        </w:rPr>
        <w:t xml:space="preserve"> în perioada 201</w:t>
      </w:r>
      <w:r w:rsidR="005962CC" w:rsidRPr="00112D72">
        <w:rPr>
          <w:rFonts w:ascii="Arial" w:hAnsi="Arial" w:cs="Arial"/>
          <w:lang w:val="ro-RO"/>
        </w:rPr>
        <w:t>3</w:t>
      </w:r>
      <w:r w:rsidRPr="00112D72">
        <w:rPr>
          <w:rFonts w:ascii="Arial" w:hAnsi="Arial" w:cs="Arial"/>
          <w:lang w:val="ro-RO"/>
        </w:rPr>
        <w:t>-</w:t>
      </w:r>
      <w:r w:rsidR="00C71C69" w:rsidRPr="00112D72">
        <w:rPr>
          <w:rFonts w:ascii="Arial" w:hAnsi="Arial" w:cs="Arial"/>
          <w:lang w:val="ro-RO"/>
        </w:rPr>
        <w:t>2017</w:t>
      </w:r>
    </w:p>
    <w:p w:rsidR="00704074" w:rsidRPr="00112D72" w:rsidRDefault="00704074" w:rsidP="00704074">
      <w:pPr>
        <w:spacing w:after="120" w:line="240" w:lineRule="auto"/>
        <w:jc w:val="center"/>
        <w:rPr>
          <w:rFonts w:ascii="Arial" w:hAnsi="Arial" w:cs="Arial"/>
          <w:b/>
          <w:bCs/>
          <w:sz w:val="24"/>
          <w:szCs w:val="24"/>
          <w:lang w:val="ro-RO"/>
        </w:rPr>
      </w:pPr>
      <w:r w:rsidRPr="00112D72">
        <w:rPr>
          <w:rFonts w:ascii="Arial" w:hAnsi="Arial" w:cs="Arial"/>
          <w:b/>
          <w:bCs/>
          <w:noProof/>
          <w:sz w:val="24"/>
          <w:szCs w:val="24"/>
          <w:lang w:val="ro-RO" w:eastAsia="ro-RO"/>
        </w:rPr>
        <w:drawing>
          <wp:inline distT="0" distB="0" distL="0" distR="0">
            <wp:extent cx="4933950" cy="1390650"/>
            <wp:effectExtent l="19050" t="0" r="0" b="0"/>
            <wp:docPr id="104"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04074" w:rsidRPr="00112D72" w:rsidRDefault="00704074" w:rsidP="00981B90">
      <w:pPr>
        <w:autoSpaceDE w:val="0"/>
        <w:autoSpaceDN w:val="0"/>
        <w:adjustRightInd w:val="0"/>
        <w:spacing w:after="0" w:line="240" w:lineRule="auto"/>
        <w:ind w:firstLine="709"/>
        <w:jc w:val="both"/>
        <w:rPr>
          <w:rFonts w:ascii="Arial" w:hAnsi="Arial" w:cs="Arial"/>
          <w:sz w:val="24"/>
          <w:szCs w:val="24"/>
          <w:lang w:val="ro-RO" w:eastAsia="ro-RO"/>
        </w:rPr>
      </w:pPr>
      <w:r w:rsidRPr="00112D72">
        <w:rPr>
          <w:rFonts w:ascii="Arial" w:hAnsi="Arial" w:cs="Arial"/>
          <w:sz w:val="24"/>
          <w:szCs w:val="24"/>
          <w:lang w:val="ro-RO" w:eastAsia="ro-RO"/>
        </w:rPr>
        <w:t xml:space="preserve">Emisiile de amoniac din activităţile agricole au fluctuat în principal în funcţie de numărul capetelor de animale, mai ales a </w:t>
      </w:r>
      <w:r w:rsidRPr="00112D72">
        <w:rPr>
          <w:rFonts w:ascii="Arial" w:hAnsi="Arial" w:cs="Arial"/>
          <w:sz w:val="24"/>
          <w:szCs w:val="24"/>
          <w:lang w:val="ro-RO"/>
        </w:rPr>
        <w:t>vacilor de lapte şi a porcinelor</w:t>
      </w:r>
      <w:r w:rsidR="00981B90" w:rsidRPr="00112D72">
        <w:rPr>
          <w:rFonts w:ascii="Arial" w:hAnsi="Arial" w:cs="Arial"/>
          <w:sz w:val="24"/>
          <w:szCs w:val="24"/>
          <w:lang w:val="ro-RO"/>
        </w:rPr>
        <w:t xml:space="preserve"> din sectorul zootehnic</w:t>
      </w:r>
      <w:r w:rsidRPr="00112D72">
        <w:rPr>
          <w:rFonts w:ascii="Arial" w:hAnsi="Arial" w:cs="Arial"/>
          <w:sz w:val="24"/>
          <w:szCs w:val="24"/>
          <w:lang w:val="ro-RO" w:eastAsia="ro-RO"/>
        </w:rPr>
        <w:t xml:space="preserve">. </w:t>
      </w:r>
      <w:r w:rsidR="00981B90" w:rsidRPr="00112D72">
        <w:rPr>
          <w:rFonts w:ascii="Arial" w:hAnsi="Arial" w:cs="Arial"/>
          <w:sz w:val="24"/>
          <w:szCs w:val="24"/>
          <w:lang w:val="ro-RO" w:eastAsia="ro-RO"/>
        </w:rPr>
        <w:t xml:space="preserve">Estimările se bazează pe datele furnizate de către </w:t>
      </w:r>
      <w:r w:rsidRPr="00112D72">
        <w:rPr>
          <w:rFonts w:ascii="Arial" w:hAnsi="Arial" w:cs="Arial"/>
          <w:sz w:val="24"/>
          <w:szCs w:val="24"/>
          <w:lang w:val="ro-RO"/>
        </w:rPr>
        <w:t xml:space="preserve">Direcția pentru Agricultură </w:t>
      </w:r>
      <w:r w:rsidR="00520EAA" w:rsidRPr="00112D72">
        <w:rPr>
          <w:rFonts w:ascii="Arial" w:hAnsi="Arial" w:cs="Arial"/>
          <w:sz w:val="24"/>
          <w:szCs w:val="24"/>
          <w:lang w:val="ro-RO"/>
        </w:rPr>
        <w:t xml:space="preserve">Județeană </w:t>
      </w:r>
      <w:r w:rsidRPr="00112D72">
        <w:rPr>
          <w:rFonts w:ascii="Arial" w:hAnsi="Arial" w:cs="Arial"/>
          <w:sz w:val="24"/>
          <w:szCs w:val="24"/>
          <w:lang w:val="ro-RO"/>
        </w:rPr>
        <w:t>Suceava</w:t>
      </w:r>
      <w:r w:rsidR="00981B90" w:rsidRPr="00112D72">
        <w:rPr>
          <w:rFonts w:ascii="Arial" w:hAnsi="Arial" w:cs="Arial"/>
          <w:sz w:val="24"/>
          <w:szCs w:val="24"/>
          <w:lang w:val="ro-RO" w:eastAsia="ro-RO"/>
        </w:rPr>
        <w:t xml:space="preserve"> și de către unele ferme mari</w:t>
      </w:r>
      <w:r w:rsidRPr="00112D72">
        <w:rPr>
          <w:rFonts w:ascii="Arial" w:hAnsi="Arial" w:cs="Arial"/>
          <w:sz w:val="24"/>
          <w:szCs w:val="24"/>
          <w:lang w:val="ro-RO"/>
        </w:rPr>
        <w:t>.</w:t>
      </w:r>
      <w:r w:rsidRPr="00112D72">
        <w:rPr>
          <w:rFonts w:ascii="Arial" w:hAnsi="Arial" w:cs="Arial"/>
          <w:i/>
          <w:sz w:val="24"/>
          <w:szCs w:val="24"/>
          <w:lang w:val="ro-RO"/>
        </w:rPr>
        <w:t xml:space="preserve"> </w:t>
      </w:r>
    </w:p>
    <w:p w:rsidR="00704074" w:rsidRPr="00112D72" w:rsidRDefault="00704074" w:rsidP="00704074">
      <w:pPr>
        <w:spacing w:after="0" w:line="240" w:lineRule="auto"/>
        <w:rPr>
          <w:rFonts w:ascii="Arial" w:hAnsi="Arial" w:cs="Arial"/>
          <w:bCs/>
          <w:sz w:val="16"/>
          <w:szCs w:val="16"/>
          <w:lang w:val="ro-RO"/>
        </w:rPr>
      </w:pPr>
    </w:p>
    <w:p w:rsidR="00704074" w:rsidRPr="00112D72" w:rsidRDefault="00704074" w:rsidP="00704074">
      <w:pPr>
        <w:spacing w:after="0" w:line="240" w:lineRule="auto"/>
        <w:rPr>
          <w:rFonts w:ascii="Arial" w:hAnsi="Arial" w:cs="Arial"/>
          <w:b/>
          <w:bCs/>
          <w:i/>
          <w:sz w:val="24"/>
          <w:szCs w:val="24"/>
          <w:lang w:val="ro-RO"/>
        </w:rPr>
      </w:pPr>
      <w:r w:rsidRPr="00112D72">
        <w:rPr>
          <w:rFonts w:ascii="Arial" w:hAnsi="Arial" w:cs="Arial"/>
          <w:b/>
          <w:bCs/>
          <w:i/>
          <w:sz w:val="24"/>
          <w:szCs w:val="24"/>
          <w:lang w:val="ro-RO"/>
        </w:rPr>
        <w:t>Emisiile de precursori ai ozonului</w:t>
      </w:r>
    </w:p>
    <w:p w:rsidR="00704074" w:rsidRPr="00EC2099" w:rsidRDefault="00704074" w:rsidP="00704074">
      <w:pPr>
        <w:spacing w:after="0" w:line="240" w:lineRule="auto"/>
        <w:rPr>
          <w:rFonts w:ascii="Arial" w:hAnsi="Arial" w:cs="Arial"/>
          <w:b/>
          <w:bCs/>
          <w:i/>
          <w:sz w:val="14"/>
          <w:szCs w:val="14"/>
          <w:lang w:val="ro-RO"/>
        </w:rPr>
      </w:pPr>
    </w:p>
    <w:p w:rsidR="00704074" w:rsidRPr="00112D72" w:rsidRDefault="00704074" w:rsidP="00704074">
      <w:pPr>
        <w:spacing w:after="0" w:line="240" w:lineRule="auto"/>
        <w:jc w:val="center"/>
        <w:rPr>
          <w:rFonts w:ascii="Arial" w:hAnsi="Arial" w:cs="Arial"/>
          <w:lang w:val="ro-RO"/>
        </w:rPr>
      </w:pPr>
      <w:r w:rsidRPr="00112D72">
        <w:rPr>
          <w:rFonts w:ascii="Arial" w:hAnsi="Arial" w:cs="Arial"/>
          <w:lang w:val="ro-RO"/>
        </w:rPr>
        <w:t xml:space="preserve">Fig. </w:t>
      </w:r>
      <w:r w:rsidRPr="00112D72">
        <w:rPr>
          <w:rFonts w:ascii="Arial" w:hAnsi="Arial" w:cs="Arial"/>
          <w:lang w:val="ro-RO" w:eastAsia="ro-RO"/>
        </w:rPr>
        <w:t xml:space="preserve">I.3.1.5. </w:t>
      </w:r>
      <w:r w:rsidRPr="00112D72">
        <w:rPr>
          <w:rFonts w:ascii="Arial" w:hAnsi="Arial" w:cs="Arial"/>
          <w:lang w:val="ro-RO"/>
        </w:rPr>
        <w:t xml:space="preserve">Tendinţa emisiilor totale de poluanţi precursori ai ozonului </w:t>
      </w:r>
    </w:p>
    <w:p w:rsidR="00704074" w:rsidRPr="00112D72" w:rsidRDefault="00704074" w:rsidP="00704074">
      <w:pPr>
        <w:spacing w:after="0" w:line="240" w:lineRule="auto"/>
        <w:jc w:val="center"/>
        <w:rPr>
          <w:rFonts w:ascii="Arial" w:hAnsi="Arial" w:cs="Arial"/>
          <w:lang w:val="ro-RO"/>
        </w:rPr>
      </w:pPr>
      <w:r w:rsidRPr="00112D72">
        <w:rPr>
          <w:rFonts w:ascii="Arial" w:hAnsi="Arial" w:cs="Arial"/>
          <w:lang w:val="ro-RO"/>
        </w:rPr>
        <w:t xml:space="preserve">la nivelul judeţului Suceava în perioada </w:t>
      </w:r>
      <w:r w:rsidR="005962CC" w:rsidRPr="00112D72">
        <w:rPr>
          <w:rFonts w:ascii="Arial" w:hAnsi="Arial" w:cs="Arial"/>
          <w:lang w:val="ro-RO"/>
        </w:rPr>
        <w:t>2013</w:t>
      </w:r>
      <w:r w:rsidRPr="00112D72">
        <w:rPr>
          <w:rFonts w:ascii="Arial" w:hAnsi="Arial" w:cs="Arial"/>
          <w:lang w:val="ro-RO"/>
        </w:rPr>
        <w:t>-201</w:t>
      </w:r>
      <w:r w:rsidR="000A28CC" w:rsidRPr="00112D72">
        <w:rPr>
          <w:rFonts w:ascii="Arial" w:hAnsi="Arial" w:cs="Arial"/>
          <w:lang w:val="ro-RO"/>
        </w:rPr>
        <w:t>7</w:t>
      </w:r>
    </w:p>
    <w:p w:rsidR="00704074" w:rsidRPr="00112D72" w:rsidRDefault="00704074" w:rsidP="00704074">
      <w:pPr>
        <w:spacing w:after="120" w:line="240" w:lineRule="auto"/>
        <w:jc w:val="center"/>
        <w:rPr>
          <w:rFonts w:ascii="Arial" w:hAnsi="Arial" w:cs="Arial"/>
          <w:b/>
          <w:noProof/>
          <w:sz w:val="24"/>
          <w:szCs w:val="24"/>
          <w:lang w:val="ro-RO" w:eastAsia="ro-RO"/>
        </w:rPr>
      </w:pPr>
      <w:r w:rsidRPr="00112D72">
        <w:rPr>
          <w:rFonts w:ascii="Arial" w:hAnsi="Arial" w:cs="Arial"/>
          <w:b/>
          <w:noProof/>
          <w:sz w:val="24"/>
          <w:szCs w:val="24"/>
          <w:lang w:val="ro-RO" w:eastAsia="ro-RO"/>
        </w:rPr>
        <w:drawing>
          <wp:inline distT="0" distB="0" distL="0" distR="0">
            <wp:extent cx="5172075" cy="1457325"/>
            <wp:effectExtent l="19050" t="0" r="0" b="0"/>
            <wp:docPr id="10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04074" w:rsidRPr="00112D72" w:rsidRDefault="008E4420" w:rsidP="00704074">
      <w:pPr>
        <w:widowControl w:val="0"/>
        <w:spacing w:after="0" w:line="240" w:lineRule="auto"/>
        <w:ind w:firstLine="709"/>
        <w:jc w:val="both"/>
        <w:rPr>
          <w:rFonts w:ascii="Arial" w:hAnsi="Arial" w:cs="Arial"/>
          <w:color w:val="FF0000"/>
          <w:sz w:val="24"/>
          <w:szCs w:val="24"/>
          <w:lang w:val="ro-RO"/>
        </w:rPr>
      </w:pPr>
      <w:r w:rsidRPr="00112D72">
        <w:rPr>
          <w:rFonts w:ascii="Arial" w:hAnsi="Arial" w:cs="Arial"/>
          <w:sz w:val="24"/>
          <w:szCs w:val="24"/>
          <w:lang w:val="ro-RO"/>
        </w:rPr>
        <w:t>D</w:t>
      </w:r>
      <w:r w:rsidR="002D626A" w:rsidRPr="00112D72">
        <w:rPr>
          <w:rFonts w:ascii="Arial" w:hAnsi="Arial" w:cs="Arial"/>
          <w:sz w:val="24"/>
          <w:szCs w:val="24"/>
          <w:lang w:val="ro-RO"/>
        </w:rPr>
        <w:t>in fig. I.3.1.5 se observă o</w:t>
      </w:r>
      <w:r w:rsidR="00704074" w:rsidRPr="00112D72">
        <w:rPr>
          <w:rFonts w:ascii="Arial" w:hAnsi="Arial" w:cs="Arial"/>
          <w:sz w:val="24"/>
          <w:szCs w:val="24"/>
          <w:lang w:val="ro-RO"/>
        </w:rPr>
        <w:t xml:space="preserve"> tendinţă </w:t>
      </w:r>
      <w:r w:rsidR="002D626A" w:rsidRPr="00112D72">
        <w:rPr>
          <w:rFonts w:ascii="Arial" w:hAnsi="Arial" w:cs="Arial"/>
          <w:sz w:val="24"/>
          <w:szCs w:val="24"/>
          <w:lang w:val="ro-RO"/>
        </w:rPr>
        <w:t xml:space="preserve">relativ </w:t>
      </w:r>
      <w:r w:rsidR="00704074" w:rsidRPr="00112D72">
        <w:rPr>
          <w:rFonts w:ascii="Arial" w:hAnsi="Arial" w:cs="Arial"/>
          <w:sz w:val="24"/>
          <w:szCs w:val="24"/>
          <w:lang w:val="ro-RO"/>
        </w:rPr>
        <w:t>staţionară</w:t>
      </w:r>
      <w:r w:rsidR="002D626A" w:rsidRPr="00112D72">
        <w:rPr>
          <w:rFonts w:ascii="Arial" w:hAnsi="Arial" w:cs="Arial"/>
          <w:sz w:val="24"/>
          <w:szCs w:val="24"/>
          <w:lang w:val="ro-RO"/>
        </w:rPr>
        <w:t xml:space="preserve"> a </w:t>
      </w:r>
      <w:r w:rsidRPr="00112D72">
        <w:rPr>
          <w:rFonts w:ascii="Arial" w:hAnsi="Arial" w:cs="Arial"/>
          <w:sz w:val="24"/>
          <w:szCs w:val="24"/>
          <w:lang w:val="ro-RO"/>
        </w:rPr>
        <w:t>emisiilor de poluanți</w:t>
      </w:r>
      <w:r w:rsidR="002D626A" w:rsidRPr="00112D72">
        <w:rPr>
          <w:rFonts w:ascii="Arial" w:hAnsi="Arial" w:cs="Arial"/>
          <w:sz w:val="24"/>
          <w:szCs w:val="24"/>
          <w:lang w:val="ro-RO"/>
        </w:rPr>
        <w:t xml:space="preserve"> acidifianți</w:t>
      </w:r>
      <w:r w:rsidR="00DA7582" w:rsidRPr="00112D72">
        <w:rPr>
          <w:rFonts w:ascii="Arial" w:hAnsi="Arial" w:cs="Arial"/>
          <w:sz w:val="24"/>
          <w:szCs w:val="24"/>
          <w:lang w:val="ro-RO"/>
        </w:rPr>
        <w:t xml:space="preserve"> la nivelul județului Suceava</w:t>
      </w:r>
      <w:r w:rsidRPr="00112D72">
        <w:rPr>
          <w:rFonts w:ascii="Arial" w:hAnsi="Arial" w:cs="Arial"/>
          <w:sz w:val="24"/>
          <w:szCs w:val="24"/>
          <w:lang w:val="ro-RO"/>
        </w:rPr>
        <w:t>, mai ales în perioada 2015-2017</w:t>
      </w:r>
      <w:r w:rsidR="00704074" w:rsidRPr="00112D72">
        <w:rPr>
          <w:rFonts w:ascii="Arial" w:hAnsi="Arial" w:cs="Arial"/>
          <w:sz w:val="24"/>
          <w:szCs w:val="24"/>
          <w:lang w:val="ro-RO"/>
        </w:rPr>
        <w:t>.</w:t>
      </w:r>
    </w:p>
    <w:p w:rsidR="00A30389" w:rsidRPr="00EC2099" w:rsidRDefault="00A30389" w:rsidP="00704074">
      <w:pPr>
        <w:widowControl w:val="0"/>
        <w:spacing w:after="0" w:line="240" w:lineRule="auto"/>
        <w:ind w:firstLine="709"/>
        <w:jc w:val="both"/>
        <w:rPr>
          <w:rFonts w:ascii="Arial" w:hAnsi="Arial" w:cs="Arial"/>
          <w:color w:val="FF0000"/>
          <w:sz w:val="12"/>
          <w:szCs w:val="12"/>
          <w:lang w:val="ro-RO"/>
        </w:rPr>
      </w:pPr>
    </w:p>
    <w:p w:rsidR="00704074" w:rsidRPr="00112D72" w:rsidRDefault="00704074" w:rsidP="00704074">
      <w:pPr>
        <w:spacing w:after="0" w:line="240" w:lineRule="auto"/>
        <w:jc w:val="center"/>
        <w:rPr>
          <w:rFonts w:ascii="Arial" w:hAnsi="Arial" w:cs="Arial"/>
          <w:lang w:val="ro-RO"/>
        </w:rPr>
      </w:pPr>
      <w:r w:rsidRPr="00112D72">
        <w:rPr>
          <w:rFonts w:ascii="Arial" w:hAnsi="Arial" w:cs="Arial"/>
          <w:lang w:val="ro-RO"/>
        </w:rPr>
        <w:t xml:space="preserve">Fig. </w:t>
      </w:r>
      <w:r w:rsidRPr="00112D72">
        <w:rPr>
          <w:rFonts w:ascii="Arial" w:hAnsi="Arial" w:cs="Arial"/>
          <w:lang w:val="ro-RO" w:eastAsia="ro-RO"/>
        </w:rPr>
        <w:t xml:space="preserve">I.3.1.6  </w:t>
      </w:r>
      <w:r w:rsidRPr="00112D72">
        <w:rPr>
          <w:rFonts w:ascii="Arial" w:hAnsi="Arial" w:cs="Arial"/>
          <w:lang w:val="ro-RO"/>
        </w:rPr>
        <w:t xml:space="preserve">Tendinţa emisiilor de poluanţi precursori ai ozonului </w:t>
      </w:r>
    </w:p>
    <w:p w:rsidR="00704074" w:rsidRPr="00112D72" w:rsidRDefault="00704074" w:rsidP="00704074">
      <w:pPr>
        <w:spacing w:after="0" w:line="240" w:lineRule="auto"/>
        <w:jc w:val="center"/>
        <w:rPr>
          <w:rFonts w:ascii="Arial" w:hAnsi="Arial" w:cs="Arial"/>
          <w:lang w:val="ro-RO"/>
        </w:rPr>
      </w:pPr>
      <w:r w:rsidRPr="00112D72">
        <w:rPr>
          <w:rFonts w:ascii="Arial" w:hAnsi="Arial" w:cs="Arial"/>
          <w:lang w:val="ro-RO"/>
        </w:rPr>
        <w:t xml:space="preserve">din sectorul de activitate </w:t>
      </w:r>
      <w:r w:rsidRPr="00112D72">
        <w:rPr>
          <w:rFonts w:ascii="Arial" w:hAnsi="Arial" w:cs="Arial"/>
          <w:b/>
          <w:lang w:val="ro-RO"/>
        </w:rPr>
        <w:t>energie</w:t>
      </w:r>
      <w:r w:rsidRPr="00112D72">
        <w:rPr>
          <w:rFonts w:ascii="Arial" w:hAnsi="Arial" w:cs="Arial"/>
          <w:lang w:val="ro-RO"/>
        </w:rPr>
        <w:t xml:space="preserve"> la nivelul judeţului Suceava în perioada </w:t>
      </w:r>
      <w:r w:rsidR="000D319A" w:rsidRPr="00112D72">
        <w:rPr>
          <w:rFonts w:ascii="Arial" w:hAnsi="Arial" w:cs="Arial"/>
          <w:lang w:val="ro-RO"/>
        </w:rPr>
        <w:t>2013</w:t>
      </w:r>
      <w:r w:rsidRPr="00112D72">
        <w:rPr>
          <w:rFonts w:ascii="Arial" w:hAnsi="Arial" w:cs="Arial"/>
          <w:lang w:val="ro-RO"/>
        </w:rPr>
        <w:t>-201</w:t>
      </w:r>
      <w:r w:rsidR="00E525B9" w:rsidRPr="00112D72">
        <w:rPr>
          <w:rFonts w:ascii="Arial" w:hAnsi="Arial" w:cs="Arial"/>
          <w:lang w:val="ro-RO"/>
        </w:rPr>
        <w:t>7</w:t>
      </w:r>
    </w:p>
    <w:p w:rsidR="00704074" w:rsidRPr="00112D72" w:rsidRDefault="00704074" w:rsidP="00704074">
      <w:pPr>
        <w:spacing w:after="0" w:line="240" w:lineRule="auto"/>
        <w:jc w:val="center"/>
        <w:rPr>
          <w:rFonts w:ascii="Arial" w:hAnsi="Arial" w:cs="Arial"/>
          <w:lang w:val="ro-RO"/>
        </w:rPr>
      </w:pPr>
      <w:r w:rsidRPr="00112D72">
        <w:rPr>
          <w:rFonts w:ascii="Arial" w:hAnsi="Arial" w:cs="Arial"/>
          <w:noProof/>
          <w:lang w:val="ro-RO" w:eastAsia="ro-RO"/>
        </w:rPr>
        <w:drawing>
          <wp:inline distT="0" distB="0" distL="0" distR="0">
            <wp:extent cx="5210175" cy="1466850"/>
            <wp:effectExtent l="19050" t="0" r="0" b="0"/>
            <wp:docPr id="106"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704074" w:rsidRPr="00112D72" w:rsidRDefault="00704074" w:rsidP="00704074">
      <w:pPr>
        <w:spacing w:after="0" w:line="240" w:lineRule="auto"/>
        <w:ind w:firstLine="720"/>
        <w:jc w:val="both"/>
        <w:rPr>
          <w:rFonts w:ascii="Arial" w:hAnsi="Arial" w:cs="Arial"/>
          <w:sz w:val="10"/>
          <w:szCs w:val="10"/>
          <w:lang w:val="ro-RO"/>
        </w:rPr>
      </w:pPr>
    </w:p>
    <w:p w:rsidR="008E4420" w:rsidRPr="00112D72" w:rsidRDefault="008E4420" w:rsidP="008E4420">
      <w:pPr>
        <w:widowControl w:val="0"/>
        <w:spacing w:after="0" w:line="240" w:lineRule="auto"/>
        <w:ind w:firstLine="709"/>
        <w:jc w:val="both"/>
        <w:rPr>
          <w:rFonts w:ascii="Arial" w:hAnsi="Arial" w:cs="Arial"/>
          <w:color w:val="FF0000"/>
          <w:sz w:val="24"/>
          <w:szCs w:val="24"/>
          <w:lang w:val="ro-RO"/>
        </w:rPr>
      </w:pPr>
      <w:r w:rsidRPr="00112D72">
        <w:rPr>
          <w:rFonts w:ascii="Arial" w:hAnsi="Arial" w:cs="Arial"/>
          <w:sz w:val="24"/>
          <w:szCs w:val="24"/>
          <w:lang w:val="ro-RO"/>
        </w:rPr>
        <w:lastRenderedPageBreak/>
        <w:t xml:space="preserve">Din fig. I.3.1.6 se observă o evoluție </w:t>
      </w:r>
      <w:r w:rsidR="00A424D3" w:rsidRPr="00112D72">
        <w:rPr>
          <w:rFonts w:ascii="Arial" w:hAnsi="Arial" w:cs="Arial"/>
          <w:sz w:val="24"/>
          <w:szCs w:val="24"/>
          <w:lang w:val="ro-RO"/>
        </w:rPr>
        <w:t>a emisiilor de poluanți acidifianți din sectorul „</w:t>
      </w:r>
      <w:r w:rsidR="00A424D3" w:rsidRPr="00112D72">
        <w:rPr>
          <w:rFonts w:ascii="Arial" w:hAnsi="Arial" w:cs="Arial"/>
          <w:i/>
          <w:sz w:val="24"/>
          <w:szCs w:val="24"/>
          <w:lang w:val="ro-RO"/>
        </w:rPr>
        <w:t>Energie</w:t>
      </w:r>
      <w:r w:rsidR="00A424D3" w:rsidRPr="00112D72">
        <w:rPr>
          <w:rFonts w:ascii="Arial" w:hAnsi="Arial" w:cs="Arial"/>
          <w:sz w:val="24"/>
          <w:szCs w:val="24"/>
          <w:lang w:val="ro-RO"/>
        </w:rPr>
        <w:t xml:space="preserve">” </w:t>
      </w:r>
      <w:r w:rsidRPr="00112D72">
        <w:rPr>
          <w:rFonts w:ascii="Arial" w:hAnsi="Arial" w:cs="Arial"/>
          <w:sz w:val="24"/>
          <w:szCs w:val="24"/>
          <w:lang w:val="ro-RO"/>
        </w:rPr>
        <w:t>similară celei pe total județ</w:t>
      </w:r>
      <w:r w:rsidR="00A424D3" w:rsidRPr="00112D72">
        <w:rPr>
          <w:rFonts w:ascii="Arial" w:hAnsi="Arial" w:cs="Arial"/>
          <w:sz w:val="24"/>
          <w:szCs w:val="24"/>
          <w:lang w:val="ro-RO"/>
        </w:rPr>
        <w:t xml:space="preserve"> Suceava, </w:t>
      </w:r>
      <w:r w:rsidR="000A3EE6" w:rsidRPr="00112D72">
        <w:rPr>
          <w:rFonts w:ascii="Arial" w:hAnsi="Arial" w:cs="Arial"/>
          <w:sz w:val="24"/>
          <w:szCs w:val="24"/>
          <w:lang w:val="ro-RO"/>
        </w:rPr>
        <w:t xml:space="preserve">aceasta fiind </w:t>
      </w:r>
      <w:r w:rsidR="00A424D3" w:rsidRPr="00112D72">
        <w:rPr>
          <w:rFonts w:ascii="Arial" w:hAnsi="Arial" w:cs="Arial"/>
          <w:sz w:val="24"/>
          <w:szCs w:val="24"/>
          <w:lang w:val="ro-RO"/>
        </w:rPr>
        <w:t xml:space="preserve">coroborată în principal cu </w:t>
      </w:r>
      <w:r w:rsidR="000A3EE6" w:rsidRPr="00112D72">
        <w:rPr>
          <w:rFonts w:ascii="Arial" w:hAnsi="Arial" w:cs="Arial"/>
          <w:sz w:val="24"/>
          <w:szCs w:val="24"/>
          <w:lang w:val="ro-RO"/>
        </w:rPr>
        <w:t xml:space="preserve">evoluția </w:t>
      </w:r>
      <w:r w:rsidR="00A424D3" w:rsidRPr="00112D72">
        <w:rPr>
          <w:rFonts w:ascii="Arial" w:hAnsi="Arial" w:cs="Arial"/>
          <w:sz w:val="24"/>
          <w:szCs w:val="24"/>
          <w:lang w:val="ro-RO"/>
        </w:rPr>
        <w:t>cantitățil</w:t>
      </w:r>
      <w:r w:rsidR="000A3EE6" w:rsidRPr="00112D72">
        <w:rPr>
          <w:rFonts w:ascii="Arial" w:hAnsi="Arial" w:cs="Arial"/>
          <w:sz w:val="24"/>
          <w:szCs w:val="24"/>
          <w:lang w:val="ro-RO"/>
        </w:rPr>
        <w:t>or</w:t>
      </w:r>
      <w:r w:rsidR="00A424D3" w:rsidRPr="00112D72">
        <w:rPr>
          <w:rFonts w:ascii="Arial" w:hAnsi="Arial" w:cs="Arial"/>
          <w:sz w:val="24"/>
          <w:szCs w:val="24"/>
          <w:lang w:val="ro-RO"/>
        </w:rPr>
        <w:t xml:space="preserve"> </w:t>
      </w:r>
      <w:r w:rsidR="000A3EE6" w:rsidRPr="00112D72">
        <w:rPr>
          <w:rFonts w:ascii="Arial" w:hAnsi="Arial" w:cs="Arial"/>
          <w:sz w:val="24"/>
          <w:szCs w:val="24"/>
          <w:lang w:val="ro-RO"/>
        </w:rPr>
        <w:t xml:space="preserve">anuale </w:t>
      </w:r>
      <w:r w:rsidR="00A424D3" w:rsidRPr="00112D72">
        <w:rPr>
          <w:rFonts w:ascii="Arial" w:hAnsi="Arial" w:cs="Arial"/>
          <w:sz w:val="24"/>
          <w:szCs w:val="24"/>
          <w:lang w:val="ro-RO"/>
        </w:rPr>
        <w:t>de lemn</w:t>
      </w:r>
      <w:r w:rsidR="000A3EE6" w:rsidRPr="00112D72">
        <w:rPr>
          <w:rFonts w:ascii="Arial" w:hAnsi="Arial" w:cs="Arial"/>
          <w:sz w:val="24"/>
          <w:szCs w:val="24"/>
          <w:lang w:val="ro-RO"/>
        </w:rPr>
        <w:t>e</w:t>
      </w:r>
      <w:r w:rsidR="00A424D3" w:rsidRPr="00112D72">
        <w:rPr>
          <w:rFonts w:ascii="Arial" w:hAnsi="Arial" w:cs="Arial"/>
          <w:sz w:val="24"/>
          <w:szCs w:val="24"/>
          <w:lang w:val="ro-RO"/>
        </w:rPr>
        <w:t xml:space="preserve"> utilizate pentru încălzire în sectorul rezidențial</w:t>
      </w:r>
      <w:r w:rsidRPr="00112D72">
        <w:rPr>
          <w:rFonts w:ascii="Arial" w:hAnsi="Arial" w:cs="Arial"/>
          <w:sz w:val="24"/>
          <w:szCs w:val="24"/>
          <w:lang w:val="ro-RO"/>
        </w:rPr>
        <w:t>.</w:t>
      </w:r>
    </w:p>
    <w:p w:rsidR="008E4420" w:rsidRPr="00EC2099" w:rsidRDefault="008E4420">
      <w:pPr>
        <w:spacing w:after="0" w:line="240" w:lineRule="auto"/>
        <w:jc w:val="center"/>
        <w:rPr>
          <w:rFonts w:ascii="Arial" w:hAnsi="Arial" w:cs="Arial"/>
          <w:sz w:val="16"/>
          <w:szCs w:val="16"/>
          <w:lang w:val="ro-RO"/>
        </w:rPr>
      </w:pPr>
    </w:p>
    <w:p w:rsidR="00704074" w:rsidRPr="00112D72" w:rsidRDefault="00704074" w:rsidP="00704074">
      <w:pPr>
        <w:spacing w:after="0" w:line="240" w:lineRule="auto"/>
        <w:jc w:val="center"/>
        <w:rPr>
          <w:rFonts w:ascii="Arial" w:hAnsi="Arial" w:cs="Arial"/>
          <w:lang w:val="ro-RO"/>
        </w:rPr>
      </w:pPr>
      <w:r w:rsidRPr="00112D72">
        <w:rPr>
          <w:rFonts w:ascii="Arial" w:hAnsi="Arial" w:cs="Arial"/>
          <w:lang w:val="ro-RO"/>
        </w:rPr>
        <w:t xml:space="preserve">Fig. </w:t>
      </w:r>
      <w:r w:rsidRPr="00112D72">
        <w:rPr>
          <w:rFonts w:ascii="Arial" w:hAnsi="Arial" w:cs="Arial"/>
          <w:lang w:val="ro-RO" w:eastAsia="ro-RO"/>
        </w:rPr>
        <w:t xml:space="preserve">I.3.1.7. </w:t>
      </w:r>
      <w:r w:rsidRPr="00112D72">
        <w:rPr>
          <w:rFonts w:ascii="Arial" w:hAnsi="Arial" w:cs="Arial"/>
          <w:lang w:val="ro-RO"/>
        </w:rPr>
        <w:t xml:space="preserve">Tendinţa emisiilor de precursori ai ozonului </w:t>
      </w:r>
    </w:p>
    <w:p w:rsidR="00704074" w:rsidRPr="00112D72" w:rsidRDefault="00704074" w:rsidP="00704074">
      <w:pPr>
        <w:spacing w:after="0" w:line="240" w:lineRule="auto"/>
        <w:jc w:val="center"/>
        <w:rPr>
          <w:rFonts w:ascii="Arial" w:hAnsi="Arial" w:cs="Arial"/>
          <w:sz w:val="10"/>
          <w:szCs w:val="10"/>
          <w:lang w:val="ro-RO"/>
        </w:rPr>
      </w:pPr>
      <w:r w:rsidRPr="00112D72">
        <w:rPr>
          <w:rFonts w:ascii="Arial" w:hAnsi="Arial" w:cs="Arial"/>
          <w:lang w:val="ro-RO"/>
        </w:rPr>
        <w:t xml:space="preserve">din sectorul de activitate </w:t>
      </w:r>
      <w:r w:rsidRPr="00112D72">
        <w:rPr>
          <w:rFonts w:ascii="Arial" w:hAnsi="Arial" w:cs="Arial"/>
          <w:b/>
          <w:lang w:val="ro-RO"/>
        </w:rPr>
        <w:t>industrie</w:t>
      </w:r>
      <w:r w:rsidRPr="00112D72">
        <w:rPr>
          <w:rFonts w:ascii="Arial" w:hAnsi="Arial" w:cs="Arial"/>
          <w:lang w:val="ro-RO"/>
        </w:rPr>
        <w:t xml:space="preserve"> la nivelul judeţului Suceava în perioada 201</w:t>
      </w:r>
      <w:r w:rsidR="009B7E06" w:rsidRPr="00112D72">
        <w:rPr>
          <w:rFonts w:ascii="Arial" w:hAnsi="Arial" w:cs="Arial"/>
          <w:lang w:val="ro-RO"/>
        </w:rPr>
        <w:t>3</w:t>
      </w:r>
      <w:r w:rsidRPr="00112D72">
        <w:rPr>
          <w:rFonts w:ascii="Arial" w:hAnsi="Arial" w:cs="Arial"/>
          <w:lang w:val="ro-RO"/>
        </w:rPr>
        <w:t>-201</w:t>
      </w:r>
      <w:r w:rsidR="004A05E2" w:rsidRPr="00112D72">
        <w:rPr>
          <w:rFonts w:ascii="Arial" w:hAnsi="Arial" w:cs="Arial"/>
          <w:lang w:val="ro-RO"/>
        </w:rPr>
        <w:t>7</w:t>
      </w:r>
    </w:p>
    <w:p w:rsidR="00704074" w:rsidRPr="00112D72" w:rsidRDefault="00704074" w:rsidP="00AE2A29">
      <w:pPr>
        <w:spacing w:after="0" w:line="240" w:lineRule="auto"/>
        <w:jc w:val="center"/>
        <w:rPr>
          <w:rFonts w:ascii="Arial" w:hAnsi="Arial" w:cs="Arial"/>
          <w:noProof/>
          <w:lang w:val="ro-RO" w:eastAsia="ro-RO"/>
        </w:rPr>
      </w:pPr>
      <w:r w:rsidRPr="00112D72">
        <w:rPr>
          <w:rFonts w:ascii="Arial" w:hAnsi="Arial" w:cs="Arial"/>
          <w:noProof/>
          <w:lang w:val="ro-RO" w:eastAsia="ro-RO"/>
        </w:rPr>
        <w:drawing>
          <wp:inline distT="0" distB="0" distL="0" distR="0">
            <wp:extent cx="5124450" cy="1743075"/>
            <wp:effectExtent l="19050" t="0" r="0" b="0"/>
            <wp:docPr id="107"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EC2099" w:rsidRDefault="00A424D3" w:rsidP="00704074">
      <w:pPr>
        <w:autoSpaceDE w:val="0"/>
        <w:autoSpaceDN w:val="0"/>
        <w:adjustRightInd w:val="0"/>
        <w:spacing w:after="0" w:line="240" w:lineRule="auto"/>
        <w:ind w:firstLine="709"/>
        <w:jc w:val="both"/>
        <w:rPr>
          <w:rFonts w:ascii="Arial" w:hAnsi="Arial" w:cs="Arial"/>
          <w:sz w:val="24"/>
          <w:szCs w:val="24"/>
          <w:lang w:val="ro-RO"/>
        </w:rPr>
      </w:pPr>
      <w:r w:rsidRPr="00112D72">
        <w:rPr>
          <w:rFonts w:ascii="Arial" w:hAnsi="Arial" w:cs="Arial"/>
          <w:sz w:val="24"/>
          <w:szCs w:val="24"/>
          <w:lang w:val="ro-RO"/>
        </w:rPr>
        <w:t>Dintre precursorii ozonului, sectorul „</w:t>
      </w:r>
      <w:r w:rsidRPr="00112D72">
        <w:rPr>
          <w:rFonts w:ascii="Arial" w:hAnsi="Arial" w:cs="Arial"/>
          <w:i/>
          <w:sz w:val="24"/>
          <w:szCs w:val="24"/>
          <w:lang w:val="ro-RO"/>
        </w:rPr>
        <w:t>Industrie</w:t>
      </w:r>
      <w:r w:rsidRPr="00112D72">
        <w:rPr>
          <w:rFonts w:ascii="Arial" w:hAnsi="Arial" w:cs="Arial"/>
          <w:sz w:val="24"/>
          <w:szCs w:val="24"/>
          <w:lang w:val="ro-RO"/>
        </w:rPr>
        <w:t>” nu a generat decât NMVOC, în perioada analizată</w:t>
      </w:r>
      <w:r w:rsidR="008E4420" w:rsidRPr="00112D72">
        <w:rPr>
          <w:rFonts w:ascii="Arial" w:hAnsi="Arial" w:cs="Arial"/>
          <w:sz w:val="24"/>
          <w:szCs w:val="24"/>
          <w:lang w:val="ro-RO"/>
        </w:rPr>
        <w:t xml:space="preserve">. </w:t>
      </w:r>
    </w:p>
    <w:p w:rsidR="00704074" w:rsidRPr="00112D72" w:rsidRDefault="00704074" w:rsidP="00704074">
      <w:pPr>
        <w:autoSpaceDE w:val="0"/>
        <w:autoSpaceDN w:val="0"/>
        <w:adjustRightInd w:val="0"/>
        <w:spacing w:after="0" w:line="240" w:lineRule="auto"/>
        <w:ind w:firstLine="709"/>
        <w:jc w:val="both"/>
        <w:rPr>
          <w:rFonts w:ascii="Arial" w:hAnsi="Arial" w:cs="Arial"/>
          <w:i/>
          <w:sz w:val="24"/>
          <w:szCs w:val="24"/>
          <w:lang w:val="ro-RO"/>
        </w:rPr>
      </w:pPr>
      <w:r w:rsidRPr="00112D72">
        <w:rPr>
          <w:rFonts w:ascii="Arial" w:hAnsi="Arial" w:cs="Arial"/>
          <w:sz w:val="24"/>
          <w:szCs w:val="24"/>
          <w:lang w:val="ro-RO"/>
        </w:rPr>
        <w:t xml:space="preserve">Creşterea emisiilor de NMVOC din </w:t>
      </w:r>
      <w:r w:rsidR="00A424D3" w:rsidRPr="00112D72">
        <w:rPr>
          <w:rFonts w:ascii="Arial" w:hAnsi="Arial" w:cs="Arial"/>
          <w:sz w:val="24"/>
          <w:szCs w:val="24"/>
          <w:lang w:val="ro-RO"/>
        </w:rPr>
        <w:t xml:space="preserve">acest sector, </w:t>
      </w:r>
      <w:r w:rsidR="005057D9" w:rsidRPr="00112D72">
        <w:rPr>
          <w:rFonts w:ascii="Arial" w:hAnsi="Arial" w:cs="Arial"/>
          <w:sz w:val="24"/>
          <w:szCs w:val="24"/>
          <w:lang w:val="ro-RO"/>
        </w:rPr>
        <w:t>după anul 2013</w:t>
      </w:r>
      <w:r w:rsidR="00A424D3" w:rsidRPr="00112D72">
        <w:rPr>
          <w:rFonts w:ascii="Arial" w:hAnsi="Arial" w:cs="Arial"/>
          <w:sz w:val="24"/>
          <w:szCs w:val="24"/>
          <w:lang w:val="ro-RO"/>
        </w:rPr>
        <w:t>,</w:t>
      </w:r>
      <w:r w:rsidR="00DA7582" w:rsidRPr="00112D72">
        <w:rPr>
          <w:rFonts w:ascii="Arial" w:hAnsi="Arial" w:cs="Arial"/>
          <w:sz w:val="24"/>
          <w:szCs w:val="24"/>
          <w:lang w:val="ro-RO"/>
        </w:rPr>
        <w:t xml:space="preserve"> </w:t>
      </w:r>
      <w:r w:rsidRPr="00112D72">
        <w:rPr>
          <w:rFonts w:ascii="Arial" w:hAnsi="Arial" w:cs="Arial"/>
          <w:sz w:val="24"/>
          <w:szCs w:val="24"/>
          <w:lang w:val="ro-RO"/>
        </w:rPr>
        <w:t>s-a datorat evoluţiei sectorului „prelucrarea superioară a lemnului” din judeţ, aflat în continuă creştere</w:t>
      </w:r>
      <w:r w:rsidR="005057D9" w:rsidRPr="00112D72">
        <w:rPr>
          <w:rFonts w:ascii="Arial" w:hAnsi="Arial" w:cs="Arial"/>
          <w:sz w:val="24"/>
          <w:szCs w:val="24"/>
          <w:lang w:val="ro-RO"/>
        </w:rPr>
        <w:t>, din 2014 observându-se o tendință relativ staționară a emisiilor din industrie</w:t>
      </w:r>
      <w:r w:rsidRPr="00112D72">
        <w:rPr>
          <w:rFonts w:ascii="Arial" w:hAnsi="Arial" w:cs="Arial"/>
          <w:sz w:val="24"/>
          <w:szCs w:val="24"/>
          <w:lang w:val="ro-RO"/>
        </w:rPr>
        <w:t xml:space="preserve">. </w:t>
      </w:r>
    </w:p>
    <w:p w:rsidR="00A30389" w:rsidRPr="00EC2099" w:rsidRDefault="00A30389" w:rsidP="00704074">
      <w:pPr>
        <w:autoSpaceDE w:val="0"/>
        <w:autoSpaceDN w:val="0"/>
        <w:adjustRightInd w:val="0"/>
        <w:spacing w:after="0" w:line="240" w:lineRule="auto"/>
        <w:ind w:firstLine="709"/>
        <w:jc w:val="both"/>
        <w:rPr>
          <w:rFonts w:ascii="Arial" w:hAnsi="Arial" w:cs="Arial"/>
          <w:sz w:val="16"/>
          <w:szCs w:val="16"/>
          <w:lang w:val="ro-RO"/>
        </w:rPr>
      </w:pPr>
    </w:p>
    <w:p w:rsidR="00704074" w:rsidRPr="00112D72" w:rsidRDefault="00704074" w:rsidP="00704074">
      <w:pPr>
        <w:spacing w:after="0" w:line="240" w:lineRule="auto"/>
        <w:jc w:val="center"/>
        <w:rPr>
          <w:rFonts w:ascii="Arial" w:hAnsi="Arial" w:cs="Arial"/>
          <w:lang w:val="ro-RO"/>
        </w:rPr>
      </w:pPr>
      <w:r w:rsidRPr="00112D72">
        <w:rPr>
          <w:rFonts w:ascii="Arial" w:hAnsi="Arial" w:cs="Arial"/>
          <w:lang w:val="ro-RO"/>
        </w:rPr>
        <w:t xml:space="preserve">Fig. </w:t>
      </w:r>
      <w:r w:rsidRPr="00112D72">
        <w:rPr>
          <w:rFonts w:ascii="Arial" w:hAnsi="Arial" w:cs="Arial"/>
          <w:lang w:val="ro-RO" w:eastAsia="ro-RO"/>
        </w:rPr>
        <w:t xml:space="preserve">I.3.1.8. </w:t>
      </w:r>
      <w:r w:rsidRPr="00112D72">
        <w:rPr>
          <w:rFonts w:ascii="Arial" w:hAnsi="Arial" w:cs="Arial"/>
          <w:lang w:val="ro-RO"/>
        </w:rPr>
        <w:t xml:space="preserve">Tendinţa emisiilor de poluanţi precursori ai ozonului </w:t>
      </w:r>
    </w:p>
    <w:p w:rsidR="00704074" w:rsidRPr="00112D72" w:rsidRDefault="00704074" w:rsidP="00704074">
      <w:pPr>
        <w:spacing w:after="0" w:line="240" w:lineRule="auto"/>
        <w:jc w:val="center"/>
        <w:rPr>
          <w:rFonts w:ascii="Arial" w:hAnsi="Arial" w:cs="Arial"/>
          <w:lang w:val="ro-RO"/>
        </w:rPr>
      </w:pPr>
      <w:r w:rsidRPr="00112D72">
        <w:rPr>
          <w:rFonts w:ascii="Arial" w:hAnsi="Arial" w:cs="Arial"/>
          <w:lang w:val="ro-RO"/>
        </w:rPr>
        <w:t xml:space="preserve">din sectorul de activitate </w:t>
      </w:r>
      <w:r w:rsidRPr="00112D72">
        <w:rPr>
          <w:rFonts w:ascii="Arial" w:hAnsi="Arial" w:cs="Arial"/>
          <w:b/>
          <w:lang w:val="ro-RO"/>
        </w:rPr>
        <w:t>transport</w:t>
      </w:r>
      <w:r w:rsidRPr="00112D72">
        <w:rPr>
          <w:rFonts w:ascii="Arial" w:hAnsi="Arial" w:cs="Arial"/>
          <w:lang w:val="ro-RO"/>
        </w:rPr>
        <w:t xml:space="preserve"> la nivelul judeţului Suceava în perioada 20</w:t>
      </w:r>
      <w:r w:rsidR="002608FA" w:rsidRPr="00112D72">
        <w:rPr>
          <w:rFonts w:ascii="Arial" w:hAnsi="Arial" w:cs="Arial"/>
          <w:lang w:val="ro-RO"/>
        </w:rPr>
        <w:t>1</w:t>
      </w:r>
      <w:r w:rsidR="005057D9" w:rsidRPr="00112D72">
        <w:rPr>
          <w:rFonts w:ascii="Arial" w:hAnsi="Arial" w:cs="Arial"/>
          <w:lang w:val="ro-RO"/>
        </w:rPr>
        <w:t>3</w:t>
      </w:r>
      <w:r w:rsidR="002608FA" w:rsidRPr="00112D72">
        <w:rPr>
          <w:rFonts w:ascii="Arial" w:hAnsi="Arial" w:cs="Arial"/>
          <w:lang w:val="ro-RO"/>
        </w:rPr>
        <w:t>-201</w:t>
      </w:r>
      <w:r w:rsidR="009B7E06" w:rsidRPr="00112D72">
        <w:rPr>
          <w:rFonts w:ascii="Arial" w:hAnsi="Arial" w:cs="Arial"/>
          <w:lang w:val="ro-RO"/>
        </w:rPr>
        <w:t>7</w:t>
      </w:r>
      <w:r w:rsidR="004A05E2" w:rsidRPr="00112D72">
        <w:rPr>
          <w:rFonts w:ascii="Arial" w:hAnsi="Arial" w:cs="Arial"/>
          <w:b/>
          <w:bCs/>
          <w:noProof/>
          <w:sz w:val="10"/>
          <w:szCs w:val="10"/>
          <w:lang w:val="ro-RO" w:eastAsia="ro-RO"/>
        </w:rPr>
        <w:drawing>
          <wp:inline distT="0" distB="0" distL="0" distR="0">
            <wp:extent cx="5391150" cy="1685925"/>
            <wp:effectExtent l="19050" t="0" r="0" b="0"/>
            <wp:docPr id="3"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704074" w:rsidRPr="00112D72" w:rsidRDefault="004936A3" w:rsidP="00EC2099">
      <w:pPr>
        <w:spacing w:after="0" w:line="240" w:lineRule="auto"/>
        <w:jc w:val="center"/>
        <w:rPr>
          <w:rFonts w:ascii="Arial" w:hAnsi="Arial" w:cs="Arial"/>
          <w:sz w:val="10"/>
          <w:szCs w:val="10"/>
          <w:lang w:val="ro-RO"/>
        </w:rPr>
      </w:pPr>
      <w:r w:rsidRPr="00112D72">
        <w:rPr>
          <w:rFonts w:ascii="Arial" w:hAnsi="Arial" w:cs="Arial"/>
          <w:b/>
          <w:i/>
          <w:sz w:val="20"/>
          <w:szCs w:val="20"/>
          <w:lang w:val="ro-RO"/>
        </w:rPr>
        <w:t>Notă</w:t>
      </w:r>
      <w:r w:rsidRPr="00112D72">
        <w:rPr>
          <w:rFonts w:ascii="Arial" w:hAnsi="Arial" w:cs="Arial"/>
          <w:i/>
          <w:sz w:val="20"/>
          <w:szCs w:val="20"/>
          <w:lang w:val="ro-RO"/>
        </w:rPr>
        <w:t>: emisiile aferente transportului feroviar au fost calculate doar începând cu anul 2015.</w:t>
      </w:r>
    </w:p>
    <w:p w:rsidR="00EC2099" w:rsidRPr="00EC2099" w:rsidRDefault="00EC2099" w:rsidP="004936A3">
      <w:pPr>
        <w:autoSpaceDE w:val="0"/>
        <w:autoSpaceDN w:val="0"/>
        <w:adjustRightInd w:val="0"/>
        <w:spacing w:after="0" w:line="240" w:lineRule="auto"/>
        <w:ind w:firstLine="709"/>
        <w:jc w:val="both"/>
        <w:rPr>
          <w:rFonts w:ascii="Arial" w:hAnsi="Arial" w:cs="Arial"/>
          <w:sz w:val="10"/>
          <w:szCs w:val="10"/>
          <w:lang w:val="ro-RO"/>
        </w:rPr>
      </w:pPr>
    </w:p>
    <w:p w:rsidR="004936A3" w:rsidRPr="00112D72" w:rsidRDefault="004936A3" w:rsidP="004936A3">
      <w:pPr>
        <w:autoSpaceDE w:val="0"/>
        <w:autoSpaceDN w:val="0"/>
        <w:adjustRightInd w:val="0"/>
        <w:spacing w:after="0" w:line="240" w:lineRule="auto"/>
        <w:ind w:firstLine="709"/>
        <w:jc w:val="both"/>
        <w:rPr>
          <w:rFonts w:ascii="Arial" w:hAnsi="Arial" w:cs="Arial"/>
          <w:sz w:val="24"/>
          <w:szCs w:val="24"/>
          <w:lang w:val="ro-RO"/>
        </w:rPr>
      </w:pPr>
      <w:r w:rsidRPr="00112D72">
        <w:rPr>
          <w:rFonts w:ascii="Arial" w:hAnsi="Arial" w:cs="Arial"/>
          <w:sz w:val="24"/>
          <w:szCs w:val="24"/>
          <w:lang w:val="ro-RO"/>
        </w:rPr>
        <w:t xml:space="preserve">Din fig. I.3.1.8 se observă că există o tendință </w:t>
      </w:r>
      <w:r w:rsidR="0009362B" w:rsidRPr="00112D72">
        <w:rPr>
          <w:rFonts w:ascii="Arial" w:hAnsi="Arial" w:cs="Arial"/>
          <w:sz w:val="24"/>
          <w:szCs w:val="24"/>
          <w:lang w:val="ro-RO"/>
        </w:rPr>
        <w:t xml:space="preserve">de ușoară creștere a emisiilor de NMVOC și NOx din sectorul transporturi și de </w:t>
      </w:r>
      <w:r w:rsidRPr="00112D72">
        <w:rPr>
          <w:rFonts w:ascii="Arial" w:hAnsi="Arial" w:cs="Arial"/>
          <w:sz w:val="24"/>
          <w:szCs w:val="24"/>
          <w:lang w:val="ro-RO"/>
        </w:rPr>
        <w:t>scădere a emisiilor de CO.</w:t>
      </w:r>
    </w:p>
    <w:p w:rsidR="004936A3" w:rsidRPr="00EC2099" w:rsidRDefault="004936A3" w:rsidP="004936A3">
      <w:pPr>
        <w:autoSpaceDE w:val="0"/>
        <w:autoSpaceDN w:val="0"/>
        <w:adjustRightInd w:val="0"/>
        <w:spacing w:after="0" w:line="240" w:lineRule="auto"/>
        <w:ind w:firstLine="709"/>
        <w:jc w:val="both"/>
        <w:rPr>
          <w:rFonts w:ascii="Arial" w:hAnsi="Arial" w:cs="Arial"/>
          <w:sz w:val="16"/>
          <w:szCs w:val="16"/>
          <w:lang w:val="ro-RO"/>
        </w:rPr>
      </w:pPr>
    </w:p>
    <w:p w:rsidR="00704074" w:rsidRPr="00112D72" w:rsidRDefault="00704074" w:rsidP="00704074">
      <w:pPr>
        <w:spacing w:after="0" w:line="240" w:lineRule="auto"/>
        <w:jc w:val="center"/>
        <w:rPr>
          <w:rFonts w:ascii="Arial" w:hAnsi="Arial" w:cs="Arial"/>
          <w:lang w:val="ro-RO"/>
        </w:rPr>
      </w:pPr>
      <w:r w:rsidRPr="00112D72">
        <w:rPr>
          <w:rFonts w:ascii="Arial" w:hAnsi="Arial" w:cs="Arial"/>
          <w:lang w:val="ro-RO"/>
        </w:rPr>
        <w:t xml:space="preserve">Fig. </w:t>
      </w:r>
      <w:r w:rsidRPr="00112D72">
        <w:rPr>
          <w:rFonts w:ascii="Arial" w:hAnsi="Arial" w:cs="Arial"/>
          <w:lang w:val="ro-RO" w:eastAsia="ro-RO"/>
        </w:rPr>
        <w:t xml:space="preserve">I.3.1.9. </w:t>
      </w:r>
      <w:r w:rsidRPr="00112D72">
        <w:rPr>
          <w:rFonts w:ascii="Arial" w:hAnsi="Arial" w:cs="Arial"/>
          <w:lang w:val="ro-RO"/>
        </w:rPr>
        <w:t xml:space="preserve">Tendinţa emisiilor de poluanţi precursori ai ozonului </w:t>
      </w:r>
    </w:p>
    <w:p w:rsidR="00704074" w:rsidRPr="00112D72" w:rsidRDefault="00704074" w:rsidP="00704074">
      <w:pPr>
        <w:spacing w:after="0" w:line="240" w:lineRule="auto"/>
        <w:jc w:val="center"/>
        <w:rPr>
          <w:rFonts w:ascii="Arial" w:hAnsi="Arial" w:cs="Arial"/>
          <w:sz w:val="10"/>
          <w:szCs w:val="10"/>
          <w:lang w:val="ro-RO"/>
        </w:rPr>
      </w:pPr>
      <w:r w:rsidRPr="00112D72">
        <w:rPr>
          <w:rFonts w:ascii="Arial" w:hAnsi="Arial" w:cs="Arial"/>
          <w:lang w:val="ro-RO"/>
        </w:rPr>
        <w:t xml:space="preserve">din sectorul de activitate </w:t>
      </w:r>
      <w:r w:rsidRPr="00112D72">
        <w:rPr>
          <w:rFonts w:ascii="Arial" w:hAnsi="Arial" w:cs="Arial"/>
          <w:b/>
          <w:lang w:val="ro-RO"/>
        </w:rPr>
        <w:t>agricultură</w:t>
      </w:r>
      <w:r w:rsidRPr="00112D72">
        <w:rPr>
          <w:rFonts w:ascii="Arial" w:hAnsi="Arial" w:cs="Arial"/>
          <w:lang w:val="ro-RO"/>
        </w:rPr>
        <w:t xml:space="preserve"> la nivelul judeţului Suceava în perioada </w:t>
      </w:r>
      <w:r w:rsidR="004936A3" w:rsidRPr="00112D72">
        <w:rPr>
          <w:rFonts w:ascii="Arial" w:hAnsi="Arial" w:cs="Arial"/>
          <w:lang w:val="ro-RO"/>
        </w:rPr>
        <w:t>2013</w:t>
      </w:r>
      <w:r w:rsidRPr="00112D72">
        <w:rPr>
          <w:rFonts w:ascii="Arial" w:hAnsi="Arial" w:cs="Arial"/>
          <w:lang w:val="ro-RO"/>
        </w:rPr>
        <w:t>-</w:t>
      </w:r>
      <w:r w:rsidR="000D319A" w:rsidRPr="00112D72">
        <w:rPr>
          <w:rFonts w:ascii="Arial" w:hAnsi="Arial" w:cs="Arial"/>
          <w:lang w:val="ro-RO"/>
        </w:rPr>
        <w:t>2017</w:t>
      </w:r>
    </w:p>
    <w:p w:rsidR="00704074" w:rsidRPr="00112D72" w:rsidRDefault="00704074" w:rsidP="00704074">
      <w:pPr>
        <w:spacing w:after="120" w:line="240" w:lineRule="auto"/>
        <w:jc w:val="center"/>
        <w:rPr>
          <w:rFonts w:ascii="Arial" w:hAnsi="Arial" w:cs="Arial"/>
          <w:b/>
          <w:bCs/>
          <w:sz w:val="24"/>
          <w:szCs w:val="24"/>
          <w:lang w:val="ro-RO"/>
        </w:rPr>
      </w:pPr>
      <w:r w:rsidRPr="00112D72">
        <w:rPr>
          <w:rFonts w:ascii="Arial" w:hAnsi="Arial" w:cs="Arial"/>
          <w:b/>
          <w:bCs/>
          <w:noProof/>
          <w:sz w:val="24"/>
          <w:szCs w:val="24"/>
          <w:lang w:val="ro-RO" w:eastAsia="ro-RO"/>
        </w:rPr>
        <w:drawing>
          <wp:inline distT="0" distB="0" distL="0" distR="0">
            <wp:extent cx="5181600" cy="1552575"/>
            <wp:effectExtent l="19050" t="0" r="0" b="0"/>
            <wp:docPr id="10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EC2099" w:rsidRDefault="00704074" w:rsidP="00DB1888">
      <w:pPr>
        <w:spacing w:after="0" w:line="240" w:lineRule="auto"/>
        <w:jc w:val="both"/>
        <w:rPr>
          <w:rFonts w:ascii="Arial" w:hAnsi="Arial" w:cs="Arial"/>
          <w:bCs/>
          <w:sz w:val="24"/>
          <w:szCs w:val="24"/>
          <w:lang w:val="ro-RO"/>
        </w:rPr>
      </w:pPr>
      <w:r w:rsidRPr="00112D72">
        <w:rPr>
          <w:rFonts w:ascii="Arial" w:hAnsi="Arial" w:cs="Arial"/>
          <w:bCs/>
          <w:sz w:val="24"/>
          <w:szCs w:val="24"/>
          <w:lang w:val="ro-RO"/>
        </w:rPr>
        <w:tab/>
        <w:t xml:space="preserve">Emisiile de NMVOC din agricultură fluctuează în funcţie de numărul de capete de animale de diferite tipuri, în special de la vacile de lapte. </w:t>
      </w:r>
    </w:p>
    <w:p w:rsidR="00704074" w:rsidRPr="00112D72" w:rsidRDefault="00704074" w:rsidP="00EC2099">
      <w:pPr>
        <w:spacing w:after="0" w:line="240" w:lineRule="auto"/>
        <w:ind w:firstLine="720"/>
        <w:jc w:val="both"/>
        <w:rPr>
          <w:rFonts w:ascii="Arial" w:hAnsi="Arial" w:cs="Arial"/>
          <w:bCs/>
          <w:sz w:val="24"/>
          <w:szCs w:val="24"/>
          <w:lang w:val="ro-RO"/>
        </w:rPr>
      </w:pPr>
      <w:r w:rsidRPr="00112D72">
        <w:rPr>
          <w:rFonts w:ascii="Arial" w:hAnsi="Arial" w:cs="Arial"/>
          <w:bCs/>
          <w:sz w:val="24"/>
          <w:szCs w:val="24"/>
          <w:lang w:val="ro-RO"/>
        </w:rPr>
        <w:t xml:space="preserve">Scăderea semnificativă a emisiilor NMVOC </w:t>
      </w:r>
      <w:r w:rsidR="00D46C6A" w:rsidRPr="00112D72">
        <w:rPr>
          <w:rFonts w:ascii="Arial" w:hAnsi="Arial" w:cs="Arial"/>
          <w:bCs/>
          <w:sz w:val="24"/>
          <w:szCs w:val="24"/>
          <w:lang w:val="ro-RO"/>
        </w:rPr>
        <w:t xml:space="preserve">începând din </w:t>
      </w:r>
      <w:r w:rsidRPr="00112D72">
        <w:rPr>
          <w:rFonts w:ascii="Arial" w:hAnsi="Arial" w:cs="Arial"/>
          <w:bCs/>
          <w:sz w:val="24"/>
          <w:szCs w:val="24"/>
          <w:lang w:val="ro-RO"/>
        </w:rPr>
        <w:t xml:space="preserve">din anul 2015 faţă de anii anteriori </w:t>
      </w:r>
      <w:r w:rsidR="00EC2099">
        <w:rPr>
          <w:rFonts w:ascii="Arial" w:hAnsi="Arial" w:cs="Arial"/>
          <w:bCs/>
          <w:sz w:val="24"/>
          <w:szCs w:val="24"/>
          <w:lang w:val="ro-RO"/>
        </w:rPr>
        <w:t>(vezi fig.</w:t>
      </w:r>
      <w:r w:rsidR="00EC2099" w:rsidRPr="00EC2099">
        <w:rPr>
          <w:rFonts w:ascii="Arial" w:hAnsi="Arial" w:cs="Arial"/>
          <w:bCs/>
          <w:sz w:val="24"/>
          <w:szCs w:val="24"/>
          <w:lang w:val="ro-RO"/>
        </w:rPr>
        <w:t xml:space="preserve"> I.3.1.9)</w:t>
      </w:r>
      <w:r w:rsidR="00EC2099">
        <w:rPr>
          <w:rFonts w:ascii="Arial" w:hAnsi="Arial" w:cs="Arial"/>
          <w:bCs/>
          <w:sz w:val="24"/>
          <w:szCs w:val="24"/>
          <w:lang w:val="ro-RO"/>
        </w:rPr>
        <w:t xml:space="preserve">, </w:t>
      </w:r>
      <w:r w:rsidRPr="00112D72">
        <w:rPr>
          <w:rFonts w:ascii="Arial" w:hAnsi="Arial" w:cs="Arial"/>
          <w:bCs/>
          <w:sz w:val="24"/>
          <w:szCs w:val="24"/>
          <w:lang w:val="ro-RO"/>
        </w:rPr>
        <w:t xml:space="preserve">se datorează schimbării metodologiei de estimare a emisiilor din acest sector. </w:t>
      </w:r>
    </w:p>
    <w:p w:rsidR="00A30389" w:rsidRPr="00112D72" w:rsidRDefault="00A30389" w:rsidP="00704074">
      <w:pPr>
        <w:spacing w:after="0" w:line="240" w:lineRule="auto"/>
        <w:jc w:val="both"/>
        <w:rPr>
          <w:rFonts w:ascii="Arial" w:hAnsi="Arial" w:cs="Arial"/>
          <w:b/>
          <w:bCs/>
          <w:sz w:val="16"/>
          <w:szCs w:val="16"/>
          <w:lang w:val="ro-RO"/>
        </w:rPr>
      </w:pPr>
    </w:p>
    <w:p w:rsidR="00704074" w:rsidRPr="00112D72" w:rsidRDefault="00704074" w:rsidP="00704074">
      <w:pPr>
        <w:spacing w:after="0" w:line="240" w:lineRule="auto"/>
        <w:rPr>
          <w:rFonts w:ascii="Arial" w:hAnsi="Arial" w:cs="Arial"/>
          <w:b/>
          <w:bCs/>
          <w:i/>
          <w:sz w:val="24"/>
          <w:szCs w:val="24"/>
          <w:lang w:val="ro-RO"/>
        </w:rPr>
      </w:pPr>
      <w:r w:rsidRPr="00112D72">
        <w:rPr>
          <w:rFonts w:ascii="Arial" w:hAnsi="Arial" w:cs="Arial"/>
          <w:b/>
          <w:bCs/>
          <w:i/>
          <w:sz w:val="24"/>
          <w:szCs w:val="24"/>
          <w:lang w:val="ro-RO"/>
        </w:rPr>
        <w:t>Emisiile de particule primare şi precursori secundari de particule</w:t>
      </w:r>
    </w:p>
    <w:p w:rsidR="00704074" w:rsidRPr="00112D72" w:rsidRDefault="00704074" w:rsidP="00704074">
      <w:pPr>
        <w:spacing w:after="0" w:line="240" w:lineRule="auto"/>
        <w:rPr>
          <w:rFonts w:ascii="Arial" w:hAnsi="Arial" w:cs="Arial"/>
          <w:bCs/>
          <w:i/>
          <w:sz w:val="10"/>
          <w:szCs w:val="10"/>
          <w:lang w:val="ro-RO"/>
        </w:rPr>
      </w:pPr>
    </w:p>
    <w:p w:rsidR="007E5B9B" w:rsidRPr="00112D72" w:rsidRDefault="007E5B9B" w:rsidP="007E5B9B">
      <w:pPr>
        <w:spacing w:after="120" w:line="240" w:lineRule="auto"/>
        <w:ind w:firstLine="720"/>
        <w:jc w:val="both"/>
        <w:rPr>
          <w:rFonts w:ascii="Arial" w:hAnsi="Arial" w:cs="Arial"/>
          <w:sz w:val="24"/>
          <w:szCs w:val="24"/>
          <w:lang w:val="ro-RO"/>
        </w:rPr>
      </w:pPr>
      <w:r w:rsidRPr="00112D72">
        <w:rPr>
          <w:rFonts w:ascii="Arial" w:hAnsi="Arial" w:cs="Arial"/>
          <w:sz w:val="24"/>
          <w:szCs w:val="24"/>
          <w:lang w:val="ro-RO"/>
        </w:rPr>
        <w:t xml:space="preserve">Din fig. I.3.1.10. se observă o ușoară tendință de creştere a emisiilor totale de pulberi în perioada analizată la nivelul judeţului Suceava. </w:t>
      </w:r>
    </w:p>
    <w:p w:rsidR="00704074" w:rsidRPr="00112D72" w:rsidRDefault="00704074" w:rsidP="00704074">
      <w:pPr>
        <w:spacing w:after="0" w:line="240" w:lineRule="auto"/>
        <w:jc w:val="center"/>
        <w:rPr>
          <w:rFonts w:ascii="Arial" w:hAnsi="Arial" w:cs="Arial"/>
          <w:lang w:val="ro-RO"/>
        </w:rPr>
      </w:pPr>
      <w:r w:rsidRPr="00112D72">
        <w:rPr>
          <w:rFonts w:ascii="Arial" w:hAnsi="Arial" w:cs="Arial"/>
          <w:lang w:val="ro-RO"/>
        </w:rPr>
        <w:t>Fig. I.3.1.10. Tendinţa emisiilor totale de particule primare în suspensie</w:t>
      </w:r>
    </w:p>
    <w:p w:rsidR="00704074" w:rsidRPr="00112D72" w:rsidRDefault="00704074" w:rsidP="00704074">
      <w:pPr>
        <w:spacing w:after="0" w:line="240" w:lineRule="auto"/>
        <w:jc w:val="center"/>
        <w:rPr>
          <w:rFonts w:ascii="Arial" w:hAnsi="Arial" w:cs="Arial"/>
          <w:lang w:val="ro-RO"/>
        </w:rPr>
      </w:pPr>
      <w:r w:rsidRPr="00112D72">
        <w:rPr>
          <w:rFonts w:ascii="Arial" w:hAnsi="Arial" w:cs="Arial"/>
          <w:lang w:val="ro-RO"/>
        </w:rPr>
        <w:t xml:space="preserve">la nivelul judeţului Suceava în perioada </w:t>
      </w:r>
      <w:r w:rsidR="00A30389" w:rsidRPr="00112D72">
        <w:rPr>
          <w:rFonts w:ascii="Arial" w:hAnsi="Arial" w:cs="Arial"/>
          <w:lang w:val="ro-RO"/>
        </w:rPr>
        <w:t>2013</w:t>
      </w:r>
      <w:r w:rsidRPr="00112D72">
        <w:rPr>
          <w:rFonts w:ascii="Arial" w:hAnsi="Arial" w:cs="Arial"/>
          <w:lang w:val="ro-RO"/>
        </w:rPr>
        <w:t>-201</w:t>
      </w:r>
      <w:r w:rsidR="001B0FFD" w:rsidRPr="00112D72">
        <w:rPr>
          <w:rFonts w:ascii="Arial" w:hAnsi="Arial" w:cs="Arial"/>
          <w:lang w:val="ro-RO"/>
        </w:rPr>
        <w:t>7</w:t>
      </w:r>
    </w:p>
    <w:p w:rsidR="00A95186" w:rsidRPr="00112D72" w:rsidRDefault="00704074" w:rsidP="00AF6136">
      <w:pPr>
        <w:spacing w:after="0" w:line="240" w:lineRule="auto"/>
        <w:jc w:val="center"/>
        <w:rPr>
          <w:rFonts w:ascii="Arial" w:hAnsi="Arial" w:cs="Arial"/>
          <w:sz w:val="10"/>
          <w:szCs w:val="10"/>
          <w:lang w:val="ro-RO"/>
        </w:rPr>
      </w:pPr>
      <w:r w:rsidRPr="00112D72">
        <w:rPr>
          <w:rFonts w:ascii="Arial" w:hAnsi="Arial" w:cs="Arial"/>
          <w:noProof/>
          <w:sz w:val="10"/>
          <w:szCs w:val="10"/>
          <w:lang w:val="ro-RO" w:eastAsia="ro-RO"/>
        </w:rPr>
        <w:drawing>
          <wp:inline distT="0" distB="0" distL="0" distR="0">
            <wp:extent cx="4752975" cy="1400175"/>
            <wp:effectExtent l="19050" t="0" r="0" b="0"/>
            <wp:docPr id="11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EC2099" w:rsidRPr="00EC2099" w:rsidRDefault="00EC2099" w:rsidP="00704074">
      <w:pPr>
        <w:spacing w:after="0" w:line="240" w:lineRule="auto"/>
        <w:jc w:val="center"/>
        <w:rPr>
          <w:rFonts w:ascii="Arial" w:hAnsi="Arial" w:cs="Arial"/>
          <w:sz w:val="16"/>
          <w:szCs w:val="16"/>
          <w:lang w:val="ro-RO"/>
        </w:rPr>
      </w:pPr>
    </w:p>
    <w:p w:rsidR="00704074" w:rsidRPr="00112D72" w:rsidRDefault="00704074" w:rsidP="00704074">
      <w:pPr>
        <w:spacing w:after="0" w:line="240" w:lineRule="auto"/>
        <w:jc w:val="center"/>
        <w:rPr>
          <w:rFonts w:ascii="Arial" w:hAnsi="Arial" w:cs="Arial"/>
          <w:lang w:val="ro-RO"/>
        </w:rPr>
      </w:pPr>
      <w:r w:rsidRPr="00112D72">
        <w:rPr>
          <w:rFonts w:ascii="Arial" w:hAnsi="Arial" w:cs="Arial"/>
          <w:lang w:val="ro-RO"/>
        </w:rPr>
        <w:t xml:space="preserve">Fig. I.3.1.11. Tendinţa emisiilor de particule primare în suspensie </w:t>
      </w:r>
    </w:p>
    <w:p w:rsidR="00704074" w:rsidRDefault="00704074" w:rsidP="00704074">
      <w:pPr>
        <w:spacing w:after="0" w:line="240" w:lineRule="auto"/>
        <w:jc w:val="center"/>
        <w:rPr>
          <w:rFonts w:ascii="Arial" w:hAnsi="Arial" w:cs="Arial"/>
          <w:lang w:val="ro-RO"/>
        </w:rPr>
      </w:pPr>
      <w:r w:rsidRPr="00112D72">
        <w:rPr>
          <w:rFonts w:ascii="Arial" w:hAnsi="Arial" w:cs="Arial"/>
          <w:lang w:val="ro-RO"/>
        </w:rPr>
        <w:t xml:space="preserve">din sectorul de activitate </w:t>
      </w:r>
      <w:r w:rsidRPr="00112D72">
        <w:rPr>
          <w:rFonts w:ascii="Arial" w:hAnsi="Arial" w:cs="Arial"/>
          <w:b/>
          <w:lang w:val="ro-RO"/>
        </w:rPr>
        <w:t>energie</w:t>
      </w:r>
      <w:r w:rsidRPr="00112D72">
        <w:rPr>
          <w:rFonts w:ascii="Arial" w:hAnsi="Arial" w:cs="Arial"/>
          <w:lang w:val="ro-RO"/>
        </w:rPr>
        <w:t xml:space="preserve"> la nivelul judeţului Suceava în perioada 201</w:t>
      </w:r>
      <w:r w:rsidR="009F4CBE" w:rsidRPr="00112D72">
        <w:rPr>
          <w:rFonts w:ascii="Arial" w:hAnsi="Arial" w:cs="Arial"/>
          <w:lang w:val="ro-RO"/>
        </w:rPr>
        <w:t>3</w:t>
      </w:r>
      <w:r w:rsidRPr="00112D72">
        <w:rPr>
          <w:rFonts w:ascii="Arial" w:hAnsi="Arial" w:cs="Arial"/>
          <w:lang w:val="ro-RO"/>
        </w:rPr>
        <w:t>-201</w:t>
      </w:r>
      <w:r w:rsidR="0051532B" w:rsidRPr="00112D72">
        <w:rPr>
          <w:rFonts w:ascii="Arial" w:hAnsi="Arial" w:cs="Arial"/>
          <w:lang w:val="ro-RO"/>
        </w:rPr>
        <w:t>7</w:t>
      </w:r>
    </w:p>
    <w:p w:rsidR="00AF6136" w:rsidRPr="00112D72" w:rsidRDefault="00AF6136" w:rsidP="00AF6136">
      <w:pPr>
        <w:spacing w:after="0" w:line="240" w:lineRule="auto"/>
        <w:jc w:val="center"/>
        <w:rPr>
          <w:rFonts w:ascii="Arial" w:hAnsi="Arial" w:cs="Arial"/>
          <w:sz w:val="10"/>
          <w:szCs w:val="10"/>
          <w:lang w:val="ro-RO"/>
        </w:rPr>
      </w:pPr>
      <w:r w:rsidRPr="00112D72">
        <w:rPr>
          <w:rFonts w:ascii="Arial" w:hAnsi="Arial" w:cs="Arial"/>
          <w:noProof/>
          <w:sz w:val="10"/>
          <w:szCs w:val="10"/>
          <w:lang w:val="ro-RO" w:eastAsia="ro-RO"/>
        </w:rPr>
        <w:drawing>
          <wp:inline distT="0" distB="0" distL="0" distR="0">
            <wp:extent cx="4752975" cy="1333500"/>
            <wp:effectExtent l="19050" t="0" r="0" b="0"/>
            <wp:docPr id="1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A05324" w:rsidRDefault="00A05324" w:rsidP="00517BB2">
      <w:pPr>
        <w:spacing w:after="0" w:line="240" w:lineRule="auto"/>
        <w:ind w:firstLine="720"/>
        <w:jc w:val="both"/>
        <w:rPr>
          <w:rFonts w:ascii="Arial" w:hAnsi="Arial" w:cs="Arial"/>
          <w:sz w:val="24"/>
          <w:szCs w:val="24"/>
          <w:lang w:val="ro-RO"/>
        </w:rPr>
      </w:pPr>
      <w:r>
        <w:rPr>
          <w:rFonts w:ascii="Arial" w:hAnsi="Arial" w:cs="Arial"/>
          <w:sz w:val="24"/>
          <w:szCs w:val="24"/>
          <w:lang w:val="ro-RO"/>
        </w:rPr>
        <w:t>Din</w:t>
      </w:r>
      <w:r w:rsidRPr="00112D72">
        <w:rPr>
          <w:rFonts w:ascii="Arial" w:hAnsi="Arial" w:cs="Arial"/>
          <w:sz w:val="24"/>
          <w:szCs w:val="24"/>
          <w:lang w:val="ro-RO"/>
        </w:rPr>
        <w:t xml:space="preserve"> fig. I.3.1.11</w:t>
      </w:r>
      <w:r>
        <w:rPr>
          <w:rFonts w:ascii="Arial" w:hAnsi="Arial" w:cs="Arial"/>
          <w:sz w:val="24"/>
          <w:szCs w:val="24"/>
          <w:lang w:val="ro-RO"/>
        </w:rPr>
        <w:t xml:space="preserve"> se observă că tendința de creștere a emisiilor de pulberi la nivel de județ este coroborată</w:t>
      </w:r>
      <w:r w:rsidRPr="00112D72">
        <w:rPr>
          <w:rFonts w:ascii="Arial" w:hAnsi="Arial" w:cs="Arial"/>
          <w:sz w:val="24"/>
          <w:szCs w:val="24"/>
          <w:lang w:val="ro-RO"/>
        </w:rPr>
        <w:t xml:space="preserve"> cu creșterea emisiilor d</w:t>
      </w:r>
      <w:r>
        <w:rPr>
          <w:rFonts w:ascii="Arial" w:hAnsi="Arial" w:cs="Arial"/>
          <w:sz w:val="24"/>
          <w:szCs w:val="24"/>
          <w:lang w:val="ro-RO"/>
        </w:rPr>
        <w:t>e pulberi din sectorul „Energie”</w:t>
      </w:r>
      <w:r w:rsidRPr="00112D72">
        <w:rPr>
          <w:rFonts w:ascii="Arial" w:hAnsi="Arial" w:cs="Arial"/>
          <w:sz w:val="24"/>
          <w:szCs w:val="24"/>
          <w:lang w:val="ro-RO"/>
        </w:rPr>
        <w:t>.</w:t>
      </w:r>
    </w:p>
    <w:p w:rsidR="00A05324" w:rsidRPr="00EC2099" w:rsidRDefault="00A05324" w:rsidP="00A05324">
      <w:pPr>
        <w:spacing w:after="0" w:line="240" w:lineRule="auto"/>
        <w:jc w:val="both"/>
        <w:rPr>
          <w:rFonts w:ascii="Arial" w:hAnsi="Arial" w:cs="Arial"/>
          <w:bCs/>
          <w:sz w:val="16"/>
          <w:szCs w:val="16"/>
          <w:lang w:val="ro-RO"/>
        </w:rPr>
      </w:pPr>
    </w:p>
    <w:p w:rsidR="00704074" w:rsidRPr="00112D72" w:rsidRDefault="00704074" w:rsidP="00704074">
      <w:pPr>
        <w:spacing w:after="0" w:line="240" w:lineRule="auto"/>
        <w:jc w:val="center"/>
        <w:rPr>
          <w:rFonts w:ascii="Arial" w:hAnsi="Arial" w:cs="Arial"/>
          <w:lang w:val="ro-RO" w:eastAsia="ro-RO"/>
        </w:rPr>
      </w:pPr>
      <w:r w:rsidRPr="00112D72">
        <w:rPr>
          <w:rFonts w:ascii="Arial" w:hAnsi="Arial" w:cs="Arial"/>
          <w:bCs/>
          <w:lang w:val="ro-RO"/>
        </w:rPr>
        <w:t xml:space="preserve">Fig. </w:t>
      </w:r>
      <w:r w:rsidRPr="00112D72">
        <w:rPr>
          <w:rFonts w:ascii="Arial" w:hAnsi="Arial" w:cs="Arial"/>
          <w:lang w:val="ro-RO" w:eastAsia="ro-RO"/>
        </w:rPr>
        <w:t xml:space="preserve">I.3.1.12. </w:t>
      </w:r>
      <w:r w:rsidR="00336009" w:rsidRPr="00112D72">
        <w:rPr>
          <w:rFonts w:ascii="Arial" w:hAnsi="Arial" w:cs="Arial"/>
          <w:lang w:val="ro-RO" w:eastAsia="ro-RO"/>
        </w:rPr>
        <w:t>T</w:t>
      </w:r>
      <w:r w:rsidRPr="00112D72">
        <w:rPr>
          <w:rFonts w:ascii="Arial" w:hAnsi="Arial" w:cs="Arial"/>
          <w:lang w:val="ro-RO" w:eastAsia="ro-RO"/>
        </w:rPr>
        <w:t xml:space="preserve">endinţa emisiilor de particule primare în suspensie </w:t>
      </w:r>
    </w:p>
    <w:p w:rsidR="00AF6136" w:rsidRDefault="00704074" w:rsidP="00704074">
      <w:pPr>
        <w:spacing w:after="0" w:line="240" w:lineRule="auto"/>
        <w:jc w:val="center"/>
        <w:rPr>
          <w:rFonts w:ascii="Arial" w:hAnsi="Arial" w:cs="Arial"/>
          <w:lang w:val="ro-RO" w:eastAsia="ro-RO"/>
        </w:rPr>
      </w:pPr>
      <w:r w:rsidRPr="00112D72">
        <w:rPr>
          <w:rFonts w:ascii="Arial" w:hAnsi="Arial" w:cs="Arial"/>
          <w:lang w:val="ro-RO" w:eastAsia="ro-RO"/>
        </w:rPr>
        <w:t xml:space="preserve">din sectorul de activitate </w:t>
      </w:r>
      <w:r w:rsidRPr="00112D72">
        <w:rPr>
          <w:rFonts w:ascii="Arial" w:hAnsi="Arial" w:cs="Arial"/>
          <w:b/>
          <w:lang w:val="ro-RO" w:eastAsia="ro-RO"/>
        </w:rPr>
        <w:t>transport</w:t>
      </w:r>
      <w:r w:rsidRPr="00112D72">
        <w:rPr>
          <w:rFonts w:ascii="Arial" w:hAnsi="Arial" w:cs="Arial"/>
          <w:lang w:val="ro-RO" w:eastAsia="ro-RO"/>
        </w:rPr>
        <w:t xml:space="preserve"> </w:t>
      </w:r>
      <w:r w:rsidRPr="00112D72">
        <w:rPr>
          <w:rFonts w:ascii="Arial" w:hAnsi="Arial" w:cs="Arial"/>
          <w:lang w:val="ro-RO"/>
        </w:rPr>
        <w:t>la nivelul judeţului Suceava</w:t>
      </w:r>
      <w:r w:rsidRPr="00112D72">
        <w:rPr>
          <w:rFonts w:ascii="Arial" w:hAnsi="Arial" w:cs="Arial"/>
          <w:lang w:val="ro-RO" w:eastAsia="ro-RO"/>
        </w:rPr>
        <w:t xml:space="preserve"> în perioada 201</w:t>
      </w:r>
      <w:r w:rsidR="000468BB" w:rsidRPr="00112D72">
        <w:rPr>
          <w:rFonts w:ascii="Arial" w:hAnsi="Arial" w:cs="Arial"/>
          <w:lang w:val="ro-RO" w:eastAsia="ro-RO"/>
        </w:rPr>
        <w:t>3</w:t>
      </w:r>
      <w:r w:rsidRPr="00112D72">
        <w:rPr>
          <w:rFonts w:ascii="Arial" w:hAnsi="Arial" w:cs="Arial"/>
          <w:lang w:val="ro-RO" w:eastAsia="ro-RO"/>
        </w:rPr>
        <w:t>-201</w:t>
      </w:r>
      <w:r w:rsidR="009F4CBE" w:rsidRPr="00112D72">
        <w:rPr>
          <w:rFonts w:ascii="Arial" w:hAnsi="Arial" w:cs="Arial"/>
          <w:lang w:val="ro-RO" w:eastAsia="ro-RO"/>
        </w:rPr>
        <w:t>7</w:t>
      </w:r>
    </w:p>
    <w:p w:rsidR="00AF6136" w:rsidRPr="00112D72" w:rsidRDefault="00AF6136" w:rsidP="00AF6136">
      <w:pPr>
        <w:spacing w:after="0" w:line="240" w:lineRule="auto"/>
        <w:jc w:val="center"/>
        <w:rPr>
          <w:rFonts w:ascii="Arial" w:hAnsi="Arial" w:cs="Arial"/>
          <w:sz w:val="10"/>
          <w:szCs w:val="10"/>
          <w:lang w:val="ro-RO"/>
        </w:rPr>
      </w:pPr>
      <w:r w:rsidRPr="00112D72">
        <w:rPr>
          <w:rFonts w:ascii="Arial" w:hAnsi="Arial" w:cs="Arial"/>
          <w:noProof/>
          <w:sz w:val="10"/>
          <w:szCs w:val="10"/>
          <w:lang w:val="ro-RO" w:eastAsia="ro-RO"/>
        </w:rPr>
        <w:drawing>
          <wp:inline distT="0" distB="0" distL="0" distR="0">
            <wp:extent cx="4752975" cy="1352550"/>
            <wp:effectExtent l="19050" t="0" r="0" b="0"/>
            <wp:docPr id="16"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C47F1" w:rsidRPr="00112D72" w:rsidRDefault="006C47F1" w:rsidP="006C47F1">
      <w:pPr>
        <w:spacing w:after="0" w:line="240" w:lineRule="auto"/>
        <w:jc w:val="center"/>
        <w:rPr>
          <w:rFonts w:ascii="Arial" w:hAnsi="Arial" w:cs="Arial"/>
          <w:sz w:val="10"/>
          <w:szCs w:val="10"/>
          <w:lang w:val="ro-RO"/>
        </w:rPr>
      </w:pPr>
      <w:r w:rsidRPr="00112D72">
        <w:rPr>
          <w:rFonts w:ascii="Arial" w:hAnsi="Arial" w:cs="Arial"/>
          <w:b/>
          <w:i/>
          <w:sz w:val="20"/>
          <w:szCs w:val="20"/>
          <w:lang w:val="ro-RO"/>
        </w:rPr>
        <w:t>Notă</w:t>
      </w:r>
      <w:r w:rsidRPr="00112D72">
        <w:rPr>
          <w:rFonts w:ascii="Arial" w:hAnsi="Arial" w:cs="Arial"/>
          <w:i/>
          <w:sz w:val="20"/>
          <w:szCs w:val="20"/>
          <w:lang w:val="ro-RO"/>
        </w:rPr>
        <w:t>: emisiile aferente transportului feroviar au fost calculate doar începând cu anul 2015.</w:t>
      </w:r>
    </w:p>
    <w:p w:rsidR="00336009" w:rsidRPr="00112D72" w:rsidRDefault="00336009">
      <w:pPr>
        <w:spacing w:after="0" w:line="240" w:lineRule="auto"/>
        <w:rPr>
          <w:rFonts w:ascii="Arial" w:hAnsi="Arial" w:cs="Arial"/>
          <w:sz w:val="10"/>
          <w:szCs w:val="10"/>
          <w:lang w:val="ro-RO"/>
        </w:rPr>
      </w:pPr>
    </w:p>
    <w:p w:rsidR="006C47F1" w:rsidRPr="00112D72" w:rsidRDefault="00336009" w:rsidP="0009362B">
      <w:pPr>
        <w:autoSpaceDE w:val="0"/>
        <w:autoSpaceDN w:val="0"/>
        <w:adjustRightInd w:val="0"/>
        <w:spacing w:after="0" w:line="240" w:lineRule="auto"/>
        <w:ind w:firstLine="720"/>
        <w:jc w:val="both"/>
        <w:rPr>
          <w:rFonts w:ascii="Arial" w:hAnsi="Arial" w:cs="Arial"/>
          <w:sz w:val="24"/>
          <w:szCs w:val="24"/>
          <w:lang w:val="ro-RO"/>
        </w:rPr>
      </w:pPr>
      <w:r w:rsidRPr="00112D72">
        <w:rPr>
          <w:rFonts w:ascii="Arial" w:hAnsi="Arial" w:cs="Arial"/>
          <w:sz w:val="24"/>
          <w:szCs w:val="24"/>
          <w:lang w:val="ro-RO"/>
        </w:rPr>
        <w:t xml:space="preserve">Din fig. I.3.1.12. se observă o ușoară tendință de creştere </w:t>
      </w:r>
      <w:r w:rsidR="00A05324">
        <w:rPr>
          <w:rFonts w:ascii="Arial" w:hAnsi="Arial" w:cs="Arial"/>
          <w:sz w:val="24"/>
          <w:szCs w:val="24"/>
          <w:lang w:val="ro-RO"/>
        </w:rPr>
        <w:t xml:space="preserve">și </w:t>
      </w:r>
      <w:r w:rsidRPr="00112D72">
        <w:rPr>
          <w:rFonts w:ascii="Arial" w:hAnsi="Arial" w:cs="Arial"/>
          <w:sz w:val="24"/>
          <w:szCs w:val="24"/>
          <w:lang w:val="ro-RO"/>
        </w:rPr>
        <w:t xml:space="preserve">a emisiilor de pulberi </w:t>
      </w:r>
      <w:r w:rsidR="001042E8" w:rsidRPr="00112D72">
        <w:rPr>
          <w:rFonts w:ascii="Arial" w:hAnsi="Arial" w:cs="Arial"/>
          <w:sz w:val="24"/>
          <w:szCs w:val="24"/>
          <w:lang w:val="ro-RO"/>
        </w:rPr>
        <w:t>din sectorul „</w:t>
      </w:r>
      <w:r w:rsidR="001042E8" w:rsidRPr="00112D72">
        <w:rPr>
          <w:rFonts w:ascii="Arial" w:hAnsi="Arial" w:cs="Arial"/>
          <w:i/>
          <w:sz w:val="24"/>
          <w:szCs w:val="24"/>
          <w:lang w:val="ro-RO"/>
        </w:rPr>
        <w:t>Transporturi</w:t>
      </w:r>
      <w:r w:rsidR="001042E8" w:rsidRPr="00112D72">
        <w:rPr>
          <w:rFonts w:ascii="Arial" w:hAnsi="Arial" w:cs="Arial"/>
          <w:sz w:val="24"/>
          <w:szCs w:val="24"/>
          <w:lang w:val="ro-RO"/>
        </w:rPr>
        <w:t xml:space="preserve">” </w:t>
      </w:r>
      <w:r w:rsidRPr="00112D72">
        <w:rPr>
          <w:rFonts w:ascii="Arial" w:hAnsi="Arial" w:cs="Arial"/>
          <w:sz w:val="24"/>
          <w:szCs w:val="24"/>
          <w:lang w:val="ro-RO"/>
        </w:rPr>
        <w:t xml:space="preserve">în perioada analizată la nivelul judeţului Suceava, </w:t>
      </w:r>
      <w:r w:rsidR="00A05324" w:rsidRPr="00112D72">
        <w:rPr>
          <w:rFonts w:ascii="Arial" w:hAnsi="Arial" w:cs="Arial"/>
          <w:sz w:val="24"/>
          <w:szCs w:val="24"/>
          <w:lang w:val="ro-RO"/>
        </w:rPr>
        <w:t>datorată în principal creșterii numărului de autovehicule rutiere</w:t>
      </w:r>
      <w:r w:rsidR="00A05324">
        <w:rPr>
          <w:rFonts w:ascii="Arial" w:hAnsi="Arial" w:cs="Arial"/>
          <w:sz w:val="24"/>
          <w:szCs w:val="24"/>
          <w:lang w:val="ro-RO"/>
        </w:rPr>
        <w:t>,</w:t>
      </w:r>
      <w:r w:rsidR="00A05324" w:rsidRPr="00112D72">
        <w:rPr>
          <w:rFonts w:ascii="Arial" w:hAnsi="Arial" w:cs="Arial"/>
          <w:sz w:val="24"/>
          <w:szCs w:val="24"/>
          <w:lang w:val="ro-RO"/>
        </w:rPr>
        <w:t xml:space="preserve"> </w:t>
      </w:r>
      <w:r w:rsidR="00A05324">
        <w:rPr>
          <w:rFonts w:ascii="Arial" w:hAnsi="Arial" w:cs="Arial"/>
          <w:sz w:val="24"/>
          <w:szCs w:val="24"/>
          <w:lang w:val="ro-RO"/>
        </w:rPr>
        <w:t xml:space="preserve">dar </w:t>
      </w:r>
      <w:r w:rsidRPr="00112D72">
        <w:rPr>
          <w:rFonts w:ascii="Arial" w:hAnsi="Arial" w:cs="Arial"/>
          <w:sz w:val="24"/>
          <w:szCs w:val="24"/>
          <w:lang w:val="ro-RO"/>
        </w:rPr>
        <w:t xml:space="preserve">mai puțin accentuată în ultimii 3 ani. </w:t>
      </w:r>
    </w:p>
    <w:p w:rsidR="00336009" w:rsidRPr="00EC2099" w:rsidRDefault="00336009" w:rsidP="00704074">
      <w:pPr>
        <w:spacing w:after="0" w:line="240" w:lineRule="auto"/>
        <w:rPr>
          <w:rFonts w:ascii="Arial" w:hAnsi="Arial" w:cs="Arial"/>
          <w:b/>
          <w:bCs/>
          <w:i/>
          <w:sz w:val="16"/>
          <w:szCs w:val="16"/>
          <w:lang w:val="ro-RO"/>
        </w:rPr>
      </w:pPr>
    </w:p>
    <w:p w:rsidR="00704074" w:rsidRPr="00112D72" w:rsidRDefault="00704074" w:rsidP="00704074">
      <w:pPr>
        <w:spacing w:after="0" w:line="240" w:lineRule="auto"/>
        <w:rPr>
          <w:rFonts w:ascii="Arial" w:hAnsi="Arial" w:cs="Arial"/>
          <w:b/>
          <w:bCs/>
          <w:i/>
          <w:sz w:val="24"/>
          <w:szCs w:val="24"/>
          <w:lang w:val="ro-RO"/>
        </w:rPr>
      </w:pPr>
      <w:r w:rsidRPr="00112D72">
        <w:rPr>
          <w:rFonts w:ascii="Arial" w:hAnsi="Arial" w:cs="Arial"/>
          <w:b/>
          <w:bCs/>
          <w:i/>
          <w:sz w:val="24"/>
          <w:szCs w:val="24"/>
          <w:lang w:val="ro-RO"/>
        </w:rPr>
        <w:t>Emisiile de metale grele</w:t>
      </w:r>
    </w:p>
    <w:p w:rsidR="00704074" w:rsidRPr="00EC2099" w:rsidRDefault="00704074" w:rsidP="00704074">
      <w:pPr>
        <w:spacing w:after="0" w:line="240" w:lineRule="auto"/>
        <w:rPr>
          <w:rFonts w:ascii="Arial" w:hAnsi="Arial" w:cs="Arial"/>
          <w:b/>
          <w:bCs/>
          <w:i/>
          <w:sz w:val="10"/>
          <w:szCs w:val="10"/>
        </w:rPr>
      </w:pPr>
    </w:p>
    <w:p w:rsidR="00704074" w:rsidRPr="00112D72" w:rsidRDefault="00704074" w:rsidP="00704074">
      <w:pPr>
        <w:spacing w:after="0" w:line="240" w:lineRule="auto"/>
        <w:jc w:val="center"/>
        <w:rPr>
          <w:rFonts w:ascii="Arial" w:hAnsi="Arial" w:cs="Arial"/>
          <w:lang w:val="ro-RO" w:eastAsia="ro-RO"/>
        </w:rPr>
      </w:pPr>
      <w:r w:rsidRPr="00112D72">
        <w:rPr>
          <w:rFonts w:ascii="Arial" w:hAnsi="Arial" w:cs="Arial"/>
          <w:bCs/>
          <w:lang w:val="ro-RO"/>
        </w:rPr>
        <w:t xml:space="preserve">Fig. </w:t>
      </w:r>
      <w:r w:rsidRPr="00112D72">
        <w:rPr>
          <w:rFonts w:ascii="Arial" w:hAnsi="Arial" w:cs="Arial"/>
          <w:lang w:val="ro-RO" w:eastAsia="ro-RO"/>
        </w:rPr>
        <w:t xml:space="preserve">I.3.1.13. Tendinţa emisiilor totale de metale grele </w:t>
      </w:r>
    </w:p>
    <w:p w:rsidR="00704074" w:rsidRPr="00112D72" w:rsidRDefault="00704074" w:rsidP="00704074">
      <w:pPr>
        <w:spacing w:after="0" w:line="240" w:lineRule="auto"/>
        <w:jc w:val="center"/>
        <w:rPr>
          <w:rFonts w:ascii="Arial" w:hAnsi="Arial" w:cs="Arial"/>
          <w:lang w:val="ro-RO"/>
        </w:rPr>
      </w:pPr>
      <w:r w:rsidRPr="00112D72">
        <w:rPr>
          <w:rFonts w:ascii="Arial" w:hAnsi="Arial" w:cs="Arial"/>
          <w:lang w:val="ro-RO"/>
        </w:rPr>
        <w:t>la nivelul judeţului Suceava în perioada 201</w:t>
      </w:r>
      <w:r w:rsidR="009F4CBE" w:rsidRPr="00112D72">
        <w:rPr>
          <w:rFonts w:ascii="Arial" w:hAnsi="Arial" w:cs="Arial"/>
          <w:lang w:val="ro-RO"/>
        </w:rPr>
        <w:t>3</w:t>
      </w:r>
      <w:r w:rsidRPr="00112D72">
        <w:rPr>
          <w:rFonts w:ascii="Arial" w:hAnsi="Arial" w:cs="Arial"/>
          <w:lang w:val="ro-RO"/>
        </w:rPr>
        <w:t>-201</w:t>
      </w:r>
      <w:r w:rsidR="00235056" w:rsidRPr="00112D72">
        <w:rPr>
          <w:rFonts w:ascii="Arial" w:hAnsi="Arial" w:cs="Arial"/>
          <w:lang w:val="ro-RO"/>
        </w:rPr>
        <w:t>7</w:t>
      </w:r>
    </w:p>
    <w:p w:rsidR="00704074" w:rsidRPr="00112D72" w:rsidRDefault="00704074" w:rsidP="00704074">
      <w:pPr>
        <w:tabs>
          <w:tab w:val="left" w:pos="1560"/>
          <w:tab w:val="left" w:pos="8080"/>
        </w:tabs>
        <w:spacing w:after="120" w:line="240" w:lineRule="auto"/>
        <w:jc w:val="center"/>
        <w:rPr>
          <w:rFonts w:ascii="Arial" w:hAnsi="Arial" w:cs="Arial"/>
          <w:bCs/>
          <w:lang w:val="ro-RO"/>
        </w:rPr>
      </w:pPr>
      <w:r w:rsidRPr="00112D72">
        <w:rPr>
          <w:rFonts w:ascii="Arial" w:hAnsi="Arial" w:cs="Arial"/>
          <w:bCs/>
          <w:noProof/>
          <w:lang w:val="ro-RO" w:eastAsia="ro-RO"/>
        </w:rPr>
        <w:drawing>
          <wp:inline distT="0" distB="0" distL="0" distR="0">
            <wp:extent cx="4724400" cy="1362075"/>
            <wp:effectExtent l="19050" t="0" r="0" b="0"/>
            <wp:docPr id="113"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704074" w:rsidRPr="00112D72" w:rsidRDefault="00704074" w:rsidP="00704074">
      <w:pPr>
        <w:spacing w:after="0" w:line="240" w:lineRule="auto"/>
        <w:ind w:firstLine="720"/>
        <w:jc w:val="both"/>
        <w:rPr>
          <w:rFonts w:ascii="Arial" w:hAnsi="Arial" w:cs="Arial"/>
          <w:sz w:val="24"/>
          <w:lang w:val="ro-RO"/>
        </w:rPr>
      </w:pPr>
      <w:r w:rsidRPr="00112D72">
        <w:rPr>
          <w:rFonts w:ascii="Arial" w:hAnsi="Arial" w:cs="Arial"/>
          <w:sz w:val="24"/>
          <w:szCs w:val="24"/>
          <w:lang w:val="ro-RO"/>
        </w:rPr>
        <w:lastRenderedPageBreak/>
        <w:t xml:space="preserve">Scăderea emisiilor de </w:t>
      </w:r>
      <w:r w:rsidR="007E5B9B">
        <w:rPr>
          <w:rFonts w:ascii="Arial" w:hAnsi="Arial" w:cs="Arial"/>
          <w:sz w:val="24"/>
          <w:szCs w:val="24"/>
          <w:lang w:val="ro-RO"/>
        </w:rPr>
        <w:t>Pb</w:t>
      </w:r>
      <w:r w:rsidRPr="00112D72">
        <w:rPr>
          <w:rFonts w:ascii="Arial" w:hAnsi="Arial" w:cs="Arial"/>
          <w:sz w:val="24"/>
          <w:szCs w:val="24"/>
          <w:lang w:val="ro-RO"/>
        </w:rPr>
        <w:t xml:space="preserve"> și creșterea celor de </w:t>
      </w:r>
      <w:r w:rsidR="007E5B9B">
        <w:rPr>
          <w:rFonts w:ascii="Arial" w:hAnsi="Arial" w:cs="Arial"/>
          <w:sz w:val="24"/>
          <w:szCs w:val="24"/>
          <w:lang w:val="ro-RO"/>
        </w:rPr>
        <w:t>Cd</w:t>
      </w:r>
      <w:r w:rsidRPr="00112D72">
        <w:rPr>
          <w:rFonts w:ascii="Arial" w:hAnsi="Arial" w:cs="Arial"/>
          <w:sz w:val="24"/>
          <w:szCs w:val="24"/>
          <w:lang w:val="ro-RO"/>
        </w:rPr>
        <w:t xml:space="preserve"> </w:t>
      </w:r>
      <w:r w:rsidR="00517BB2">
        <w:rPr>
          <w:rFonts w:ascii="Arial" w:hAnsi="Arial" w:cs="Arial"/>
          <w:sz w:val="24"/>
          <w:szCs w:val="24"/>
          <w:lang w:val="ro-RO"/>
        </w:rPr>
        <w:t xml:space="preserve">după </w:t>
      </w:r>
      <w:r w:rsidRPr="00112D72">
        <w:rPr>
          <w:rFonts w:ascii="Arial" w:hAnsi="Arial" w:cs="Arial"/>
          <w:sz w:val="24"/>
          <w:szCs w:val="24"/>
          <w:lang w:val="ro-RO"/>
        </w:rPr>
        <w:t>anul 201</w:t>
      </w:r>
      <w:r w:rsidR="00517BB2">
        <w:rPr>
          <w:rFonts w:ascii="Arial" w:hAnsi="Arial" w:cs="Arial"/>
          <w:sz w:val="24"/>
          <w:szCs w:val="24"/>
          <w:lang w:val="ro-RO"/>
        </w:rPr>
        <w:t>4</w:t>
      </w:r>
      <w:r w:rsidRPr="00112D72">
        <w:rPr>
          <w:rFonts w:ascii="Arial" w:hAnsi="Arial" w:cs="Arial"/>
          <w:sz w:val="24"/>
          <w:szCs w:val="24"/>
          <w:lang w:val="ro-RO"/>
        </w:rPr>
        <w:t xml:space="preserve"> se datorează </w:t>
      </w:r>
      <w:r w:rsidR="001F7D44" w:rsidRPr="00112D72">
        <w:rPr>
          <w:rFonts w:ascii="Arial" w:hAnsi="Arial" w:cs="Arial"/>
          <w:sz w:val="24"/>
          <w:szCs w:val="24"/>
          <w:lang w:val="ro-RO"/>
        </w:rPr>
        <w:t xml:space="preserve">schimbării </w:t>
      </w:r>
      <w:r w:rsidR="001F7D44" w:rsidRPr="00112D72">
        <w:rPr>
          <w:rFonts w:ascii="Arial" w:hAnsi="Arial" w:cs="Arial"/>
          <w:sz w:val="24"/>
          <w:lang w:val="ro-RO"/>
        </w:rPr>
        <w:t>factorilor de emisie</w:t>
      </w:r>
      <w:r w:rsidRPr="00112D72">
        <w:rPr>
          <w:rFonts w:ascii="Arial" w:hAnsi="Arial" w:cs="Arial"/>
          <w:sz w:val="24"/>
          <w:lang w:val="ro-RO"/>
        </w:rPr>
        <w:t xml:space="preserve"> </w:t>
      </w:r>
      <w:r w:rsidR="001F7D44" w:rsidRPr="00112D72">
        <w:rPr>
          <w:rFonts w:ascii="Arial" w:hAnsi="Arial" w:cs="Arial"/>
          <w:sz w:val="24"/>
          <w:lang w:val="ro-RO"/>
        </w:rPr>
        <w:t>pentru</w:t>
      </w:r>
      <w:r w:rsidR="004200DD" w:rsidRPr="00112D72">
        <w:rPr>
          <w:rFonts w:ascii="Arial" w:hAnsi="Arial" w:cs="Arial"/>
          <w:sz w:val="24"/>
          <w:lang w:val="ro-RO"/>
        </w:rPr>
        <w:t xml:space="preserve"> arderile di</w:t>
      </w:r>
      <w:r w:rsidRPr="00112D72">
        <w:rPr>
          <w:rFonts w:ascii="Arial" w:hAnsi="Arial" w:cs="Arial"/>
          <w:sz w:val="24"/>
          <w:lang w:val="ro-RO"/>
        </w:rPr>
        <w:t>n sectorul rezidenţial</w:t>
      </w:r>
      <w:r w:rsidR="001F7D44" w:rsidRPr="00112D72">
        <w:rPr>
          <w:rFonts w:ascii="Arial" w:hAnsi="Arial" w:cs="Arial"/>
          <w:sz w:val="24"/>
          <w:lang w:val="ro-RO"/>
        </w:rPr>
        <w:t xml:space="preserve"> </w:t>
      </w:r>
      <w:r w:rsidR="004200DD" w:rsidRPr="00112D72">
        <w:rPr>
          <w:rFonts w:ascii="Arial" w:hAnsi="Arial" w:cs="Arial"/>
          <w:sz w:val="24"/>
          <w:lang w:val="ro-RO"/>
        </w:rPr>
        <w:t>di</w:t>
      </w:r>
      <w:r w:rsidR="001F7D44" w:rsidRPr="00112D72">
        <w:rPr>
          <w:rFonts w:ascii="Arial" w:hAnsi="Arial" w:cs="Arial"/>
          <w:sz w:val="24"/>
          <w:lang w:val="ro-RO"/>
        </w:rPr>
        <w:t>n</w:t>
      </w:r>
      <w:r w:rsidR="004200DD" w:rsidRPr="00112D72">
        <w:rPr>
          <w:rFonts w:ascii="Arial" w:hAnsi="Arial" w:cs="Arial"/>
          <w:sz w:val="24"/>
          <w:lang w:val="ro-RO"/>
        </w:rPr>
        <w:t xml:space="preserve"> </w:t>
      </w:r>
      <w:r w:rsidR="001F7D44" w:rsidRPr="00112D72">
        <w:rPr>
          <w:rFonts w:ascii="Arial" w:hAnsi="Arial" w:cs="Arial"/>
          <w:sz w:val="24"/>
          <w:lang w:val="ro-RO"/>
        </w:rPr>
        <w:t>versiun</w:t>
      </w:r>
      <w:r w:rsidR="004200DD" w:rsidRPr="00112D72">
        <w:rPr>
          <w:rFonts w:ascii="Arial" w:hAnsi="Arial" w:cs="Arial"/>
          <w:sz w:val="24"/>
          <w:lang w:val="ro-RO"/>
        </w:rPr>
        <w:t>il</w:t>
      </w:r>
      <w:r w:rsidR="001F7D44" w:rsidRPr="00112D72">
        <w:rPr>
          <w:rFonts w:ascii="Arial" w:hAnsi="Arial" w:cs="Arial"/>
          <w:sz w:val="24"/>
          <w:lang w:val="ro-RO"/>
        </w:rPr>
        <w:t>e EMEP/EEA 2013</w:t>
      </w:r>
      <w:r w:rsidR="004200DD" w:rsidRPr="00112D72">
        <w:rPr>
          <w:rFonts w:ascii="Arial" w:hAnsi="Arial" w:cs="Arial"/>
          <w:sz w:val="24"/>
          <w:lang w:val="ro-RO"/>
        </w:rPr>
        <w:t xml:space="preserve"> și 2016</w:t>
      </w:r>
      <w:r w:rsidR="001F7D44" w:rsidRPr="00112D72">
        <w:rPr>
          <w:rFonts w:ascii="Arial" w:hAnsi="Arial" w:cs="Arial"/>
          <w:sz w:val="24"/>
          <w:lang w:val="ro-RO"/>
        </w:rPr>
        <w:t>, față de versiunea 2009</w:t>
      </w:r>
      <w:r w:rsidR="00517BB2">
        <w:rPr>
          <w:rFonts w:ascii="Arial" w:hAnsi="Arial" w:cs="Arial"/>
          <w:sz w:val="24"/>
          <w:lang w:val="ro-RO"/>
        </w:rPr>
        <w:t xml:space="preserve">, </w:t>
      </w:r>
      <w:r w:rsidR="00517BB2" w:rsidRPr="00112D72">
        <w:rPr>
          <w:rFonts w:ascii="Arial" w:hAnsi="Arial" w:cs="Arial"/>
          <w:sz w:val="24"/>
          <w:lang w:val="ro-RO"/>
        </w:rPr>
        <w:t>în intervalul 2015-2017</w:t>
      </w:r>
      <w:r w:rsidR="00517BB2">
        <w:rPr>
          <w:rFonts w:ascii="Arial" w:hAnsi="Arial" w:cs="Arial"/>
          <w:sz w:val="24"/>
          <w:lang w:val="ro-RO"/>
        </w:rPr>
        <w:t xml:space="preserve"> e</w:t>
      </w:r>
      <w:r w:rsidR="00517BB2" w:rsidRPr="00112D72">
        <w:rPr>
          <w:rFonts w:ascii="Arial" w:hAnsi="Arial" w:cs="Arial"/>
          <w:sz w:val="24"/>
          <w:lang w:val="ro-RO"/>
        </w:rPr>
        <w:t>misiile de metale a</w:t>
      </w:r>
      <w:r w:rsidR="00517BB2">
        <w:rPr>
          <w:rFonts w:ascii="Arial" w:hAnsi="Arial" w:cs="Arial"/>
          <w:sz w:val="24"/>
          <w:lang w:val="ro-RO"/>
        </w:rPr>
        <w:t>vând</w:t>
      </w:r>
      <w:r w:rsidR="00517BB2" w:rsidRPr="00112D72">
        <w:rPr>
          <w:rFonts w:ascii="Arial" w:hAnsi="Arial" w:cs="Arial"/>
          <w:sz w:val="24"/>
          <w:lang w:val="ro-RO"/>
        </w:rPr>
        <w:t xml:space="preserve"> o tendință relativ staționară, la nivelul județului.</w:t>
      </w:r>
    </w:p>
    <w:p w:rsidR="00704074" w:rsidRPr="00EC2099" w:rsidRDefault="00704074" w:rsidP="00704074">
      <w:pPr>
        <w:spacing w:after="0" w:line="240" w:lineRule="auto"/>
        <w:jc w:val="center"/>
        <w:rPr>
          <w:rFonts w:ascii="Arial" w:hAnsi="Arial" w:cs="Arial"/>
          <w:bCs/>
          <w:sz w:val="16"/>
          <w:szCs w:val="16"/>
          <w:lang w:val="ro-RO"/>
        </w:rPr>
      </w:pPr>
    </w:p>
    <w:p w:rsidR="00704074" w:rsidRPr="00112D72" w:rsidRDefault="00704074" w:rsidP="00704074">
      <w:pPr>
        <w:spacing w:after="0" w:line="240" w:lineRule="auto"/>
        <w:jc w:val="center"/>
        <w:rPr>
          <w:rFonts w:ascii="Arial" w:hAnsi="Arial" w:cs="Arial"/>
          <w:lang w:val="ro-RO" w:eastAsia="ro-RO"/>
        </w:rPr>
      </w:pPr>
      <w:r w:rsidRPr="00112D72">
        <w:rPr>
          <w:rFonts w:ascii="Arial" w:hAnsi="Arial" w:cs="Arial"/>
          <w:bCs/>
          <w:lang w:val="ro-RO"/>
        </w:rPr>
        <w:t xml:space="preserve">Fig. </w:t>
      </w:r>
      <w:r w:rsidRPr="00112D72">
        <w:rPr>
          <w:rFonts w:ascii="Arial" w:hAnsi="Arial" w:cs="Arial"/>
          <w:lang w:val="ro-RO" w:eastAsia="ro-RO"/>
        </w:rPr>
        <w:t xml:space="preserve">I.3.1.14. Tendinţa emisiilor de metale grele </w:t>
      </w:r>
    </w:p>
    <w:p w:rsidR="00704074" w:rsidRPr="00112D72" w:rsidRDefault="00704074" w:rsidP="00704074">
      <w:pPr>
        <w:spacing w:after="0" w:line="240" w:lineRule="auto"/>
        <w:jc w:val="center"/>
        <w:rPr>
          <w:rFonts w:ascii="Arial" w:hAnsi="Arial" w:cs="Arial"/>
          <w:lang w:val="ro-RO" w:eastAsia="ro-RO"/>
        </w:rPr>
      </w:pPr>
      <w:r w:rsidRPr="00112D72">
        <w:rPr>
          <w:rFonts w:ascii="Arial" w:hAnsi="Arial" w:cs="Arial"/>
          <w:lang w:val="ro-RO" w:eastAsia="ro-RO"/>
        </w:rPr>
        <w:t xml:space="preserve">din sectorul de activitate </w:t>
      </w:r>
      <w:r w:rsidRPr="00112D72">
        <w:rPr>
          <w:rFonts w:ascii="Arial" w:hAnsi="Arial" w:cs="Arial"/>
          <w:b/>
          <w:lang w:val="ro-RO" w:eastAsia="ro-RO"/>
        </w:rPr>
        <w:t>transport</w:t>
      </w:r>
      <w:r w:rsidRPr="00112D72">
        <w:rPr>
          <w:rFonts w:ascii="Arial" w:hAnsi="Arial" w:cs="Arial"/>
          <w:lang w:val="ro-RO" w:eastAsia="ro-RO"/>
        </w:rPr>
        <w:t xml:space="preserve"> </w:t>
      </w:r>
      <w:r w:rsidRPr="00112D72">
        <w:rPr>
          <w:rFonts w:ascii="Arial" w:hAnsi="Arial" w:cs="Arial"/>
          <w:lang w:val="ro-RO"/>
        </w:rPr>
        <w:t xml:space="preserve">nivelul judeţului Suceava </w:t>
      </w:r>
      <w:r w:rsidRPr="00112D72">
        <w:rPr>
          <w:rFonts w:ascii="Arial" w:hAnsi="Arial" w:cs="Arial"/>
          <w:lang w:val="ro-RO" w:eastAsia="ro-RO"/>
        </w:rPr>
        <w:t xml:space="preserve"> </w:t>
      </w:r>
      <w:r w:rsidRPr="00112D72">
        <w:rPr>
          <w:rFonts w:ascii="Arial" w:hAnsi="Arial" w:cs="Arial"/>
          <w:lang w:val="ro-RO"/>
        </w:rPr>
        <w:t>în perioada 201</w:t>
      </w:r>
      <w:r w:rsidR="00AA722E" w:rsidRPr="00112D72">
        <w:rPr>
          <w:rFonts w:ascii="Arial" w:hAnsi="Arial" w:cs="Arial"/>
          <w:lang w:val="ro-RO"/>
        </w:rPr>
        <w:t>3</w:t>
      </w:r>
      <w:r w:rsidRPr="00112D72">
        <w:rPr>
          <w:rFonts w:ascii="Arial" w:hAnsi="Arial" w:cs="Arial"/>
          <w:lang w:val="ro-RO"/>
        </w:rPr>
        <w:t>-201</w:t>
      </w:r>
      <w:r w:rsidR="00A76B59" w:rsidRPr="00112D72">
        <w:rPr>
          <w:rFonts w:ascii="Arial" w:hAnsi="Arial" w:cs="Arial"/>
          <w:lang w:val="ro-RO"/>
        </w:rPr>
        <w:t>7</w:t>
      </w:r>
      <w:r w:rsidRPr="00112D72">
        <w:rPr>
          <w:rFonts w:ascii="Arial" w:hAnsi="Arial" w:cs="Arial"/>
          <w:i/>
          <w:sz w:val="24"/>
          <w:szCs w:val="24"/>
          <w:lang w:val="ro-RO"/>
        </w:rPr>
        <w:t xml:space="preserve"> </w:t>
      </w:r>
    </w:p>
    <w:p w:rsidR="00704074" w:rsidRPr="00112D72" w:rsidRDefault="00704074" w:rsidP="00704074">
      <w:pPr>
        <w:tabs>
          <w:tab w:val="left" w:pos="1701"/>
        </w:tabs>
        <w:spacing w:after="0" w:line="240" w:lineRule="auto"/>
        <w:jc w:val="center"/>
        <w:rPr>
          <w:rFonts w:ascii="Arial" w:hAnsi="Arial" w:cs="Arial"/>
          <w:b/>
          <w:bCs/>
          <w:i/>
          <w:sz w:val="24"/>
          <w:szCs w:val="24"/>
          <w:lang w:val="ro-RO"/>
        </w:rPr>
      </w:pPr>
      <w:r w:rsidRPr="00112D72">
        <w:rPr>
          <w:rFonts w:ascii="Arial" w:hAnsi="Arial" w:cs="Arial"/>
          <w:b/>
          <w:bCs/>
          <w:i/>
          <w:noProof/>
          <w:sz w:val="24"/>
          <w:szCs w:val="24"/>
          <w:lang w:val="ro-RO" w:eastAsia="ro-RO"/>
        </w:rPr>
        <w:drawing>
          <wp:inline distT="0" distB="0" distL="0" distR="0">
            <wp:extent cx="4676775" cy="1647825"/>
            <wp:effectExtent l="19050" t="0" r="0" b="0"/>
            <wp:docPr id="114"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967AC" w:rsidRPr="00EC2099" w:rsidRDefault="001967AC" w:rsidP="00A76B59">
      <w:pPr>
        <w:pStyle w:val="ListParagraph"/>
        <w:widowControl w:val="0"/>
        <w:ind w:left="360"/>
        <w:jc w:val="both"/>
        <w:rPr>
          <w:rFonts w:ascii="Arial" w:hAnsi="Arial" w:cs="Arial"/>
          <w:i/>
          <w:sz w:val="18"/>
          <w:szCs w:val="18"/>
          <w:lang w:val="ro-RO"/>
        </w:rPr>
      </w:pPr>
    </w:p>
    <w:p w:rsidR="00704074" w:rsidRPr="00112D72" w:rsidRDefault="00704074" w:rsidP="00704074">
      <w:pPr>
        <w:spacing w:after="0" w:line="240" w:lineRule="auto"/>
        <w:rPr>
          <w:rFonts w:ascii="Arial" w:hAnsi="Arial" w:cs="Arial"/>
          <w:b/>
          <w:bCs/>
          <w:i/>
          <w:sz w:val="24"/>
          <w:szCs w:val="24"/>
          <w:lang w:val="ro-RO"/>
        </w:rPr>
      </w:pPr>
      <w:r w:rsidRPr="00112D72">
        <w:rPr>
          <w:rFonts w:ascii="Arial" w:hAnsi="Arial" w:cs="Arial"/>
          <w:b/>
          <w:bCs/>
          <w:i/>
          <w:sz w:val="24"/>
          <w:szCs w:val="24"/>
          <w:lang w:val="ro-RO"/>
        </w:rPr>
        <w:t>Emisiile de poluanţi organic</w:t>
      </w:r>
      <w:r w:rsidR="004200DD" w:rsidRPr="00112D72">
        <w:rPr>
          <w:rFonts w:ascii="Arial" w:hAnsi="Arial" w:cs="Arial"/>
          <w:b/>
          <w:bCs/>
          <w:i/>
          <w:sz w:val="24"/>
          <w:szCs w:val="24"/>
          <w:lang w:val="ro-RO"/>
        </w:rPr>
        <w:t>i</w:t>
      </w:r>
      <w:r w:rsidRPr="00112D72">
        <w:rPr>
          <w:rFonts w:ascii="Arial" w:hAnsi="Arial" w:cs="Arial"/>
          <w:b/>
          <w:bCs/>
          <w:i/>
          <w:sz w:val="24"/>
          <w:szCs w:val="24"/>
          <w:lang w:val="ro-RO"/>
        </w:rPr>
        <w:t xml:space="preserve"> persistenţi</w:t>
      </w:r>
    </w:p>
    <w:p w:rsidR="00704074" w:rsidRPr="00EC2099" w:rsidRDefault="00704074" w:rsidP="00704074">
      <w:pPr>
        <w:spacing w:after="0" w:line="240" w:lineRule="auto"/>
        <w:rPr>
          <w:rFonts w:ascii="Arial" w:hAnsi="Arial" w:cs="Arial"/>
          <w:b/>
          <w:bCs/>
          <w:i/>
          <w:sz w:val="16"/>
          <w:szCs w:val="16"/>
          <w:lang w:val="ro-RO"/>
        </w:rPr>
      </w:pPr>
    </w:p>
    <w:p w:rsidR="00704074" w:rsidRPr="00112D72" w:rsidRDefault="00704074" w:rsidP="00704074">
      <w:pPr>
        <w:spacing w:after="0" w:line="240" w:lineRule="auto"/>
        <w:jc w:val="center"/>
        <w:rPr>
          <w:rFonts w:ascii="Arial" w:hAnsi="Arial" w:cs="Arial"/>
          <w:lang w:val="ro-RO" w:eastAsia="ro-RO"/>
        </w:rPr>
      </w:pPr>
      <w:r w:rsidRPr="00112D72">
        <w:rPr>
          <w:rFonts w:ascii="Arial" w:hAnsi="Arial" w:cs="Arial"/>
          <w:bCs/>
          <w:lang w:val="ro-RO"/>
        </w:rPr>
        <w:t xml:space="preserve">Fig. </w:t>
      </w:r>
      <w:r w:rsidRPr="00112D72">
        <w:rPr>
          <w:rFonts w:ascii="Arial" w:hAnsi="Arial" w:cs="Arial"/>
          <w:lang w:val="ro-RO" w:eastAsia="ro-RO"/>
        </w:rPr>
        <w:t xml:space="preserve">I.3.1.15. Tendinţa emisiilor de poluanţi organici persistenţi </w:t>
      </w:r>
    </w:p>
    <w:p w:rsidR="00704074" w:rsidRPr="00112D72" w:rsidRDefault="00704074" w:rsidP="00704074">
      <w:pPr>
        <w:spacing w:after="0" w:line="240" w:lineRule="auto"/>
        <w:jc w:val="center"/>
        <w:rPr>
          <w:rFonts w:ascii="Arial" w:hAnsi="Arial" w:cs="Arial"/>
          <w:lang w:val="ro-RO"/>
        </w:rPr>
      </w:pPr>
      <w:r w:rsidRPr="00112D72">
        <w:rPr>
          <w:rFonts w:ascii="Arial" w:hAnsi="Arial" w:cs="Arial"/>
          <w:lang w:val="ro-RO"/>
        </w:rPr>
        <w:t>la nivelul judeţului Suceava în perioada 201</w:t>
      </w:r>
      <w:r w:rsidR="007C2C14" w:rsidRPr="00112D72">
        <w:rPr>
          <w:rFonts w:ascii="Arial" w:hAnsi="Arial" w:cs="Arial"/>
          <w:lang w:val="ro-RO"/>
        </w:rPr>
        <w:t>3</w:t>
      </w:r>
      <w:r w:rsidRPr="00112D72">
        <w:rPr>
          <w:rFonts w:ascii="Arial" w:hAnsi="Arial" w:cs="Arial"/>
          <w:lang w:val="ro-RO"/>
        </w:rPr>
        <w:t>-201</w:t>
      </w:r>
      <w:r w:rsidR="004F4A26" w:rsidRPr="00112D72">
        <w:rPr>
          <w:rFonts w:ascii="Arial" w:hAnsi="Arial" w:cs="Arial"/>
          <w:lang w:val="ro-RO"/>
        </w:rPr>
        <w:t>7</w:t>
      </w:r>
      <w:r w:rsidRPr="00112D72">
        <w:rPr>
          <w:rFonts w:ascii="Arial" w:hAnsi="Arial" w:cs="Arial"/>
          <w:i/>
          <w:sz w:val="24"/>
          <w:szCs w:val="24"/>
          <w:lang w:val="ro-RO"/>
        </w:rPr>
        <w:t xml:space="preserve"> </w:t>
      </w:r>
    </w:p>
    <w:p w:rsidR="00704074" w:rsidRPr="00112D72" w:rsidRDefault="00704074" w:rsidP="00704074">
      <w:pPr>
        <w:spacing w:after="120" w:line="240" w:lineRule="auto"/>
        <w:jc w:val="center"/>
        <w:rPr>
          <w:rFonts w:ascii="Arial" w:hAnsi="Arial" w:cs="Arial"/>
          <w:bCs/>
          <w:lang w:val="ro-RO"/>
        </w:rPr>
      </w:pPr>
      <w:r w:rsidRPr="00112D72">
        <w:rPr>
          <w:rFonts w:ascii="Arial" w:hAnsi="Arial" w:cs="Arial"/>
          <w:bCs/>
          <w:noProof/>
          <w:lang w:val="ro-RO" w:eastAsia="ro-RO"/>
        </w:rPr>
        <w:drawing>
          <wp:inline distT="0" distB="0" distL="0" distR="0">
            <wp:extent cx="5219700" cy="1590675"/>
            <wp:effectExtent l="19050" t="0" r="0" b="0"/>
            <wp:docPr id="11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4200DD" w:rsidRPr="00EC2099" w:rsidRDefault="004200DD" w:rsidP="00704074">
      <w:pPr>
        <w:spacing w:after="0" w:line="240" w:lineRule="auto"/>
        <w:jc w:val="both"/>
        <w:rPr>
          <w:rFonts w:ascii="Arial" w:hAnsi="Arial" w:cs="Arial"/>
          <w:i/>
          <w:sz w:val="16"/>
          <w:szCs w:val="16"/>
          <w:lang w:val="ro-RO"/>
        </w:rPr>
      </w:pPr>
    </w:p>
    <w:p w:rsidR="00704074" w:rsidRPr="00112D72" w:rsidRDefault="00704074" w:rsidP="00704074">
      <w:pPr>
        <w:spacing w:after="0" w:line="240" w:lineRule="auto"/>
        <w:jc w:val="center"/>
        <w:rPr>
          <w:rFonts w:ascii="Arial" w:hAnsi="Arial" w:cs="Arial"/>
          <w:lang w:val="ro-RO" w:eastAsia="ro-RO"/>
        </w:rPr>
      </w:pPr>
      <w:r w:rsidRPr="00112D72">
        <w:rPr>
          <w:rFonts w:ascii="Arial" w:hAnsi="Arial" w:cs="Arial"/>
          <w:bCs/>
          <w:lang w:val="ro-RO"/>
        </w:rPr>
        <w:t xml:space="preserve">Fig. </w:t>
      </w:r>
      <w:r w:rsidRPr="00112D72">
        <w:rPr>
          <w:rFonts w:ascii="Arial" w:hAnsi="Arial" w:cs="Arial"/>
          <w:lang w:val="ro-RO" w:eastAsia="ro-RO"/>
        </w:rPr>
        <w:t xml:space="preserve">I.3.1.16 Tendinţa emisiilor de poluanţi organici persistenţi </w:t>
      </w:r>
    </w:p>
    <w:p w:rsidR="00704074" w:rsidRDefault="00704074" w:rsidP="00704074">
      <w:pPr>
        <w:spacing w:after="0" w:line="240" w:lineRule="auto"/>
        <w:jc w:val="center"/>
        <w:rPr>
          <w:rFonts w:ascii="Arial" w:hAnsi="Arial" w:cs="Arial"/>
          <w:lang w:val="ro-RO"/>
        </w:rPr>
      </w:pPr>
      <w:r w:rsidRPr="00112D72">
        <w:rPr>
          <w:rFonts w:ascii="Arial" w:hAnsi="Arial" w:cs="Arial"/>
          <w:lang w:val="ro-RO"/>
        </w:rPr>
        <w:t xml:space="preserve">din sectorul de activitate </w:t>
      </w:r>
      <w:r w:rsidRPr="00112D72">
        <w:rPr>
          <w:rFonts w:ascii="Arial" w:hAnsi="Arial" w:cs="Arial"/>
          <w:b/>
          <w:lang w:val="ro-RO"/>
        </w:rPr>
        <w:t>energie</w:t>
      </w:r>
      <w:r w:rsidRPr="00112D72">
        <w:rPr>
          <w:rFonts w:ascii="Arial" w:hAnsi="Arial" w:cs="Arial"/>
          <w:lang w:val="ro-RO"/>
        </w:rPr>
        <w:t xml:space="preserve"> la nivelul judeţului Suceava în perioada 201</w:t>
      </w:r>
      <w:r w:rsidR="000D319A" w:rsidRPr="00112D72">
        <w:rPr>
          <w:rFonts w:ascii="Arial" w:hAnsi="Arial" w:cs="Arial"/>
          <w:lang w:val="ro-RO"/>
        </w:rPr>
        <w:t>3</w:t>
      </w:r>
      <w:r w:rsidRPr="00112D72">
        <w:rPr>
          <w:rFonts w:ascii="Arial" w:hAnsi="Arial" w:cs="Arial"/>
          <w:lang w:val="ro-RO"/>
        </w:rPr>
        <w:t>-201</w:t>
      </w:r>
      <w:r w:rsidR="00B10842" w:rsidRPr="00112D72">
        <w:rPr>
          <w:rFonts w:ascii="Arial" w:hAnsi="Arial" w:cs="Arial"/>
          <w:lang w:val="ro-RO"/>
        </w:rPr>
        <w:t>7</w:t>
      </w:r>
    </w:p>
    <w:p w:rsidR="007E5B9B" w:rsidRPr="00112D72" w:rsidRDefault="007E5B9B" w:rsidP="007E5B9B">
      <w:pPr>
        <w:spacing w:after="120" w:line="240" w:lineRule="auto"/>
        <w:jc w:val="center"/>
        <w:rPr>
          <w:rFonts w:ascii="Arial" w:hAnsi="Arial" w:cs="Arial"/>
          <w:bCs/>
          <w:lang w:val="ro-RO"/>
        </w:rPr>
      </w:pPr>
      <w:r w:rsidRPr="00112D72">
        <w:rPr>
          <w:rFonts w:ascii="Arial" w:hAnsi="Arial" w:cs="Arial"/>
          <w:bCs/>
          <w:noProof/>
          <w:lang w:val="ro-RO" w:eastAsia="ro-RO"/>
        </w:rPr>
        <w:drawing>
          <wp:inline distT="0" distB="0" distL="0" distR="0">
            <wp:extent cx="5219700" cy="1504950"/>
            <wp:effectExtent l="19050" t="0" r="0" b="0"/>
            <wp:docPr id="17"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EC2099" w:rsidRDefault="00EC2099" w:rsidP="00704074">
      <w:pPr>
        <w:spacing w:after="0" w:line="240" w:lineRule="auto"/>
        <w:ind w:firstLine="720"/>
        <w:jc w:val="both"/>
        <w:rPr>
          <w:rFonts w:ascii="Arial" w:hAnsi="Arial" w:cs="Arial"/>
          <w:bCs/>
          <w:sz w:val="24"/>
          <w:szCs w:val="24"/>
          <w:lang w:val="ro-RO"/>
        </w:rPr>
      </w:pPr>
    </w:p>
    <w:p w:rsidR="00515E2F" w:rsidRPr="00112D72" w:rsidRDefault="00515E2F" w:rsidP="00704074">
      <w:pPr>
        <w:spacing w:after="0" w:line="240" w:lineRule="auto"/>
        <w:ind w:firstLine="720"/>
        <w:jc w:val="both"/>
        <w:rPr>
          <w:rFonts w:ascii="Arial" w:hAnsi="Arial" w:cs="Arial"/>
          <w:bCs/>
          <w:sz w:val="24"/>
          <w:szCs w:val="24"/>
          <w:lang w:val="ro-RO"/>
        </w:rPr>
      </w:pPr>
      <w:r w:rsidRPr="00112D72">
        <w:rPr>
          <w:rFonts w:ascii="Arial" w:hAnsi="Arial" w:cs="Arial"/>
          <w:bCs/>
          <w:sz w:val="24"/>
          <w:szCs w:val="24"/>
          <w:lang w:val="ro-RO"/>
        </w:rPr>
        <w:t xml:space="preserve">Creșterea emisiilor de PCDD/PCDF și scăderea emisiilor de PAH care se observă în fig. I.3.1.15 și I.3.1.16 începând cu anul 2015, se datorează creșterii, respectiv scăderii factorilor de emisie aferenți acestor poluanți pentru activitatea de ardere a lemnului în instalații de încălzire rezidențială (sobe), din versiunile EMEP/EEA 2013 și 2016 față de versiunea 2009. </w:t>
      </w:r>
    </w:p>
    <w:p w:rsidR="001F5878" w:rsidRPr="00112D72" w:rsidRDefault="0090420F" w:rsidP="00704074">
      <w:pPr>
        <w:spacing w:after="0" w:line="240" w:lineRule="auto"/>
        <w:ind w:firstLine="720"/>
        <w:jc w:val="both"/>
        <w:rPr>
          <w:rFonts w:ascii="Arial" w:hAnsi="Arial" w:cs="Arial"/>
          <w:bCs/>
          <w:sz w:val="24"/>
          <w:szCs w:val="24"/>
          <w:lang w:val="ro-RO"/>
        </w:rPr>
      </w:pPr>
      <w:r>
        <w:rPr>
          <w:rFonts w:ascii="Arial" w:hAnsi="Arial" w:cs="Arial"/>
          <w:bCs/>
          <w:sz w:val="24"/>
          <w:szCs w:val="24"/>
          <w:lang w:val="ro-RO"/>
        </w:rPr>
        <w:t>Î</w:t>
      </w:r>
      <w:r w:rsidR="00515E2F" w:rsidRPr="00112D72">
        <w:rPr>
          <w:rFonts w:ascii="Arial" w:hAnsi="Arial" w:cs="Arial"/>
          <w:bCs/>
          <w:sz w:val="24"/>
          <w:szCs w:val="24"/>
          <w:lang w:val="ro-RO"/>
        </w:rPr>
        <w:t xml:space="preserve">n perioada 2015-2017 s-a manifestat </w:t>
      </w:r>
      <w:r w:rsidR="000B38C2" w:rsidRPr="00112D72">
        <w:rPr>
          <w:rFonts w:ascii="Arial" w:hAnsi="Arial" w:cs="Arial"/>
          <w:bCs/>
          <w:sz w:val="24"/>
          <w:szCs w:val="24"/>
          <w:lang w:val="ro-RO"/>
        </w:rPr>
        <w:t>o ușoară</w:t>
      </w:r>
      <w:r w:rsidR="00515E2F" w:rsidRPr="00112D72">
        <w:rPr>
          <w:rFonts w:ascii="Arial" w:hAnsi="Arial" w:cs="Arial"/>
          <w:bCs/>
          <w:sz w:val="24"/>
          <w:szCs w:val="24"/>
          <w:lang w:val="ro-RO"/>
        </w:rPr>
        <w:t xml:space="preserve"> </w:t>
      </w:r>
      <w:r w:rsidR="000B38C2" w:rsidRPr="00112D72">
        <w:rPr>
          <w:rFonts w:ascii="Arial" w:hAnsi="Arial" w:cs="Arial"/>
          <w:bCs/>
          <w:sz w:val="24"/>
          <w:szCs w:val="24"/>
          <w:lang w:val="ro-RO"/>
        </w:rPr>
        <w:t xml:space="preserve">tendință de creștere a emisiilor de </w:t>
      </w:r>
      <w:r w:rsidR="00515E2F" w:rsidRPr="00112D72">
        <w:rPr>
          <w:rFonts w:ascii="Arial" w:hAnsi="Arial" w:cs="Arial"/>
          <w:bCs/>
          <w:sz w:val="24"/>
          <w:szCs w:val="24"/>
          <w:lang w:val="ro-RO"/>
        </w:rPr>
        <w:t>POP</w:t>
      </w:r>
      <w:r w:rsidR="000B38C2" w:rsidRPr="00112D72">
        <w:rPr>
          <w:rFonts w:ascii="Arial" w:hAnsi="Arial" w:cs="Arial"/>
          <w:bCs/>
          <w:sz w:val="24"/>
          <w:szCs w:val="24"/>
          <w:lang w:val="ro-RO"/>
        </w:rPr>
        <w:t xml:space="preserve">, coroborată cu creșterea cantităților de lemn de foc </w:t>
      </w:r>
      <w:r w:rsidR="00112D72" w:rsidRPr="00112D72">
        <w:rPr>
          <w:rFonts w:ascii="Arial" w:hAnsi="Arial" w:cs="Arial"/>
          <w:bCs/>
          <w:sz w:val="24"/>
          <w:szCs w:val="24"/>
          <w:lang w:val="ro-RO"/>
        </w:rPr>
        <w:t xml:space="preserve">utilizate </w:t>
      </w:r>
      <w:r w:rsidR="000B38C2" w:rsidRPr="00112D72">
        <w:rPr>
          <w:rFonts w:ascii="Arial" w:hAnsi="Arial" w:cs="Arial"/>
          <w:bCs/>
          <w:sz w:val="24"/>
          <w:szCs w:val="24"/>
          <w:lang w:val="ro-RO"/>
        </w:rPr>
        <w:t>anual la nivel de județ</w:t>
      </w:r>
      <w:r w:rsidR="00112D72" w:rsidRPr="00112D72">
        <w:rPr>
          <w:rFonts w:ascii="Arial" w:hAnsi="Arial" w:cs="Arial"/>
          <w:bCs/>
          <w:sz w:val="24"/>
          <w:szCs w:val="24"/>
          <w:lang w:val="ro-RO"/>
        </w:rPr>
        <w:t>, conform datelor raportate de primăriile din județ</w:t>
      </w:r>
      <w:r w:rsidR="000B38C2" w:rsidRPr="00112D72">
        <w:rPr>
          <w:rFonts w:ascii="Arial" w:hAnsi="Arial" w:cs="Arial"/>
          <w:bCs/>
          <w:sz w:val="24"/>
          <w:szCs w:val="24"/>
          <w:lang w:val="ro-RO"/>
        </w:rPr>
        <w:t>.</w:t>
      </w:r>
    </w:p>
    <w:p w:rsidR="00112D72" w:rsidRDefault="00112D72" w:rsidP="00B720D1">
      <w:pPr>
        <w:widowControl w:val="0"/>
        <w:autoSpaceDE w:val="0"/>
        <w:autoSpaceDN w:val="0"/>
        <w:adjustRightInd w:val="0"/>
        <w:spacing w:after="0" w:line="240" w:lineRule="auto"/>
        <w:jc w:val="both"/>
        <w:rPr>
          <w:rFonts w:ascii="Arial" w:hAnsi="Arial" w:cs="Arial"/>
          <w:b/>
          <w:bCs/>
          <w:sz w:val="24"/>
          <w:szCs w:val="24"/>
          <w:lang w:val="ro-RO"/>
        </w:rPr>
      </w:pPr>
    </w:p>
    <w:p w:rsidR="00EC2099" w:rsidRDefault="00EC2099" w:rsidP="00B720D1">
      <w:pPr>
        <w:widowControl w:val="0"/>
        <w:autoSpaceDE w:val="0"/>
        <w:autoSpaceDN w:val="0"/>
        <w:adjustRightInd w:val="0"/>
        <w:spacing w:after="0" w:line="240" w:lineRule="auto"/>
        <w:jc w:val="both"/>
        <w:rPr>
          <w:rFonts w:ascii="Arial" w:hAnsi="Arial" w:cs="Arial"/>
          <w:b/>
          <w:bCs/>
          <w:sz w:val="24"/>
          <w:szCs w:val="24"/>
          <w:lang w:val="ro-RO"/>
        </w:rPr>
      </w:pPr>
    </w:p>
    <w:p w:rsidR="00EC2099" w:rsidRPr="00EC2099" w:rsidRDefault="00EC2099" w:rsidP="00B720D1">
      <w:pPr>
        <w:widowControl w:val="0"/>
        <w:autoSpaceDE w:val="0"/>
        <w:autoSpaceDN w:val="0"/>
        <w:adjustRightInd w:val="0"/>
        <w:spacing w:after="0" w:line="240" w:lineRule="auto"/>
        <w:jc w:val="both"/>
        <w:rPr>
          <w:rFonts w:ascii="Arial" w:hAnsi="Arial" w:cs="Arial"/>
          <w:b/>
          <w:bCs/>
          <w:sz w:val="24"/>
          <w:szCs w:val="24"/>
          <w:lang w:val="ro-RO"/>
        </w:rPr>
      </w:pPr>
    </w:p>
    <w:p w:rsidR="00EC2099" w:rsidRDefault="00EC2099" w:rsidP="00B720D1">
      <w:pPr>
        <w:widowControl w:val="0"/>
        <w:autoSpaceDE w:val="0"/>
        <w:autoSpaceDN w:val="0"/>
        <w:adjustRightInd w:val="0"/>
        <w:spacing w:after="0" w:line="240" w:lineRule="auto"/>
        <w:jc w:val="both"/>
        <w:rPr>
          <w:rFonts w:ascii="Arial" w:hAnsi="Arial" w:cs="Arial"/>
          <w:b/>
          <w:bCs/>
          <w:sz w:val="24"/>
          <w:szCs w:val="24"/>
          <w:lang w:val="ro-RO"/>
        </w:rPr>
      </w:pPr>
    </w:p>
    <w:p w:rsidR="00B720D1" w:rsidRPr="00112D72" w:rsidRDefault="00B720D1" w:rsidP="00B720D1">
      <w:pPr>
        <w:widowControl w:val="0"/>
        <w:autoSpaceDE w:val="0"/>
        <w:autoSpaceDN w:val="0"/>
        <w:adjustRightInd w:val="0"/>
        <w:spacing w:after="0" w:line="240" w:lineRule="auto"/>
        <w:jc w:val="both"/>
        <w:rPr>
          <w:rFonts w:ascii="Arial" w:hAnsi="Arial" w:cs="Arial"/>
          <w:b/>
          <w:bCs/>
          <w:sz w:val="24"/>
          <w:szCs w:val="24"/>
          <w:lang w:val="ro-RO"/>
        </w:rPr>
      </w:pPr>
      <w:r w:rsidRPr="00112D72">
        <w:rPr>
          <w:rFonts w:ascii="Arial" w:hAnsi="Arial" w:cs="Arial"/>
          <w:b/>
          <w:bCs/>
          <w:sz w:val="24"/>
          <w:szCs w:val="24"/>
          <w:lang w:val="ro-RO"/>
        </w:rPr>
        <w:t>I.</w:t>
      </w:r>
      <w:r w:rsidR="00704074" w:rsidRPr="00112D72">
        <w:rPr>
          <w:rFonts w:ascii="Arial" w:hAnsi="Arial" w:cs="Arial"/>
          <w:b/>
          <w:bCs/>
          <w:sz w:val="24"/>
          <w:szCs w:val="24"/>
          <w:lang w:val="ro-RO"/>
        </w:rPr>
        <w:t>4</w:t>
      </w:r>
      <w:r w:rsidRPr="00112D72">
        <w:rPr>
          <w:rFonts w:ascii="Arial" w:hAnsi="Arial" w:cs="Arial"/>
          <w:b/>
          <w:bCs/>
          <w:sz w:val="24"/>
          <w:szCs w:val="24"/>
          <w:lang w:val="ro-RO"/>
        </w:rPr>
        <w:t>. Politici, acţiuni şi măsuri pentru îmbunăţirea calităţii aerului înconjurător</w:t>
      </w:r>
    </w:p>
    <w:p w:rsidR="00B720D1" w:rsidRPr="00112D72" w:rsidRDefault="00B720D1" w:rsidP="00B720D1">
      <w:pPr>
        <w:widowControl w:val="0"/>
        <w:autoSpaceDE w:val="0"/>
        <w:autoSpaceDN w:val="0"/>
        <w:adjustRightInd w:val="0"/>
        <w:spacing w:after="0" w:line="240" w:lineRule="auto"/>
        <w:ind w:firstLine="720"/>
        <w:jc w:val="both"/>
        <w:rPr>
          <w:rFonts w:ascii="Arial" w:hAnsi="Arial" w:cs="Arial"/>
          <w:b/>
          <w:bCs/>
          <w:sz w:val="16"/>
          <w:szCs w:val="16"/>
          <w:lang w:val="ro-RO"/>
        </w:rPr>
      </w:pPr>
    </w:p>
    <w:p w:rsidR="0009362B" w:rsidRPr="00112D72" w:rsidRDefault="0009362B" w:rsidP="0009362B">
      <w:pPr>
        <w:widowControl w:val="0"/>
        <w:spacing w:after="0" w:line="240" w:lineRule="auto"/>
        <w:ind w:firstLine="720"/>
        <w:jc w:val="both"/>
        <w:rPr>
          <w:rFonts w:ascii="Arial" w:hAnsi="Arial" w:cs="Arial"/>
          <w:sz w:val="24"/>
          <w:szCs w:val="24"/>
          <w:lang w:val="ro-RO"/>
        </w:rPr>
      </w:pPr>
      <w:r w:rsidRPr="00112D72">
        <w:rPr>
          <w:rFonts w:ascii="Arial" w:hAnsi="Arial" w:cs="Arial"/>
          <w:sz w:val="24"/>
          <w:szCs w:val="24"/>
          <w:lang w:val="ro-RO"/>
        </w:rPr>
        <w:t xml:space="preserve">Conform </w:t>
      </w:r>
      <w:r w:rsidRPr="00112D72">
        <w:rPr>
          <w:rFonts w:ascii="Arial" w:hAnsi="Arial" w:cs="Arial"/>
          <w:i/>
          <w:sz w:val="24"/>
          <w:szCs w:val="24"/>
          <w:lang w:val="ro-RO"/>
        </w:rPr>
        <w:t>Ordinului M.M.A.P. nr. 1206/2015</w:t>
      </w:r>
      <w:r w:rsidRPr="007E5B9B">
        <w:rPr>
          <w:rFonts w:ascii="Arial" w:hAnsi="Arial" w:cs="Arial"/>
          <w:sz w:val="24"/>
          <w:szCs w:val="24"/>
          <w:lang w:val="ro-RO"/>
        </w:rPr>
        <w:t>, pentru aprobarea listelor cu unităţile administrativ-teritoriale întocmite în urma încadrării în regimuri de gestionare a ariilor din zonele şi aglomerările prevăzute în anexa nr. 2 la Legea nr. 104/2011 privind calitatea aerului înconjurător</w:t>
      </w:r>
      <w:r w:rsidRPr="00112D72">
        <w:rPr>
          <w:rFonts w:ascii="Arial" w:hAnsi="Arial" w:cs="Arial"/>
          <w:sz w:val="24"/>
          <w:szCs w:val="24"/>
          <w:lang w:val="ro-RO"/>
        </w:rPr>
        <w:t>, judeţul Suceava</w:t>
      </w:r>
      <w:r w:rsidRPr="00112D72">
        <w:rPr>
          <w:rFonts w:ascii="Arial" w:hAnsi="Arial" w:cs="Arial"/>
          <w:b/>
          <w:sz w:val="24"/>
          <w:szCs w:val="24"/>
          <w:lang w:val="ro-RO"/>
        </w:rPr>
        <w:t xml:space="preserve"> </w:t>
      </w:r>
      <w:r w:rsidRPr="00112D72">
        <w:rPr>
          <w:rFonts w:ascii="Arial" w:hAnsi="Arial" w:cs="Arial"/>
          <w:sz w:val="24"/>
          <w:szCs w:val="24"/>
          <w:lang w:val="ro-RO"/>
        </w:rPr>
        <w:t>s-a încadrat</w:t>
      </w:r>
      <w:r w:rsidRPr="00112D72">
        <w:rPr>
          <w:rFonts w:ascii="Arial" w:hAnsi="Arial" w:cs="Arial"/>
          <w:b/>
          <w:sz w:val="24"/>
          <w:szCs w:val="24"/>
          <w:lang w:val="ro-RO"/>
        </w:rPr>
        <w:t xml:space="preserve"> </w:t>
      </w:r>
      <w:r w:rsidRPr="00112D72">
        <w:rPr>
          <w:rFonts w:ascii="Arial" w:hAnsi="Arial" w:cs="Arial"/>
          <w:sz w:val="24"/>
          <w:szCs w:val="24"/>
          <w:lang w:val="ro-RO"/>
        </w:rPr>
        <w:t xml:space="preserve">în </w:t>
      </w:r>
      <w:r w:rsidRPr="00112D72">
        <w:rPr>
          <w:rFonts w:ascii="Arial" w:hAnsi="Arial" w:cs="Arial"/>
          <w:b/>
          <w:sz w:val="24"/>
          <w:szCs w:val="24"/>
          <w:lang w:val="ro-RO"/>
        </w:rPr>
        <w:t>regimul II de gestionare</w:t>
      </w:r>
      <w:r w:rsidRPr="00112D72">
        <w:rPr>
          <w:rFonts w:ascii="Arial" w:hAnsi="Arial" w:cs="Arial"/>
          <w:sz w:val="24"/>
          <w:szCs w:val="24"/>
          <w:lang w:val="ro-RO"/>
        </w:rPr>
        <w:t xml:space="preserve"> a calităţii aerului (zonă în care </w:t>
      </w:r>
      <w:r w:rsidRPr="007E5B9B">
        <w:rPr>
          <w:rFonts w:ascii="Arial" w:hAnsi="Arial" w:cs="Arial"/>
          <w:sz w:val="24"/>
          <w:szCs w:val="24"/>
          <w:lang w:val="ro-RO"/>
        </w:rPr>
        <w:t>nivelurile poluanţilor sunt</w:t>
      </w:r>
      <w:r w:rsidRPr="00112D72">
        <w:rPr>
          <w:rFonts w:ascii="Arial" w:hAnsi="Arial" w:cs="Arial"/>
          <w:b/>
          <w:sz w:val="24"/>
          <w:szCs w:val="24"/>
          <w:lang w:val="ro-RO"/>
        </w:rPr>
        <w:t xml:space="preserve"> mai mici decât valorile-limită şi ţintă</w:t>
      </w:r>
      <w:r w:rsidRPr="00112D72">
        <w:rPr>
          <w:rFonts w:ascii="Arial" w:hAnsi="Arial" w:cs="Arial"/>
          <w:sz w:val="24"/>
          <w:szCs w:val="24"/>
          <w:lang w:val="ro-RO"/>
        </w:rPr>
        <w:t xml:space="preserve"> prevăzute de lege). </w:t>
      </w:r>
    </w:p>
    <w:p w:rsidR="00EC2099" w:rsidRDefault="00EC2099" w:rsidP="00B720D1">
      <w:pPr>
        <w:widowControl w:val="0"/>
        <w:autoSpaceDE w:val="0"/>
        <w:autoSpaceDN w:val="0"/>
        <w:adjustRightInd w:val="0"/>
        <w:spacing w:after="0" w:line="240" w:lineRule="auto"/>
        <w:ind w:firstLine="720"/>
        <w:jc w:val="both"/>
        <w:rPr>
          <w:rFonts w:ascii="Arial" w:hAnsi="Arial" w:cs="Arial"/>
          <w:sz w:val="24"/>
          <w:szCs w:val="24"/>
          <w:lang w:val="ro-RO"/>
        </w:rPr>
      </w:pPr>
    </w:p>
    <w:p w:rsidR="00EC2099" w:rsidRDefault="008F658D" w:rsidP="00EC2099">
      <w:pPr>
        <w:widowControl w:val="0"/>
        <w:autoSpaceDE w:val="0"/>
        <w:autoSpaceDN w:val="0"/>
        <w:adjustRightInd w:val="0"/>
        <w:spacing w:after="0" w:line="240" w:lineRule="auto"/>
        <w:ind w:firstLine="720"/>
        <w:jc w:val="both"/>
        <w:rPr>
          <w:rFonts w:ascii="Arial" w:hAnsi="Arial" w:cs="Arial"/>
          <w:sz w:val="24"/>
          <w:szCs w:val="24"/>
          <w:lang w:val="ro-RO"/>
        </w:rPr>
      </w:pPr>
      <w:r w:rsidRPr="00112D72">
        <w:rPr>
          <w:rFonts w:ascii="Arial" w:hAnsi="Arial" w:cs="Arial"/>
          <w:sz w:val="24"/>
          <w:szCs w:val="24"/>
          <w:lang w:val="ro-RO"/>
        </w:rPr>
        <w:t xml:space="preserve">Potrivit </w:t>
      </w:r>
      <w:r w:rsidRPr="00112D72">
        <w:rPr>
          <w:rFonts w:ascii="Arial" w:hAnsi="Arial" w:cs="Arial"/>
          <w:i/>
          <w:sz w:val="24"/>
          <w:szCs w:val="24"/>
          <w:lang w:val="ro-RO"/>
        </w:rPr>
        <w:t>Ordinului nr. 598/2018 privind aprobarea listelor cu unităţile administrativ-teritoriale întocmite în urma încadrării  în regimuri de gestionare a ariilor din zonele şi aglomerările prevăzute în anexa nr. 2 la Legea nr. 104/2011 privind calitatea aerului înconjurător</w:t>
      </w:r>
      <w:r w:rsidR="0009362B" w:rsidRPr="00112D72">
        <w:rPr>
          <w:rFonts w:ascii="Arial" w:hAnsi="Arial" w:cs="Arial"/>
          <w:sz w:val="24"/>
          <w:szCs w:val="24"/>
          <w:lang w:val="ro-RO"/>
        </w:rPr>
        <w:t xml:space="preserve">, care abrogă </w:t>
      </w:r>
      <w:r w:rsidR="0009362B" w:rsidRPr="00112D72">
        <w:rPr>
          <w:rFonts w:ascii="Arial" w:hAnsi="Arial" w:cs="Arial"/>
          <w:i/>
          <w:sz w:val="24"/>
          <w:szCs w:val="24"/>
          <w:lang w:val="ro-RO"/>
        </w:rPr>
        <w:t>Ordinul M.M.A.P. nr. 1206/2015</w:t>
      </w:r>
      <w:r w:rsidR="0009362B" w:rsidRPr="00112D72">
        <w:rPr>
          <w:rFonts w:ascii="Arial" w:hAnsi="Arial" w:cs="Arial"/>
          <w:sz w:val="24"/>
          <w:szCs w:val="24"/>
          <w:lang w:val="ro-RO"/>
        </w:rPr>
        <w:t xml:space="preserve">, </w:t>
      </w:r>
      <w:r w:rsidRPr="00112D72">
        <w:rPr>
          <w:rFonts w:ascii="Arial" w:hAnsi="Arial" w:cs="Arial"/>
          <w:sz w:val="24"/>
          <w:szCs w:val="24"/>
          <w:lang w:val="ro-RO"/>
        </w:rPr>
        <w:t>județul Suceava se încadrează în</w:t>
      </w:r>
      <w:r w:rsidR="00706EAE" w:rsidRPr="00112D72">
        <w:rPr>
          <w:rFonts w:ascii="Arial" w:hAnsi="Arial" w:cs="Arial"/>
          <w:sz w:val="24"/>
          <w:szCs w:val="24"/>
          <w:lang w:val="ro-RO"/>
        </w:rPr>
        <w:t xml:space="preserve"> continuare în</w:t>
      </w:r>
      <w:r w:rsidRPr="00112D72">
        <w:rPr>
          <w:rFonts w:ascii="Arial" w:hAnsi="Arial" w:cs="Arial"/>
          <w:sz w:val="24"/>
          <w:szCs w:val="24"/>
          <w:lang w:val="ro-RO"/>
        </w:rPr>
        <w:t xml:space="preserve"> </w:t>
      </w:r>
      <w:r w:rsidRPr="00112D72">
        <w:rPr>
          <w:rFonts w:ascii="Arial" w:hAnsi="Arial" w:cs="Arial"/>
          <w:b/>
          <w:sz w:val="24"/>
          <w:szCs w:val="24"/>
          <w:lang w:val="ro-RO"/>
        </w:rPr>
        <w:t xml:space="preserve">regimul </w:t>
      </w:r>
      <w:r w:rsidR="0009362B" w:rsidRPr="00112D72">
        <w:rPr>
          <w:rFonts w:ascii="Arial" w:hAnsi="Arial" w:cs="Arial"/>
          <w:b/>
          <w:sz w:val="24"/>
          <w:szCs w:val="24"/>
          <w:lang w:val="ro-RO"/>
        </w:rPr>
        <w:t xml:space="preserve">II </w:t>
      </w:r>
      <w:r w:rsidRPr="00112D72">
        <w:rPr>
          <w:rFonts w:ascii="Arial" w:hAnsi="Arial" w:cs="Arial"/>
          <w:b/>
          <w:sz w:val="24"/>
          <w:szCs w:val="24"/>
          <w:lang w:val="ro-RO"/>
        </w:rPr>
        <w:t>de gestionare a calităţii aerului</w:t>
      </w:r>
      <w:r w:rsidR="005E3DD8" w:rsidRPr="00112D72">
        <w:rPr>
          <w:rFonts w:ascii="Arial" w:hAnsi="Arial" w:cs="Arial"/>
          <w:sz w:val="24"/>
          <w:szCs w:val="24"/>
          <w:lang w:val="ro-RO"/>
        </w:rPr>
        <w:t>.</w:t>
      </w:r>
      <w:r w:rsidR="00EC2099" w:rsidRPr="00EC2099">
        <w:rPr>
          <w:rFonts w:ascii="Arial" w:hAnsi="Arial" w:cs="Arial"/>
          <w:sz w:val="24"/>
          <w:szCs w:val="24"/>
          <w:lang w:val="ro-RO"/>
        </w:rPr>
        <w:t xml:space="preserve"> </w:t>
      </w:r>
    </w:p>
    <w:p w:rsidR="00EC2099" w:rsidRDefault="00EC2099" w:rsidP="00EC2099">
      <w:pPr>
        <w:widowControl w:val="0"/>
        <w:autoSpaceDE w:val="0"/>
        <w:autoSpaceDN w:val="0"/>
        <w:adjustRightInd w:val="0"/>
        <w:spacing w:after="0" w:line="240" w:lineRule="auto"/>
        <w:ind w:firstLine="720"/>
        <w:jc w:val="both"/>
        <w:rPr>
          <w:rFonts w:ascii="Arial" w:hAnsi="Arial" w:cs="Arial"/>
          <w:sz w:val="24"/>
          <w:szCs w:val="24"/>
          <w:lang w:val="ro-RO"/>
        </w:rPr>
      </w:pPr>
    </w:p>
    <w:p w:rsidR="00EC2099" w:rsidRPr="00112D72" w:rsidRDefault="00EC2099" w:rsidP="00EC2099">
      <w:pPr>
        <w:widowControl w:val="0"/>
        <w:autoSpaceDE w:val="0"/>
        <w:autoSpaceDN w:val="0"/>
        <w:adjustRightInd w:val="0"/>
        <w:spacing w:after="0" w:line="240" w:lineRule="auto"/>
        <w:ind w:firstLine="720"/>
        <w:jc w:val="both"/>
        <w:rPr>
          <w:rFonts w:ascii="Arial" w:hAnsi="Arial" w:cs="Arial"/>
          <w:sz w:val="24"/>
          <w:szCs w:val="24"/>
          <w:lang w:val="ro-RO"/>
        </w:rPr>
      </w:pPr>
      <w:r w:rsidRPr="00112D72">
        <w:rPr>
          <w:rFonts w:ascii="Arial" w:hAnsi="Arial" w:cs="Arial"/>
          <w:sz w:val="24"/>
          <w:szCs w:val="24"/>
          <w:lang w:val="ro-RO"/>
        </w:rPr>
        <w:t xml:space="preserve">Legea nr. 104/2011 privind calitatea aerului prevede necesitatea elaborării, adoptării şi implementării, de către autorităţile administraţiei publice locale, de planuri de calitate a aerului, pentru zonele în care se depăşesc valorile limită reglementate de lege (zone și aglomerări încadrate în regimul I de gestionare a calității aerului) şi respectiv de planuri de menţinere a calităţii aerului, pentru celelalte zone și aglomerări (regimul II de gestionare a calității aerului).  </w:t>
      </w:r>
    </w:p>
    <w:p w:rsidR="00EC2099" w:rsidRPr="00112D72" w:rsidRDefault="00EC2099" w:rsidP="00EC2099">
      <w:pPr>
        <w:widowControl w:val="0"/>
        <w:spacing w:after="0" w:line="240" w:lineRule="auto"/>
        <w:ind w:firstLine="720"/>
        <w:jc w:val="both"/>
        <w:rPr>
          <w:rFonts w:ascii="Arial" w:hAnsi="Arial" w:cs="Arial"/>
          <w:b/>
          <w:color w:val="FF0000"/>
          <w:sz w:val="24"/>
          <w:szCs w:val="24"/>
        </w:rPr>
      </w:pPr>
      <w:r w:rsidRPr="00112D72">
        <w:rPr>
          <w:rFonts w:ascii="Arial" w:hAnsi="Arial" w:cs="Arial"/>
          <w:sz w:val="24"/>
          <w:szCs w:val="24"/>
        </w:rPr>
        <w:t xml:space="preserve">Ca urmare, conform legii nr. </w:t>
      </w:r>
      <w:proofErr w:type="gramStart"/>
      <w:r w:rsidRPr="00112D72">
        <w:rPr>
          <w:rFonts w:ascii="Arial" w:hAnsi="Arial" w:cs="Arial"/>
          <w:sz w:val="24"/>
          <w:szCs w:val="24"/>
        </w:rPr>
        <w:t>104/2011 şi a metodologiei aprobate prin HG nr.</w:t>
      </w:r>
      <w:proofErr w:type="gramEnd"/>
      <w:r w:rsidRPr="00112D72">
        <w:rPr>
          <w:rFonts w:ascii="Arial" w:hAnsi="Arial" w:cs="Arial"/>
          <w:sz w:val="24"/>
          <w:szCs w:val="24"/>
        </w:rPr>
        <w:t xml:space="preserve"> 257/2015, o comisie tehnică constituită la nivel judeţean prin decizie a Preşedintelui Consiliului judeţean Suceava, a demarat, în anul 2017, elaborarea </w:t>
      </w:r>
      <w:r w:rsidRPr="00112D72">
        <w:rPr>
          <w:rFonts w:ascii="Arial" w:hAnsi="Arial" w:cs="Arial"/>
          <w:b/>
          <w:i/>
          <w:sz w:val="24"/>
          <w:szCs w:val="24"/>
        </w:rPr>
        <w:t>Planului de menţinere a calităţii aerului în judeţul Suceava</w:t>
      </w:r>
      <w:r w:rsidRPr="00112D72">
        <w:rPr>
          <w:rFonts w:ascii="Arial" w:hAnsi="Arial" w:cs="Arial"/>
          <w:sz w:val="24"/>
          <w:szCs w:val="24"/>
        </w:rPr>
        <w:t xml:space="preserve">. </w:t>
      </w:r>
      <w:proofErr w:type="gramStart"/>
      <w:r w:rsidRPr="00112D72">
        <w:rPr>
          <w:rFonts w:ascii="Arial" w:hAnsi="Arial" w:cs="Arial"/>
          <w:sz w:val="24"/>
          <w:szCs w:val="24"/>
        </w:rPr>
        <w:t>Planul nu a fost încă finalizat și supus avizării de către ANPM.</w:t>
      </w:r>
      <w:proofErr w:type="gramEnd"/>
      <w:r w:rsidRPr="00112D72">
        <w:rPr>
          <w:rFonts w:ascii="Arial" w:hAnsi="Arial" w:cs="Arial"/>
          <w:sz w:val="24"/>
          <w:szCs w:val="24"/>
        </w:rPr>
        <w:t xml:space="preserve"> După avizare, planul </w:t>
      </w:r>
      <w:proofErr w:type="gramStart"/>
      <w:r w:rsidRPr="00112D72">
        <w:rPr>
          <w:rFonts w:ascii="Arial" w:hAnsi="Arial" w:cs="Arial"/>
          <w:sz w:val="24"/>
          <w:szCs w:val="24"/>
        </w:rPr>
        <w:t>va</w:t>
      </w:r>
      <w:proofErr w:type="gramEnd"/>
      <w:r w:rsidRPr="00112D72">
        <w:rPr>
          <w:rFonts w:ascii="Arial" w:hAnsi="Arial" w:cs="Arial"/>
          <w:sz w:val="24"/>
          <w:szCs w:val="24"/>
        </w:rPr>
        <w:t xml:space="preserve"> fi supus aprobării Consiliului Județean Suceava.</w:t>
      </w:r>
    </w:p>
    <w:p w:rsidR="00EC2099" w:rsidRDefault="00EC2099" w:rsidP="00EC2099">
      <w:pPr>
        <w:autoSpaceDE w:val="0"/>
        <w:autoSpaceDN w:val="0"/>
        <w:adjustRightInd w:val="0"/>
        <w:spacing w:after="0" w:line="240" w:lineRule="auto"/>
        <w:ind w:firstLine="720"/>
        <w:jc w:val="both"/>
        <w:rPr>
          <w:rFonts w:ascii="Arial" w:hAnsi="Arial" w:cs="Arial"/>
          <w:sz w:val="24"/>
          <w:szCs w:val="24"/>
          <w:lang w:val="ro-RO"/>
        </w:rPr>
      </w:pPr>
    </w:p>
    <w:p w:rsidR="008F658D" w:rsidRPr="000D319A" w:rsidRDefault="008F658D" w:rsidP="00517BB2">
      <w:pPr>
        <w:autoSpaceDE w:val="0"/>
        <w:autoSpaceDN w:val="0"/>
        <w:adjustRightInd w:val="0"/>
        <w:spacing w:after="0" w:line="240" w:lineRule="auto"/>
        <w:ind w:firstLine="720"/>
        <w:jc w:val="both"/>
        <w:rPr>
          <w:rFonts w:ascii="Arial" w:hAnsi="Arial" w:cs="Arial"/>
          <w:b/>
        </w:rPr>
      </w:pPr>
    </w:p>
    <w:sectPr w:rsidR="008F658D" w:rsidRPr="000D319A" w:rsidSect="00350FCC">
      <w:headerReference w:type="default" r:id="rId54"/>
      <w:footerReference w:type="default" r:id="rId55"/>
      <w:pgSz w:w="11907" w:h="16839" w:code="9"/>
      <w:pgMar w:top="624" w:right="708" w:bottom="1021"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9EF" w:rsidRDefault="006469EF" w:rsidP="0010560A">
      <w:pPr>
        <w:spacing w:after="0" w:line="240" w:lineRule="auto"/>
      </w:pPr>
      <w:r>
        <w:separator/>
      </w:r>
    </w:p>
  </w:endnote>
  <w:endnote w:type="continuationSeparator" w:id="0">
    <w:p w:rsidR="006469EF" w:rsidRDefault="006469EF"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71603"/>
      <w:docPartObj>
        <w:docPartGallery w:val="Page Numbers (Bottom of Page)"/>
        <w:docPartUnique/>
      </w:docPartObj>
    </w:sdtPr>
    <w:sdtContent>
      <w:p w:rsidR="0087725B" w:rsidRPr="00DA4A56" w:rsidRDefault="0087725B" w:rsidP="00DA4A56">
        <w:pPr>
          <w:pStyle w:val="Footer"/>
          <w:jc w:val="center"/>
        </w:pPr>
        <w:r w:rsidRPr="008B1C0D">
          <w:rPr>
            <w:rFonts w:ascii="Arial" w:hAnsi="Arial" w:cs="Arial"/>
            <w:sz w:val="20"/>
            <w:szCs w:val="20"/>
          </w:rPr>
          <w:fldChar w:fldCharType="begin"/>
        </w:r>
        <w:r w:rsidRPr="008B1C0D">
          <w:rPr>
            <w:rFonts w:ascii="Arial" w:hAnsi="Arial" w:cs="Arial"/>
            <w:sz w:val="20"/>
            <w:szCs w:val="20"/>
          </w:rPr>
          <w:instrText xml:space="preserve"> PAGE   \* MERGEFORMAT </w:instrText>
        </w:r>
        <w:r w:rsidRPr="008B1C0D">
          <w:rPr>
            <w:rFonts w:ascii="Arial" w:hAnsi="Arial" w:cs="Arial"/>
            <w:sz w:val="20"/>
            <w:szCs w:val="20"/>
          </w:rPr>
          <w:fldChar w:fldCharType="separate"/>
        </w:r>
        <w:r w:rsidR="0090420F">
          <w:rPr>
            <w:rFonts w:ascii="Arial" w:hAnsi="Arial" w:cs="Arial"/>
            <w:noProof/>
            <w:sz w:val="20"/>
            <w:szCs w:val="20"/>
          </w:rPr>
          <w:t>23</w:t>
        </w:r>
        <w:r w:rsidRPr="008B1C0D">
          <w:rPr>
            <w:rFonts w:ascii="Arial" w:hAnsi="Arial" w:cs="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9EF" w:rsidRDefault="006469EF" w:rsidP="0010560A">
      <w:pPr>
        <w:spacing w:after="0" w:line="240" w:lineRule="auto"/>
      </w:pPr>
      <w:r>
        <w:separator/>
      </w:r>
    </w:p>
  </w:footnote>
  <w:footnote w:type="continuationSeparator" w:id="0">
    <w:p w:rsidR="006469EF" w:rsidRDefault="006469EF" w:rsidP="0010560A">
      <w:pPr>
        <w:spacing w:after="0" w:line="240" w:lineRule="auto"/>
      </w:pPr>
      <w:r>
        <w:continuationSeparator/>
      </w:r>
    </w:p>
  </w:footnote>
  <w:footnote w:id="1">
    <w:p w:rsidR="0087725B" w:rsidRPr="005B723C" w:rsidRDefault="0087725B" w:rsidP="0030671C">
      <w:pPr>
        <w:pStyle w:val="FootnoteText"/>
        <w:jc w:val="both"/>
        <w:rPr>
          <w:rFonts w:ascii="Arial" w:hAnsi="Arial" w:cs="Arial"/>
        </w:rPr>
      </w:pPr>
      <w:r w:rsidRPr="005B723C">
        <w:rPr>
          <w:rStyle w:val="FootnoteReference"/>
          <w:rFonts w:ascii="Arial" w:hAnsi="Arial" w:cs="Arial"/>
        </w:rPr>
        <w:footnoteRef/>
      </w:r>
      <w:r w:rsidRPr="005B723C">
        <w:rPr>
          <w:rFonts w:ascii="Arial" w:hAnsi="Arial" w:cs="Arial"/>
        </w:rPr>
        <w:t xml:space="preserve"> </w:t>
      </w:r>
      <w:r w:rsidRPr="005B723C">
        <w:rPr>
          <w:rFonts w:ascii="Arial" w:hAnsi="Arial" w:cs="Arial"/>
          <w:lang w:val="it-IT"/>
        </w:rPr>
        <w:t>valoare-limită (VL) - nivelul stabilit pe baza cunoştinţelor ştiinţifice, în scopul evitării şi prevenirii producerii unor evenimente dăunătoare şi reducerii efectelor acestora asupra sănătăţii umane şi a mediului ca întreg, care se atinge într-o perioadă dată şi care nu trebuie depăşit odată ce a fost atins</w:t>
      </w:r>
      <w:r w:rsidRPr="005B723C">
        <w:rPr>
          <w:rFonts w:ascii="Arial" w:hAnsi="Arial" w:cs="Arial"/>
          <w:lang w:eastAsia="ro-RO"/>
        </w:rPr>
        <w:t>.</w:t>
      </w:r>
    </w:p>
  </w:footnote>
  <w:footnote w:id="2">
    <w:p w:rsidR="0087725B" w:rsidRPr="005B723C" w:rsidRDefault="0087725B" w:rsidP="0030671C">
      <w:pPr>
        <w:pStyle w:val="FootnoteText"/>
        <w:rPr>
          <w:rFonts w:ascii="Arial" w:hAnsi="Arial" w:cs="Arial"/>
        </w:rPr>
      </w:pPr>
      <w:r w:rsidRPr="005B723C">
        <w:rPr>
          <w:rStyle w:val="FootnoteReference"/>
          <w:rFonts w:ascii="Arial" w:hAnsi="Arial" w:cs="Arial"/>
        </w:rPr>
        <w:footnoteRef/>
      </w:r>
      <w:r w:rsidRPr="005B723C">
        <w:rPr>
          <w:rFonts w:ascii="Arial" w:hAnsi="Arial" w:cs="Arial"/>
        </w:rPr>
        <w:t xml:space="preserve"> </w:t>
      </w:r>
      <w:r w:rsidRPr="005B723C">
        <w:rPr>
          <w:rFonts w:ascii="Arial" w:hAnsi="Arial" w:cs="Arial"/>
          <w:lang w:val="it-IT"/>
        </w:rPr>
        <w:t xml:space="preserve">PM10 - pulberi în suspensie cu diametrul aerodinamic de 10 </w:t>
      </w:r>
      <w:r w:rsidRPr="005B723C">
        <w:rPr>
          <w:rFonts w:ascii="Arial" w:hAnsi="Arial" w:cs="Arial"/>
          <w:lang w:val="en-US"/>
        </w:rPr>
        <w:t>μ</w:t>
      </w:r>
      <w:r w:rsidRPr="005B723C">
        <w:rPr>
          <w:rFonts w:ascii="Arial" w:hAnsi="Arial" w:cs="Arial"/>
          <w:lang w:val="it-IT"/>
        </w:rPr>
        <w:t>m, care trec printr-un orificiu de selectare după dimensiune, cu un randament de separare de 50%;</w:t>
      </w:r>
    </w:p>
  </w:footnote>
  <w:footnote w:id="3">
    <w:p w:rsidR="0087725B" w:rsidRPr="005B723C" w:rsidRDefault="0087725B" w:rsidP="0030671C">
      <w:pPr>
        <w:pStyle w:val="FootnoteText"/>
        <w:jc w:val="both"/>
        <w:rPr>
          <w:rFonts w:ascii="Arial" w:hAnsi="Arial" w:cs="Arial"/>
          <w:lang w:val="it-IT"/>
        </w:rPr>
      </w:pPr>
      <w:r w:rsidRPr="005B723C">
        <w:rPr>
          <w:rStyle w:val="FootnoteReference"/>
          <w:rFonts w:ascii="Arial" w:hAnsi="Arial" w:cs="Arial"/>
        </w:rPr>
        <w:footnoteRef/>
      </w:r>
      <w:r w:rsidRPr="005B723C">
        <w:rPr>
          <w:rFonts w:ascii="Arial" w:hAnsi="Arial" w:cs="Arial"/>
        </w:rPr>
        <w:t xml:space="preserve"> </w:t>
      </w:r>
      <w:r w:rsidRPr="005B723C">
        <w:rPr>
          <w:rFonts w:ascii="Arial" w:hAnsi="Arial" w:cs="Arial"/>
          <w:lang w:val="it-IT"/>
        </w:rPr>
        <w:t xml:space="preserve">PM2,5 - pulberi în suspensie cu diametrul aerodinamic de 2,5 </w:t>
      </w:r>
      <w:r w:rsidRPr="005B723C">
        <w:rPr>
          <w:rFonts w:ascii="Arial" w:hAnsi="Arial" w:cs="Arial"/>
          <w:lang w:val="en-US"/>
        </w:rPr>
        <w:t>μ</w:t>
      </w:r>
      <w:r w:rsidRPr="005B723C">
        <w:rPr>
          <w:rFonts w:ascii="Arial" w:hAnsi="Arial" w:cs="Arial"/>
          <w:lang w:val="it-IT"/>
        </w:rPr>
        <w:t>m, care trec printr-un orificiu de selectare după dimensiune, cu un randament de separare de 50%;</w:t>
      </w:r>
    </w:p>
  </w:footnote>
  <w:footnote w:id="4">
    <w:p w:rsidR="0087725B" w:rsidRPr="005B723C" w:rsidRDefault="0087725B" w:rsidP="0030671C">
      <w:pPr>
        <w:autoSpaceDE w:val="0"/>
        <w:autoSpaceDN w:val="0"/>
        <w:adjustRightInd w:val="0"/>
        <w:spacing w:after="0"/>
        <w:jc w:val="both"/>
        <w:rPr>
          <w:rFonts w:ascii="Arial" w:eastAsia="Times New Roman" w:hAnsi="Arial" w:cs="Arial"/>
          <w:sz w:val="20"/>
          <w:szCs w:val="20"/>
          <w:lang w:val="ro-RO"/>
        </w:rPr>
      </w:pPr>
      <w:r w:rsidRPr="005B723C">
        <w:rPr>
          <w:rStyle w:val="FootnoteReference"/>
          <w:rFonts w:ascii="Arial" w:hAnsi="Arial" w:cs="Arial"/>
          <w:sz w:val="20"/>
          <w:szCs w:val="20"/>
          <w:lang w:val="ro-RO"/>
        </w:rPr>
        <w:footnoteRef/>
      </w:r>
      <w:r w:rsidRPr="005B723C">
        <w:rPr>
          <w:rFonts w:ascii="Arial" w:hAnsi="Arial" w:cs="Arial"/>
          <w:sz w:val="20"/>
          <w:szCs w:val="20"/>
          <w:lang w:val="ro-RO"/>
        </w:rPr>
        <w:t xml:space="preserve"> </w:t>
      </w:r>
      <w:r w:rsidRPr="005B723C">
        <w:rPr>
          <w:rFonts w:ascii="Arial" w:hAnsi="Arial" w:cs="Arial"/>
          <w:sz w:val="20"/>
          <w:szCs w:val="20"/>
          <w:lang w:val="ro-RO" w:eastAsia="ro-RO"/>
        </w:rPr>
        <w:t xml:space="preserve">valoare-ţintă (VT) - </w:t>
      </w:r>
      <w:r w:rsidRPr="005B723C">
        <w:rPr>
          <w:rFonts w:ascii="Arial" w:eastAsia="Times New Roman" w:hAnsi="Arial" w:cs="Arial"/>
          <w:sz w:val="20"/>
          <w:szCs w:val="20"/>
          <w:lang w:val="ro-RO"/>
        </w:rPr>
        <w:t>nivelul stabilit, în scopul evitării şi prevenirii producerii unor evenimente dăunătoare şi reducerii efectelor acestora asupra sănătăţii umane şi a mediului ca întreg, care trebuie să fie atins pe cât posibil într-o anumită perioadă</w:t>
      </w:r>
    </w:p>
  </w:footnote>
  <w:footnote w:id="5">
    <w:p w:rsidR="0087725B" w:rsidRPr="005B723C" w:rsidRDefault="0087725B" w:rsidP="0030671C">
      <w:pPr>
        <w:pStyle w:val="FootnoteText"/>
        <w:jc w:val="both"/>
        <w:rPr>
          <w:rFonts w:ascii="Arial" w:hAnsi="Arial" w:cs="Arial"/>
        </w:rPr>
      </w:pPr>
      <w:r w:rsidRPr="005B723C">
        <w:rPr>
          <w:rStyle w:val="FootnoteReference"/>
          <w:rFonts w:ascii="Arial" w:hAnsi="Arial" w:cs="Arial"/>
        </w:rPr>
        <w:footnoteRef/>
      </w:r>
      <w:r w:rsidRPr="005B723C">
        <w:rPr>
          <w:rFonts w:ascii="Arial" w:hAnsi="Arial" w:cs="Arial"/>
          <w:lang w:eastAsia="ro-RO"/>
        </w:rPr>
        <w:t>nivel critic - nivelul stabilit pe baza cunoştinţelor ştiinţifice, care dacă este depăşit se pot produce efecte adverse directe asupra anumitor receptori, cum ar fi copaci, plante sau ecosisteme naturale, dar nu şi asupra oamenilor</w:t>
      </w:r>
    </w:p>
  </w:footnote>
  <w:footnote w:id="6">
    <w:p w:rsidR="0087725B" w:rsidRPr="005B723C" w:rsidRDefault="0087725B" w:rsidP="0030671C">
      <w:pPr>
        <w:pStyle w:val="FootnoteText"/>
        <w:jc w:val="both"/>
        <w:rPr>
          <w:rFonts w:ascii="Arial" w:hAnsi="Arial" w:cs="Arial"/>
        </w:rPr>
      </w:pPr>
      <w:r w:rsidRPr="005B723C">
        <w:rPr>
          <w:rStyle w:val="FootnoteReference"/>
          <w:rFonts w:ascii="Arial" w:hAnsi="Arial" w:cs="Arial"/>
        </w:rPr>
        <w:footnoteRef/>
      </w:r>
      <w:r w:rsidRPr="005B723C">
        <w:rPr>
          <w:rFonts w:ascii="Arial" w:hAnsi="Arial" w:cs="Arial"/>
        </w:rPr>
        <w:t xml:space="preserve"> </w:t>
      </w:r>
      <w:r w:rsidRPr="005B723C">
        <w:rPr>
          <w:rFonts w:ascii="Arial" w:hAnsi="Arial" w:cs="Arial"/>
          <w:lang w:eastAsia="ro-RO"/>
        </w:rPr>
        <w:t>obiectiv pe termen lung - nivelul care trebuie să fie atins, pe termen lung, cu excepţia cazurilor în care acest lucru nu este realizabil prin măsuri proporţionate, cu scopul de a asigura o protecţie efectivă a sănătăţii umane şi a mediului.</w:t>
      </w:r>
    </w:p>
  </w:footnote>
  <w:footnote w:id="7">
    <w:p w:rsidR="0087725B" w:rsidRPr="005B723C" w:rsidRDefault="0087725B" w:rsidP="0030671C">
      <w:pPr>
        <w:pStyle w:val="FootnoteText"/>
        <w:jc w:val="both"/>
        <w:rPr>
          <w:rFonts w:ascii="Arial" w:hAnsi="Arial" w:cs="Arial"/>
        </w:rPr>
      </w:pPr>
      <w:r w:rsidRPr="005B723C">
        <w:rPr>
          <w:rStyle w:val="FootnoteReference"/>
          <w:rFonts w:ascii="Arial" w:hAnsi="Arial" w:cs="Arial"/>
        </w:rPr>
        <w:footnoteRef/>
      </w:r>
      <w:r w:rsidRPr="005B723C">
        <w:rPr>
          <w:rFonts w:ascii="Arial" w:hAnsi="Arial" w:cs="Arial"/>
        </w:rPr>
        <w:t xml:space="preserve"> </w:t>
      </w:r>
      <w:r w:rsidRPr="005B723C">
        <w:rPr>
          <w:rFonts w:ascii="Arial" w:hAnsi="Arial" w:cs="Arial"/>
          <w:lang w:eastAsia="ro-RO"/>
        </w:rPr>
        <w:t>prag de informare (PI) - nivelul care, dacă este depăşit, există un risc pentru sănătatea umană la o expunere de scurtă durată pentru categorii ale populaţiei deosebit de sensibile şi pentru care este necesară informarea imediată şi adecvată</w:t>
      </w:r>
    </w:p>
  </w:footnote>
  <w:footnote w:id="8">
    <w:p w:rsidR="0087725B" w:rsidRPr="005B723C" w:rsidRDefault="0087725B" w:rsidP="0030671C">
      <w:pPr>
        <w:pStyle w:val="FootnoteText"/>
        <w:spacing w:after="40"/>
        <w:jc w:val="both"/>
        <w:rPr>
          <w:rFonts w:ascii="Arial" w:hAnsi="Arial" w:cs="Arial"/>
        </w:rPr>
      </w:pPr>
      <w:r w:rsidRPr="005B723C">
        <w:rPr>
          <w:rStyle w:val="FootnoteReference"/>
          <w:rFonts w:ascii="Arial" w:hAnsi="Arial" w:cs="Arial"/>
        </w:rPr>
        <w:footnoteRef/>
      </w:r>
      <w:r w:rsidRPr="005B723C">
        <w:rPr>
          <w:rFonts w:ascii="Arial" w:hAnsi="Arial" w:cs="Arial"/>
        </w:rPr>
        <w:t xml:space="preserve"> </w:t>
      </w:r>
      <w:r w:rsidRPr="005B723C">
        <w:rPr>
          <w:rFonts w:ascii="Arial" w:hAnsi="Arial" w:cs="Arial"/>
          <w:lang w:eastAsia="ro-RO"/>
        </w:rPr>
        <w:t>prag de alertă (PA) - nivelul care, dacă este depăşit, există un risc pentru sănătatea umană la o expunere de scurtă durată a populaţiei, în general, şi la care trebuie să se acţioneze imediat.</w:t>
      </w:r>
    </w:p>
  </w:footnote>
  <w:footnote w:id="9">
    <w:p w:rsidR="0087725B" w:rsidRDefault="0087725B">
      <w:pPr>
        <w:pStyle w:val="FootnoteText"/>
      </w:pPr>
      <w:r w:rsidRPr="00DB6CF6">
        <w:rPr>
          <w:rStyle w:val="FootnoteReference"/>
          <w:rFonts w:ascii="Arial" w:hAnsi="Arial" w:cs="Arial"/>
        </w:rPr>
        <w:footnoteRef/>
      </w:r>
      <w:r w:rsidRPr="00DB6CF6">
        <w:rPr>
          <w:rFonts w:ascii="Arial" w:hAnsi="Arial" w:cs="Arial"/>
        </w:rPr>
        <w:t xml:space="preserve"> Raport</w:t>
      </w:r>
      <w:r>
        <w:rPr>
          <w:rFonts w:ascii="Arial" w:hAnsi="Arial" w:cs="Arial"/>
        </w:rPr>
        <w:t xml:space="preserve"> anual</w:t>
      </w:r>
      <w:r w:rsidRPr="00DB6CF6">
        <w:rPr>
          <w:rFonts w:ascii="Arial" w:hAnsi="Arial" w:cs="Arial"/>
        </w:rPr>
        <w:t xml:space="preserve"> privind starea mediului în România</w:t>
      </w:r>
      <w:r>
        <w:rPr>
          <w:rFonts w:ascii="Arial" w:hAnsi="Arial" w:cs="Arial"/>
        </w:rPr>
        <w:t>,</w:t>
      </w:r>
      <w:r w:rsidRPr="00DB6CF6">
        <w:rPr>
          <w:rFonts w:ascii="Arial" w:hAnsi="Arial" w:cs="Arial"/>
        </w:rPr>
        <w:t xml:space="preserve"> pe anul 201</w:t>
      </w:r>
      <w:r>
        <w:rPr>
          <w:rFonts w:ascii="Arial" w:hAnsi="Arial" w:cs="Arial"/>
        </w:rPr>
        <w:t>6</w:t>
      </w:r>
      <w:r w:rsidRPr="00DB6CF6">
        <w:rPr>
          <w:rFonts w:ascii="Arial" w:hAnsi="Arial" w:cs="Arial"/>
        </w:rPr>
        <w:t>, ANPM</w:t>
      </w:r>
    </w:p>
  </w:footnote>
  <w:footnote w:id="10">
    <w:p w:rsidR="0087725B" w:rsidRPr="005B723C" w:rsidRDefault="0087725B" w:rsidP="00704074">
      <w:pPr>
        <w:pStyle w:val="Default"/>
        <w:rPr>
          <w:rFonts w:ascii="Arial" w:hAnsi="Arial" w:cs="Arial"/>
          <w:sz w:val="20"/>
          <w:szCs w:val="20"/>
        </w:rPr>
      </w:pPr>
      <w:r w:rsidRPr="005B723C">
        <w:rPr>
          <w:rStyle w:val="FootnoteReference"/>
          <w:rFonts w:ascii="Arial" w:hAnsi="Arial" w:cs="Arial"/>
          <w:sz w:val="20"/>
          <w:szCs w:val="20"/>
        </w:rPr>
        <w:footnoteRef/>
      </w:r>
      <w:r w:rsidRPr="005B723C">
        <w:rPr>
          <w:rFonts w:ascii="Arial" w:hAnsi="Arial" w:cs="Arial"/>
          <w:sz w:val="20"/>
          <w:szCs w:val="20"/>
        </w:rPr>
        <w:t xml:space="preserve"> </w:t>
      </w:r>
      <w:r w:rsidRPr="005B723C">
        <w:rPr>
          <w:rFonts w:ascii="Arial" w:hAnsi="Arial" w:cs="Arial"/>
          <w:bCs/>
          <w:sz w:val="20"/>
          <w:szCs w:val="20"/>
        </w:rPr>
        <w:t>Fişa indicatorului RO01 „Emisii de substanțe acidifiante”.</w:t>
      </w:r>
      <w:r w:rsidRPr="005B723C">
        <w:rPr>
          <w:rFonts w:ascii="Arial" w:hAnsi="Arial" w:cs="Arial"/>
          <w:b/>
          <w:bCs/>
          <w:sz w:val="20"/>
          <w:szCs w:val="20"/>
        </w:rPr>
        <w:t xml:space="preserve"> </w:t>
      </w:r>
    </w:p>
  </w:footnote>
  <w:footnote w:id="11">
    <w:p w:rsidR="0087725B" w:rsidRPr="005B723C" w:rsidRDefault="0087725B" w:rsidP="00704074">
      <w:pPr>
        <w:pStyle w:val="Default"/>
        <w:rPr>
          <w:rFonts w:ascii="Arial" w:hAnsi="Arial" w:cs="Arial"/>
          <w:sz w:val="20"/>
          <w:szCs w:val="20"/>
        </w:rPr>
      </w:pPr>
      <w:r w:rsidRPr="005B723C">
        <w:rPr>
          <w:rStyle w:val="FootnoteReference"/>
          <w:rFonts w:ascii="Arial" w:hAnsi="Arial" w:cs="Arial"/>
          <w:sz w:val="20"/>
          <w:szCs w:val="20"/>
        </w:rPr>
        <w:footnoteRef/>
      </w:r>
      <w:r w:rsidRPr="005B723C">
        <w:rPr>
          <w:rFonts w:ascii="Arial" w:hAnsi="Arial" w:cs="Arial"/>
          <w:sz w:val="20"/>
          <w:szCs w:val="20"/>
        </w:rPr>
        <w:t xml:space="preserve"> </w:t>
      </w:r>
      <w:r w:rsidRPr="005B723C">
        <w:rPr>
          <w:rFonts w:ascii="Arial" w:hAnsi="Arial" w:cs="Arial"/>
          <w:bCs/>
          <w:sz w:val="20"/>
          <w:szCs w:val="20"/>
        </w:rPr>
        <w:t>Fişa indicatorului RO02 „Emisii de precursori ai ozonului”.</w:t>
      </w:r>
      <w:r w:rsidRPr="005B723C">
        <w:rPr>
          <w:rFonts w:ascii="Arial" w:hAnsi="Arial" w:cs="Arial"/>
          <w:b/>
          <w:bCs/>
          <w:sz w:val="20"/>
          <w:szCs w:val="20"/>
        </w:rPr>
        <w:t xml:space="preserve"> </w:t>
      </w:r>
    </w:p>
  </w:footnote>
  <w:footnote w:id="12">
    <w:p w:rsidR="0087725B" w:rsidRPr="005B723C" w:rsidRDefault="0087725B" w:rsidP="00B92D66">
      <w:pPr>
        <w:autoSpaceDE w:val="0"/>
        <w:autoSpaceDN w:val="0"/>
        <w:adjustRightInd w:val="0"/>
        <w:spacing w:after="0" w:line="240" w:lineRule="auto"/>
        <w:rPr>
          <w:rFonts w:ascii="Arial" w:hAnsi="Arial" w:cs="Arial"/>
          <w:bCs/>
          <w:sz w:val="20"/>
          <w:szCs w:val="20"/>
        </w:rPr>
      </w:pPr>
      <w:r w:rsidRPr="005B723C">
        <w:rPr>
          <w:rStyle w:val="FootnoteReference"/>
          <w:rFonts w:ascii="Arial" w:hAnsi="Arial" w:cs="Arial"/>
          <w:sz w:val="20"/>
          <w:szCs w:val="20"/>
        </w:rPr>
        <w:footnoteRef/>
      </w:r>
      <w:r w:rsidRPr="005B723C">
        <w:rPr>
          <w:rFonts w:ascii="Arial" w:hAnsi="Arial" w:cs="Arial"/>
          <w:sz w:val="20"/>
          <w:szCs w:val="20"/>
        </w:rPr>
        <w:t xml:space="preserve"> </w:t>
      </w:r>
      <w:r w:rsidRPr="005B723C">
        <w:rPr>
          <w:rFonts w:ascii="Arial" w:hAnsi="Arial" w:cs="Arial"/>
          <w:bCs/>
          <w:sz w:val="20"/>
          <w:szCs w:val="20"/>
        </w:rPr>
        <w:t xml:space="preserve">Fişa indicatorului RO03 „Emisii de particule primare şi precursori secundari de particule” </w:t>
      </w:r>
    </w:p>
  </w:footnote>
  <w:footnote w:id="13">
    <w:p w:rsidR="0087725B" w:rsidRPr="005B723C" w:rsidRDefault="0087725B" w:rsidP="00704074">
      <w:pPr>
        <w:spacing w:after="0" w:line="240" w:lineRule="auto"/>
        <w:jc w:val="both"/>
        <w:rPr>
          <w:rFonts w:ascii="Arial" w:hAnsi="Arial" w:cs="Arial"/>
          <w:sz w:val="20"/>
          <w:szCs w:val="20"/>
        </w:rPr>
      </w:pPr>
      <w:r w:rsidRPr="005B723C">
        <w:rPr>
          <w:rStyle w:val="FootnoteReference"/>
          <w:rFonts w:ascii="Arial" w:hAnsi="Arial" w:cs="Arial"/>
          <w:sz w:val="20"/>
          <w:szCs w:val="20"/>
        </w:rPr>
        <w:footnoteRef/>
      </w:r>
      <w:r w:rsidRPr="005B723C">
        <w:rPr>
          <w:rFonts w:ascii="Arial" w:hAnsi="Arial" w:cs="Arial"/>
          <w:sz w:val="20"/>
          <w:szCs w:val="20"/>
        </w:rPr>
        <w:t xml:space="preserve"> </w:t>
      </w:r>
      <w:r w:rsidRPr="005B723C">
        <w:rPr>
          <w:rFonts w:ascii="Arial" w:hAnsi="Arial" w:cs="Arial"/>
          <w:bCs/>
          <w:sz w:val="20"/>
          <w:szCs w:val="20"/>
        </w:rPr>
        <w:t xml:space="preserve">Fişa indicatorului RO38 „Emisii de metale grele” </w:t>
      </w:r>
    </w:p>
  </w:footnote>
  <w:footnote w:id="14">
    <w:p w:rsidR="0087725B" w:rsidRPr="005B723C" w:rsidRDefault="0087725B" w:rsidP="00704074">
      <w:pPr>
        <w:pStyle w:val="FootnoteText"/>
        <w:rPr>
          <w:rFonts w:ascii="Arial" w:hAnsi="Arial" w:cs="Arial"/>
        </w:rPr>
      </w:pPr>
      <w:r w:rsidRPr="005B723C">
        <w:rPr>
          <w:rStyle w:val="FootnoteReference"/>
          <w:rFonts w:ascii="Arial" w:hAnsi="Arial" w:cs="Arial"/>
        </w:rPr>
        <w:footnoteRef/>
      </w:r>
      <w:r w:rsidRPr="005B723C">
        <w:rPr>
          <w:rFonts w:ascii="Arial" w:hAnsi="Arial" w:cs="Arial"/>
        </w:rPr>
        <w:t xml:space="preserve"> </w:t>
      </w:r>
      <w:r w:rsidRPr="005B723C">
        <w:rPr>
          <w:rFonts w:ascii="Arial" w:hAnsi="Arial" w:cs="Arial"/>
          <w:bCs/>
        </w:rPr>
        <w:t xml:space="preserve">Fişa indicatorului RO39 „Emisii de poluanţi organici persistenţi”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25B" w:rsidRPr="005E7D7A" w:rsidRDefault="0087725B" w:rsidP="00350FCC">
    <w:pPr>
      <w:pStyle w:val="Header"/>
      <w:rPr>
        <w:rFonts w:ascii="Arial" w:hAnsi="Arial" w:cs="Arial"/>
        <w:b/>
        <w:i/>
        <w:sz w:val="20"/>
        <w:lang w:val="ro-RO"/>
      </w:rPr>
    </w:pPr>
    <w:r w:rsidRPr="005E7D7A">
      <w:rPr>
        <w:rFonts w:ascii="Arial" w:hAnsi="Arial" w:cs="Arial"/>
        <w:b/>
        <w:i/>
        <w:sz w:val="20"/>
        <w:lang w:val="ro-RO"/>
      </w:rPr>
      <w:t xml:space="preserve">Raport privind starea mediului în judeţul Suceava în anul </w:t>
    </w:r>
    <w:r>
      <w:rPr>
        <w:rFonts w:ascii="Arial" w:hAnsi="Arial" w:cs="Arial"/>
        <w:b/>
        <w:i/>
        <w:sz w:val="20"/>
        <w:lang w:val="ro-RO"/>
      </w:rPr>
      <w:t>2017</w:t>
    </w:r>
  </w:p>
  <w:p w:rsidR="0087725B" w:rsidRDefault="0087725B" w:rsidP="00350FCC">
    <w:pPr>
      <w:pStyle w:val="Header"/>
      <w:tabs>
        <w:tab w:val="left" w:pos="2880"/>
      </w:tabs>
    </w:pPr>
    <w:r w:rsidRPr="00C2024F">
      <w:rPr>
        <w:noProof/>
        <w:lang w:val="en-AU"/>
      </w:rPr>
      <w:pict>
        <v:line id="_x0000_s2061" style="position:absolute;flip:y;z-index:251660288" from=".9pt,3.45pt" to="495.3pt,3.45pt" o:allowincell="f">
          <w10:wrap type="topAndBottom"/>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6208"/>
    <w:multiLevelType w:val="hybridMultilevel"/>
    <w:tmpl w:val="2ADCAC00"/>
    <w:lvl w:ilvl="0" w:tplc="0418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1FE641F"/>
    <w:multiLevelType w:val="hybridMultilevel"/>
    <w:tmpl w:val="9EAA8A88"/>
    <w:lvl w:ilvl="0" w:tplc="60A8A904">
      <w:start w:val="1"/>
      <w:numFmt w:val="bullet"/>
      <w:lvlText w:val=""/>
      <w:lvlJc w:val="left"/>
      <w:pPr>
        <w:ind w:left="720" w:hanging="360"/>
      </w:pPr>
      <w:rPr>
        <w:rFonts w:ascii="Symbol" w:eastAsia="Calibri" w:hAnsi="Symbo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3875251"/>
    <w:multiLevelType w:val="hybridMultilevel"/>
    <w:tmpl w:val="6FA69B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BC45ED4"/>
    <w:multiLevelType w:val="hybridMultilevel"/>
    <w:tmpl w:val="CF8478C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4">
    <w:nsid w:val="21CE2157"/>
    <w:multiLevelType w:val="hybridMultilevel"/>
    <w:tmpl w:val="7E5E6BC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B2E50C8"/>
    <w:multiLevelType w:val="hybridMultilevel"/>
    <w:tmpl w:val="951615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0FC710A"/>
    <w:multiLevelType w:val="hybridMultilevel"/>
    <w:tmpl w:val="C37E4716"/>
    <w:lvl w:ilvl="0" w:tplc="0418000F">
      <w:start w:val="1"/>
      <w:numFmt w:val="decimal"/>
      <w:lvlText w:val="%1."/>
      <w:lvlJc w:val="left"/>
      <w:pPr>
        <w:ind w:left="638" w:hanging="360"/>
      </w:pPr>
    </w:lvl>
    <w:lvl w:ilvl="1" w:tplc="04180019" w:tentative="1">
      <w:start w:val="1"/>
      <w:numFmt w:val="lowerLetter"/>
      <w:lvlText w:val="%2."/>
      <w:lvlJc w:val="left"/>
      <w:pPr>
        <w:ind w:left="1358" w:hanging="360"/>
      </w:pPr>
    </w:lvl>
    <w:lvl w:ilvl="2" w:tplc="0418001B" w:tentative="1">
      <w:start w:val="1"/>
      <w:numFmt w:val="lowerRoman"/>
      <w:lvlText w:val="%3."/>
      <w:lvlJc w:val="right"/>
      <w:pPr>
        <w:ind w:left="2078" w:hanging="180"/>
      </w:pPr>
    </w:lvl>
    <w:lvl w:ilvl="3" w:tplc="0418000F" w:tentative="1">
      <w:start w:val="1"/>
      <w:numFmt w:val="decimal"/>
      <w:lvlText w:val="%4."/>
      <w:lvlJc w:val="left"/>
      <w:pPr>
        <w:ind w:left="2798" w:hanging="360"/>
      </w:pPr>
    </w:lvl>
    <w:lvl w:ilvl="4" w:tplc="04180019" w:tentative="1">
      <w:start w:val="1"/>
      <w:numFmt w:val="lowerLetter"/>
      <w:lvlText w:val="%5."/>
      <w:lvlJc w:val="left"/>
      <w:pPr>
        <w:ind w:left="3518" w:hanging="360"/>
      </w:pPr>
    </w:lvl>
    <w:lvl w:ilvl="5" w:tplc="0418001B" w:tentative="1">
      <w:start w:val="1"/>
      <w:numFmt w:val="lowerRoman"/>
      <w:lvlText w:val="%6."/>
      <w:lvlJc w:val="right"/>
      <w:pPr>
        <w:ind w:left="4238" w:hanging="180"/>
      </w:pPr>
    </w:lvl>
    <w:lvl w:ilvl="6" w:tplc="0418000F" w:tentative="1">
      <w:start w:val="1"/>
      <w:numFmt w:val="decimal"/>
      <w:lvlText w:val="%7."/>
      <w:lvlJc w:val="left"/>
      <w:pPr>
        <w:ind w:left="4958" w:hanging="360"/>
      </w:pPr>
    </w:lvl>
    <w:lvl w:ilvl="7" w:tplc="04180019" w:tentative="1">
      <w:start w:val="1"/>
      <w:numFmt w:val="lowerLetter"/>
      <w:lvlText w:val="%8."/>
      <w:lvlJc w:val="left"/>
      <w:pPr>
        <w:ind w:left="5678" w:hanging="360"/>
      </w:pPr>
    </w:lvl>
    <w:lvl w:ilvl="8" w:tplc="0418001B" w:tentative="1">
      <w:start w:val="1"/>
      <w:numFmt w:val="lowerRoman"/>
      <w:lvlText w:val="%9."/>
      <w:lvlJc w:val="right"/>
      <w:pPr>
        <w:ind w:left="6398" w:hanging="180"/>
      </w:pPr>
    </w:lvl>
  </w:abstractNum>
  <w:abstractNum w:abstractNumId="7">
    <w:nsid w:val="33796047"/>
    <w:multiLevelType w:val="hybridMultilevel"/>
    <w:tmpl w:val="9E28CD9C"/>
    <w:lvl w:ilvl="0" w:tplc="04180001">
      <w:start w:val="1"/>
      <w:numFmt w:val="bullet"/>
      <w:lvlText w:val=""/>
      <w:lvlJc w:val="left"/>
      <w:pPr>
        <w:ind w:left="720" w:hanging="360"/>
      </w:pPr>
      <w:rPr>
        <w:rFonts w:ascii="Symbol" w:hAnsi="Symbol" w:hint="default"/>
      </w:rPr>
    </w:lvl>
    <w:lvl w:ilvl="1" w:tplc="2DE4DFCA">
      <w:numFmt w:val="bullet"/>
      <w:lvlText w:val=""/>
      <w:lvlJc w:val="left"/>
      <w:pPr>
        <w:ind w:left="1440" w:hanging="360"/>
      </w:pPr>
      <w:rPr>
        <w:rFonts w:ascii="Arial" w:eastAsia="Calibri"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FCB0E72"/>
    <w:multiLevelType w:val="hybridMultilevel"/>
    <w:tmpl w:val="8ACE64E4"/>
    <w:lvl w:ilvl="0" w:tplc="8196BAFA">
      <w:start w:val="1"/>
      <w:numFmt w:val="bullet"/>
      <w:lvlText w:val=""/>
      <w:lvlJc w:val="left"/>
      <w:pPr>
        <w:ind w:left="720" w:hanging="360"/>
      </w:pPr>
      <w:rPr>
        <w:rFonts w:ascii="Symbol" w:eastAsia="Calibri" w:hAnsi="Symbo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46D3435C"/>
    <w:multiLevelType w:val="hybridMultilevel"/>
    <w:tmpl w:val="4E86C662"/>
    <w:lvl w:ilvl="0" w:tplc="EEB2AA48">
      <w:numFmt w:val="bullet"/>
      <w:lvlText w:val="-"/>
      <w:lvlJc w:val="left"/>
      <w:pPr>
        <w:ind w:left="720" w:hanging="360"/>
      </w:pPr>
      <w:rPr>
        <w:rFonts w:ascii="Arial" w:eastAsia="Calibri" w:hAnsi="Arial" w:cs="Arial" w:hint="default"/>
      </w:rPr>
    </w:lvl>
    <w:lvl w:ilvl="1" w:tplc="2DE4DFCA">
      <w:numFmt w:val="bullet"/>
      <w:lvlText w:val=""/>
      <w:lvlJc w:val="left"/>
      <w:pPr>
        <w:ind w:left="1440" w:hanging="360"/>
      </w:pPr>
      <w:rPr>
        <w:rFonts w:ascii="Arial" w:eastAsia="Calibri"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822152F"/>
    <w:multiLevelType w:val="hybridMultilevel"/>
    <w:tmpl w:val="C350735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F454DC0"/>
    <w:multiLevelType w:val="hybridMultilevel"/>
    <w:tmpl w:val="4B904742"/>
    <w:lvl w:ilvl="0" w:tplc="3AA41214">
      <w:start w:val="1"/>
      <w:numFmt w:val="bullet"/>
      <w:lvlText w:val=""/>
      <w:lvlJc w:val="left"/>
      <w:pPr>
        <w:tabs>
          <w:tab w:val="num" w:pos="360"/>
        </w:tabs>
        <w:ind w:left="-340" w:firstLine="340"/>
      </w:pPr>
      <w:rPr>
        <w:rFonts w:ascii="Wingdings" w:hAnsi="Wingdings" w:hint="default"/>
        <w:color w:val="auto"/>
        <w:sz w:val="24"/>
        <w:szCs w:val="24"/>
      </w:rPr>
    </w:lvl>
    <w:lvl w:ilvl="1" w:tplc="04180003">
      <w:start w:val="1"/>
      <w:numFmt w:val="bullet"/>
      <w:lvlText w:val="o"/>
      <w:lvlJc w:val="left"/>
      <w:pPr>
        <w:tabs>
          <w:tab w:val="num" w:pos="1500"/>
        </w:tabs>
        <w:ind w:left="1500" w:hanging="360"/>
      </w:pPr>
      <w:rPr>
        <w:rFonts w:ascii="Courier New" w:hAnsi="Courier New" w:hint="default"/>
      </w:rPr>
    </w:lvl>
    <w:lvl w:ilvl="2" w:tplc="04180005" w:tentative="1">
      <w:start w:val="1"/>
      <w:numFmt w:val="bullet"/>
      <w:lvlText w:val=""/>
      <w:lvlJc w:val="left"/>
      <w:pPr>
        <w:tabs>
          <w:tab w:val="num" w:pos="2220"/>
        </w:tabs>
        <w:ind w:left="2220" w:hanging="360"/>
      </w:pPr>
      <w:rPr>
        <w:rFonts w:ascii="Wingdings" w:hAnsi="Wingdings" w:hint="default"/>
      </w:rPr>
    </w:lvl>
    <w:lvl w:ilvl="3" w:tplc="04180001" w:tentative="1">
      <w:start w:val="1"/>
      <w:numFmt w:val="bullet"/>
      <w:lvlText w:val=""/>
      <w:lvlJc w:val="left"/>
      <w:pPr>
        <w:tabs>
          <w:tab w:val="num" w:pos="2940"/>
        </w:tabs>
        <w:ind w:left="2940" w:hanging="360"/>
      </w:pPr>
      <w:rPr>
        <w:rFonts w:ascii="Symbol" w:hAnsi="Symbol" w:hint="default"/>
      </w:rPr>
    </w:lvl>
    <w:lvl w:ilvl="4" w:tplc="04180003" w:tentative="1">
      <w:start w:val="1"/>
      <w:numFmt w:val="bullet"/>
      <w:lvlText w:val="o"/>
      <w:lvlJc w:val="left"/>
      <w:pPr>
        <w:tabs>
          <w:tab w:val="num" w:pos="3660"/>
        </w:tabs>
        <w:ind w:left="3660" w:hanging="360"/>
      </w:pPr>
      <w:rPr>
        <w:rFonts w:ascii="Courier New" w:hAnsi="Courier New" w:hint="default"/>
      </w:rPr>
    </w:lvl>
    <w:lvl w:ilvl="5" w:tplc="04180005" w:tentative="1">
      <w:start w:val="1"/>
      <w:numFmt w:val="bullet"/>
      <w:lvlText w:val=""/>
      <w:lvlJc w:val="left"/>
      <w:pPr>
        <w:tabs>
          <w:tab w:val="num" w:pos="4380"/>
        </w:tabs>
        <w:ind w:left="4380" w:hanging="360"/>
      </w:pPr>
      <w:rPr>
        <w:rFonts w:ascii="Wingdings" w:hAnsi="Wingdings" w:hint="default"/>
      </w:rPr>
    </w:lvl>
    <w:lvl w:ilvl="6" w:tplc="04180001" w:tentative="1">
      <w:start w:val="1"/>
      <w:numFmt w:val="bullet"/>
      <w:lvlText w:val=""/>
      <w:lvlJc w:val="left"/>
      <w:pPr>
        <w:tabs>
          <w:tab w:val="num" w:pos="5100"/>
        </w:tabs>
        <w:ind w:left="5100" w:hanging="360"/>
      </w:pPr>
      <w:rPr>
        <w:rFonts w:ascii="Symbol" w:hAnsi="Symbol" w:hint="default"/>
      </w:rPr>
    </w:lvl>
    <w:lvl w:ilvl="7" w:tplc="04180003" w:tentative="1">
      <w:start w:val="1"/>
      <w:numFmt w:val="bullet"/>
      <w:lvlText w:val="o"/>
      <w:lvlJc w:val="left"/>
      <w:pPr>
        <w:tabs>
          <w:tab w:val="num" w:pos="5820"/>
        </w:tabs>
        <w:ind w:left="5820" w:hanging="360"/>
      </w:pPr>
      <w:rPr>
        <w:rFonts w:ascii="Courier New" w:hAnsi="Courier New" w:hint="default"/>
      </w:rPr>
    </w:lvl>
    <w:lvl w:ilvl="8" w:tplc="04180005" w:tentative="1">
      <w:start w:val="1"/>
      <w:numFmt w:val="bullet"/>
      <w:lvlText w:val=""/>
      <w:lvlJc w:val="left"/>
      <w:pPr>
        <w:tabs>
          <w:tab w:val="num" w:pos="6540"/>
        </w:tabs>
        <w:ind w:left="6540" w:hanging="360"/>
      </w:pPr>
      <w:rPr>
        <w:rFonts w:ascii="Wingdings" w:hAnsi="Wingdings" w:hint="default"/>
      </w:rPr>
    </w:lvl>
  </w:abstractNum>
  <w:abstractNum w:abstractNumId="12">
    <w:nsid w:val="5E64692A"/>
    <w:multiLevelType w:val="hybridMultilevel"/>
    <w:tmpl w:val="740C9142"/>
    <w:lvl w:ilvl="0" w:tplc="77940C20">
      <w:start w:val="1"/>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79219C"/>
    <w:multiLevelType w:val="hybridMultilevel"/>
    <w:tmpl w:val="0C72B054"/>
    <w:lvl w:ilvl="0" w:tplc="E5F6A150">
      <w:start w:val="1"/>
      <w:numFmt w:val="bullet"/>
      <w:lvlText w:val=""/>
      <w:lvlJc w:val="left"/>
      <w:pPr>
        <w:tabs>
          <w:tab w:val="num" w:pos="0"/>
        </w:tabs>
        <w:ind w:left="357" w:firstLine="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
    <w:nsid w:val="622F6ADB"/>
    <w:multiLevelType w:val="hybridMultilevel"/>
    <w:tmpl w:val="2F7C0C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625D47B9"/>
    <w:multiLevelType w:val="hybridMultilevel"/>
    <w:tmpl w:val="C0A64FF0"/>
    <w:lvl w:ilvl="0" w:tplc="3F145C7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6315703D"/>
    <w:multiLevelType w:val="hybridMultilevel"/>
    <w:tmpl w:val="50424FB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34C2877"/>
    <w:multiLevelType w:val="hybridMultilevel"/>
    <w:tmpl w:val="798A10BE"/>
    <w:lvl w:ilvl="0" w:tplc="D00E3CD2">
      <w:start w:val="1"/>
      <w:numFmt w:val="bullet"/>
      <w:lvlText w:val=""/>
      <w:lvlJc w:val="left"/>
      <w:pPr>
        <w:tabs>
          <w:tab w:val="num" w:pos="720"/>
        </w:tabs>
        <w:ind w:left="720" w:firstLine="0"/>
      </w:pPr>
      <w:rPr>
        <w:rFonts w:ascii="Symbol" w:hAnsi="Symbol" w:hint="default"/>
        <w:color w:val="auto"/>
      </w:rPr>
    </w:lvl>
    <w:lvl w:ilvl="1" w:tplc="CBD2D086">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5DE5091"/>
    <w:multiLevelType w:val="hybridMultilevel"/>
    <w:tmpl w:val="271E12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666D3D7D"/>
    <w:multiLevelType w:val="hybridMultilevel"/>
    <w:tmpl w:val="EDFA4D6A"/>
    <w:lvl w:ilvl="0" w:tplc="5D867144">
      <w:start w:val="1"/>
      <w:numFmt w:val="decimal"/>
      <w:lvlText w:val="%1."/>
      <w:lvlJc w:val="left"/>
      <w:pPr>
        <w:ind w:left="360" w:hanging="360"/>
      </w:pPr>
      <w:rPr>
        <w:sz w:val="22"/>
        <w:szCs w:val="22"/>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67395096"/>
    <w:multiLevelType w:val="hybridMultilevel"/>
    <w:tmpl w:val="827443B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nsid w:val="68A30151"/>
    <w:multiLevelType w:val="hybridMultilevel"/>
    <w:tmpl w:val="52980B0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nsid w:val="6922060F"/>
    <w:multiLevelType w:val="hybridMultilevel"/>
    <w:tmpl w:val="C37E4716"/>
    <w:lvl w:ilvl="0" w:tplc="0418000F">
      <w:start w:val="1"/>
      <w:numFmt w:val="decimal"/>
      <w:lvlText w:val="%1."/>
      <w:lvlJc w:val="left"/>
      <w:pPr>
        <w:ind w:left="644"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3">
    <w:nsid w:val="74082F4F"/>
    <w:multiLevelType w:val="hybridMultilevel"/>
    <w:tmpl w:val="5552B1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74E11B8E"/>
    <w:multiLevelType w:val="multilevel"/>
    <w:tmpl w:val="F25A15C0"/>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upperLetter"/>
      <w:isLgl/>
      <w:lvlText w:val="%1.%2.%3.%4.%5."/>
      <w:lvlJc w:val="left"/>
      <w:pPr>
        <w:ind w:left="1440" w:hanging="1080"/>
      </w:pPr>
      <w:rPr>
        <w:rFonts w:hint="default"/>
      </w:rPr>
    </w:lvl>
    <w:lvl w:ilvl="5">
      <w:start w:val="1"/>
      <w:numFmt w:val="upperLetter"/>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88B2DEF"/>
    <w:multiLevelType w:val="hybridMultilevel"/>
    <w:tmpl w:val="413025B8"/>
    <w:lvl w:ilvl="0" w:tplc="77940C20">
      <w:start w:val="1"/>
      <w:numFmt w:val="bullet"/>
      <w:lvlText w:val="-"/>
      <w:lvlJc w:val="left"/>
      <w:pPr>
        <w:tabs>
          <w:tab w:val="num" w:pos="360"/>
        </w:tabs>
        <w:ind w:left="360" w:hanging="360"/>
      </w:pPr>
      <w:rPr>
        <w:rFonts w:ascii="Arial" w:eastAsia="Times New Roman" w:hAnsi="Arial" w:cs="Arial" w:hint="default"/>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6">
    <w:nsid w:val="7A8E76CC"/>
    <w:multiLevelType w:val="hybridMultilevel"/>
    <w:tmpl w:val="78444ABA"/>
    <w:lvl w:ilvl="0" w:tplc="B6A2F18E">
      <w:numFmt w:val="bullet"/>
      <w:lvlText w:val=""/>
      <w:lvlJc w:val="left"/>
      <w:pPr>
        <w:ind w:left="720" w:hanging="360"/>
      </w:pPr>
      <w:rPr>
        <w:rFonts w:ascii="Symbol" w:eastAsia="Calibri" w:hAnsi="Symbo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6"/>
  </w:num>
  <w:num w:numId="4">
    <w:abstractNumId w:val="13"/>
  </w:num>
  <w:num w:numId="5">
    <w:abstractNumId w:val="2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0"/>
  </w:num>
  <w:num w:numId="9">
    <w:abstractNumId w:val="19"/>
  </w:num>
  <w:num w:numId="10">
    <w:abstractNumId w:val="3"/>
  </w:num>
  <w:num w:numId="11">
    <w:abstractNumId w:val="0"/>
  </w:num>
  <w:num w:numId="12">
    <w:abstractNumId w:val="11"/>
  </w:num>
  <w:num w:numId="13">
    <w:abstractNumId w:val="1"/>
  </w:num>
  <w:num w:numId="14">
    <w:abstractNumId w:val="8"/>
  </w:num>
  <w:num w:numId="15">
    <w:abstractNumId w:val="18"/>
  </w:num>
  <w:num w:numId="16">
    <w:abstractNumId w:val="15"/>
  </w:num>
  <w:num w:numId="17">
    <w:abstractNumId w:val="5"/>
  </w:num>
  <w:num w:numId="18">
    <w:abstractNumId w:val="9"/>
  </w:num>
  <w:num w:numId="19">
    <w:abstractNumId w:val="4"/>
  </w:num>
  <w:num w:numId="20">
    <w:abstractNumId w:val="17"/>
  </w:num>
  <w:num w:numId="21">
    <w:abstractNumId w:val="16"/>
  </w:num>
  <w:num w:numId="22">
    <w:abstractNumId w:val="23"/>
  </w:num>
  <w:num w:numId="23">
    <w:abstractNumId w:val="7"/>
  </w:num>
  <w:num w:numId="24">
    <w:abstractNumId w:val="21"/>
  </w:num>
  <w:num w:numId="25">
    <w:abstractNumId w:val="12"/>
  </w:num>
  <w:num w:numId="26">
    <w:abstractNumId w:val="14"/>
  </w:num>
  <w:num w:numId="27">
    <w:abstractNumId w:val="26"/>
  </w:num>
  <w:num w:numId="28">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oNotTrackFormatting/>
  <w:defaultTabStop w:val="720"/>
  <w:hyphenationZone w:val="425"/>
  <w:drawingGridHorizontalSpacing w:val="110"/>
  <w:displayHorizontalDrawingGridEvery w:val="2"/>
  <w:characterSpacingControl w:val="doNotCompress"/>
  <w:hdrShapeDefaults>
    <o:shapedefaults v:ext="edit" spidmax="71682">
      <o:colormru v:ext="edit" colors="#00214e"/>
    </o:shapedefaults>
    <o:shapelayout v:ext="edit">
      <o:idmap v:ext="edit" data="2"/>
    </o:shapelayout>
  </w:hdrShapeDefaults>
  <w:footnotePr>
    <w:footnote w:id="-1"/>
    <w:footnote w:id="0"/>
  </w:footnotePr>
  <w:endnotePr>
    <w:endnote w:id="-1"/>
    <w:endnote w:id="0"/>
  </w:endnotePr>
  <w:compat/>
  <w:rsids>
    <w:rsidRoot w:val="0010560A"/>
    <w:rsid w:val="0000109B"/>
    <w:rsid w:val="000011F8"/>
    <w:rsid w:val="00003BC6"/>
    <w:rsid w:val="00003CB6"/>
    <w:rsid w:val="00003D57"/>
    <w:rsid w:val="00005422"/>
    <w:rsid w:val="00006C2D"/>
    <w:rsid w:val="00007F59"/>
    <w:rsid w:val="000109EE"/>
    <w:rsid w:val="00011646"/>
    <w:rsid w:val="00011C18"/>
    <w:rsid w:val="00011C4D"/>
    <w:rsid w:val="00011D36"/>
    <w:rsid w:val="0001584E"/>
    <w:rsid w:val="00017A4D"/>
    <w:rsid w:val="0002072E"/>
    <w:rsid w:val="00023D48"/>
    <w:rsid w:val="00025124"/>
    <w:rsid w:val="000252E9"/>
    <w:rsid w:val="00030308"/>
    <w:rsid w:val="0003053A"/>
    <w:rsid w:val="00032F3D"/>
    <w:rsid w:val="000336A1"/>
    <w:rsid w:val="00033BAC"/>
    <w:rsid w:val="00037C04"/>
    <w:rsid w:val="000419B5"/>
    <w:rsid w:val="00042353"/>
    <w:rsid w:val="000446C5"/>
    <w:rsid w:val="000450B6"/>
    <w:rsid w:val="00046049"/>
    <w:rsid w:val="000468BB"/>
    <w:rsid w:val="00051E32"/>
    <w:rsid w:val="00055043"/>
    <w:rsid w:val="000567A2"/>
    <w:rsid w:val="00056889"/>
    <w:rsid w:val="0005775A"/>
    <w:rsid w:val="000604C5"/>
    <w:rsid w:val="00061189"/>
    <w:rsid w:val="000611E1"/>
    <w:rsid w:val="00063F4C"/>
    <w:rsid w:val="000652D7"/>
    <w:rsid w:val="00066A25"/>
    <w:rsid w:val="00066B47"/>
    <w:rsid w:val="000673EA"/>
    <w:rsid w:val="00071DB7"/>
    <w:rsid w:val="00075434"/>
    <w:rsid w:val="0007594F"/>
    <w:rsid w:val="000774FD"/>
    <w:rsid w:val="00077CF7"/>
    <w:rsid w:val="000813A6"/>
    <w:rsid w:val="000815C6"/>
    <w:rsid w:val="00082E88"/>
    <w:rsid w:val="000866DE"/>
    <w:rsid w:val="00086B9A"/>
    <w:rsid w:val="00090CAF"/>
    <w:rsid w:val="00092A37"/>
    <w:rsid w:val="00093049"/>
    <w:rsid w:val="0009362B"/>
    <w:rsid w:val="000943EF"/>
    <w:rsid w:val="00094B18"/>
    <w:rsid w:val="00095760"/>
    <w:rsid w:val="00095B0F"/>
    <w:rsid w:val="000961A9"/>
    <w:rsid w:val="0009672A"/>
    <w:rsid w:val="00096C33"/>
    <w:rsid w:val="00097FA1"/>
    <w:rsid w:val="000A101B"/>
    <w:rsid w:val="000A28CC"/>
    <w:rsid w:val="000A3EE6"/>
    <w:rsid w:val="000A6A40"/>
    <w:rsid w:val="000A7131"/>
    <w:rsid w:val="000A78A6"/>
    <w:rsid w:val="000A7BFA"/>
    <w:rsid w:val="000B358E"/>
    <w:rsid w:val="000B38C2"/>
    <w:rsid w:val="000B4DB8"/>
    <w:rsid w:val="000B4E57"/>
    <w:rsid w:val="000B6C47"/>
    <w:rsid w:val="000B7BF0"/>
    <w:rsid w:val="000B7FC5"/>
    <w:rsid w:val="000C0606"/>
    <w:rsid w:val="000C3598"/>
    <w:rsid w:val="000C4375"/>
    <w:rsid w:val="000C4933"/>
    <w:rsid w:val="000C56FA"/>
    <w:rsid w:val="000C5CD7"/>
    <w:rsid w:val="000D0742"/>
    <w:rsid w:val="000D319A"/>
    <w:rsid w:val="000D7D64"/>
    <w:rsid w:val="000E0444"/>
    <w:rsid w:val="000E0549"/>
    <w:rsid w:val="000E0EF4"/>
    <w:rsid w:val="000E250F"/>
    <w:rsid w:val="000E373D"/>
    <w:rsid w:val="000E3BA8"/>
    <w:rsid w:val="000E3BD5"/>
    <w:rsid w:val="000E4544"/>
    <w:rsid w:val="000E5C41"/>
    <w:rsid w:val="000E649C"/>
    <w:rsid w:val="000F4697"/>
    <w:rsid w:val="000F5694"/>
    <w:rsid w:val="000F644B"/>
    <w:rsid w:val="000F6E2E"/>
    <w:rsid w:val="001001A3"/>
    <w:rsid w:val="001016FA"/>
    <w:rsid w:val="001018DF"/>
    <w:rsid w:val="00103253"/>
    <w:rsid w:val="001042E8"/>
    <w:rsid w:val="00105529"/>
    <w:rsid w:val="0010560A"/>
    <w:rsid w:val="00106B5F"/>
    <w:rsid w:val="00110335"/>
    <w:rsid w:val="001111E4"/>
    <w:rsid w:val="00112D72"/>
    <w:rsid w:val="001133E5"/>
    <w:rsid w:val="0011432A"/>
    <w:rsid w:val="00117887"/>
    <w:rsid w:val="00117CBE"/>
    <w:rsid w:val="0012139A"/>
    <w:rsid w:val="00122B31"/>
    <w:rsid w:val="00123691"/>
    <w:rsid w:val="00123E39"/>
    <w:rsid w:val="00126E94"/>
    <w:rsid w:val="001274F0"/>
    <w:rsid w:val="00127C4E"/>
    <w:rsid w:val="00130855"/>
    <w:rsid w:val="00131C2F"/>
    <w:rsid w:val="00136F14"/>
    <w:rsid w:val="001373AB"/>
    <w:rsid w:val="001400E6"/>
    <w:rsid w:val="00140DBC"/>
    <w:rsid w:val="00140E36"/>
    <w:rsid w:val="0014117E"/>
    <w:rsid w:val="00141DDF"/>
    <w:rsid w:val="00144C14"/>
    <w:rsid w:val="001459E3"/>
    <w:rsid w:val="00145F28"/>
    <w:rsid w:val="001469D1"/>
    <w:rsid w:val="00146CA5"/>
    <w:rsid w:val="00147879"/>
    <w:rsid w:val="00147AB3"/>
    <w:rsid w:val="00150AC5"/>
    <w:rsid w:val="00152F86"/>
    <w:rsid w:val="00153DCB"/>
    <w:rsid w:val="00160679"/>
    <w:rsid w:val="00161F87"/>
    <w:rsid w:val="001636BD"/>
    <w:rsid w:val="00163FDA"/>
    <w:rsid w:val="001642E8"/>
    <w:rsid w:val="0016641C"/>
    <w:rsid w:val="00167238"/>
    <w:rsid w:val="0016781A"/>
    <w:rsid w:val="0017069E"/>
    <w:rsid w:val="00171AE9"/>
    <w:rsid w:val="00172670"/>
    <w:rsid w:val="001741E8"/>
    <w:rsid w:val="00174AA0"/>
    <w:rsid w:val="00174C53"/>
    <w:rsid w:val="0017527E"/>
    <w:rsid w:val="00175FD0"/>
    <w:rsid w:val="0017754A"/>
    <w:rsid w:val="00180A8F"/>
    <w:rsid w:val="0018200F"/>
    <w:rsid w:val="00182C25"/>
    <w:rsid w:val="00183869"/>
    <w:rsid w:val="00183B2E"/>
    <w:rsid w:val="001856E6"/>
    <w:rsid w:val="00185F91"/>
    <w:rsid w:val="0018628D"/>
    <w:rsid w:val="001869FD"/>
    <w:rsid w:val="001909FB"/>
    <w:rsid w:val="00194DA3"/>
    <w:rsid w:val="00194EE0"/>
    <w:rsid w:val="001967AC"/>
    <w:rsid w:val="00196E7C"/>
    <w:rsid w:val="001A000C"/>
    <w:rsid w:val="001A0621"/>
    <w:rsid w:val="001A2906"/>
    <w:rsid w:val="001A2AF2"/>
    <w:rsid w:val="001A37DE"/>
    <w:rsid w:val="001A5B50"/>
    <w:rsid w:val="001A6CDC"/>
    <w:rsid w:val="001B06AA"/>
    <w:rsid w:val="001B0834"/>
    <w:rsid w:val="001B0FFD"/>
    <w:rsid w:val="001B1BE2"/>
    <w:rsid w:val="001B2D69"/>
    <w:rsid w:val="001B3588"/>
    <w:rsid w:val="001B4939"/>
    <w:rsid w:val="001B538D"/>
    <w:rsid w:val="001B5798"/>
    <w:rsid w:val="001B7DF4"/>
    <w:rsid w:val="001C1456"/>
    <w:rsid w:val="001C4584"/>
    <w:rsid w:val="001C4EAE"/>
    <w:rsid w:val="001C57C0"/>
    <w:rsid w:val="001C6A95"/>
    <w:rsid w:val="001C7519"/>
    <w:rsid w:val="001D0270"/>
    <w:rsid w:val="001D0793"/>
    <w:rsid w:val="001D2ABD"/>
    <w:rsid w:val="001D5146"/>
    <w:rsid w:val="001D5AC2"/>
    <w:rsid w:val="001D5C29"/>
    <w:rsid w:val="001D61E7"/>
    <w:rsid w:val="001D671A"/>
    <w:rsid w:val="001D718D"/>
    <w:rsid w:val="001E065E"/>
    <w:rsid w:val="001E213D"/>
    <w:rsid w:val="001E5135"/>
    <w:rsid w:val="001F2A97"/>
    <w:rsid w:val="001F5878"/>
    <w:rsid w:val="001F6A5C"/>
    <w:rsid w:val="001F71B2"/>
    <w:rsid w:val="001F7D44"/>
    <w:rsid w:val="002001E8"/>
    <w:rsid w:val="00201D67"/>
    <w:rsid w:val="0020249B"/>
    <w:rsid w:val="002030E1"/>
    <w:rsid w:val="002039A5"/>
    <w:rsid w:val="00204087"/>
    <w:rsid w:val="00205955"/>
    <w:rsid w:val="00206333"/>
    <w:rsid w:val="00207904"/>
    <w:rsid w:val="00211649"/>
    <w:rsid w:val="00213770"/>
    <w:rsid w:val="00215BD6"/>
    <w:rsid w:val="00215DD1"/>
    <w:rsid w:val="002163A9"/>
    <w:rsid w:val="002170BA"/>
    <w:rsid w:val="002176F5"/>
    <w:rsid w:val="00217EAB"/>
    <w:rsid w:val="002202C6"/>
    <w:rsid w:val="00220C94"/>
    <w:rsid w:val="0022121A"/>
    <w:rsid w:val="002216C9"/>
    <w:rsid w:val="00221921"/>
    <w:rsid w:val="002220ED"/>
    <w:rsid w:val="00223708"/>
    <w:rsid w:val="0022521F"/>
    <w:rsid w:val="002300C2"/>
    <w:rsid w:val="00232324"/>
    <w:rsid w:val="002330A5"/>
    <w:rsid w:val="00235056"/>
    <w:rsid w:val="00236BAE"/>
    <w:rsid w:val="00236ECA"/>
    <w:rsid w:val="00240898"/>
    <w:rsid w:val="00240DF1"/>
    <w:rsid w:val="00242B41"/>
    <w:rsid w:val="00244DBE"/>
    <w:rsid w:val="00246EEE"/>
    <w:rsid w:val="00247528"/>
    <w:rsid w:val="002505C9"/>
    <w:rsid w:val="00250869"/>
    <w:rsid w:val="00250CA5"/>
    <w:rsid w:val="002512FA"/>
    <w:rsid w:val="00253377"/>
    <w:rsid w:val="002534CB"/>
    <w:rsid w:val="00253F12"/>
    <w:rsid w:val="00255086"/>
    <w:rsid w:val="002550A1"/>
    <w:rsid w:val="0025695E"/>
    <w:rsid w:val="00256B17"/>
    <w:rsid w:val="00256E13"/>
    <w:rsid w:val="002602FA"/>
    <w:rsid w:val="00260620"/>
    <w:rsid w:val="002608FA"/>
    <w:rsid w:val="002617D3"/>
    <w:rsid w:val="00262B7F"/>
    <w:rsid w:val="00262FFC"/>
    <w:rsid w:val="00263284"/>
    <w:rsid w:val="002632F8"/>
    <w:rsid w:val="00263397"/>
    <w:rsid w:val="0026519B"/>
    <w:rsid w:val="0026608A"/>
    <w:rsid w:val="00271D10"/>
    <w:rsid w:val="00271D46"/>
    <w:rsid w:val="00273F4B"/>
    <w:rsid w:val="00274875"/>
    <w:rsid w:val="0027606F"/>
    <w:rsid w:val="00277DA5"/>
    <w:rsid w:val="00277DDC"/>
    <w:rsid w:val="0028053B"/>
    <w:rsid w:val="0028205E"/>
    <w:rsid w:val="00282759"/>
    <w:rsid w:val="0028364C"/>
    <w:rsid w:val="00284826"/>
    <w:rsid w:val="00284FE2"/>
    <w:rsid w:val="0028569F"/>
    <w:rsid w:val="002858F6"/>
    <w:rsid w:val="002866FE"/>
    <w:rsid w:val="00286C08"/>
    <w:rsid w:val="0029170F"/>
    <w:rsid w:val="00293484"/>
    <w:rsid w:val="002939E9"/>
    <w:rsid w:val="00293C59"/>
    <w:rsid w:val="00293FE2"/>
    <w:rsid w:val="00294CF0"/>
    <w:rsid w:val="00295848"/>
    <w:rsid w:val="002966FF"/>
    <w:rsid w:val="0029736E"/>
    <w:rsid w:val="00297770"/>
    <w:rsid w:val="002A033B"/>
    <w:rsid w:val="002A2813"/>
    <w:rsid w:val="002A385E"/>
    <w:rsid w:val="002A526F"/>
    <w:rsid w:val="002B20E2"/>
    <w:rsid w:val="002B3980"/>
    <w:rsid w:val="002B44A7"/>
    <w:rsid w:val="002B6796"/>
    <w:rsid w:val="002C176B"/>
    <w:rsid w:val="002C3198"/>
    <w:rsid w:val="002C4C62"/>
    <w:rsid w:val="002C4FAD"/>
    <w:rsid w:val="002D1CF6"/>
    <w:rsid w:val="002D286D"/>
    <w:rsid w:val="002D344E"/>
    <w:rsid w:val="002D626A"/>
    <w:rsid w:val="002E0992"/>
    <w:rsid w:val="002E1B1B"/>
    <w:rsid w:val="002E470B"/>
    <w:rsid w:val="002E4C90"/>
    <w:rsid w:val="002E4FFB"/>
    <w:rsid w:val="002E6270"/>
    <w:rsid w:val="002E68D6"/>
    <w:rsid w:val="002F05A5"/>
    <w:rsid w:val="002F14F3"/>
    <w:rsid w:val="002F289F"/>
    <w:rsid w:val="002F2D5B"/>
    <w:rsid w:val="002F3502"/>
    <w:rsid w:val="003013B4"/>
    <w:rsid w:val="0030288B"/>
    <w:rsid w:val="003057E1"/>
    <w:rsid w:val="0030671C"/>
    <w:rsid w:val="00312279"/>
    <w:rsid w:val="00312392"/>
    <w:rsid w:val="00312598"/>
    <w:rsid w:val="003157B9"/>
    <w:rsid w:val="0031672E"/>
    <w:rsid w:val="0031750F"/>
    <w:rsid w:val="00320B7E"/>
    <w:rsid w:val="003219F2"/>
    <w:rsid w:val="00321DCE"/>
    <w:rsid w:val="003230AB"/>
    <w:rsid w:val="00323882"/>
    <w:rsid w:val="00324257"/>
    <w:rsid w:val="0032487C"/>
    <w:rsid w:val="00327C84"/>
    <w:rsid w:val="00330564"/>
    <w:rsid w:val="003319AB"/>
    <w:rsid w:val="00334DE6"/>
    <w:rsid w:val="00336009"/>
    <w:rsid w:val="0033682D"/>
    <w:rsid w:val="003404FC"/>
    <w:rsid w:val="00341370"/>
    <w:rsid w:val="003426DB"/>
    <w:rsid w:val="00344921"/>
    <w:rsid w:val="00344E28"/>
    <w:rsid w:val="00345E82"/>
    <w:rsid w:val="00346857"/>
    <w:rsid w:val="00346F75"/>
    <w:rsid w:val="00347395"/>
    <w:rsid w:val="00350FCC"/>
    <w:rsid w:val="003525A6"/>
    <w:rsid w:val="00352E76"/>
    <w:rsid w:val="00353C8C"/>
    <w:rsid w:val="003554B0"/>
    <w:rsid w:val="00355F8F"/>
    <w:rsid w:val="0035600F"/>
    <w:rsid w:val="003561B8"/>
    <w:rsid w:val="003567A9"/>
    <w:rsid w:val="00357F34"/>
    <w:rsid w:val="00360546"/>
    <w:rsid w:val="003626B1"/>
    <w:rsid w:val="00363414"/>
    <w:rsid w:val="00363924"/>
    <w:rsid w:val="00364952"/>
    <w:rsid w:val="00372753"/>
    <w:rsid w:val="00374A17"/>
    <w:rsid w:val="003772AC"/>
    <w:rsid w:val="00377782"/>
    <w:rsid w:val="00381172"/>
    <w:rsid w:val="0038284B"/>
    <w:rsid w:val="00382D9C"/>
    <w:rsid w:val="00383DC2"/>
    <w:rsid w:val="00384A98"/>
    <w:rsid w:val="00385DDA"/>
    <w:rsid w:val="0038644B"/>
    <w:rsid w:val="003941E0"/>
    <w:rsid w:val="003947F6"/>
    <w:rsid w:val="00394E35"/>
    <w:rsid w:val="003954FB"/>
    <w:rsid w:val="00397EC1"/>
    <w:rsid w:val="003A05CE"/>
    <w:rsid w:val="003A19B8"/>
    <w:rsid w:val="003A2D3C"/>
    <w:rsid w:val="003A31C3"/>
    <w:rsid w:val="003A38AC"/>
    <w:rsid w:val="003A3C23"/>
    <w:rsid w:val="003A4B75"/>
    <w:rsid w:val="003A70E5"/>
    <w:rsid w:val="003B2216"/>
    <w:rsid w:val="003B57E6"/>
    <w:rsid w:val="003B5C2D"/>
    <w:rsid w:val="003B5F18"/>
    <w:rsid w:val="003B77B7"/>
    <w:rsid w:val="003C122D"/>
    <w:rsid w:val="003C14A9"/>
    <w:rsid w:val="003C1672"/>
    <w:rsid w:val="003C23EE"/>
    <w:rsid w:val="003C3020"/>
    <w:rsid w:val="003C5937"/>
    <w:rsid w:val="003C6148"/>
    <w:rsid w:val="003C642F"/>
    <w:rsid w:val="003C7A7D"/>
    <w:rsid w:val="003C7B9C"/>
    <w:rsid w:val="003D0948"/>
    <w:rsid w:val="003D0F72"/>
    <w:rsid w:val="003D4EB6"/>
    <w:rsid w:val="003D5C41"/>
    <w:rsid w:val="003D6851"/>
    <w:rsid w:val="003D6F2E"/>
    <w:rsid w:val="003E0387"/>
    <w:rsid w:val="003E3F41"/>
    <w:rsid w:val="003E5219"/>
    <w:rsid w:val="003E58D7"/>
    <w:rsid w:val="003E6903"/>
    <w:rsid w:val="003E7870"/>
    <w:rsid w:val="003F18C7"/>
    <w:rsid w:val="003F19EA"/>
    <w:rsid w:val="003F1C0F"/>
    <w:rsid w:val="003F2B25"/>
    <w:rsid w:val="003F3DFD"/>
    <w:rsid w:val="003F4A7B"/>
    <w:rsid w:val="003F66E1"/>
    <w:rsid w:val="00403148"/>
    <w:rsid w:val="00404709"/>
    <w:rsid w:val="0040484E"/>
    <w:rsid w:val="00405608"/>
    <w:rsid w:val="00405F75"/>
    <w:rsid w:val="00406BE7"/>
    <w:rsid w:val="004108C0"/>
    <w:rsid w:val="0041758B"/>
    <w:rsid w:val="004200DD"/>
    <w:rsid w:val="00420C9E"/>
    <w:rsid w:val="0042278E"/>
    <w:rsid w:val="00422B76"/>
    <w:rsid w:val="00423CEF"/>
    <w:rsid w:val="00424191"/>
    <w:rsid w:val="004241D4"/>
    <w:rsid w:val="00424967"/>
    <w:rsid w:val="00432054"/>
    <w:rsid w:val="00433344"/>
    <w:rsid w:val="004335C1"/>
    <w:rsid w:val="004340C0"/>
    <w:rsid w:val="004377D5"/>
    <w:rsid w:val="004440BE"/>
    <w:rsid w:val="00444E5E"/>
    <w:rsid w:val="00446CC5"/>
    <w:rsid w:val="00447FCD"/>
    <w:rsid w:val="00450E53"/>
    <w:rsid w:val="0045426A"/>
    <w:rsid w:val="004579C1"/>
    <w:rsid w:val="0046044E"/>
    <w:rsid w:val="00460DB3"/>
    <w:rsid w:val="004625AE"/>
    <w:rsid w:val="004646A5"/>
    <w:rsid w:val="0046680B"/>
    <w:rsid w:val="00467182"/>
    <w:rsid w:val="0046786A"/>
    <w:rsid w:val="004701E0"/>
    <w:rsid w:val="0047025B"/>
    <w:rsid w:val="004713D9"/>
    <w:rsid w:val="00472DD3"/>
    <w:rsid w:val="00473A03"/>
    <w:rsid w:val="00475201"/>
    <w:rsid w:val="004765EB"/>
    <w:rsid w:val="004777E9"/>
    <w:rsid w:val="0048120B"/>
    <w:rsid w:val="00487046"/>
    <w:rsid w:val="00487D3D"/>
    <w:rsid w:val="00491528"/>
    <w:rsid w:val="004934E9"/>
    <w:rsid w:val="004935C6"/>
    <w:rsid w:val="004936A3"/>
    <w:rsid w:val="00493A08"/>
    <w:rsid w:val="00493B1F"/>
    <w:rsid w:val="004961C4"/>
    <w:rsid w:val="00496311"/>
    <w:rsid w:val="004976D8"/>
    <w:rsid w:val="00497B0D"/>
    <w:rsid w:val="004A05E2"/>
    <w:rsid w:val="004A231B"/>
    <w:rsid w:val="004A3675"/>
    <w:rsid w:val="004A3A25"/>
    <w:rsid w:val="004A4759"/>
    <w:rsid w:val="004B2F31"/>
    <w:rsid w:val="004B319D"/>
    <w:rsid w:val="004B3D9C"/>
    <w:rsid w:val="004B4E5C"/>
    <w:rsid w:val="004B4F8C"/>
    <w:rsid w:val="004B7C7C"/>
    <w:rsid w:val="004B7EDF"/>
    <w:rsid w:val="004C227D"/>
    <w:rsid w:val="004C4E8D"/>
    <w:rsid w:val="004C4EB2"/>
    <w:rsid w:val="004C538C"/>
    <w:rsid w:val="004C6140"/>
    <w:rsid w:val="004D0715"/>
    <w:rsid w:val="004D1548"/>
    <w:rsid w:val="004D2204"/>
    <w:rsid w:val="004D2449"/>
    <w:rsid w:val="004D47D8"/>
    <w:rsid w:val="004D5152"/>
    <w:rsid w:val="004E2E7F"/>
    <w:rsid w:val="004E3DDC"/>
    <w:rsid w:val="004E5A4A"/>
    <w:rsid w:val="004E6691"/>
    <w:rsid w:val="004F11F5"/>
    <w:rsid w:val="004F21B4"/>
    <w:rsid w:val="004F21FC"/>
    <w:rsid w:val="004F2FEB"/>
    <w:rsid w:val="004F3DF5"/>
    <w:rsid w:val="004F4A26"/>
    <w:rsid w:val="004F5622"/>
    <w:rsid w:val="00500037"/>
    <w:rsid w:val="005014EE"/>
    <w:rsid w:val="005039F4"/>
    <w:rsid w:val="00504C10"/>
    <w:rsid w:val="005053A5"/>
    <w:rsid w:val="005055EF"/>
    <w:rsid w:val="005057D9"/>
    <w:rsid w:val="0050643F"/>
    <w:rsid w:val="0050688D"/>
    <w:rsid w:val="00510032"/>
    <w:rsid w:val="00510088"/>
    <w:rsid w:val="00510172"/>
    <w:rsid w:val="00510BC4"/>
    <w:rsid w:val="00512AD4"/>
    <w:rsid w:val="0051337D"/>
    <w:rsid w:val="0051370F"/>
    <w:rsid w:val="0051390F"/>
    <w:rsid w:val="0051467B"/>
    <w:rsid w:val="0051532B"/>
    <w:rsid w:val="00515E2F"/>
    <w:rsid w:val="00515E39"/>
    <w:rsid w:val="00517BB2"/>
    <w:rsid w:val="005205EF"/>
    <w:rsid w:val="00520A6B"/>
    <w:rsid w:val="00520BDB"/>
    <w:rsid w:val="00520EAA"/>
    <w:rsid w:val="00520F1D"/>
    <w:rsid w:val="00521A57"/>
    <w:rsid w:val="00521AA1"/>
    <w:rsid w:val="005229F1"/>
    <w:rsid w:val="005243CC"/>
    <w:rsid w:val="00527190"/>
    <w:rsid w:val="00527809"/>
    <w:rsid w:val="00527A60"/>
    <w:rsid w:val="00527BBA"/>
    <w:rsid w:val="00530CF1"/>
    <w:rsid w:val="00532353"/>
    <w:rsid w:val="00532531"/>
    <w:rsid w:val="0053287C"/>
    <w:rsid w:val="00533A80"/>
    <w:rsid w:val="00546F06"/>
    <w:rsid w:val="00547A19"/>
    <w:rsid w:val="0055018D"/>
    <w:rsid w:val="00550FAE"/>
    <w:rsid w:val="00551C4F"/>
    <w:rsid w:val="005520B5"/>
    <w:rsid w:val="00553602"/>
    <w:rsid w:val="00555354"/>
    <w:rsid w:val="00555B18"/>
    <w:rsid w:val="00556AE4"/>
    <w:rsid w:val="00557042"/>
    <w:rsid w:val="0055779C"/>
    <w:rsid w:val="005602BF"/>
    <w:rsid w:val="00560ABE"/>
    <w:rsid w:val="00561A65"/>
    <w:rsid w:val="00563AAD"/>
    <w:rsid w:val="00564AA4"/>
    <w:rsid w:val="005653C5"/>
    <w:rsid w:val="00566D67"/>
    <w:rsid w:val="005671B8"/>
    <w:rsid w:val="00567995"/>
    <w:rsid w:val="0057090D"/>
    <w:rsid w:val="00571253"/>
    <w:rsid w:val="00572661"/>
    <w:rsid w:val="00572FF6"/>
    <w:rsid w:val="00575325"/>
    <w:rsid w:val="005831AB"/>
    <w:rsid w:val="00583871"/>
    <w:rsid w:val="00585E3F"/>
    <w:rsid w:val="0058602D"/>
    <w:rsid w:val="00586D0A"/>
    <w:rsid w:val="00590B25"/>
    <w:rsid w:val="00591C32"/>
    <w:rsid w:val="00591D87"/>
    <w:rsid w:val="00591F9D"/>
    <w:rsid w:val="0059286F"/>
    <w:rsid w:val="0059488E"/>
    <w:rsid w:val="005962CC"/>
    <w:rsid w:val="005968BC"/>
    <w:rsid w:val="00596B2B"/>
    <w:rsid w:val="005A110E"/>
    <w:rsid w:val="005A1F74"/>
    <w:rsid w:val="005A3E32"/>
    <w:rsid w:val="005A51EE"/>
    <w:rsid w:val="005A57F1"/>
    <w:rsid w:val="005A5AC9"/>
    <w:rsid w:val="005A7A5A"/>
    <w:rsid w:val="005B09B7"/>
    <w:rsid w:val="005B1633"/>
    <w:rsid w:val="005B20C8"/>
    <w:rsid w:val="005B3AC3"/>
    <w:rsid w:val="005B723C"/>
    <w:rsid w:val="005B7C3E"/>
    <w:rsid w:val="005C1B1C"/>
    <w:rsid w:val="005C1E73"/>
    <w:rsid w:val="005C214A"/>
    <w:rsid w:val="005C2F5E"/>
    <w:rsid w:val="005C5D45"/>
    <w:rsid w:val="005C716F"/>
    <w:rsid w:val="005D0679"/>
    <w:rsid w:val="005D19F3"/>
    <w:rsid w:val="005D2726"/>
    <w:rsid w:val="005D3599"/>
    <w:rsid w:val="005D4665"/>
    <w:rsid w:val="005D6B05"/>
    <w:rsid w:val="005E02B4"/>
    <w:rsid w:val="005E0763"/>
    <w:rsid w:val="005E12A8"/>
    <w:rsid w:val="005E3DD8"/>
    <w:rsid w:val="005E3EEF"/>
    <w:rsid w:val="005E5669"/>
    <w:rsid w:val="005E5B87"/>
    <w:rsid w:val="005E63F6"/>
    <w:rsid w:val="005F4757"/>
    <w:rsid w:val="006003D3"/>
    <w:rsid w:val="0060440E"/>
    <w:rsid w:val="006045C3"/>
    <w:rsid w:val="00610D4E"/>
    <w:rsid w:val="00613A58"/>
    <w:rsid w:val="00615DA2"/>
    <w:rsid w:val="00615E5A"/>
    <w:rsid w:val="0061677F"/>
    <w:rsid w:val="00616B41"/>
    <w:rsid w:val="00616BBB"/>
    <w:rsid w:val="00617F2C"/>
    <w:rsid w:val="006201C5"/>
    <w:rsid w:val="00620584"/>
    <w:rsid w:val="00620F04"/>
    <w:rsid w:val="0062256A"/>
    <w:rsid w:val="00623602"/>
    <w:rsid w:val="006241A9"/>
    <w:rsid w:val="0062495F"/>
    <w:rsid w:val="00626DD7"/>
    <w:rsid w:val="0062757B"/>
    <w:rsid w:val="006302E5"/>
    <w:rsid w:val="00632117"/>
    <w:rsid w:val="0063255B"/>
    <w:rsid w:val="00632FDC"/>
    <w:rsid w:val="00633F84"/>
    <w:rsid w:val="006353F2"/>
    <w:rsid w:val="00635F00"/>
    <w:rsid w:val="00636EC7"/>
    <w:rsid w:val="00637684"/>
    <w:rsid w:val="0064173B"/>
    <w:rsid w:val="0064262F"/>
    <w:rsid w:val="0064419C"/>
    <w:rsid w:val="0064599E"/>
    <w:rsid w:val="006469EF"/>
    <w:rsid w:val="00646EE0"/>
    <w:rsid w:val="006513CA"/>
    <w:rsid w:val="0065147F"/>
    <w:rsid w:val="0065307A"/>
    <w:rsid w:val="00654F2F"/>
    <w:rsid w:val="0066455C"/>
    <w:rsid w:val="0066503D"/>
    <w:rsid w:val="0066545B"/>
    <w:rsid w:val="00665B20"/>
    <w:rsid w:val="00666A8F"/>
    <w:rsid w:val="00666AA5"/>
    <w:rsid w:val="00667BDA"/>
    <w:rsid w:val="00672E60"/>
    <w:rsid w:val="00672EDA"/>
    <w:rsid w:val="00673A71"/>
    <w:rsid w:val="0067551E"/>
    <w:rsid w:val="00675B72"/>
    <w:rsid w:val="00676551"/>
    <w:rsid w:val="00676719"/>
    <w:rsid w:val="00677AD1"/>
    <w:rsid w:val="00677F66"/>
    <w:rsid w:val="0068015B"/>
    <w:rsid w:val="00680A26"/>
    <w:rsid w:val="00682EA6"/>
    <w:rsid w:val="0068592E"/>
    <w:rsid w:val="0068671D"/>
    <w:rsid w:val="006873FA"/>
    <w:rsid w:val="00690F98"/>
    <w:rsid w:val="0069216C"/>
    <w:rsid w:val="00693AA3"/>
    <w:rsid w:val="00693D04"/>
    <w:rsid w:val="006976DF"/>
    <w:rsid w:val="006A0113"/>
    <w:rsid w:val="006A0D78"/>
    <w:rsid w:val="006A2BC2"/>
    <w:rsid w:val="006A2F62"/>
    <w:rsid w:val="006A7827"/>
    <w:rsid w:val="006A7BD0"/>
    <w:rsid w:val="006B1C3A"/>
    <w:rsid w:val="006B26AE"/>
    <w:rsid w:val="006B28BF"/>
    <w:rsid w:val="006B40D4"/>
    <w:rsid w:val="006B4B7D"/>
    <w:rsid w:val="006B5306"/>
    <w:rsid w:val="006B7156"/>
    <w:rsid w:val="006B79D1"/>
    <w:rsid w:val="006C097B"/>
    <w:rsid w:val="006C1E07"/>
    <w:rsid w:val="006C2AA7"/>
    <w:rsid w:val="006C47F1"/>
    <w:rsid w:val="006C51C5"/>
    <w:rsid w:val="006C5A24"/>
    <w:rsid w:val="006D19F6"/>
    <w:rsid w:val="006D3EB9"/>
    <w:rsid w:val="006D49F0"/>
    <w:rsid w:val="006D4DB6"/>
    <w:rsid w:val="006D4EF3"/>
    <w:rsid w:val="006D5FD8"/>
    <w:rsid w:val="006D6360"/>
    <w:rsid w:val="006D71C3"/>
    <w:rsid w:val="006E04A7"/>
    <w:rsid w:val="006E1C91"/>
    <w:rsid w:val="006E1E1E"/>
    <w:rsid w:val="006E2B9D"/>
    <w:rsid w:val="006E6600"/>
    <w:rsid w:val="006E7E46"/>
    <w:rsid w:val="006F0581"/>
    <w:rsid w:val="006F1C5F"/>
    <w:rsid w:val="006F1C78"/>
    <w:rsid w:val="006F792F"/>
    <w:rsid w:val="006F7B88"/>
    <w:rsid w:val="00701436"/>
    <w:rsid w:val="00702379"/>
    <w:rsid w:val="00704074"/>
    <w:rsid w:val="0070419E"/>
    <w:rsid w:val="0070585F"/>
    <w:rsid w:val="00705EBF"/>
    <w:rsid w:val="00706466"/>
    <w:rsid w:val="00706555"/>
    <w:rsid w:val="00706748"/>
    <w:rsid w:val="00706A6A"/>
    <w:rsid w:val="00706EAE"/>
    <w:rsid w:val="00706F60"/>
    <w:rsid w:val="00710F6B"/>
    <w:rsid w:val="00711D52"/>
    <w:rsid w:val="007144C1"/>
    <w:rsid w:val="007147EC"/>
    <w:rsid w:val="007153B4"/>
    <w:rsid w:val="007208E1"/>
    <w:rsid w:val="00720FE0"/>
    <w:rsid w:val="00721ECC"/>
    <w:rsid w:val="007233A4"/>
    <w:rsid w:val="007255CA"/>
    <w:rsid w:val="00726667"/>
    <w:rsid w:val="00726FC1"/>
    <w:rsid w:val="00731D4A"/>
    <w:rsid w:val="00732205"/>
    <w:rsid w:val="00732726"/>
    <w:rsid w:val="00733021"/>
    <w:rsid w:val="00733374"/>
    <w:rsid w:val="00734761"/>
    <w:rsid w:val="00736395"/>
    <w:rsid w:val="007404C6"/>
    <w:rsid w:val="007433CA"/>
    <w:rsid w:val="00743849"/>
    <w:rsid w:val="0074498E"/>
    <w:rsid w:val="007455D9"/>
    <w:rsid w:val="00745D2A"/>
    <w:rsid w:val="00746CA1"/>
    <w:rsid w:val="00747715"/>
    <w:rsid w:val="00747B0C"/>
    <w:rsid w:val="00747B52"/>
    <w:rsid w:val="00747F47"/>
    <w:rsid w:val="00747FA6"/>
    <w:rsid w:val="0075163D"/>
    <w:rsid w:val="0075172B"/>
    <w:rsid w:val="00751EFB"/>
    <w:rsid w:val="007524F6"/>
    <w:rsid w:val="007549A5"/>
    <w:rsid w:val="00754C12"/>
    <w:rsid w:val="00757FEC"/>
    <w:rsid w:val="007612CB"/>
    <w:rsid w:val="00761838"/>
    <w:rsid w:val="007629DF"/>
    <w:rsid w:val="0076331E"/>
    <w:rsid w:val="007633B1"/>
    <w:rsid w:val="00764EAA"/>
    <w:rsid w:val="0076525B"/>
    <w:rsid w:val="00772937"/>
    <w:rsid w:val="00775327"/>
    <w:rsid w:val="00776505"/>
    <w:rsid w:val="0078025D"/>
    <w:rsid w:val="007813E3"/>
    <w:rsid w:val="007836EB"/>
    <w:rsid w:val="007839E2"/>
    <w:rsid w:val="0079082C"/>
    <w:rsid w:val="00790D49"/>
    <w:rsid w:val="00794A0D"/>
    <w:rsid w:val="00797493"/>
    <w:rsid w:val="007A0A53"/>
    <w:rsid w:val="007A28A1"/>
    <w:rsid w:val="007A7CDE"/>
    <w:rsid w:val="007B0F67"/>
    <w:rsid w:val="007B552B"/>
    <w:rsid w:val="007B7A4C"/>
    <w:rsid w:val="007C1EB6"/>
    <w:rsid w:val="007C2238"/>
    <w:rsid w:val="007C2C14"/>
    <w:rsid w:val="007C302F"/>
    <w:rsid w:val="007C3BF2"/>
    <w:rsid w:val="007C41E8"/>
    <w:rsid w:val="007C495F"/>
    <w:rsid w:val="007C5160"/>
    <w:rsid w:val="007C72E9"/>
    <w:rsid w:val="007D4464"/>
    <w:rsid w:val="007D459B"/>
    <w:rsid w:val="007D5E1A"/>
    <w:rsid w:val="007D62EC"/>
    <w:rsid w:val="007D7CCD"/>
    <w:rsid w:val="007E13C8"/>
    <w:rsid w:val="007E2B43"/>
    <w:rsid w:val="007E2DF6"/>
    <w:rsid w:val="007E4714"/>
    <w:rsid w:val="007E5B9B"/>
    <w:rsid w:val="007E616F"/>
    <w:rsid w:val="007E725D"/>
    <w:rsid w:val="007E780C"/>
    <w:rsid w:val="007F0C88"/>
    <w:rsid w:val="007F2CFC"/>
    <w:rsid w:val="007F3387"/>
    <w:rsid w:val="007F5B39"/>
    <w:rsid w:val="007F683A"/>
    <w:rsid w:val="007F7B10"/>
    <w:rsid w:val="007F7F10"/>
    <w:rsid w:val="00801859"/>
    <w:rsid w:val="00802338"/>
    <w:rsid w:val="00806AAA"/>
    <w:rsid w:val="00811026"/>
    <w:rsid w:val="0081241E"/>
    <w:rsid w:val="00812EAF"/>
    <w:rsid w:val="008131BA"/>
    <w:rsid w:val="0081447D"/>
    <w:rsid w:val="008148D9"/>
    <w:rsid w:val="00815B1E"/>
    <w:rsid w:val="00815DA6"/>
    <w:rsid w:val="008173F1"/>
    <w:rsid w:val="008201AE"/>
    <w:rsid w:val="00821472"/>
    <w:rsid w:val="00824524"/>
    <w:rsid w:val="00830874"/>
    <w:rsid w:val="00833FC9"/>
    <w:rsid w:val="0083407E"/>
    <w:rsid w:val="00836206"/>
    <w:rsid w:val="008362A7"/>
    <w:rsid w:val="008365A0"/>
    <w:rsid w:val="00836E25"/>
    <w:rsid w:val="00837FBF"/>
    <w:rsid w:val="00841A31"/>
    <w:rsid w:val="00845020"/>
    <w:rsid w:val="0084548F"/>
    <w:rsid w:val="00845577"/>
    <w:rsid w:val="00845BA8"/>
    <w:rsid w:val="00846991"/>
    <w:rsid w:val="00850C90"/>
    <w:rsid w:val="00851170"/>
    <w:rsid w:val="00851BF2"/>
    <w:rsid w:val="00851FB6"/>
    <w:rsid w:val="0085289E"/>
    <w:rsid w:val="008537E8"/>
    <w:rsid w:val="008556FC"/>
    <w:rsid w:val="00856DAE"/>
    <w:rsid w:val="00856FF9"/>
    <w:rsid w:val="00857A43"/>
    <w:rsid w:val="008640E5"/>
    <w:rsid w:val="00867371"/>
    <w:rsid w:val="008717FD"/>
    <w:rsid w:val="0087413E"/>
    <w:rsid w:val="008752A5"/>
    <w:rsid w:val="00875E88"/>
    <w:rsid w:val="00877091"/>
    <w:rsid w:val="00877176"/>
    <w:rsid w:val="0087725B"/>
    <w:rsid w:val="008772A2"/>
    <w:rsid w:val="00882EB5"/>
    <w:rsid w:val="00883A26"/>
    <w:rsid w:val="00885829"/>
    <w:rsid w:val="00886A98"/>
    <w:rsid w:val="008870AC"/>
    <w:rsid w:val="00887A8C"/>
    <w:rsid w:val="00890255"/>
    <w:rsid w:val="008918CC"/>
    <w:rsid w:val="00892195"/>
    <w:rsid w:val="00892B4F"/>
    <w:rsid w:val="00893A04"/>
    <w:rsid w:val="00893F2A"/>
    <w:rsid w:val="00894587"/>
    <w:rsid w:val="0089461C"/>
    <w:rsid w:val="00894D8B"/>
    <w:rsid w:val="0089789D"/>
    <w:rsid w:val="008A18BD"/>
    <w:rsid w:val="008A1902"/>
    <w:rsid w:val="008A2899"/>
    <w:rsid w:val="008A5000"/>
    <w:rsid w:val="008A5545"/>
    <w:rsid w:val="008A58F0"/>
    <w:rsid w:val="008A6362"/>
    <w:rsid w:val="008B0763"/>
    <w:rsid w:val="008B0960"/>
    <w:rsid w:val="008B1C0D"/>
    <w:rsid w:val="008B2BCF"/>
    <w:rsid w:val="008B52E1"/>
    <w:rsid w:val="008C500A"/>
    <w:rsid w:val="008C6458"/>
    <w:rsid w:val="008C7011"/>
    <w:rsid w:val="008D3ACE"/>
    <w:rsid w:val="008D3D0D"/>
    <w:rsid w:val="008D4A88"/>
    <w:rsid w:val="008D4C3A"/>
    <w:rsid w:val="008D7863"/>
    <w:rsid w:val="008D7EC8"/>
    <w:rsid w:val="008E4420"/>
    <w:rsid w:val="008F0845"/>
    <w:rsid w:val="008F0EE4"/>
    <w:rsid w:val="008F14F4"/>
    <w:rsid w:val="008F5AEA"/>
    <w:rsid w:val="008F658D"/>
    <w:rsid w:val="008F720C"/>
    <w:rsid w:val="008F7780"/>
    <w:rsid w:val="008F7960"/>
    <w:rsid w:val="009021AA"/>
    <w:rsid w:val="0090420F"/>
    <w:rsid w:val="0090508B"/>
    <w:rsid w:val="009079DF"/>
    <w:rsid w:val="0091064E"/>
    <w:rsid w:val="00912400"/>
    <w:rsid w:val="00914C34"/>
    <w:rsid w:val="00916993"/>
    <w:rsid w:val="00920396"/>
    <w:rsid w:val="009214D6"/>
    <w:rsid w:val="009216D4"/>
    <w:rsid w:val="00922A3B"/>
    <w:rsid w:val="009247DF"/>
    <w:rsid w:val="00926573"/>
    <w:rsid w:val="00933190"/>
    <w:rsid w:val="00933232"/>
    <w:rsid w:val="009335B5"/>
    <w:rsid w:val="009358C0"/>
    <w:rsid w:val="00937DCA"/>
    <w:rsid w:val="0094047F"/>
    <w:rsid w:val="00940AEB"/>
    <w:rsid w:val="00943320"/>
    <w:rsid w:val="00943E4D"/>
    <w:rsid w:val="00944B15"/>
    <w:rsid w:val="00945510"/>
    <w:rsid w:val="009471F3"/>
    <w:rsid w:val="00950CF7"/>
    <w:rsid w:val="00951994"/>
    <w:rsid w:val="00954086"/>
    <w:rsid w:val="009540B9"/>
    <w:rsid w:val="0095415D"/>
    <w:rsid w:val="00954486"/>
    <w:rsid w:val="009544FB"/>
    <w:rsid w:val="00957825"/>
    <w:rsid w:val="0096099E"/>
    <w:rsid w:val="00961181"/>
    <w:rsid w:val="00961314"/>
    <w:rsid w:val="00961846"/>
    <w:rsid w:val="00962A1A"/>
    <w:rsid w:val="0096451B"/>
    <w:rsid w:val="0096513A"/>
    <w:rsid w:val="00970AD4"/>
    <w:rsid w:val="00971473"/>
    <w:rsid w:val="0097335F"/>
    <w:rsid w:val="00975650"/>
    <w:rsid w:val="009763E7"/>
    <w:rsid w:val="00977BDA"/>
    <w:rsid w:val="00980327"/>
    <w:rsid w:val="00981B90"/>
    <w:rsid w:val="009824DC"/>
    <w:rsid w:val="00983A60"/>
    <w:rsid w:val="00983C72"/>
    <w:rsid w:val="0098529A"/>
    <w:rsid w:val="00986770"/>
    <w:rsid w:val="00987935"/>
    <w:rsid w:val="00993479"/>
    <w:rsid w:val="009941DB"/>
    <w:rsid w:val="0099518F"/>
    <w:rsid w:val="00995951"/>
    <w:rsid w:val="009975E7"/>
    <w:rsid w:val="009A3F19"/>
    <w:rsid w:val="009A4DFD"/>
    <w:rsid w:val="009A51D9"/>
    <w:rsid w:val="009A60B9"/>
    <w:rsid w:val="009B0DB7"/>
    <w:rsid w:val="009B1D31"/>
    <w:rsid w:val="009B29AD"/>
    <w:rsid w:val="009B2AA1"/>
    <w:rsid w:val="009B40C6"/>
    <w:rsid w:val="009B4193"/>
    <w:rsid w:val="009B648B"/>
    <w:rsid w:val="009B6A79"/>
    <w:rsid w:val="009B7E06"/>
    <w:rsid w:val="009C1D1C"/>
    <w:rsid w:val="009C2625"/>
    <w:rsid w:val="009C26AA"/>
    <w:rsid w:val="009C2CFC"/>
    <w:rsid w:val="009C30CE"/>
    <w:rsid w:val="009C507B"/>
    <w:rsid w:val="009C5635"/>
    <w:rsid w:val="009C5BC7"/>
    <w:rsid w:val="009D084E"/>
    <w:rsid w:val="009D0BE6"/>
    <w:rsid w:val="009D1139"/>
    <w:rsid w:val="009D2834"/>
    <w:rsid w:val="009D4A0C"/>
    <w:rsid w:val="009D5910"/>
    <w:rsid w:val="009D6469"/>
    <w:rsid w:val="009D6D88"/>
    <w:rsid w:val="009D7F21"/>
    <w:rsid w:val="009E04F8"/>
    <w:rsid w:val="009E2B4B"/>
    <w:rsid w:val="009E2EA8"/>
    <w:rsid w:val="009E67D7"/>
    <w:rsid w:val="009E685C"/>
    <w:rsid w:val="009F234D"/>
    <w:rsid w:val="009F3C8F"/>
    <w:rsid w:val="009F4CBE"/>
    <w:rsid w:val="009F4F54"/>
    <w:rsid w:val="009F5473"/>
    <w:rsid w:val="009F569A"/>
    <w:rsid w:val="009F7B7C"/>
    <w:rsid w:val="009F7E10"/>
    <w:rsid w:val="00A00C3D"/>
    <w:rsid w:val="00A05324"/>
    <w:rsid w:val="00A06A03"/>
    <w:rsid w:val="00A06B4E"/>
    <w:rsid w:val="00A07B51"/>
    <w:rsid w:val="00A07BFA"/>
    <w:rsid w:val="00A101AB"/>
    <w:rsid w:val="00A10FB7"/>
    <w:rsid w:val="00A114CF"/>
    <w:rsid w:val="00A12076"/>
    <w:rsid w:val="00A13712"/>
    <w:rsid w:val="00A15146"/>
    <w:rsid w:val="00A15581"/>
    <w:rsid w:val="00A157F1"/>
    <w:rsid w:val="00A161AA"/>
    <w:rsid w:val="00A161E6"/>
    <w:rsid w:val="00A16D8A"/>
    <w:rsid w:val="00A23211"/>
    <w:rsid w:val="00A236F2"/>
    <w:rsid w:val="00A249D6"/>
    <w:rsid w:val="00A27361"/>
    <w:rsid w:val="00A30389"/>
    <w:rsid w:val="00A30B33"/>
    <w:rsid w:val="00A31B58"/>
    <w:rsid w:val="00A32B15"/>
    <w:rsid w:val="00A33487"/>
    <w:rsid w:val="00A34669"/>
    <w:rsid w:val="00A34DB3"/>
    <w:rsid w:val="00A37121"/>
    <w:rsid w:val="00A37490"/>
    <w:rsid w:val="00A41EBD"/>
    <w:rsid w:val="00A424D3"/>
    <w:rsid w:val="00A42CD1"/>
    <w:rsid w:val="00A43A3C"/>
    <w:rsid w:val="00A43BB7"/>
    <w:rsid w:val="00A43FC0"/>
    <w:rsid w:val="00A44FFC"/>
    <w:rsid w:val="00A45FFD"/>
    <w:rsid w:val="00A4775F"/>
    <w:rsid w:val="00A5226A"/>
    <w:rsid w:val="00A5369A"/>
    <w:rsid w:val="00A53B2A"/>
    <w:rsid w:val="00A54919"/>
    <w:rsid w:val="00A54B8A"/>
    <w:rsid w:val="00A60A84"/>
    <w:rsid w:val="00A60DCF"/>
    <w:rsid w:val="00A636A2"/>
    <w:rsid w:val="00A642FA"/>
    <w:rsid w:val="00A64E33"/>
    <w:rsid w:val="00A6555F"/>
    <w:rsid w:val="00A67EB0"/>
    <w:rsid w:val="00A70219"/>
    <w:rsid w:val="00A70585"/>
    <w:rsid w:val="00A70A56"/>
    <w:rsid w:val="00A70BE8"/>
    <w:rsid w:val="00A710CD"/>
    <w:rsid w:val="00A72C2F"/>
    <w:rsid w:val="00A74752"/>
    <w:rsid w:val="00A76B59"/>
    <w:rsid w:val="00A77EEC"/>
    <w:rsid w:val="00A805FD"/>
    <w:rsid w:val="00A856D2"/>
    <w:rsid w:val="00A86D97"/>
    <w:rsid w:val="00A90B51"/>
    <w:rsid w:val="00A9333B"/>
    <w:rsid w:val="00A93E50"/>
    <w:rsid w:val="00A95186"/>
    <w:rsid w:val="00A96D60"/>
    <w:rsid w:val="00A97AF5"/>
    <w:rsid w:val="00AA2370"/>
    <w:rsid w:val="00AA3870"/>
    <w:rsid w:val="00AA4F21"/>
    <w:rsid w:val="00AA5229"/>
    <w:rsid w:val="00AA6086"/>
    <w:rsid w:val="00AA6D8B"/>
    <w:rsid w:val="00AA70DC"/>
    <w:rsid w:val="00AA722E"/>
    <w:rsid w:val="00AB0866"/>
    <w:rsid w:val="00AB0F95"/>
    <w:rsid w:val="00AB2F88"/>
    <w:rsid w:val="00AB3DBD"/>
    <w:rsid w:val="00AB4334"/>
    <w:rsid w:val="00AB468A"/>
    <w:rsid w:val="00AB5BB3"/>
    <w:rsid w:val="00AB6DD2"/>
    <w:rsid w:val="00AB6F98"/>
    <w:rsid w:val="00AC19A6"/>
    <w:rsid w:val="00AC39FA"/>
    <w:rsid w:val="00AC6D08"/>
    <w:rsid w:val="00AC7D11"/>
    <w:rsid w:val="00AD01B1"/>
    <w:rsid w:val="00AD02BC"/>
    <w:rsid w:val="00AD1171"/>
    <w:rsid w:val="00AD1C4E"/>
    <w:rsid w:val="00AD5473"/>
    <w:rsid w:val="00AD634F"/>
    <w:rsid w:val="00AD762E"/>
    <w:rsid w:val="00AD78D0"/>
    <w:rsid w:val="00AE0199"/>
    <w:rsid w:val="00AE0DEE"/>
    <w:rsid w:val="00AE2A29"/>
    <w:rsid w:val="00AE2C94"/>
    <w:rsid w:val="00AE2E23"/>
    <w:rsid w:val="00AE4151"/>
    <w:rsid w:val="00AE622B"/>
    <w:rsid w:val="00AE6BC2"/>
    <w:rsid w:val="00AF1670"/>
    <w:rsid w:val="00AF48E6"/>
    <w:rsid w:val="00AF571D"/>
    <w:rsid w:val="00AF5DC3"/>
    <w:rsid w:val="00AF6136"/>
    <w:rsid w:val="00AF6481"/>
    <w:rsid w:val="00AF6D8D"/>
    <w:rsid w:val="00AF7804"/>
    <w:rsid w:val="00B01EDA"/>
    <w:rsid w:val="00B03649"/>
    <w:rsid w:val="00B03B20"/>
    <w:rsid w:val="00B05E39"/>
    <w:rsid w:val="00B07278"/>
    <w:rsid w:val="00B07845"/>
    <w:rsid w:val="00B10842"/>
    <w:rsid w:val="00B11A2A"/>
    <w:rsid w:val="00B11BC4"/>
    <w:rsid w:val="00B1254B"/>
    <w:rsid w:val="00B1445B"/>
    <w:rsid w:val="00B14DB9"/>
    <w:rsid w:val="00B15AE2"/>
    <w:rsid w:val="00B215F8"/>
    <w:rsid w:val="00B2193D"/>
    <w:rsid w:val="00B21B08"/>
    <w:rsid w:val="00B22E84"/>
    <w:rsid w:val="00B24467"/>
    <w:rsid w:val="00B24DB4"/>
    <w:rsid w:val="00B309B9"/>
    <w:rsid w:val="00B30FC4"/>
    <w:rsid w:val="00B3113C"/>
    <w:rsid w:val="00B329FC"/>
    <w:rsid w:val="00B34615"/>
    <w:rsid w:val="00B35653"/>
    <w:rsid w:val="00B3792C"/>
    <w:rsid w:val="00B40691"/>
    <w:rsid w:val="00B40F0E"/>
    <w:rsid w:val="00B41A08"/>
    <w:rsid w:val="00B42606"/>
    <w:rsid w:val="00B42D39"/>
    <w:rsid w:val="00B44C94"/>
    <w:rsid w:val="00B45479"/>
    <w:rsid w:val="00B50840"/>
    <w:rsid w:val="00B51A05"/>
    <w:rsid w:val="00B529F3"/>
    <w:rsid w:val="00B53C3D"/>
    <w:rsid w:val="00B5419E"/>
    <w:rsid w:val="00B63E46"/>
    <w:rsid w:val="00B65EFE"/>
    <w:rsid w:val="00B66971"/>
    <w:rsid w:val="00B66B6A"/>
    <w:rsid w:val="00B67043"/>
    <w:rsid w:val="00B67416"/>
    <w:rsid w:val="00B6765D"/>
    <w:rsid w:val="00B720D1"/>
    <w:rsid w:val="00B75725"/>
    <w:rsid w:val="00B75E21"/>
    <w:rsid w:val="00B82024"/>
    <w:rsid w:val="00B826B2"/>
    <w:rsid w:val="00B832DC"/>
    <w:rsid w:val="00B834C6"/>
    <w:rsid w:val="00B86241"/>
    <w:rsid w:val="00B92D66"/>
    <w:rsid w:val="00B95A31"/>
    <w:rsid w:val="00B964A4"/>
    <w:rsid w:val="00B97B64"/>
    <w:rsid w:val="00BA02D3"/>
    <w:rsid w:val="00BA38A8"/>
    <w:rsid w:val="00BA4595"/>
    <w:rsid w:val="00BA4E8E"/>
    <w:rsid w:val="00BA5160"/>
    <w:rsid w:val="00BA5448"/>
    <w:rsid w:val="00BA6546"/>
    <w:rsid w:val="00BA7D09"/>
    <w:rsid w:val="00BB0CB3"/>
    <w:rsid w:val="00BB1120"/>
    <w:rsid w:val="00BB1358"/>
    <w:rsid w:val="00BB5651"/>
    <w:rsid w:val="00BB5BAD"/>
    <w:rsid w:val="00BB7D0C"/>
    <w:rsid w:val="00BC1969"/>
    <w:rsid w:val="00BC235D"/>
    <w:rsid w:val="00BC3A82"/>
    <w:rsid w:val="00BC4CF3"/>
    <w:rsid w:val="00BC7EA8"/>
    <w:rsid w:val="00BD29A2"/>
    <w:rsid w:val="00BD31DE"/>
    <w:rsid w:val="00BD3677"/>
    <w:rsid w:val="00BD3948"/>
    <w:rsid w:val="00BD3F4F"/>
    <w:rsid w:val="00BD44BB"/>
    <w:rsid w:val="00BD5E3A"/>
    <w:rsid w:val="00BE0134"/>
    <w:rsid w:val="00BE1251"/>
    <w:rsid w:val="00BE228F"/>
    <w:rsid w:val="00BE235B"/>
    <w:rsid w:val="00BE7292"/>
    <w:rsid w:val="00BF0F35"/>
    <w:rsid w:val="00BF2339"/>
    <w:rsid w:val="00BF4318"/>
    <w:rsid w:val="00BF566E"/>
    <w:rsid w:val="00C033CF"/>
    <w:rsid w:val="00C03D6A"/>
    <w:rsid w:val="00C048A4"/>
    <w:rsid w:val="00C050A1"/>
    <w:rsid w:val="00C05B59"/>
    <w:rsid w:val="00C064E7"/>
    <w:rsid w:val="00C07A3A"/>
    <w:rsid w:val="00C100E6"/>
    <w:rsid w:val="00C105B2"/>
    <w:rsid w:val="00C11FCF"/>
    <w:rsid w:val="00C121A8"/>
    <w:rsid w:val="00C12372"/>
    <w:rsid w:val="00C1508C"/>
    <w:rsid w:val="00C15414"/>
    <w:rsid w:val="00C15D36"/>
    <w:rsid w:val="00C15DC9"/>
    <w:rsid w:val="00C170C1"/>
    <w:rsid w:val="00C201EA"/>
    <w:rsid w:val="00C2024F"/>
    <w:rsid w:val="00C204C6"/>
    <w:rsid w:val="00C208A4"/>
    <w:rsid w:val="00C2201F"/>
    <w:rsid w:val="00C22238"/>
    <w:rsid w:val="00C22469"/>
    <w:rsid w:val="00C22A94"/>
    <w:rsid w:val="00C24C95"/>
    <w:rsid w:val="00C24EBA"/>
    <w:rsid w:val="00C25050"/>
    <w:rsid w:val="00C25E44"/>
    <w:rsid w:val="00C27468"/>
    <w:rsid w:val="00C27BE3"/>
    <w:rsid w:val="00C32169"/>
    <w:rsid w:val="00C3355C"/>
    <w:rsid w:val="00C35DB2"/>
    <w:rsid w:val="00C404C8"/>
    <w:rsid w:val="00C41A1E"/>
    <w:rsid w:val="00C4392F"/>
    <w:rsid w:val="00C46B4B"/>
    <w:rsid w:val="00C47447"/>
    <w:rsid w:val="00C4746D"/>
    <w:rsid w:val="00C47C75"/>
    <w:rsid w:val="00C509B1"/>
    <w:rsid w:val="00C5264C"/>
    <w:rsid w:val="00C5274B"/>
    <w:rsid w:val="00C60BF4"/>
    <w:rsid w:val="00C61BBE"/>
    <w:rsid w:val="00C6259D"/>
    <w:rsid w:val="00C626B9"/>
    <w:rsid w:val="00C62B7C"/>
    <w:rsid w:val="00C62ED2"/>
    <w:rsid w:val="00C639A0"/>
    <w:rsid w:val="00C63DBE"/>
    <w:rsid w:val="00C63F5E"/>
    <w:rsid w:val="00C6462A"/>
    <w:rsid w:val="00C65A49"/>
    <w:rsid w:val="00C6745B"/>
    <w:rsid w:val="00C70496"/>
    <w:rsid w:val="00C7085F"/>
    <w:rsid w:val="00C71C69"/>
    <w:rsid w:val="00C71F07"/>
    <w:rsid w:val="00C73B93"/>
    <w:rsid w:val="00C745CB"/>
    <w:rsid w:val="00C75B58"/>
    <w:rsid w:val="00C75E5D"/>
    <w:rsid w:val="00C76521"/>
    <w:rsid w:val="00C776B0"/>
    <w:rsid w:val="00C77E26"/>
    <w:rsid w:val="00C83093"/>
    <w:rsid w:val="00C83CDF"/>
    <w:rsid w:val="00C83F40"/>
    <w:rsid w:val="00C85158"/>
    <w:rsid w:val="00C85273"/>
    <w:rsid w:val="00C8640D"/>
    <w:rsid w:val="00C868E4"/>
    <w:rsid w:val="00C906F4"/>
    <w:rsid w:val="00C921A7"/>
    <w:rsid w:val="00C92735"/>
    <w:rsid w:val="00C939E3"/>
    <w:rsid w:val="00C93B55"/>
    <w:rsid w:val="00C94BCE"/>
    <w:rsid w:val="00C94C0B"/>
    <w:rsid w:val="00C94C27"/>
    <w:rsid w:val="00C95000"/>
    <w:rsid w:val="00C95E1E"/>
    <w:rsid w:val="00CA160A"/>
    <w:rsid w:val="00CA1840"/>
    <w:rsid w:val="00CA7673"/>
    <w:rsid w:val="00CB59A0"/>
    <w:rsid w:val="00CB5F9B"/>
    <w:rsid w:val="00CC1446"/>
    <w:rsid w:val="00CC19DB"/>
    <w:rsid w:val="00CC2F8E"/>
    <w:rsid w:val="00CC3746"/>
    <w:rsid w:val="00CC46C9"/>
    <w:rsid w:val="00CC4ECD"/>
    <w:rsid w:val="00CC64C0"/>
    <w:rsid w:val="00CC6C4D"/>
    <w:rsid w:val="00CD02E2"/>
    <w:rsid w:val="00CD0F7F"/>
    <w:rsid w:val="00CD163A"/>
    <w:rsid w:val="00CD4E20"/>
    <w:rsid w:val="00CD517A"/>
    <w:rsid w:val="00CD563E"/>
    <w:rsid w:val="00CD747E"/>
    <w:rsid w:val="00CD782B"/>
    <w:rsid w:val="00CE09C3"/>
    <w:rsid w:val="00CE1947"/>
    <w:rsid w:val="00CE29A3"/>
    <w:rsid w:val="00CE432E"/>
    <w:rsid w:val="00CE5BB0"/>
    <w:rsid w:val="00CF5D99"/>
    <w:rsid w:val="00CF7034"/>
    <w:rsid w:val="00D00992"/>
    <w:rsid w:val="00D03678"/>
    <w:rsid w:val="00D03BE3"/>
    <w:rsid w:val="00D05EB5"/>
    <w:rsid w:val="00D079FE"/>
    <w:rsid w:val="00D07B35"/>
    <w:rsid w:val="00D125CD"/>
    <w:rsid w:val="00D13E7F"/>
    <w:rsid w:val="00D14AF3"/>
    <w:rsid w:val="00D14DFC"/>
    <w:rsid w:val="00D15E9A"/>
    <w:rsid w:val="00D160E3"/>
    <w:rsid w:val="00D1631D"/>
    <w:rsid w:val="00D17308"/>
    <w:rsid w:val="00D176A7"/>
    <w:rsid w:val="00D2129C"/>
    <w:rsid w:val="00D224BE"/>
    <w:rsid w:val="00D24480"/>
    <w:rsid w:val="00D24BAE"/>
    <w:rsid w:val="00D315AF"/>
    <w:rsid w:val="00D32112"/>
    <w:rsid w:val="00D3222B"/>
    <w:rsid w:val="00D32731"/>
    <w:rsid w:val="00D3354D"/>
    <w:rsid w:val="00D33739"/>
    <w:rsid w:val="00D351F4"/>
    <w:rsid w:val="00D35B89"/>
    <w:rsid w:val="00D36710"/>
    <w:rsid w:val="00D37383"/>
    <w:rsid w:val="00D37BB6"/>
    <w:rsid w:val="00D41356"/>
    <w:rsid w:val="00D421D5"/>
    <w:rsid w:val="00D45BCE"/>
    <w:rsid w:val="00D46281"/>
    <w:rsid w:val="00D46C6A"/>
    <w:rsid w:val="00D470A0"/>
    <w:rsid w:val="00D4781B"/>
    <w:rsid w:val="00D51FCF"/>
    <w:rsid w:val="00D52184"/>
    <w:rsid w:val="00D56ACD"/>
    <w:rsid w:val="00D6003D"/>
    <w:rsid w:val="00D605FA"/>
    <w:rsid w:val="00D606F7"/>
    <w:rsid w:val="00D609CB"/>
    <w:rsid w:val="00D65884"/>
    <w:rsid w:val="00D672DA"/>
    <w:rsid w:val="00D7041E"/>
    <w:rsid w:val="00D70B2A"/>
    <w:rsid w:val="00D71781"/>
    <w:rsid w:val="00D7256B"/>
    <w:rsid w:val="00D73C3F"/>
    <w:rsid w:val="00D7426E"/>
    <w:rsid w:val="00D80964"/>
    <w:rsid w:val="00D82346"/>
    <w:rsid w:val="00D82AF7"/>
    <w:rsid w:val="00D836BF"/>
    <w:rsid w:val="00D853B9"/>
    <w:rsid w:val="00D872FD"/>
    <w:rsid w:val="00D91CC1"/>
    <w:rsid w:val="00D935EF"/>
    <w:rsid w:val="00D944B3"/>
    <w:rsid w:val="00D945BE"/>
    <w:rsid w:val="00DA02D9"/>
    <w:rsid w:val="00DA2225"/>
    <w:rsid w:val="00DA4A56"/>
    <w:rsid w:val="00DA4BCA"/>
    <w:rsid w:val="00DA7582"/>
    <w:rsid w:val="00DB0920"/>
    <w:rsid w:val="00DB14EE"/>
    <w:rsid w:val="00DB1888"/>
    <w:rsid w:val="00DB45CE"/>
    <w:rsid w:val="00DB5F76"/>
    <w:rsid w:val="00DB620F"/>
    <w:rsid w:val="00DB6CF6"/>
    <w:rsid w:val="00DB6EE3"/>
    <w:rsid w:val="00DC0130"/>
    <w:rsid w:val="00DC208F"/>
    <w:rsid w:val="00DC3F5F"/>
    <w:rsid w:val="00DC5F6A"/>
    <w:rsid w:val="00DC679A"/>
    <w:rsid w:val="00DC73AF"/>
    <w:rsid w:val="00DD4992"/>
    <w:rsid w:val="00DD6FB2"/>
    <w:rsid w:val="00DD7CDB"/>
    <w:rsid w:val="00DE0839"/>
    <w:rsid w:val="00DE08FA"/>
    <w:rsid w:val="00DE1A7F"/>
    <w:rsid w:val="00DE258E"/>
    <w:rsid w:val="00DE3D2D"/>
    <w:rsid w:val="00DE4846"/>
    <w:rsid w:val="00DE4D29"/>
    <w:rsid w:val="00DE6C93"/>
    <w:rsid w:val="00DE6ED6"/>
    <w:rsid w:val="00DF1C71"/>
    <w:rsid w:val="00DF342D"/>
    <w:rsid w:val="00DF4B1A"/>
    <w:rsid w:val="00DF5AC4"/>
    <w:rsid w:val="00DF7FA7"/>
    <w:rsid w:val="00E006CD"/>
    <w:rsid w:val="00E0575A"/>
    <w:rsid w:val="00E05ED6"/>
    <w:rsid w:val="00E0692B"/>
    <w:rsid w:val="00E07499"/>
    <w:rsid w:val="00E10E2B"/>
    <w:rsid w:val="00E1349F"/>
    <w:rsid w:val="00E14AFD"/>
    <w:rsid w:val="00E17DC6"/>
    <w:rsid w:val="00E17E21"/>
    <w:rsid w:val="00E20CF7"/>
    <w:rsid w:val="00E226EF"/>
    <w:rsid w:val="00E24554"/>
    <w:rsid w:val="00E26E9E"/>
    <w:rsid w:val="00E27965"/>
    <w:rsid w:val="00E27B09"/>
    <w:rsid w:val="00E27ECF"/>
    <w:rsid w:val="00E27F95"/>
    <w:rsid w:val="00E3036F"/>
    <w:rsid w:val="00E31B23"/>
    <w:rsid w:val="00E3286F"/>
    <w:rsid w:val="00E339D5"/>
    <w:rsid w:val="00E35540"/>
    <w:rsid w:val="00E35E40"/>
    <w:rsid w:val="00E374C2"/>
    <w:rsid w:val="00E37732"/>
    <w:rsid w:val="00E434AB"/>
    <w:rsid w:val="00E46A20"/>
    <w:rsid w:val="00E50B79"/>
    <w:rsid w:val="00E51780"/>
    <w:rsid w:val="00E525B9"/>
    <w:rsid w:val="00E530C9"/>
    <w:rsid w:val="00E53203"/>
    <w:rsid w:val="00E538BB"/>
    <w:rsid w:val="00E541C0"/>
    <w:rsid w:val="00E54670"/>
    <w:rsid w:val="00E62E7F"/>
    <w:rsid w:val="00E640BB"/>
    <w:rsid w:val="00E6583A"/>
    <w:rsid w:val="00E67CE1"/>
    <w:rsid w:val="00E67F5B"/>
    <w:rsid w:val="00E701BD"/>
    <w:rsid w:val="00E710C4"/>
    <w:rsid w:val="00E71B03"/>
    <w:rsid w:val="00E7499D"/>
    <w:rsid w:val="00E75730"/>
    <w:rsid w:val="00E76D2E"/>
    <w:rsid w:val="00E76EC6"/>
    <w:rsid w:val="00E80C9E"/>
    <w:rsid w:val="00E83688"/>
    <w:rsid w:val="00E907C4"/>
    <w:rsid w:val="00E90CE1"/>
    <w:rsid w:val="00E93A73"/>
    <w:rsid w:val="00E96541"/>
    <w:rsid w:val="00E97B5C"/>
    <w:rsid w:val="00EA0C44"/>
    <w:rsid w:val="00EA24FA"/>
    <w:rsid w:val="00EA2969"/>
    <w:rsid w:val="00EA3187"/>
    <w:rsid w:val="00EA58B7"/>
    <w:rsid w:val="00EA6A59"/>
    <w:rsid w:val="00EA7C55"/>
    <w:rsid w:val="00EA7D05"/>
    <w:rsid w:val="00EA7D7E"/>
    <w:rsid w:val="00EB264F"/>
    <w:rsid w:val="00EB4572"/>
    <w:rsid w:val="00EB5A71"/>
    <w:rsid w:val="00EB793E"/>
    <w:rsid w:val="00EC0515"/>
    <w:rsid w:val="00EC1082"/>
    <w:rsid w:val="00EC137C"/>
    <w:rsid w:val="00EC2099"/>
    <w:rsid w:val="00EC3376"/>
    <w:rsid w:val="00EC3B18"/>
    <w:rsid w:val="00EC58DB"/>
    <w:rsid w:val="00EC7909"/>
    <w:rsid w:val="00ED0040"/>
    <w:rsid w:val="00ED0EA3"/>
    <w:rsid w:val="00ED1EAF"/>
    <w:rsid w:val="00ED4800"/>
    <w:rsid w:val="00ED71C5"/>
    <w:rsid w:val="00EE0D39"/>
    <w:rsid w:val="00EE1954"/>
    <w:rsid w:val="00EE5AAF"/>
    <w:rsid w:val="00EE615C"/>
    <w:rsid w:val="00EF2CD7"/>
    <w:rsid w:val="00EF3DB8"/>
    <w:rsid w:val="00EF5EC8"/>
    <w:rsid w:val="00EF6251"/>
    <w:rsid w:val="00EF7BA0"/>
    <w:rsid w:val="00EF7E29"/>
    <w:rsid w:val="00F01878"/>
    <w:rsid w:val="00F02B01"/>
    <w:rsid w:val="00F02E0C"/>
    <w:rsid w:val="00F02F74"/>
    <w:rsid w:val="00F123BC"/>
    <w:rsid w:val="00F132F3"/>
    <w:rsid w:val="00F160C7"/>
    <w:rsid w:val="00F17EA7"/>
    <w:rsid w:val="00F221D7"/>
    <w:rsid w:val="00F23C3F"/>
    <w:rsid w:val="00F24648"/>
    <w:rsid w:val="00F25089"/>
    <w:rsid w:val="00F251AD"/>
    <w:rsid w:val="00F27EDD"/>
    <w:rsid w:val="00F319EC"/>
    <w:rsid w:val="00F31C48"/>
    <w:rsid w:val="00F32E9F"/>
    <w:rsid w:val="00F36C6B"/>
    <w:rsid w:val="00F373E5"/>
    <w:rsid w:val="00F37E0A"/>
    <w:rsid w:val="00F40DF3"/>
    <w:rsid w:val="00F40E0A"/>
    <w:rsid w:val="00F40EE1"/>
    <w:rsid w:val="00F42B94"/>
    <w:rsid w:val="00F44920"/>
    <w:rsid w:val="00F501D1"/>
    <w:rsid w:val="00F5242F"/>
    <w:rsid w:val="00F52D28"/>
    <w:rsid w:val="00F54250"/>
    <w:rsid w:val="00F5763D"/>
    <w:rsid w:val="00F60C9D"/>
    <w:rsid w:val="00F616B8"/>
    <w:rsid w:val="00F639DD"/>
    <w:rsid w:val="00F63A27"/>
    <w:rsid w:val="00F675ED"/>
    <w:rsid w:val="00F679C5"/>
    <w:rsid w:val="00F679E1"/>
    <w:rsid w:val="00F67CD7"/>
    <w:rsid w:val="00F71352"/>
    <w:rsid w:val="00F76DD4"/>
    <w:rsid w:val="00F77C49"/>
    <w:rsid w:val="00F81B11"/>
    <w:rsid w:val="00F82931"/>
    <w:rsid w:val="00F846A5"/>
    <w:rsid w:val="00F8575A"/>
    <w:rsid w:val="00F872EB"/>
    <w:rsid w:val="00F90FDE"/>
    <w:rsid w:val="00F92578"/>
    <w:rsid w:val="00F92F23"/>
    <w:rsid w:val="00F944BF"/>
    <w:rsid w:val="00F94658"/>
    <w:rsid w:val="00F94C4C"/>
    <w:rsid w:val="00F95263"/>
    <w:rsid w:val="00F964E0"/>
    <w:rsid w:val="00F9652D"/>
    <w:rsid w:val="00FA16C8"/>
    <w:rsid w:val="00FA40C7"/>
    <w:rsid w:val="00FA4466"/>
    <w:rsid w:val="00FB0869"/>
    <w:rsid w:val="00FB1ECB"/>
    <w:rsid w:val="00FB2461"/>
    <w:rsid w:val="00FB2FE8"/>
    <w:rsid w:val="00FB3C26"/>
    <w:rsid w:val="00FB4B39"/>
    <w:rsid w:val="00FB5072"/>
    <w:rsid w:val="00FB5429"/>
    <w:rsid w:val="00FB711F"/>
    <w:rsid w:val="00FB7487"/>
    <w:rsid w:val="00FC05F7"/>
    <w:rsid w:val="00FC3728"/>
    <w:rsid w:val="00FC38E7"/>
    <w:rsid w:val="00FC447E"/>
    <w:rsid w:val="00FC4BDA"/>
    <w:rsid w:val="00FC540D"/>
    <w:rsid w:val="00FC560F"/>
    <w:rsid w:val="00FC5BF9"/>
    <w:rsid w:val="00FC64D1"/>
    <w:rsid w:val="00FC6A15"/>
    <w:rsid w:val="00FD1210"/>
    <w:rsid w:val="00FD3C25"/>
    <w:rsid w:val="00FD3D95"/>
    <w:rsid w:val="00FD50DF"/>
    <w:rsid w:val="00FD58C4"/>
    <w:rsid w:val="00FD6DF9"/>
    <w:rsid w:val="00FD72A9"/>
    <w:rsid w:val="00FD785B"/>
    <w:rsid w:val="00FD7FB3"/>
    <w:rsid w:val="00FE092A"/>
    <w:rsid w:val="00FE16A4"/>
    <w:rsid w:val="00FE2A3B"/>
    <w:rsid w:val="00FE2F34"/>
    <w:rsid w:val="00FE34D0"/>
    <w:rsid w:val="00FE456F"/>
    <w:rsid w:val="00FE68E2"/>
    <w:rsid w:val="00FE7FC2"/>
    <w:rsid w:val="00FE7FDD"/>
    <w:rsid w:val="00FF3315"/>
    <w:rsid w:val="00FF4048"/>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682">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next w:val="Normal"/>
    <w:link w:val="Heading1Char"/>
    <w:qFormat/>
    <w:rsid w:val="00D65884"/>
    <w:pPr>
      <w:keepNext/>
      <w:spacing w:after="0" w:line="240" w:lineRule="auto"/>
      <w:jc w:val="center"/>
      <w:outlineLvl w:val="0"/>
    </w:pPr>
    <w:rPr>
      <w:rFonts w:ascii="Arial Black" w:eastAsia="Times New Roman" w:hAnsi="Arial Black"/>
      <w:b/>
      <w:color w:val="0000FF"/>
      <w:sz w:val="40"/>
      <w:szCs w:val="20"/>
      <w:lang w:val="fr-FR" w:eastAsia="ro-RO"/>
    </w:rPr>
  </w:style>
  <w:style w:type="paragraph" w:styleId="Heading4">
    <w:name w:val="heading 4"/>
    <w:basedOn w:val="Normal"/>
    <w:next w:val="Normal"/>
    <w:link w:val="Heading4Char"/>
    <w:qFormat/>
    <w:rsid w:val="00D65884"/>
    <w:pPr>
      <w:keepNext/>
      <w:spacing w:after="0" w:line="240" w:lineRule="auto"/>
      <w:jc w:val="center"/>
      <w:outlineLvl w:val="3"/>
    </w:pPr>
    <w:rPr>
      <w:rFonts w:ascii="Times New Roman" w:eastAsia="Times New Roman" w:hAnsi="Times New Roman"/>
      <w:color w:val="0000FF"/>
      <w:sz w:val="32"/>
      <w:szCs w:val="20"/>
      <w:lang w:val="ro-RO" w:eastAsia="ro-RO"/>
    </w:rPr>
  </w:style>
  <w:style w:type="paragraph" w:styleId="Heading5">
    <w:name w:val="heading 5"/>
    <w:basedOn w:val="Normal"/>
    <w:next w:val="Normal"/>
    <w:link w:val="Heading5Char"/>
    <w:qFormat/>
    <w:rsid w:val="00D65884"/>
    <w:pPr>
      <w:keepNext/>
      <w:widowControl w:val="0"/>
      <w:overflowPunct w:val="0"/>
      <w:autoSpaceDE w:val="0"/>
      <w:autoSpaceDN w:val="0"/>
      <w:adjustRightInd w:val="0"/>
      <w:spacing w:after="0" w:line="240" w:lineRule="auto"/>
      <w:ind w:firstLine="720"/>
      <w:jc w:val="both"/>
      <w:outlineLvl w:val="4"/>
    </w:pPr>
    <w:rPr>
      <w:rFonts w:ascii="Times New Roman" w:eastAsia="Times New Roman" w:hAnsi="Times New Roman"/>
      <w:b/>
      <w:sz w:val="20"/>
      <w:szCs w:val="20"/>
    </w:rPr>
  </w:style>
  <w:style w:type="paragraph" w:styleId="Heading7">
    <w:name w:val="heading 7"/>
    <w:basedOn w:val="Normal"/>
    <w:next w:val="Normal"/>
    <w:link w:val="Heading7Char"/>
    <w:qFormat/>
    <w:rsid w:val="00D65884"/>
    <w:pPr>
      <w:spacing w:before="240" w:after="60" w:line="240" w:lineRule="auto"/>
      <w:outlineLvl w:val="6"/>
    </w:pPr>
    <w:rPr>
      <w:rFonts w:eastAsia="Times New Roman"/>
      <w:bCs/>
      <w:sz w:val="24"/>
      <w:szCs w:val="24"/>
      <w:lang w:val="ro-RO"/>
    </w:rPr>
  </w:style>
  <w:style w:type="paragraph" w:styleId="Heading8">
    <w:name w:val="heading 8"/>
    <w:basedOn w:val="Normal"/>
    <w:next w:val="Normal"/>
    <w:link w:val="Heading8Char"/>
    <w:qFormat/>
    <w:rsid w:val="00D65884"/>
    <w:pPr>
      <w:spacing w:before="240" w:after="60" w:line="240" w:lineRule="auto"/>
      <w:outlineLvl w:val="7"/>
    </w:pPr>
    <w:rPr>
      <w:rFonts w:eastAsia="Times New Roman"/>
      <w:bCs/>
      <w:i/>
      <w:i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5884"/>
    <w:rPr>
      <w:rFonts w:ascii="Arial Black" w:eastAsia="Times New Roman" w:hAnsi="Arial Black"/>
      <w:b/>
      <w:color w:val="0000FF"/>
      <w:sz w:val="40"/>
      <w:lang w:val="fr-FR"/>
    </w:rPr>
  </w:style>
  <w:style w:type="character" w:customStyle="1" w:styleId="Heading4Char">
    <w:name w:val="Heading 4 Char"/>
    <w:basedOn w:val="DefaultParagraphFont"/>
    <w:link w:val="Heading4"/>
    <w:rsid w:val="00D65884"/>
    <w:rPr>
      <w:rFonts w:ascii="Times New Roman" w:eastAsia="Times New Roman" w:hAnsi="Times New Roman"/>
      <w:color w:val="0000FF"/>
      <w:sz w:val="32"/>
    </w:rPr>
  </w:style>
  <w:style w:type="character" w:customStyle="1" w:styleId="Heading5Char">
    <w:name w:val="Heading 5 Char"/>
    <w:basedOn w:val="DefaultParagraphFont"/>
    <w:link w:val="Heading5"/>
    <w:rsid w:val="00D65884"/>
    <w:rPr>
      <w:rFonts w:ascii="Times New Roman" w:eastAsia="Times New Roman" w:hAnsi="Times New Roman"/>
      <w:b/>
      <w:lang w:val="en-US" w:eastAsia="en-US"/>
    </w:rPr>
  </w:style>
  <w:style w:type="character" w:customStyle="1" w:styleId="Heading7Char">
    <w:name w:val="Heading 7 Char"/>
    <w:basedOn w:val="DefaultParagraphFont"/>
    <w:link w:val="Heading7"/>
    <w:rsid w:val="00D65884"/>
    <w:rPr>
      <w:rFonts w:eastAsia="Times New Roman"/>
      <w:bCs/>
      <w:sz w:val="24"/>
      <w:szCs w:val="24"/>
      <w:lang w:eastAsia="en-US"/>
    </w:rPr>
  </w:style>
  <w:style w:type="character" w:customStyle="1" w:styleId="Heading8Char">
    <w:name w:val="Heading 8 Char"/>
    <w:basedOn w:val="DefaultParagraphFont"/>
    <w:link w:val="Heading8"/>
    <w:rsid w:val="00D65884"/>
    <w:rPr>
      <w:rFonts w:eastAsia="Times New Roman"/>
      <w:bCs/>
      <w:i/>
      <w:iCs/>
      <w:sz w:val="24"/>
      <w:szCs w:val="24"/>
      <w:lang w:eastAsia="en-US"/>
    </w:rPr>
  </w:style>
  <w:style w:type="paragraph" w:styleId="Header">
    <w:name w:val="header"/>
    <w:basedOn w:val="Normal"/>
    <w:link w:val="HeaderChar"/>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qFormat/>
    <w:rsid w:val="00B42D39"/>
    <w:pPr>
      <w:overflowPunct w:val="0"/>
      <w:autoSpaceDE w:val="0"/>
      <w:autoSpaceDN w:val="0"/>
      <w:adjustRightInd w:val="0"/>
      <w:spacing w:after="0" w:line="240" w:lineRule="auto"/>
      <w:ind w:left="708"/>
      <w:textAlignment w:val="baseline"/>
    </w:pPr>
    <w:rPr>
      <w:rFonts w:ascii="Times New Roman" w:eastAsia="Times New Roman" w:hAnsi="Times New Roman"/>
      <w:sz w:val="28"/>
      <w:szCs w:val="20"/>
    </w:rPr>
  </w:style>
  <w:style w:type="paragraph" w:customStyle="1" w:styleId="Style1">
    <w:name w:val="Style 1"/>
    <w:rsid w:val="00B42D39"/>
    <w:pPr>
      <w:widowControl w:val="0"/>
      <w:autoSpaceDE w:val="0"/>
      <w:autoSpaceDN w:val="0"/>
      <w:adjustRightInd w:val="0"/>
    </w:pPr>
    <w:rPr>
      <w:rFonts w:ascii="Times New Roman" w:eastAsia="Times New Roman" w:hAnsi="Times New Roman"/>
      <w:lang w:val="en-US" w:eastAsia="en-US"/>
    </w:rPr>
  </w:style>
  <w:style w:type="paragraph" w:styleId="BodyTextIndent">
    <w:name w:val="Body Text Indent"/>
    <w:basedOn w:val="Normal"/>
    <w:link w:val="BodyTextIndentChar"/>
    <w:rsid w:val="00D1631D"/>
    <w:pPr>
      <w:overflowPunct w:val="0"/>
      <w:autoSpaceDE w:val="0"/>
      <w:autoSpaceDN w:val="0"/>
      <w:adjustRightInd w:val="0"/>
      <w:spacing w:after="120" w:line="240" w:lineRule="auto"/>
      <w:ind w:left="283"/>
      <w:textAlignment w:val="baseline"/>
    </w:pPr>
    <w:rPr>
      <w:rFonts w:ascii="Times New Roman" w:eastAsia="Times New Roman" w:hAnsi="Times New Roman"/>
      <w:sz w:val="28"/>
      <w:szCs w:val="20"/>
    </w:rPr>
  </w:style>
  <w:style w:type="character" w:customStyle="1" w:styleId="BodyTextIndentChar">
    <w:name w:val="Body Text Indent Char"/>
    <w:basedOn w:val="DefaultParagraphFont"/>
    <w:link w:val="BodyTextIndent"/>
    <w:rsid w:val="00D1631D"/>
    <w:rPr>
      <w:rFonts w:ascii="Times New Roman" w:eastAsia="Times New Roman" w:hAnsi="Times New Roman"/>
      <w:sz w:val="28"/>
      <w:lang w:val="en-US" w:eastAsia="en-US"/>
    </w:rPr>
  </w:style>
  <w:style w:type="paragraph" w:customStyle="1" w:styleId="CharChar6CaracterCaracterCharChar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character" w:styleId="PageNumber">
    <w:name w:val="page number"/>
    <w:basedOn w:val="DefaultParagraphFont"/>
    <w:rsid w:val="00D65884"/>
    <w:rPr>
      <w:rFonts w:ascii="Times New Roman" w:hAnsi="Times New Roman"/>
      <w:sz w:val="18"/>
    </w:rPr>
  </w:style>
  <w:style w:type="paragraph" w:styleId="BodyTextIndent3">
    <w:name w:val="Body Text Indent 3"/>
    <w:basedOn w:val="Normal"/>
    <w:link w:val="BodyTextIndent3Char"/>
    <w:rsid w:val="00D65884"/>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D65884"/>
    <w:rPr>
      <w:rFonts w:ascii="Times New Roman" w:eastAsia="Times New Roman" w:hAnsi="Times New Roman"/>
      <w:sz w:val="16"/>
      <w:szCs w:val="16"/>
      <w:lang w:val="en-US" w:eastAsia="en-US"/>
    </w:rPr>
  </w:style>
  <w:style w:type="paragraph" w:customStyle="1" w:styleId="CaracterCaracter1CharCharCaracterCaracterCharCharCaracterCaracterCharCharCaracterCaracter1">
    <w:name w:val="Caracter Caracter1 Char Char Caracter Caracter Char Char Caracter Caracter Char Char Caracter Caracte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harCharCaracterCharCharCaracter">
    <w:name w:val="Caracter Char Char Caracter Char Char Caracter"/>
    <w:basedOn w:val="Normal"/>
    <w:link w:val="CaracterCharCharCaracterCharCharCaracterChar"/>
    <w:rsid w:val="00D65884"/>
    <w:pPr>
      <w:spacing w:after="0" w:line="240" w:lineRule="auto"/>
    </w:pPr>
    <w:rPr>
      <w:rFonts w:ascii="Times New Roman" w:eastAsia="Times New Roman" w:hAnsi="Times New Roman"/>
      <w:sz w:val="24"/>
      <w:szCs w:val="24"/>
      <w:lang w:val="pl-PL" w:eastAsia="pl-PL"/>
    </w:rPr>
  </w:style>
  <w:style w:type="character" w:customStyle="1" w:styleId="CaracterCharCharCaracterCharCharCaracterChar">
    <w:name w:val="Caracter Char Char Caracter Char Char Caracter Char"/>
    <w:basedOn w:val="DefaultParagraphFont"/>
    <w:link w:val="CaracterCharCharCaracterCharCharCaracter"/>
    <w:rsid w:val="00D65884"/>
    <w:rPr>
      <w:rFonts w:ascii="Times New Roman" w:eastAsia="Times New Roman" w:hAnsi="Times New Roman"/>
      <w:sz w:val="24"/>
      <w:szCs w:val="24"/>
      <w:lang w:val="pl-PL" w:eastAsia="pl-PL"/>
    </w:rPr>
  </w:style>
  <w:style w:type="paragraph" w:customStyle="1" w:styleId="CaracterCaracterCaracterCharCharCaracterCaracterCharCharCaracterCaracterCharCharCaracterCaracter">
    <w:name w:val="Caracte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
    <w:name w:val="Caracter Caracter1 Char Char Caracter Caracter Char Char Caracter Caracter Char Char Caracter Caracter1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CharCharCaracterCaracter">
    <w:name w:val="Caracter Caracter1 Char Char Caracter Caracter Char Char Caracter Caracter Char Char Caracter Caracter1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
    <w:name w:val="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aracter">
    <w:name w:val="Caracte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Caracter">
    <w:name w:val="Caracter Caracter Char Char Caracter Caracter Char Char Caracter Caracter Char Char Caracter Caracter Char Char Caracter Caracter Char Cha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CharCharCaracterCaracterCharCharCaracterCaracterCharCharCaracterCaracter">
    <w:name w:val="Caracter Caracter1 Char Char Caracter Caracter Char Char Caracter Caracter Char Char Caracter Caracter1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styleId="Subtitle">
    <w:name w:val="Subtitle"/>
    <w:basedOn w:val="Normal"/>
    <w:link w:val="SubtitleChar"/>
    <w:qFormat/>
    <w:rsid w:val="00D65884"/>
    <w:pPr>
      <w:widowControl w:val="0"/>
      <w:spacing w:after="0" w:line="240" w:lineRule="auto"/>
      <w:ind w:firstLine="720"/>
      <w:jc w:val="both"/>
    </w:pPr>
    <w:rPr>
      <w:rFonts w:ascii="Times New Roman" w:eastAsia="Times New Roman" w:hAnsi="Times New Roman"/>
      <w:b/>
      <w:bCs/>
      <w:color w:val="000000"/>
      <w:sz w:val="28"/>
      <w:szCs w:val="28"/>
      <w:lang w:val="ro-RO"/>
    </w:rPr>
  </w:style>
  <w:style w:type="character" w:customStyle="1" w:styleId="SubtitleChar">
    <w:name w:val="Subtitle Char"/>
    <w:basedOn w:val="DefaultParagraphFont"/>
    <w:link w:val="Subtitle"/>
    <w:rsid w:val="00D65884"/>
    <w:rPr>
      <w:rFonts w:ascii="Times New Roman" w:eastAsia="Times New Roman" w:hAnsi="Times New Roman"/>
      <w:b/>
      <w:bCs/>
      <w:color w:val="000000"/>
      <w:sz w:val="28"/>
      <w:szCs w:val="28"/>
      <w:lang w:eastAsia="en-US"/>
    </w:rPr>
  </w:style>
  <w:style w:type="paragraph" w:customStyle="1" w:styleId="CharCharCaracterCaracter1">
    <w:name w:val="Char Char Caracter Caracte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
    <w:name w:val="Char Char Caracter Caracter1 Char Char Caracter Caracter2"/>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
    <w:name w:val="Char Char Caracter Caracter1 Char Char Caracter Caracter2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1">
    <w:name w:val="Char Cha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
    <w:name w:val="Char Char Caracter Caracter1 Char Char Caracter Caracter2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aracterCaracter">
    <w:name w:val="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
    <w:name w:val="Char Char Caracter Caracter1 Char Char Caracter Caracter2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
    <w:name w:val="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
    <w:name w:val="Char Char Caracter Caracter1 Char Char Caracter Caracter2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styleId="BodyTextIndent2">
    <w:name w:val="Body Text Indent 2"/>
    <w:basedOn w:val="Normal"/>
    <w:link w:val="BodyTextIndent2Char"/>
    <w:rsid w:val="00D65884"/>
    <w:pPr>
      <w:overflowPunct w:val="0"/>
      <w:autoSpaceDE w:val="0"/>
      <w:autoSpaceDN w:val="0"/>
      <w:adjustRightInd w:val="0"/>
      <w:spacing w:after="120" w:line="480" w:lineRule="auto"/>
      <w:ind w:left="283"/>
      <w:textAlignment w:val="baseline"/>
    </w:pPr>
    <w:rPr>
      <w:rFonts w:ascii="Times New Roman" w:eastAsia="Times New Roman" w:hAnsi="Times New Roman"/>
      <w:sz w:val="28"/>
      <w:szCs w:val="20"/>
    </w:rPr>
  </w:style>
  <w:style w:type="character" w:customStyle="1" w:styleId="BodyTextIndent2Char">
    <w:name w:val="Body Text Indent 2 Char"/>
    <w:basedOn w:val="DefaultParagraphFont"/>
    <w:link w:val="BodyTextIndent2"/>
    <w:rsid w:val="00D65884"/>
    <w:rPr>
      <w:rFonts w:ascii="Times New Roman" w:eastAsia="Times New Roman" w:hAnsi="Times New Roman"/>
      <w:sz w:val="28"/>
      <w:lang w:val="en-US" w:eastAsia="en-US"/>
    </w:rPr>
  </w:style>
  <w:style w:type="paragraph" w:customStyle="1" w:styleId="CaracterCaracter1">
    <w:name w:val="Caracter Caracte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
    <w:name w:val="Char Char Caracter Caracter1 Char Char Caracter Caracter2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
    <w:name w:val="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
    <w:name w:val="Caracter Caracter2"/>
    <w:basedOn w:val="Normal"/>
    <w:rsid w:val="00D65884"/>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D65884"/>
    <w:pPr>
      <w:spacing w:after="0" w:line="240" w:lineRule="auto"/>
      <w:jc w:val="both"/>
    </w:pPr>
    <w:rPr>
      <w:rFonts w:ascii="Arial" w:eastAsia="Times New Roman" w:hAnsi="Arial"/>
      <w:szCs w:val="20"/>
      <w:lang w:val="ro-RO" w:eastAsia="ro-RO"/>
    </w:rPr>
  </w:style>
  <w:style w:type="character" w:customStyle="1" w:styleId="BodyText2Char">
    <w:name w:val="Body Text 2 Char"/>
    <w:basedOn w:val="DefaultParagraphFont"/>
    <w:link w:val="BodyText2"/>
    <w:rsid w:val="00D65884"/>
    <w:rPr>
      <w:rFonts w:ascii="Arial" w:eastAsia="Times New Roman" w:hAnsi="Arial"/>
      <w:sz w:val="22"/>
    </w:rPr>
  </w:style>
  <w:style w:type="paragraph" w:customStyle="1" w:styleId="CharCharCaracterCaracterCharCharCaracterCaracterCharCharCaracterCaracterCharCharCaracterCaracterCharCharCaracterCaracterCharCharCaracterCaracterCharCharCaracterCaracter">
    <w:name w:val="Char Char Caracter Caracter Char Char Caracter Caracter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
    <w:name w:val="Caracter Caracter2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
    <w:name w:val="Caracter Caracter2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Stil2">
    <w:name w:val="Stil2"/>
    <w:basedOn w:val="Normal"/>
    <w:autoRedefine/>
    <w:rsid w:val="00D65884"/>
    <w:pPr>
      <w:overflowPunct w:val="0"/>
      <w:autoSpaceDE w:val="0"/>
      <w:autoSpaceDN w:val="0"/>
      <w:adjustRightInd w:val="0"/>
      <w:spacing w:after="0" w:line="240" w:lineRule="auto"/>
      <w:textAlignment w:val="baseline"/>
    </w:pPr>
    <w:rPr>
      <w:rFonts w:ascii="Garamond" w:eastAsia="Times New Roman" w:hAnsi="Garamond"/>
      <w:i/>
      <w:iCs/>
      <w:sz w:val="28"/>
      <w:szCs w:val="20"/>
    </w:rPr>
  </w:style>
  <w:style w:type="paragraph" w:customStyle="1" w:styleId="CaracterCaracter3">
    <w:name w:val="Caracter Caracter3"/>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
    <w:name w:val="Caracter Caracter2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CharCharCaracterCaracter2">
    <w:name w:val="Char Char Caracter Caracter1 Char Char Caracter Caracter2 Char Char Caracter Caracter Char Char Caracter Caracter Char Char Caracter Caracter Char Char Caracter Caracter Char Char Caracter Caracter Char Char Caracter Caracter2"/>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
    <w:name w:val="Caracter"/>
    <w:basedOn w:val="Normal"/>
    <w:rsid w:val="00D65884"/>
    <w:pPr>
      <w:spacing w:after="0" w:line="240" w:lineRule="auto"/>
    </w:pPr>
    <w:rPr>
      <w:rFonts w:ascii="Times New Roman" w:eastAsia="Times New Roman" w:hAnsi="Times New Roman"/>
      <w:sz w:val="24"/>
      <w:szCs w:val="24"/>
      <w:lang w:val="pl-PL" w:eastAsia="pl-PL"/>
    </w:rPr>
  </w:style>
  <w:style w:type="character" w:customStyle="1" w:styleId="CharChar7">
    <w:name w:val="Char Char7"/>
    <w:basedOn w:val="DefaultParagraphFont"/>
    <w:rsid w:val="00D65884"/>
    <w:rPr>
      <w:rFonts w:ascii="Calibri" w:eastAsia="Times New Roman" w:hAnsi="Calibri" w:cs="Times New Roman"/>
      <w:bCs/>
      <w:i/>
      <w:iCs/>
      <w:sz w:val="24"/>
      <w:szCs w:val="24"/>
      <w:lang w:val="ro-RO"/>
    </w:rPr>
  </w:style>
  <w:style w:type="paragraph" w:customStyle="1" w:styleId="CaracterCaracter2CharCharCaracterCaracterCharCharCaracterCaracterCharCharCaracterCaracter">
    <w:name w:val="Caracter Caracter2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3CharCharCaracterCaracterCharCharCaracterCaracterCharCharCaracterCaracterCharCharCaracterCaracter">
    <w:name w:val="Caracter Caracter3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3CharCharCaracterCaracterCharCharCaracterCaracterCharCharCaracterCaracterCharCharCaracterCaracterCharCharCaracterCaracter">
    <w:name w:val="Caracter Caracter3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5">
    <w:name w:val="Char Char5"/>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
    <w:name w:val="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CharCharCaracterCaracter">
    <w:name w:val="Caracter Caracter2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1CharCharCaracterCaracterCharChar">
    <w:name w:val="Caracter Caracter Char Char Caracter Caracter Char Char Caracter Caracter Char Char Caracter Caracter Char Char Caracter Caracter1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
    <w:name w:val="Char Char6"/>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5CaracterCaracter">
    <w:name w:val="Char Char5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CharChar">
    <w:name w:val="Caracter Caracter2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
    <w:name w:val="Caracter Caracter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3CaracterCaracterCharCharCharChar">
    <w:name w:val="Char Char3 Caracter Caracter Char Cha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
    <w:name w:val="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Style30">
    <w:name w:val="Style30"/>
    <w:basedOn w:val="Normal"/>
    <w:rsid w:val="00D65884"/>
    <w:pPr>
      <w:widowControl w:val="0"/>
      <w:autoSpaceDE w:val="0"/>
      <w:autoSpaceDN w:val="0"/>
      <w:adjustRightInd w:val="0"/>
      <w:spacing w:after="0" w:line="230" w:lineRule="exact"/>
      <w:jc w:val="both"/>
    </w:pPr>
    <w:rPr>
      <w:rFonts w:ascii="Trebuchet MS" w:eastAsia="Times New Roman" w:hAnsi="Trebuchet MS" w:cs="Trebuchet MS"/>
      <w:sz w:val="24"/>
      <w:szCs w:val="24"/>
    </w:rPr>
  </w:style>
  <w:style w:type="paragraph" w:customStyle="1" w:styleId="CaracterCaracter13CharChar">
    <w:name w:val="Caracter Caracter13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CaracterCaracterCharCharCaracterCaracterCharChar">
    <w:name w:val="Caracter Caracter Char Char Caracter Caracter Char Char Caracter Caracter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aracterCaracterCaracterCharChar">
    <w:name w:val="Caracter Caracter Caracte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
    <w:name w:val="Char Char6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
    <w:name w:val="Char Char6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
    <w:name w:val="Char Char6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CharChar">
    <w:name w:val="Char Char6 Caracter Caracter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styleId="BodyText3">
    <w:name w:val="Body Text 3"/>
    <w:basedOn w:val="Normal"/>
    <w:link w:val="BodyText3Char"/>
    <w:rsid w:val="00D65884"/>
    <w:pPr>
      <w:overflowPunct w:val="0"/>
      <w:autoSpaceDE w:val="0"/>
      <w:autoSpaceDN w:val="0"/>
      <w:adjustRightInd w:val="0"/>
      <w:spacing w:after="120" w:line="240" w:lineRule="auto"/>
      <w:textAlignment w:val="baseline"/>
    </w:pPr>
    <w:rPr>
      <w:rFonts w:ascii="Times New Roman" w:eastAsia="Times New Roman" w:hAnsi="Times New Roman"/>
      <w:sz w:val="16"/>
      <w:szCs w:val="16"/>
    </w:rPr>
  </w:style>
  <w:style w:type="character" w:customStyle="1" w:styleId="BodyText3Char">
    <w:name w:val="Body Text 3 Char"/>
    <w:basedOn w:val="DefaultParagraphFont"/>
    <w:link w:val="BodyText3"/>
    <w:rsid w:val="00D65884"/>
    <w:rPr>
      <w:rFonts w:ascii="Times New Roman" w:eastAsia="Times New Roman" w:hAnsi="Times New Roman"/>
      <w:sz w:val="16"/>
      <w:szCs w:val="16"/>
      <w:lang w:val="en-US" w:eastAsia="en-US"/>
    </w:rPr>
  </w:style>
  <w:style w:type="paragraph" w:styleId="NoSpacing">
    <w:name w:val="No Spacing"/>
    <w:uiPriority w:val="1"/>
    <w:qFormat/>
    <w:rsid w:val="00D65884"/>
    <w:rPr>
      <w:rFonts w:ascii="Times New Roman" w:eastAsia="Times New Roman" w:hAnsi="Times New Roman"/>
      <w:bCs/>
      <w:sz w:val="24"/>
      <w:lang w:eastAsia="en-US"/>
    </w:rPr>
  </w:style>
  <w:style w:type="paragraph" w:customStyle="1" w:styleId="CharChar5CaracterCaracterCharChar">
    <w:name w:val="Char Char5 Caracter Caracter Char Char"/>
    <w:basedOn w:val="Normal"/>
    <w:rsid w:val="00D65884"/>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D65884"/>
    <w:rPr>
      <w:rFonts w:ascii="Times New Roman" w:hAnsi="Times New Roman" w:cs="Times New Roman" w:hint="default"/>
    </w:rPr>
  </w:style>
  <w:style w:type="paragraph" w:styleId="CommentText">
    <w:name w:val="annotation text"/>
    <w:basedOn w:val="Normal"/>
    <w:link w:val="CommentTextChar"/>
    <w:unhideWhenUsed/>
    <w:rsid w:val="00D65884"/>
    <w:pPr>
      <w:overflowPunct w:val="0"/>
      <w:autoSpaceDE w:val="0"/>
      <w:autoSpaceDN w:val="0"/>
      <w:adjustRightInd w:val="0"/>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D65884"/>
    <w:rPr>
      <w:rFonts w:ascii="Times New Roman" w:eastAsia="Times New Roman" w:hAnsi="Times New Roman"/>
      <w:lang w:val="en-US" w:eastAsia="en-US"/>
    </w:rPr>
  </w:style>
  <w:style w:type="character" w:styleId="CommentReference">
    <w:name w:val="annotation reference"/>
    <w:basedOn w:val="DefaultParagraphFont"/>
    <w:rsid w:val="00D65884"/>
    <w:rPr>
      <w:sz w:val="16"/>
      <w:szCs w:val="16"/>
    </w:rPr>
  </w:style>
  <w:style w:type="table" w:styleId="TableGrid">
    <w:name w:val="Table Grid"/>
    <w:basedOn w:val="TableNormal"/>
    <w:rsid w:val="003426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3426DB"/>
    <w:pPr>
      <w:spacing w:after="0" w:line="240" w:lineRule="auto"/>
    </w:pPr>
    <w:rPr>
      <w:rFonts w:ascii="Times New Roman" w:eastAsia="Times New Roman" w:hAnsi="Times New Roman"/>
      <w:sz w:val="20"/>
      <w:szCs w:val="20"/>
      <w:lang w:val="ro-RO"/>
    </w:rPr>
  </w:style>
  <w:style w:type="character" w:customStyle="1" w:styleId="FootnoteTextChar">
    <w:name w:val="Footnote Text Char"/>
    <w:basedOn w:val="DefaultParagraphFont"/>
    <w:link w:val="FootnoteText"/>
    <w:uiPriority w:val="99"/>
    <w:semiHidden/>
    <w:rsid w:val="003426DB"/>
    <w:rPr>
      <w:rFonts w:ascii="Times New Roman" w:eastAsia="Times New Roman" w:hAnsi="Times New Roman"/>
      <w:lang w:eastAsia="en-US"/>
    </w:rPr>
  </w:style>
  <w:style w:type="character" w:styleId="FootnoteReference">
    <w:name w:val="footnote reference"/>
    <w:basedOn w:val="DefaultParagraphFont"/>
    <w:uiPriority w:val="99"/>
    <w:semiHidden/>
    <w:rsid w:val="003426DB"/>
    <w:rPr>
      <w:vertAlign w:val="superscript"/>
    </w:rPr>
  </w:style>
  <w:style w:type="paragraph" w:customStyle="1" w:styleId="Default">
    <w:name w:val="Default"/>
    <w:rsid w:val="0066545B"/>
    <w:pPr>
      <w:autoSpaceDE w:val="0"/>
      <w:autoSpaceDN w:val="0"/>
      <w:adjustRightInd w:val="0"/>
    </w:pPr>
    <w:rPr>
      <w:rFonts w:ascii="Times New Roman" w:hAnsi="Times New Roman"/>
      <w:color w:val="000000"/>
      <w:sz w:val="24"/>
      <w:szCs w:val="24"/>
    </w:rPr>
  </w:style>
  <w:style w:type="table" w:customStyle="1" w:styleId="LightShading11">
    <w:name w:val="Light Shading11"/>
    <w:basedOn w:val="TableNormal"/>
    <w:uiPriority w:val="60"/>
    <w:rsid w:val="00D73C3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aption">
    <w:name w:val="caption"/>
    <w:basedOn w:val="Normal"/>
    <w:next w:val="Normal"/>
    <w:uiPriority w:val="35"/>
    <w:unhideWhenUsed/>
    <w:qFormat/>
    <w:rsid w:val="00D73C3F"/>
    <w:pPr>
      <w:spacing w:line="240" w:lineRule="auto"/>
    </w:pPr>
    <w:rPr>
      <w:b/>
      <w:bCs/>
      <w:color w:val="4F81BD" w:themeColor="accent1"/>
      <w:sz w:val="18"/>
      <w:szCs w:val="18"/>
    </w:rPr>
  </w:style>
  <w:style w:type="table" w:customStyle="1" w:styleId="TableGrid1">
    <w:name w:val="Table Grid1"/>
    <w:basedOn w:val="TableNormal"/>
    <w:next w:val="TableGrid"/>
    <w:rsid w:val="00D73C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B468A"/>
    <w:rPr>
      <w:b/>
      <w:bCs/>
    </w:r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407656254">
      <w:bodyDiv w:val="1"/>
      <w:marLeft w:val="0"/>
      <w:marRight w:val="0"/>
      <w:marTop w:val="0"/>
      <w:marBottom w:val="0"/>
      <w:divBdr>
        <w:top w:val="none" w:sz="0" w:space="0" w:color="auto"/>
        <w:left w:val="none" w:sz="0" w:space="0" w:color="auto"/>
        <w:bottom w:val="none" w:sz="0" w:space="0" w:color="auto"/>
        <w:right w:val="none" w:sz="0" w:space="0" w:color="auto"/>
      </w:divBdr>
    </w:div>
    <w:div w:id="645012083">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49235102">
      <w:bodyDiv w:val="1"/>
      <w:marLeft w:val="0"/>
      <w:marRight w:val="0"/>
      <w:marTop w:val="0"/>
      <w:marBottom w:val="0"/>
      <w:divBdr>
        <w:top w:val="none" w:sz="0" w:space="0" w:color="auto"/>
        <w:left w:val="none" w:sz="0" w:space="0" w:color="auto"/>
        <w:bottom w:val="none" w:sz="0" w:space="0" w:color="auto"/>
        <w:right w:val="none" w:sz="0" w:space="0" w:color="auto"/>
      </w:divBdr>
    </w:div>
    <w:div w:id="84752016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4680">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56632534">
      <w:bodyDiv w:val="1"/>
      <w:marLeft w:val="0"/>
      <w:marRight w:val="0"/>
      <w:marTop w:val="0"/>
      <w:marBottom w:val="0"/>
      <w:divBdr>
        <w:top w:val="none" w:sz="0" w:space="0" w:color="auto"/>
        <w:left w:val="none" w:sz="0" w:space="0" w:color="auto"/>
        <w:bottom w:val="none" w:sz="0" w:space="0" w:color="auto"/>
        <w:right w:val="none" w:sz="0" w:space="0" w:color="auto"/>
      </w:divBdr>
    </w:div>
    <w:div w:id="1635914667">
      <w:bodyDiv w:val="1"/>
      <w:marLeft w:val="0"/>
      <w:marRight w:val="0"/>
      <w:marTop w:val="0"/>
      <w:marBottom w:val="0"/>
      <w:divBdr>
        <w:top w:val="none" w:sz="0" w:space="0" w:color="auto"/>
        <w:left w:val="none" w:sz="0" w:space="0" w:color="auto"/>
        <w:bottom w:val="none" w:sz="0" w:space="0" w:color="auto"/>
        <w:right w:val="none" w:sz="0" w:space="0" w:color="auto"/>
      </w:divBdr>
    </w:div>
    <w:div w:id="1980107369">
      <w:bodyDiv w:val="1"/>
      <w:marLeft w:val="0"/>
      <w:marRight w:val="0"/>
      <w:marTop w:val="0"/>
      <w:marBottom w:val="0"/>
      <w:divBdr>
        <w:top w:val="none" w:sz="0" w:space="0" w:color="auto"/>
        <w:left w:val="none" w:sz="0" w:space="0" w:color="auto"/>
        <w:bottom w:val="none" w:sz="0" w:space="0" w:color="auto"/>
        <w:right w:val="none" w:sz="0" w:space="0" w:color="auto"/>
      </w:divBdr>
    </w:div>
    <w:div w:id="212430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chart" Target="charts/chart39.xml"/><Relationship Id="rId50" Type="http://schemas.openxmlformats.org/officeDocument/2006/relationships/chart" Target="charts/chart42.xm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chart" Target="charts/chart38.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chart" Target="charts/chart33.xm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7.xml"/><Relationship Id="rId53" Type="http://schemas.openxmlformats.org/officeDocument/2006/relationships/chart" Target="charts/chart45.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chart" Target="charts/chart41.xml"/><Relationship Id="rId57"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chart" Target="charts/chart36.xml"/><Relationship Id="rId52" Type="http://schemas.openxmlformats.org/officeDocument/2006/relationships/chart" Target="charts/chart44.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chart" Target="charts/chart40.xm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chart" Target="charts/chart43.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Office_Excel_Worksheet11.xlsx"/><Relationship Id="rId1" Type="http://schemas.openxmlformats.org/officeDocument/2006/relationships/themeOverride" Target="../theme/themeOverride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Office_Excel_Worksheet12.xlsx"/><Relationship Id="rId1" Type="http://schemas.openxmlformats.org/officeDocument/2006/relationships/themeOverride" Target="../theme/themeOverride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Office_Excel_Worksheet13.xlsx"/><Relationship Id="rId1" Type="http://schemas.openxmlformats.org/officeDocument/2006/relationships/themeOverride" Target="../theme/themeOverride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Office_Excel_Worksheet14.xlsx"/><Relationship Id="rId1" Type="http://schemas.openxmlformats.org/officeDocument/2006/relationships/themeOverride" Target="../theme/themeOverride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Office_Excel_Worksheet15.xlsx"/><Relationship Id="rId1" Type="http://schemas.openxmlformats.org/officeDocument/2006/relationships/themeOverride" Target="../theme/themeOverride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Office_Excel_Worksheet16.xlsx"/><Relationship Id="rId1" Type="http://schemas.openxmlformats.org/officeDocument/2006/relationships/themeOverride" Target="../theme/themeOverride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Office_Excel_Worksheet17.xlsx"/><Relationship Id="rId1" Type="http://schemas.openxmlformats.org/officeDocument/2006/relationships/themeOverride" Target="../theme/themeOverride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Office_Excel_Worksheet18.xlsx"/><Relationship Id="rId1" Type="http://schemas.openxmlformats.org/officeDocument/2006/relationships/themeOverride" Target="../theme/themeOverride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Office_Excel_Worksheet19.xlsx"/><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Office_Excel_Worksheet20.xlsx"/><Relationship Id="rId1" Type="http://schemas.openxmlformats.org/officeDocument/2006/relationships/themeOverride" Target="../theme/themeOverride1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Office_Excel_Worksheet21.xlsx"/><Relationship Id="rId1" Type="http://schemas.openxmlformats.org/officeDocument/2006/relationships/themeOverride" Target="../theme/themeOverride1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Office_Excel_Worksheet22.xlsx"/><Relationship Id="rId1" Type="http://schemas.openxmlformats.org/officeDocument/2006/relationships/themeOverride" Target="../theme/themeOverride1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Office_Excel_Worksheet23.xlsx"/><Relationship Id="rId1" Type="http://schemas.openxmlformats.org/officeDocument/2006/relationships/themeOverride" Target="../theme/themeOverride1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Office_Excel_Worksheet24.xlsx"/><Relationship Id="rId1" Type="http://schemas.openxmlformats.org/officeDocument/2006/relationships/themeOverride" Target="../theme/themeOverride14.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Office_Excel_Worksheet25.xlsx"/><Relationship Id="rId1" Type="http://schemas.openxmlformats.org/officeDocument/2006/relationships/themeOverride" Target="../theme/themeOverride15.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Office_Excel_Worksheet26.xlsx"/><Relationship Id="rId1" Type="http://schemas.openxmlformats.org/officeDocument/2006/relationships/themeOverride" Target="../theme/themeOverride16.xml"/></Relationships>
</file>

<file path=word/charts/_rels/chart27.xml.rels><?xml version="1.0" encoding="UTF-8" standalone="yes"?>
<Relationships xmlns="http://schemas.openxmlformats.org/package/2006/relationships"><Relationship Id="rId2" Type="http://schemas.openxmlformats.org/officeDocument/2006/relationships/package" Target="../embeddings/Microsoft_Office_Excel_Worksheet27.xlsx"/><Relationship Id="rId1" Type="http://schemas.openxmlformats.org/officeDocument/2006/relationships/themeOverride" Target="../theme/themeOverride17.xml"/></Relationships>
</file>

<file path=word/charts/_rels/chart28.xml.rels><?xml version="1.0" encoding="UTF-8" standalone="yes"?>
<Relationships xmlns="http://schemas.openxmlformats.org/package/2006/relationships"><Relationship Id="rId2" Type="http://schemas.openxmlformats.org/officeDocument/2006/relationships/package" Target="../embeddings/Microsoft_Office_Excel_Worksheet28.xlsx"/><Relationship Id="rId1" Type="http://schemas.openxmlformats.org/officeDocument/2006/relationships/themeOverride" Target="../theme/themeOverride18.xml"/></Relationships>
</file>

<file path=word/charts/_rels/chart29.xml.rels><?xml version="1.0" encoding="UTF-8" standalone="yes"?>
<Relationships xmlns="http://schemas.openxmlformats.org/package/2006/relationships"><Relationship Id="rId2" Type="http://schemas.openxmlformats.org/officeDocument/2006/relationships/package" Target="../embeddings/Microsoft_Office_Excel_Worksheet29.xlsx"/><Relationship Id="rId1" Type="http://schemas.openxmlformats.org/officeDocument/2006/relationships/themeOverride" Target="../theme/themeOverride19.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30.xml.rels><?xml version="1.0" encoding="UTF-8" standalone="yes"?>
<Relationships xmlns="http://schemas.openxmlformats.org/package/2006/relationships"><Relationship Id="rId2" Type="http://schemas.openxmlformats.org/officeDocument/2006/relationships/package" Target="../embeddings/Microsoft_Office_Excel_Worksheet30.xlsx"/><Relationship Id="rId1" Type="http://schemas.openxmlformats.org/officeDocument/2006/relationships/themeOverride" Target="../theme/themeOverride20.xml"/></Relationships>
</file>

<file path=word/charts/_rels/chart31.xml.rels><?xml version="1.0" encoding="UTF-8" standalone="yes"?>
<Relationships xmlns="http://schemas.openxmlformats.org/package/2006/relationships"><Relationship Id="rId2" Type="http://schemas.openxmlformats.org/officeDocument/2006/relationships/package" Target="../embeddings/Microsoft_Office_Excel_Worksheet31.xlsx"/><Relationship Id="rId1" Type="http://schemas.openxmlformats.org/officeDocument/2006/relationships/themeOverride" Target="../theme/themeOverride21.xml"/></Relationships>
</file>

<file path=word/charts/_rels/chart32.xml.rels><?xml version="1.0" encoding="UTF-8" standalone="yes"?>
<Relationships xmlns="http://schemas.openxmlformats.org/package/2006/relationships"><Relationship Id="rId2" Type="http://schemas.openxmlformats.org/officeDocument/2006/relationships/package" Target="../embeddings/Microsoft_Office_Excel_Worksheet32.xlsx"/><Relationship Id="rId1" Type="http://schemas.openxmlformats.org/officeDocument/2006/relationships/themeOverride" Target="../theme/themeOverride22.xml"/></Relationships>
</file>

<file path=word/charts/_rels/chart33.xml.rels><?xml version="1.0" encoding="UTF-8" standalone="yes"?>
<Relationships xmlns="http://schemas.openxmlformats.org/package/2006/relationships"><Relationship Id="rId2" Type="http://schemas.openxmlformats.org/officeDocument/2006/relationships/package" Target="../embeddings/Microsoft_Office_Excel_Worksheet33.xlsx"/><Relationship Id="rId1" Type="http://schemas.openxmlformats.org/officeDocument/2006/relationships/themeOverride" Target="../theme/themeOverride23.xml"/></Relationships>
</file>

<file path=word/charts/_rels/chart34.xml.rels><?xml version="1.0" encoding="UTF-8" standalone="yes"?>
<Relationships xmlns="http://schemas.openxmlformats.org/package/2006/relationships"><Relationship Id="rId2" Type="http://schemas.openxmlformats.org/officeDocument/2006/relationships/package" Target="../embeddings/Microsoft_Office_Excel_Worksheet34.xlsx"/><Relationship Id="rId1" Type="http://schemas.openxmlformats.org/officeDocument/2006/relationships/themeOverride" Target="../theme/themeOverride24.xml"/></Relationships>
</file>

<file path=word/charts/_rels/chart35.xml.rels><?xml version="1.0" encoding="UTF-8" standalone="yes"?>
<Relationships xmlns="http://schemas.openxmlformats.org/package/2006/relationships"><Relationship Id="rId2" Type="http://schemas.openxmlformats.org/officeDocument/2006/relationships/package" Target="../embeddings/Microsoft_Office_Excel_Worksheet35.xlsx"/><Relationship Id="rId1" Type="http://schemas.openxmlformats.org/officeDocument/2006/relationships/themeOverride" Target="../theme/themeOverride25.xml"/></Relationships>
</file>

<file path=word/charts/_rels/chart36.xml.rels><?xml version="1.0" encoding="UTF-8" standalone="yes"?>
<Relationships xmlns="http://schemas.openxmlformats.org/package/2006/relationships"><Relationship Id="rId2" Type="http://schemas.openxmlformats.org/officeDocument/2006/relationships/package" Target="../embeddings/Microsoft_Office_Excel_Worksheet36.xlsx"/><Relationship Id="rId1" Type="http://schemas.openxmlformats.org/officeDocument/2006/relationships/themeOverride" Target="../theme/themeOverride26.xml"/></Relationships>
</file>

<file path=word/charts/_rels/chart37.xml.rels><?xml version="1.0" encoding="UTF-8" standalone="yes"?>
<Relationships xmlns="http://schemas.openxmlformats.org/package/2006/relationships"><Relationship Id="rId2" Type="http://schemas.openxmlformats.org/officeDocument/2006/relationships/package" Target="../embeddings/Microsoft_Office_Excel_Worksheet37.xlsx"/><Relationship Id="rId1" Type="http://schemas.openxmlformats.org/officeDocument/2006/relationships/themeOverride" Target="../theme/themeOverride27.xml"/></Relationships>
</file>

<file path=word/charts/_rels/chart38.xml.rels><?xml version="1.0" encoding="UTF-8" standalone="yes"?>
<Relationships xmlns="http://schemas.openxmlformats.org/package/2006/relationships"><Relationship Id="rId2" Type="http://schemas.openxmlformats.org/officeDocument/2006/relationships/package" Target="../embeddings/Microsoft_Office_Excel_Worksheet38.xlsx"/><Relationship Id="rId1" Type="http://schemas.openxmlformats.org/officeDocument/2006/relationships/themeOverride" Target="../theme/themeOverride28.xml"/></Relationships>
</file>

<file path=word/charts/_rels/chart39.xml.rels><?xml version="1.0" encoding="UTF-8" standalone="yes"?>
<Relationships xmlns="http://schemas.openxmlformats.org/package/2006/relationships"><Relationship Id="rId2" Type="http://schemas.openxmlformats.org/officeDocument/2006/relationships/package" Target="../embeddings/Microsoft_Office_Excel_Worksheet39.xlsx"/><Relationship Id="rId1" Type="http://schemas.openxmlformats.org/officeDocument/2006/relationships/themeOverride" Target="../theme/themeOverride29.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40.xml.rels><?xml version="1.0" encoding="UTF-8" standalone="yes"?>
<Relationships xmlns="http://schemas.openxmlformats.org/package/2006/relationships"><Relationship Id="rId2" Type="http://schemas.openxmlformats.org/officeDocument/2006/relationships/package" Target="../embeddings/Microsoft_Office_Excel_Worksheet40.xlsx"/><Relationship Id="rId1" Type="http://schemas.openxmlformats.org/officeDocument/2006/relationships/themeOverride" Target="../theme/themeOverride30.xml"/></Relationships>
</file>

<file path=word/charts/_rels/chart41.xml.rels><?xml version="1.0" encoding="UTF-8" standalone="yes"?>
<Relationships xmlns="http://schemas.openxmlformats.org/package/2006/relationships"><Relationship Id="rId2" Type="http://schemas.openxmlformats.org/officeDocument/2006/relationships/package" Target="../embeddings/Microsoft_Office_Excel_Worksheet41.xlsx"/><Relationship Id="rId1" Type="http://schemas.openxmlformats.org/officeDocument/2006/relationships/themeOverride" Target="../theme/themeOverride31.xml"/></Relationships>
</file>

<file path=word/charts/_rels/chart42.xml.rels><?xml version="1.0" encoding="UTF-8" standalone="yes"?>
<Relationships xmlns="http://schemas.openxmlformats.org/package/2006/relationships"><Relationship Id="rId2" Type="http://schemas.openxmlformats.org/officeDocument/2006/relationships/package" Target="../embeddings/Microsoft_Office_Excel_Worksheet42.xlsx"/><Relationship Id="rId1" Type="http://schemas.openxmlformats.org/officeDocument/2006/relationships/themeOverride" Target="../theme/themeOverride32.xml"/></Relationships>
</file>

<file path=word/charts/_rels/chart43.xml.rels><?xml version="1.0" encoding="UTF-8" standalone="yes"?>
<Relationships xmlns="http://schemas.openxmlformats.org/package/2006/relationships"><Relationship Id="rId2" Type="http://schemas.openxmlformats.org/officeDocument/2006/relationships/package" Target="../embeddings/Microsoft_Office_Excel_Worksheet43.xlsx"/><Relationship Id="rId1" Type="http://schemas.openxmlformats.org/officeDocument/2006/relationships/themeOverride" Target="../theme/themeOverride33.xml"/></Relationships>
</file>

<file path=word/charts/_rels/chart44.xml.rels><?xml version="1.0" encoding="UTF-8" standalone="yes"?>
<Relationships xmlns="http://schemas.openxmlformats.org/package/2006/relationships"><Relationship Id="rId2" Type="http://schemas.openxmlformats.org/officeDocument/2006/relationships/package" Target="../embeddings/Microsoft_Office_Excel_Worksheet44.xlsx"/><Relationship Id="rId1" Type="http://schemas.openxmlformats.org/officeDocument/2006/relationships/themeOverride" Target="../theme/themeOverride34.xml"/></Relationships>
</file>

<file path=word/charts/_rels/chart45.xml.rels><?xml version="1.0" encoding="UTF-8" standalone="yes"?>
<Relationships xmlns="http://schemas.openxmlformats.org/package/2006/relationships"><Relationship Id="rId2" Type="http://schemas.openxmlformats.org/officeDocument/2006/relationships/package" Target="../embeddings/Microsoft_Office_Excel_Worksheet45.xlsx"/><Relationship Id="rId1" Type="http://schemas.openxmlformats.org/officeDocument/2006/relationships/themeOverride" Target="../theme/themeOverride35.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sz="900"/>
            </a:pPr>
            <a:r>
              <a:rPr lang="ro-RO" sz="900"/>
              <a:t> µg/m³ </a:t>
            </a:r>
          </a:p>
          <a:p>
            <a:pPr algn="ctr" rtl="0">
              <a:defRPr lang="en-GB" sz="900"/>
            </a:pPr>
            <a:endParaRPr lang="ro-RO" sz="900"/>
          </a:p>
        </c:rich>
      </c:tx>
      <c:layout>
        <c:manualLayout>
          <c:xMode val="edge"/>
          <c:yMode val="edge"/>
          <c:x val="2.8723271893496246E-4"/>
          <c:y val="7.4833669047188203E-2"/>
        </c:manualLayout>
      </c:layout>
    </c:title>
    <c:plotArea>
      <c:layout>
        <c:manualLayout>
          <c:layoutTarget val="inner"/>
          <c:xMode val="edge"/>
          <c:yMode val="edge"/>
          <c:x val="0.15214409887075844"/>
          <c:y val="0.10892871149726976"/>
          <c:w val="0.40748076662501703"/>
          <c:h val="0.71333473315835561"/>
        </c:manualLayout>
      </c:layout>
      <c:barChart>
        <c:barDir val="col"/>
        <c:grouping val="clustered"/>
        <c:ser>
          <c:idx val="0"/>
          <c:order val="0"/>
          <c:tx>
            <c:strRef>
              <c:f>Sheet1!$A$2</c:f>
              <c:strCache>
                <c:ptCount val="1"/>
                <c:pt idx="0">
                  <c:v>Concentrații medii anuale</c:v>
                </c:pt>
              </c:strCache>
            </c:strRef>
          </c:tx>
          <c:spPr>
            <a:solidFill>
              <a:schemeClr val="accent3">
                <a:lumMod val="75000"/>
              </a:schemeClr>
            </a:solidFill>
            <a:ln w="12700">
              <a:noFill/>
              <a:prstDash val="solid"/>
            </a:ln>
            <a:scene3d>
              <a:camera prst="orthographicFront"/>
              <a:lightRig rig="threePt" dir="t"/>
            </a:scene3d>
            <a:sp3d>
              <a:bevelT/>
            </a:sp3d>
          </c:spPr>
          <c:cat>
            <c:strRef>
              <c:f>Sheet1!$B$1:$D$1</c:f>
              <c:strCache>
                <c:ptCount val="3"/>
                <c:pt idx="0">
                  <c:v>EM3</c:v>
                </c:pt>
                <c:pt idx="1">
                  <c:v>SV1</c:v>
                </c:pt>
                <c:pt idx="2">
                  <c:v>SV2</c:v>
                </c:pt>
              </c:strCache>
            </c:strRef>
          </c:cat>
          <c:val>
            <c:numRef>
              <c:f>Sheet1!$B$2:$D$2</c:f>
              <c:numCache>
                <c:formatCode>0.00</c:formatCode>
                <c:ptCount val="3"/>
                <c:pt idx="0" formatCode="General">
                  <c:v>9.7900000000000009</c:v>
                </c:pt>
                <c:pt idx="1">
                  <c:v>16.979999999999986</c:v>
                </c:pt>
                <c:pt idx="2">
                  <c:v>19.279999999999987</c:v>
                </c:pt>
              </c:numCache>
            </c:numRef>
          </c:val>
        </c:ser>
        <c:gapWidth val="401"/>
        <c:axId val="133766144"/>
        <c:axId val="135820800"/>
      </c:barChart>
      <c:lineChart>
        <c:grouping val="standard"/>
        <c:ser>
          <c:idx val="2"/>
          <c:order val="1"/>
          <c:tx>
            <c:strRef>
              <c:f>Sheet1!$A$3</c:f>
              <c:strCache>
                <c:ptCount val="1"/>
                <c:pt idx="0">
                  <c:v>Valoare limită anuală</c:v>
                </c:pt>
              </c:strCache>
            </c:strRef>
          </c:tx>
          <c:spPr>
            <a:ln w="38101">
              <a:solidFill>
                <a:srgbClr val="FF0000"/>
              </a:solidFill>
              <a:prstDash val="solid"/>
            </a:ln>
          </c:spPr>
          <c:marker>
            <c:symbol val="square"/>
            <c:size val="5"/>
            <c:spPr>
              <a:noFill/>
              <a:ln w="9525">
                <a:noFill/>
              </a:ln>
            </c:spPr>
          </c:marker>
          <c:cat>
            <c:strRef>
              <c:f>Sheet1!$B$1:$D$1</c:f>
              <c:strCache>
                <c:ptCount val="3"/>
                <c:pt idx="0">
                  <c:v>EM3</c:v>
                </c:pt>
                <c:pt idx="1">
                  <c:v>SV1</c:v>
                </c:pt>
                <c:pt idx="2">
                  <c:v>SV2</c:v>
                </c:pt>
              </c:strCache>
            </c:strRef>
          </c:cat>
          <c:val>
            <c:numRef>
              <c:f>Sheet1!$B$3:$D$3</c:f>
              <c:numCache>
                <c:formatCode>General</c:formatCode>
                <c:ptCount val="3"/>
                <c:pt idx="0" formatCode="0">
                  <c:v>40</c:v>
                </c:pt>
                <c:pt idx="1">
                  <c:v>40</c:v>
                </c:pt>
                <c:pt idx="2">
                  <c:v>40</c:v>
                </c:pt>
              </c:numCache>
            </c:numRef>
          </c:val>
        </c:ser>
        <c:marker val="1"/>
        <c:axId val="133766144"/>
        <c:axId val="135820800"/>
      </c:lineChart>
      <c:catAx>
        <c:axId val="13376614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35820800"/>
        <c:crosses val="autoZero"/>
        <c:auto val="1"/>
        <c:lblAlgn val="ctr"/>
        <c:lblOffset val="100"/>
        <c:tickLblSkip val="1"/>
        <c:tickMarkSkip val="1"/>
      </c:catAx>
      <c:valAx>
        <c:axId val="135820800"/>
        <c:scaling>
          <c:orientation val="minMax"/>
          <c:max val="5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33766144"/>
        <c:crosses val="autoZero"/>
        <c:crossBetween val="between"/>
        <c:majorUnit val="10"/>
        <c:minorUnit val="0.1"/>
      </c:valAx>
      <c:spPr>
        <a:noFill/>
        <a:ln w="3175">
          <a:solidFill>
            <a:srgbClr val="000000"/>
          </a:solidFill>
          <a:prstDash val="solid"/>
        </a:ln>
      </c:spPr>
    </c:plotArea>
    <c:legend>
      <c:legendPos val="r"/>
      <c:layout>
        <c:manualLayout>
          <c:xMode val="edge"/>
          <c:yMode val="edge"/>
          <c:x val="0.58535382885934228"/>
          <c:y val="0.29337846787843697"/>
          <c:w val="0.38150404239623031"/>
          <c:h val="0.40797704025314591"/>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Arial" pitchFamily="34" charset="0"/>
          <a:ea typeface="Arial"/>
          <a:cs typeface="Arial" pitchFamily="34" charset="0"/>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1504567110458352"/>
          <c:y val="5.3880413385826914E-2"/>
          <c:w val="0.35352292728115253"/>
          <c:h val="0.69144356955380581"/>
        </c:manualLayout>
      </c:layout>
      <c:barChart>
        <c:barDir val="col"/>
        <c:grouping val="clustered"/>
        <c:ser>
          <c:idx val="0"/>
          <c:order val="0"/>
          <c:tx>
            <c:strRef>
              <c:f>Sheet1!$A$2</c:f>
              <c:strCache>
                <c:ptCount val="1"/>
                <c:pt idx="0">
                  <c:v>Nr. depăşiri an 2017</c:v>
                </c:pt>
              </c:strCache>
            </c:strRef>
          </c:tx>
          <c:spPr>
            <a:solidFill>
              <a:schemeClr val="accent3">
                <a:lumMod val="75000"/>
              </a:schemeClr>
            </a:solidFill>
            <a:ln w="12700">
              <a:noFill/>
              <a:prstDash val="solid"/>
            </a:ln>
            <a:scene3d>
              <a:camera prst="orthographicFront"/>
              <a:lightRig rig="threePt" dir="t"/>
            </a:scene3d>
            <a:sp3d>
              <a:bevelT/>
            </a:sp3d>
          </c:spPr>
          <c:dLbls>
            <c:txPr>
              <a:bodyPr/>
              <a:lstStyle/>
              <a:p>
                <a:pPr>
                  <a:defRPr lang="en-US"/>
                </a:pPr>
                <a:endParaRPr lang="ro-RO"/>
              </a:p>
            </c:txPr>
            <c:showVal val="1"/>
          </c:dLbls>
          <c:cat>
            <c:strRef>
              <c:f>Sheet1!$B$1:$C$1</c:f>
              <c:strCache>
                <c:ptCount val="2"/>
                <c:pt idx="0">
                  <c:v>SV1</c:v>
                </c:pt>
                <c:pt idx="1">
                  <c:v>SV2</c:v>
                </c:pt>
              </c:strCache>
            </c:strRef>
          </c:cat>
          <c:val>
            <c:numRef>
              <c:f>Sheet1!$B$2:$C$2</c:f>
              <c:numCache>
                <c:formatCode>General</c:formatCode>
                <c:ptCount val="2"/>
                <c:pt idx="0" formatCode="0">
                  <c:v>1</c:v>
                </c:pt>
                <c:pt idx="1">
                  <c:v>24</c:v>
                </c:pt>
              </c:numCache>
            </c:numRef>
          </c:val>
        </c:ser>
        <c:gapWidth val="500"/>
        <c:axId val="168172544"/>
        <c:axId val="168174720"/>
      </c:barChart>
      <c:lineChart>
        <c:grouping val="standard"/>
        <c:ser>
          <c:idx val="2"/>
          <c:order val="1"/>
          <c:tx>
            <c:strRef>
              <c:f>Sheet1!$A$3</c:f>
              <c:strCache>
                <c:ptCount val="1"/>
                <c:pt idx="0">
                  <c:v>Nr. max. admis/an depăşiri VL zilnică</c:v>
                </c:pt>
              </c:strCache>
            </c:strRef>
          </c:tx>
          <c:spPr>
            <a:ln w="44450">
              <a:solidFill>
                <a:srgbClr val="FF0000"/>
              </a:solidFill>
              <a:prstDash val="solid"/>
            </a:ln>
          </c:spPr>
          <c:marker>
            <c:symbol val="square"/>
            <c:size val="5"/>
            <c:spPr>
              <a:noFill/>
              <a:ln w="9525">
                <a:noFill/>
              </a:ln>
            </c:spPr>
          </c:marker>
          <c:cat>
            <c:strRef>
              <c:f>Sheet1!$B$1:$C$1</c:f>
              <c:strCache>
                <c:ptCount val="2"/>
                <c:pt idx="0">
                  <c:v>SV1</c:v>
                </c:pt>
                <c:pt idx="1">
                  <c:v>SV2</c:v>
                </c:pt>
              </c:strCache>
            </c:strRef>
          </c:cat>
          <c:val>
            <c:numRef>
              <c:f>Sheet1!$B$3:$C$3</c:f>
              <c:numCache>
                <c:formatCode>General</c:formatCode>
                <c:ptCount val="2"/>
                <c:pt idx="0">
                  <c:v>35</c:v>
                </c:pt>
                <c:pt idx="1">
                  <c:v>35</c:v>
                </c:pt>
              </c:numCache>
            </c:numRef>
          </c:val>
        </c:ser>
        <c:marker val="1"/>
        <c:axId val="168172544"/>
        <c:axId val="168174720"/>
      </c:lineChart>
      <c:catAx>
        <c:axId val="16817254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US"/>
            </a:pPr>
            <a:endParaRPr lang="ro-RO"/>
          </a:p>
        </c:txPr>
        <c:crossAx val="168174720"/>
        <c:crosses val="autoZero"/>
        <c:auto val="1"/>
        <c:lblAlgn val="ctr"/>
        <c:lblOffset val="100"/>
        <c:tickLblSkip val="1"/>
        <c:tickMarkSkip val="1"/>
      </c:catAx>
      <c:valAx>
        <c:axId val="168174720"/>
        <c:scaling>
          <c:orientation val="minMax"/>
          <c:max val="35"/>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en-US"/>
            </a:pPr>
            <a:endParaRPr lang="ro-RO"/>
          </a:p>
        </c:txPr>
        <c:crossAx val="168172544"/>
        <c:crosses val="autoZero"/>
        <c:crossBetween val="between"/>
        <c:majorUnit val="5"/>
        <c:minorUnit val="0.1"/>
      </c:valAx>
      <c:spPr>
        <a:noFill/>
        <a:ln w="3175">
          <a:solidFill>
            <a:srgbClr val="000000"/>
          </a:solidFill>
          <a:prstDash val="solid"/>
        </a:ln>
      </c:spPr>
    </c:plotArea>
    <c:legend>
      <c:legendPos val="r"/>
      <c:layout>
        <c:manualLayout>
          <c:xMode val="edge"/>
          <c:yMode val="edge"/>
          <c:x val="0.4893467140136924"/>
          <c:y val="0.22332571331809317"/>
          <c:w val="0.49610786886933511"/>
          <c:h val="0.38939198715863466"/>
        </c:manualLayout>
      </c:layout>
      <c:txPr>
        <a:bodyPr/>
        <a:lstStyle/>
        <a:p>
          <a:pPr>
            <a:defRPr lang="en-US"/>
          </a:pPr>
          <a:endParaRPr lang="ro-RO"/>
        </a:p>
      </c:txPr>
    </c:legend>
    <c:plotVisOnly val="1"/>
    <c:dispBlanksAs val="gap"/>
  </c:chart>
  <c:spPr>
    <a:noFill/>
    <a:ln>
      <a:noFill/>
    </a:ln>
  </c:spPr>
  <c:txPr>
    <a:bodyPr/>
    <a:lstStyle/>
    <a:p>
      <a:pPr>
        <a:defRPr sz="900" b="0" i="0" u="none" strike="noStrike" baseline="0">
          <a:solidFill>
            <a:srgbClr val="000000"/>
          </a:solidFill>
          <a:latin typeface="Arial" pitchFamily="34" charset="0"/>
          <a:ea typeface="Arial"/>
          <a:cs typeface="Arial" pitchFamily="34" charset="0"/>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lrMapOvr bg1="lt1" tx1="dk1" bg2="lt2" tx2="dk2" accent1="accent1" accent2="accent2" accent3="accent3" accent4="accent4" accent5="accent5" accent6="accent6" hlink="hlink" folHlink="folHlink"/>
  <c:chart>
    <c:view3D>
      <c:rAngAx val="1"/>
    </c:view3D>
    <c:sideWall>
      <c:spPr>
        <a:noFill/>
        <a:ln>
          <a:solidFill>
            <a:schemeClr val="bg1">
              <a:lumMod val="50000"/>
            </a:schemeClr>
          </a:solidFill>
        </a:ln>
      </c:spPr>
    </c:sideWall>
    <c:backWall>
      <c:spPr>
        <a:noFill/>
        <a:ln>
          <a:solidFill>
            <a:schemeClr val="bg1">
              <a:lumMod val="50000"/>
            </a:schemeClr>
          </a:solidFill>
        </a:ln>
      </c:spPr>
    </c:backWall>
    <c:plotArea>
      <c:layout>
        <c:manualLayout>
          <c:layoutTarget val="inner"/>
          <c:xMode val="edge"/>
          <c:yMode val="edge"/>
          <c:x val="8.7200287014482916E-2"/>
          <c:y val="4.3809523809523923E-2"/>
          <c:w val="0.76602805944221053"/>
          <c:h val="0.66796098248913172"/>
        </c:manualLayout>
      </c:layout>
      <c:bar3DChart>
        <c:barDir val="col"/>
        <c:grouping val="clustered"/>
        <c:ser>
          <c:idx val="0"/>
          <c:order val="0"/>
          <c:tx>
            <c:strRef>
              <c:f>Sheet1!$B$1</c:f>
              <c:strCache>
                <c:ptCount val="1"/>
                <c:pt idx="0">
                  <c:v>SOx</c:v>
                </c:pt>
              </c:strCache>
            </c:strRef>
          </c:tx>
          <c:spPr>
            <a:scene3d>
              <a:camera prst="orthographicFront"/>
              <a:lightRig rig="threePt" dir="t"/>
            </a:scene3d>
            <a:sp3d>
              <a:bevelT/>
            </a:sp3d>
          </c:spPr>
          <c:cat>
            <c:strRef>
              <c:f>Sheet1!$A$2:$A$6</c:f>
              <c:strCache>
                <c:ptCount val="5"/>
                <c:pt idx="0">
                  <c:v>Energie </c:v>
                </c:pt>
                <c:pt idx="1">
                  <c:v>Transporturi</c:v>
                </c:pt>
                <c:pt idx="2">
                  <c:v>Procese industriale</c:v>
                </c:pt>
                <c:pt idx="3">
                  <c:v>Agricultura</c:v>
                </c:pt>
                <c:pt idx="4">
                  <c:v>Deşeuri</c:v>
                </c:pt>
              </c:strCache>
            </c:strRef>
          </c:cat>
          <c:val>
            <c:numRef>
              <c:f>Sheet1!$B$2:$B$6</c:f>
              <c:numCache>
                <c:formatCode>0.00</c:formatCode>
                <c:ptCount val="5"/>
                <c:pt idx="0">
                  <c:v>99.36</c:v>
                </c:pt>
                <c:pt idx="1">
                  <c:v>0.35000000000000026</c:v>
                </c:pt>
                <c:pt idx="4">
                  <c:v>0.29000000000000026</c:v>
                </c:pt>
              </c:numCache>
            </c:numRef>
          </c:val>
        </c:ser>
        <c:ser>
          <c:idx val="1"/>
          <c:order val="1"/>
          <c:tx>
            <c:strRef>
              <c:f>Sheet1!$C$1</c:f>
              <c:strCache>
                <c:ptCount val="1"/>
                <c:pt idx="0">
                  <c:v>NOx</c:v>
                </c:pt>
              </c:strCache>
            </c:strRef>
          </c:tx>
          <c:spPr>
            <a:scene3d>
              <a:camera prst="orthographicFront"/>
              <a:lightRig rig="threePt" dir="t"/>
            </a:scene3d>
            <a:sp3d>
              <a:bevelT/>
            </a:sp3d>
          </c:spPr>
          <c:cat>
            <c:strRef>
              <c:f>Sheet1!$A$2:$A$6</c:f>
              <c:strCache>
                <c:ptCount val="5"/>
                <c:pt idx="0">
                  <c:v>Energie </c:v>
                </c:pt>
                <c:pt idx="1">
                  <c:v>Transporturi</c:v>
                </c:pt>
                <c:pt idx="2">
                  <c:v>Procese industriale</c:v>
                </c:pt>
                <c:pt idx="3">
                  <c:v>Agricultura</c:v>
                </c:pt>
                <c:pt idx="4">
                  <c:v>Deşeuri</c:v>
                </c:pt>
              </c:strCache>
            </c:strRef>
          </c:cat>
          <c:val>
            <c:numRef>
              <c:f>Sheet1!$C$2:$C$6</c:f>
              <c:numCache>
                <c:formatCode>0.00</c:formatCode>
                <c:ptCount val="5"/>
                <c:pt idx="0">
                  <c:v>31.04</c:v>
                </c:pt>
                <c:pt idx="1">
                  <c:v>66.88</c:v>
                </c:pt>
                <c:pt idx="3">
                  <c:v>2.0099999999999998</c:v>
                </c:pt>
                <c:pt idx="4">
                  <c:v>7.0000000000000021E-2</c:v>
                </c:pt>
              </c:numCache>
            </c:numRef>
          </c:val>
        </c:ser>
        <c:ser>
          <c:idx val="2"/>
          <c:order val="2"/>
          <c:tx>
            <c:strRef>
              <c:f>Sheet1!$D$1</c:f>
              <c:strCache>
                <c:ptCount val="1"/>
                <c:pt idx="0">
                  <c:v>NH3</c:v>
                </c:pt>
              </c:strCache>
            </c:strRef>
          </c:tx>
          <c:spPr>
            <a:scene3d>
              <a:camera prst="orthographicFront"/>
              <a:lightRig rig="threePt" dir="t"/>
            </a:scene3d>
            <a:sp3d>
              <a:bevelT/>
            </a:sp3d>
          </c:spPr>
          <c:cat>
            <c:strRef>
              <c:f>Sheet1!$A$2:$A$6</c:f>
              <c:strCache>
                <c:ptCount val="5"/>
                <c:pt idx="0">
                  <c:v>Energie </c:v>
                </c:pt>
                <c:pt idx="1">
                  <c:v>Transporturi</c:v>
                </c:pt>
                <c:pt idx="2">
                  <c:v>Procese industriale</c:v>
                </c:pt>
                <c:pt idx="3">
                  <c:v>Agricultura</c:v>
                </c:pt>
                <c:pt idx="4">
                  <c:v>Deşeuri</c:v>
                </c:pt>
              </c:strCache>
            </c:strRef>
          </c:cat>
          <c:val>
            <c:numRef>
              <c:f>Sheet1!$D$2:$D$6</c:f>
              <c:numCache>
                <c:formatCode>0.00</c:formatCode>
                <c:ptCount val="5"/>
                <c:pt idx="0">
                  <c:v>11.7364</c:v>
                </c:pt>
                <c:pt idx="1">
                  <c:v>0.39790000000000042</c:v>
                </c:pt>
                <c:pt idx="3">
                  <c:v>87.86569999999999</c:v>
                </c:pt>
              </c:numCache>
            </c:numRef>
          </c:val>
        </c:ser>
        <c:gapWidth val="277"/>
        <c:shape val="box"/>
        <c:axId val="167958784"/>
        <c:axId val="168124416"/>
        <c:axId val="0"/>
      </c:bar3DChart>
      <c:catAx>
        <c:axId val="167958784"/>
        <c:scaling>
          <c:orientation val="minMax"/>
        </c:scaling>
        <c:axPos val="b"/>
        <c:tickLblPos val="nextTo"/>
        <c:txPr>
          <a:bodyPr rot="0" anchor="t" anchorCtr="0"/>
          <a:lstStyle/>
          <a:p>
            <a:pPr>
              <a:defRPr lang="ro-RO" sz="900"/>
            </a:pPr>
            <a:endParaRPr lang="ro-RO"/>
          </a:p>
        </c:txPr>
        <c:crossAx val="168124416"/>
        <c:crosses val="autoZero"/>
        <c:auto val="1"/>
        <c:lblAlgn val="ctr"/>
        <c:lblOffset val="100"/>
      </c:catAx>
      <c:valAx>
        <c:axId val="168124416"/>
        <c:scaling>
          <c:orientation val="minMax"/>
          <c:max val="100"/>
        </c:scaling>
        <c:axPos val="l"/>
        <c:majorGridlines/>
        <c:title>
          <c:tx>
            <c:rich>
              <a:bodyPr rot="0" vert="horz"/>
              <a:lstStyle/>
              <a:p>
                <a:pPr>
                  <a:defRPr lang="ro-RO"/>
                </a:pPr>
                <a:r>
                  <a:rPr lang="ro-RO"/>
                  <a:t>%</a:t>
                </a:r>
              </a:p>
            </c:rich>
          </c:tx>
          <c:layout>
            <c:manualLayout>
              <c:xMode val="edge"/>
              <c:yMode val="edge"/>
              <c:x val="1.617745428621297E-3"/>
              <c:y val="0.12980998243944131"/>
            </c:manualLayout>
          </c:layout>
        </c:title>
        <c:numFmt formatCode="0" sourceLinked="0"/>
        <c:tickLblPos val="nextTo"/>
        <c:txPr>
          <a:bodyPr/>
          <a:lstStyle/>
          <a:p>
            <a:pPr>
              <a:defRPr lang="ro-RO" sz="1000"/>
            </a:pPr>
            <a:endParaRPr lang="ro-RO"/>
          </a:p>
        </c:txPr>
        <c:crossAx val="167958784"/>
        <c:crosses val="autoZero"/>
        <c:crossBetween val="between"/>
        <c:majorUnit val="20"/>
      </c:valAx>
    </c:plotArea>
    <c:legend>
      <c:legendPos val="r"/>
      <c:layout>
        <c:manualLayout>
          <c:xMode val="edge"/>
          <c:yMode val="edge"/>
          <c:x val="0.86868584714954356"/>
          <c:y val="0.20315988922012171"/>
          <c:w val="7.9256783549538426E-2"/>
          <c:h val="0.41427344309234082"/>
        </c:manualLayout>
      </c:layout>
      <c:txPr>
        <a:bodyPr/>
        <a:lstStyle/>
        <a:p>
          <a:pPr>
            <a:defRPr lang="ro-RO" sz="900"/>
          </a:pPr>
          <a:endParaRPr lang="ro-RO"/>
        </a:p>
      </c:txPr>
    </c:legend>
    <c:plotVisOnly val="1"/>
  </c:chart>
  <c:spPr>
    <a:ln>
      <a:noFill/>
    </a:ln>
  </c:spPr>
  <c:txPr>
    <a:bodyPr/>
    <a:lstStyle/>
    <a:p>
      <a:pPr>
        <a:defRPr>
          <a:latin typeface="Arial" pitchFamily="34" charset="0"/>
          <a:cs typeface="Arial" pitchFamily="34" charset="0"/>
        </a:defRPr>
      </a:pPr>
      <a:endParaRPr lang="ro-RO"/>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lrMapOvr bg1="lt1" tx1="dk1" bg2="lt2" tx2="dk2" accent1="accent1" accent2="accent2" accent3="accent3" accent4="accent4" accent5="accent5" accent6="accent6" hlink="hlink" folHlink="folHlink"/>
  <c:chart>
    <c:view3D>
      <c:rAngAx val="1"/>
    </c:view3D>
    <c:sideWall>
      <c:spPr>
        <a:noFill/>
        <a:ln>
          <a:solidFill>
            <a:sysClr val="window" lastClr="FFFFFF">
              <a:lumMod val="65000"/>
            </a:sysClr>
          </a:solidFill>
        </a:ln>
      </c:spPr>
    </c:sideWall>
    <c:backWall>
      <c:spPr>
        <a:noFill/>
        <a:ln>
          <a:solidFill>
            <a:sysClr val="window" lastClr="FFFFFF">
              <a:lumMod val="65000"/>
            </a:sysClr>
          </a:solidFill>
        </a:ln>
      </c:spPr>
    </c:backWall>
    <c:plotArea>
      <c:layout>
        <c:manualLayout>
          <c:layoutTarget val="inner"/>
          <c:xMode val="edge"/>
          <c:yMode val="edge"/>
          <c:x val="9.5410029498524992E-2"/>
          <c:y val="3.9636166168884081E-2"/>
          <c:w val="0.75755965902492273"/>
          <c:h val="0.67512193426152978"/>
        </c:manualLayout>
      </c:layout>
      <c:bar3DChart>
        <c:barDir val="col"/>
        <c:grouping val="clustered"/>
        <c:ser>
          <c:idx val="0"/>
          <c:order val="0"/>
          <c:tx>
            <c:strRef>
              <c:f>Sheet1!$B$1</c:f>
              <c:strCache>
                <c:ptCount val="1"/>
                <c:pt idx="0">
                  <c:v>NOx</c:v>
                </c:pt>
              </c:strCache>
            </c:strRef>
          </c:tx>
          <c:spPr>
            <a:scene3d>
              <a:camera prst="orthographicFront"/>
              <a:lightRig rig="threePt" dir="t"/>
            </a:scene3d>
            <a:sp3d>
              <a:bevelT/>
            </a:sp3d>
          </c:spPr>
          <c:cat>
            <c:strRef>
              <c:f>Sheet1!$A$2:$A$6</c:f>
              <c:strCache>
                <c:ptCount val="5"/>
                <c:pt idx="0">
                  <c:v>Energie</c:v>
                </c:pt>
                <c:pt idx="1">
                  <c:v>Transporturi</c:v>
                </c:pt>
                <c:pt idx="2">
                  <c:v>Procese industriale</c:v>
                </c:pt>
                <c:pt idx="3">
                  <c:v>Agricultura</c:v>
                </c:pt>
                <c:pt idx="4">
                  <c:v>Deseuri</c:v>
                </c:pt>
              </c:strCache>
            </c:strRef>
          </c:cat>
          <c:val>
            <c:numRef>
              <c:f>Sheet1!$B$2:$B$6</c:f>
              <c:numCache>
                <c:formatCode>0.00</c:formatCode>
                <c:ptCount val="5"/>
                <c:pt idx="0">
                  <c:v>31.040599999999976</c:v>
                </c:pt>
                <c:pt idx="1">
                  <c:v>66.883299999999991</c:v>
                </c:pt>
                <c:pt idx="3">
                  <c:v>2.0091999999999999</c:v>
                </c:pt>
                <c:pt idx="4">
                  <c:v>6.6900000000000001E-2</c:v>
                </c:pt>
              </c:numCache>
            </c:numRef>
          </c:val>
        </c:ser>
        <c:ser>
          <c:idx val="1"/>
          <c:order val="1"/>
          <c:tx>
            <c:strRef>
              <c:f>Sheet1!$C$1</c:f>
              <c:strCache>
                <c:ptCount val="1"/>
                <c:pt idx="0">
                  <c:v>CO</c:v>
                </c:pt>
              </c:strCache>
            </c:strRef>
          </c:tx>
          <c:spPr>
            <a:scene3d>
              <a:camera prst="orthographicFront"/>
              <a:lightRig rig="threePt" dir="t"/>
            </a:scene3d>
            <a:sp3d>
              <a:bevelT/>
            </a:sp3d>
          </c:spPr>
          <c:cat>
            <c:strRef>
              <c:f>Sheet1!$A$2:$A$6</c:f>
              <c:strCache>
                <c:ptCount val="5"/>
                <c:pt idx="0">
                  <c:v>Energie</c:v>
                </c:pt>
                <c:pt idx="1">
                  <c:v>Transporturi</c:v>
                </c:pt>
                <c:pt idx="2">
                  <c:v>Procese industriale</c:v>
                </c:pt>
                <c:pt idx="3">
                  <c:v>Agricultura</c:v>
                </c:pt>
                <c:pt idx="4">
                  <c:v>Deseuri</c:v>
                </c:pt>
              </c:strCache>
            </c:strRef>
          </c:cat>
          <c:val>
            <c:numRef>
              <c:f>Sheet1!$C$2:$C$6</c:f>
              <c:numCache>
                <c:formatCode>0.00</c:formatCode>
                <c:ptCount val="5"/>
                <c:pt idx="0">
                  <c:v>89.445800000000006</c:v>
                </c:pt>
                <c:pt idx="1">
                  <c:v>10.549100000000001</c:v>
                </c:pt>
                <c:pt idx="2" formatCode="0.0000">
                  <c:v>1.7000000000000014E-3</c:v>
                </c:pt>
                <c:pt idx="4" formatCode="0.000">
                  <c:v>3.4000000000000028E-3</c:v>
                </c:pt>
              </c:numCache>
            </c:numRef>
          </c:val>
        </c:ser>
        <c:ser>
          <c:idx val="2"/>
          <c:order val="2"/>
          <c:tx>
            <c:strRef>
              <c:f>Sheet1!$D$1</c:f>
              <c:strCache>
                <c:ptCount val="1"/>
                <c:pt idx="0">
                  <c:v>NMVOC</c:v>
                </c:pt>
              </c:strCache>
            </c:strRef>
          </c:tx>
          <c:spPr>
            <a:scene3d>
              <a:camera prst="orthographicFront"/>
              <a:lightRig rig="threePt" dir="t"/>
            </a:scene3d>
            <a:sp3d>
              <a:bevelT/>
            </a:sp3d>
          </c:spPr>
          <c:cat>
            <c:strRef>
              <c:f>Sheet1!$A$2:$A$6</c:f>
              <c:strCache>
                <c:ptCount val="5"/>
                <c:pt idx="0">
                  <c:v>Energie</c:v>
                </c:pt>
                <c:pt idx="1">
                  <c:v>Transporturi</c:v>
                </c:pt>
                <c:pt idx="2">
                  <c:v>Procese industriale</c:v>
                </c:pt>
                <c:pt idx="3">
                  <c:v>Agricultura</c:v>
                </c:pt>
                <c:pt idx="4">
                  <c:v>Deseuri</c:v>
                </c:pt>
              </c:strCache>
            </c:strRef>
          </c:cat>
          <c:val>
            <c:numRef>
              <c:f>Sheet1!$D$2:$D$6</c:f>
              <c:numCache>
                <c:formatCode>0.00</c:formatCode>
                <c:ptCount val="5"/>
                <c:pt idx="0">
                  <c:v>64.167500000000004</c:v>
                </c:pt>
                <c:pt idx="1">
                  <c:v>10.159500000000008</c:v>
                </c:pt>
                <c:pt idx="2">
                  <c:v>10.7194</c:v>
                </c:pt>
                <c:pt idx="3">
                  <c:v>14.854400000000009</c:v>
                </c:pt>
                <c:pt idx="4">
                  <c:v>9.9200000000000024E-2</c:v>
                </c:pt>
              </c:numCache>
            </c:numRef>
          </c:val>
        </c:ser>
        <c:gapWidth val="331"/>
        <c:shape val="box"/>
        <c:axId val="168277504"/>
        <c:axId val="168279040"/>
        <c:axId val="0"/>
      </c:bar3DChart>
      <c:catAx>
        <c:axId val="168277504"/>
        <c:scaling>
          <c:orientation val="minMax"/>
        </c:scaling>
        <c:axPos val="b"/>
        <c:tickLblPos val="nextTo"/>
        <c:txPr>
          <a:bodyPr/>
          <a:lstStyle/>
          <a:p>
            <a:pPr>
              <a:defRPr lang="ro-RO" sz="900">
                <a:latin typeface="Arial" pitchFamily="34" charset="0"/>
                <a:cs typeface="Arial" pitchFamily="34" charset="0"/>
              </a:defRPr>
            </a:pPr>
            <a:endParaRPr lang="ro-RO"/>
          </a:p>
        </c:txPr>
        <c:crossAx val="168279040"/>
        <c:crosses val="autoZero"/>
        <c:auto val="1"/>
        <c:lblAlgn val="ctr"/>
        <c:lblOffset val="100"/>
      </c:catAx>
      <c:valAx>
        <c:axId val="168279040"/>
        <c:scaling>
          <c:orientation val="minMax"/>
          <c:max val="100"/>
        </c:scaling>
        <c:axPos val="l"/>
        <c:majorGridlines/>
        <c:title>
          <c:tx>
            <c:rich>
              <a:bodyPr rot="0" vert="wordArtVert"/>
              <a:lstStyle/>
              <a:p>
                <a:pPr>
                  <a:defRPr lang="ro-RO">
                    <a:latin typeface="Arial" pitchFamily="34" charset="0"/>
                    <a:cs typeface="Arial" pitchFamily="34" charset="0"/>
                  </a:defRPr>
                </a:pPr>
                <a:r>
                  <a:rPr lang="ro-RO">
                    <a:latin typeface="Arial" pitchFamily="34" charset="0"/>
                    <a:cs typeface="Arial" pitchFamily="34" charset="0"/>
                  </a:rPr>
                  <a:t>%</a:t>
                </a:r>
              </a:p>
            </c:rich>
          </c:tx>
          <c:layout>
            <c:manualLayout>
              <c:xMode val="edge"/>
              <c:yMode val="edge"/>
              <c:x val="2.051989023259617E-2"/>
              <c:y val="9.0497750281214831E-2"/>
            </c:manualLayout>
          </c:layout>
        </c:title>
        <c:numFmt formatCode="0" sourceLinked="0"/>
        <c:tickLblPos val="nextTo"/>
        <c:txPr>
          <a:bodyPr/>
          <a:lstStyle/>
          <a:p>
            <a:pPr>
              <a:defRPr lang="ro-RO" sz="900">
                <a:latin typeface="Arial" pitchFamily="34" charset="0"/>
                <a:cs typeface="Arial" pitchFamily="34" charset="0"/>
              </a:defRPr>
            </a:pPr>
            <a:endParaRPr lang="ro-RO"/>
          </a:p>
        </c:txPr>
        <c:crossAx val="168277504"/>
        <c:crosses val="autoZero"/>
        <c:crossBetween val="between"/>
      </c:valAx>
    </c:plotArea>
    <c:legend>
      <c:legendPos val="r"/>
      <c:legendEntry>
        <c:idx val="0"/>
        <c:txPr>
          <a:bodyPr/>
          <a:lstStyle/>
          <a:p>
            <a:pPr>
              <a:defRPr sz="900">
                <a:latin typeface="Arial" pitchFamily="34" charset="0"/>
                <a:cs typeface="Arial" pitchFamily="34" charset="0"/>
              </a:defRPr>
            </a:pPr>
            <a:endParaRPr lang="ro-RO"/>
          </a:p>
        </c:txPr>
      </c:legendEntry>
      <c:legendEntry>
        <c:idx val="1"/>
        <c:txPr>
          <a:bodyPr/>
          <a:lstStyle/>
          <a:p>
            <a:pPr>
              <a:defRPr sz="900">
                <a:latin typeface="Arial" pitchFamily="34" charset="0"/>
                <a:cs typeface="Arial" pitchFamily="34" charset="0"/>
              </a:defRPr>
            </a:pPr>
            <a:endParaRPr lang="ro-RO"/>
          </a:p>
        </c:txPr>
      </c:legendEntry>
      <c:legendEntry>
        <c:idx val="2"/>
        <c:txPr>
          <a:bodyPr/>
          <a:lstStyle/>
          <a:p>
            <a:pPr>
              <a:defRPr sz="900">
                <a:latin typeface="Arial" pitchFamily="34" charset="0"/>
                <a:cs typeface="Arial" pitchFamily="34" charset="0"/>
              </a:defRPr>
            </a:pPr>
            <a:endParaRPr lang="ro-RO"/>
          </a:p>
        </c:txPr>
      </c:legendEntry>
      <c:layout>
        <c:manualLayout>
          <c:xMode val="edge"/>
          <c:yMode val="edge"/>
          <c:x val="0.8524350916312452"/>
          <c:y val="0.26569342625275283"/>
          <c:w val="0.11662471920739639"/>
          <c:h val="0.42250404129947389"/>
        </c:manualLayout>
      </c:layout>
      <c:spPr>
        <a:ln>
          <a:noFill/>
        </a:ln>
      </c:spPr>
      <c:txPr>
        <a:bodyPr/>
        <a:lstStyle/>
        <a:p>
          <a:pPr>
            <a:defRPr lang="ro-RO" sz="900">
              <a:latin typeface="Arial" pitchFamily="34" charset="0"/>
              <a:cs typeface="Arial" pitchFamily="34" charset="0"/>
            </a:defRPr>
          </a:pPr>
          <a:endParaRPr lang="ro-RO"/>
        </a:p>
      </c:txPr>
    </c:legend>
    <c:plotVisOnly val="1"/>
  </c:chart>
  <c:spPr>
    <a:ln>
      <a:noFill/>
    </a:ln>
  </c:sp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lrMapOvr bg1="lt1" tx1="dk1" bg2="lt2" tx2="dk2" accent1="accent1" accent2="accent2" accent3="accent3" accent4="accent4" accent5="accent5" accent6="accent6" hlink="hlink" folHlink="folHlink"/>
  <c:chart>
    <c:autoTitleDeleted val="1"/>
    <c:view3D>
      <c:rAngAx val="1"/>
    </c:view3D>
    <c:sideWall>
      <c:spPr>
        <a:noFill/>
        <a:ln>
          <a:solidFill>
            <a:sysClr val="window" lastClr="FFFFFF">
              <a:lumMod val="50000"/>
            </a:sysClr>
          </a:solidFill>
        </a:ln>
      </c:spPr>
    </c:sideWall>
    <c:backWall>
      <c:spPr>
        <a:noFill/>
        <a:ln>
          <a:solidFill>
            <a:sysClr val="window" lastClr="FFFFFF">
              <a:lumMod val="50000"/>
            </a:sysClr>
          </a:solidFill>
        </a:ln>
      </c:spPr>
    </c:backWall>
    <c:plotArea>
      <c:layout>
        <c:manualLayout>
          <c:layoutTarget val="inner"/>
          <c:xMode val="edge"/>
          <c:yMode val="edge"/>
          <c:x val="0.10591076115485561"/>
          <c:y val="5.1111111111111114E-2"/>
          <c:w val="0.75415102847826865"/>
          <c:h val="0.8180177761870675"/>
        </c:manualLayout>
      </c:layout>
      <c:bar3DChart>
        <c:barDir val="col"/>
        <c:grouping val="clustered"/>
        <c:ser>
          <c:idx val="0"/>
          <c:order val="0"/>
          <c:tx>
            <c:strRef>
              <c:f>Sheet1!$B$1</c:f>
              <c:strCache>
                <c:ptCount val="1"/>
                <c:pt idx="0">
                  <c:v>PM10</c:v>
                </c:pt>
              </c:strCache>
            </c:strRef>
          </c:tx>
          <c:spPr>
            <a:scene3d>
              <a:camera prst="orthographicFront"/>
              <a:lightRig rig="threePt" dir="t"/>
            </a:scene3d>
            <a:sp3d>
              <a:bevelT/>
            </a:sp3d>
          </c:spPr>
          <c:cat>
            <c:strRef>
              <c:f>Sheet1!$A$2:$A$6</c:f>
              <c:strCache>
                <c:ptCount val="5"/>
                <c:pt idx="0">
                  <c:v>Energie </c:v>
                </c:pt>
                <c:pt idx="1">
                  <c:v>Transporturi </c:v>
                </c:pt>
                <c:pt idx="2">
                  <c:v>Procese industriale</c:v>
                </c:pt>
                <c:pt idx="3">
                  <c:v>Agricultura  </c:v>
                </c:pt>
                <c:pt idx="4">
                  <c:v>Deseuri </c:v>
                </c:pt>
              </c:strCache>
            </c:strRef>
          </c:cat>
          <c:val>
            <c:numRef>
              <c:f>Sheet1!$B$2:$B$6</c:f>
              <c:numCache>
                <c:formatCode>0.00</c:formatCode>
                <c:ptCount val="5"/>
                <c:pt idx="0">
                  <c:v>92.691400000000002</c:v>
                </c:pt>
                <c:pt idx="1">
                  <c:v>2.1360999999999977</c:v>
                </c:pt>
                <c:pt idx="2">
                  <c:v>1.3527</c:v>
                </c:pt>
                <c:pt idx="3">
                  <c:v>3.8077999999999999</c:v>
                </c:pt>
                <c:pt idx="4">
                  <c:v>1.2E-2</c:v>
                </c:pt>
              </c:numCache>
            </c:numRef>
          </c:val>
        </c:ser>
        <c:ser>
          <c:idx val="1"/>
          <c:order val="1"/>
          <c:tx>
            <c:strRef>
              <c:f>Sheet1!$C$1</c:f>
              <c:strCache>
                <c:ptCount val="1"/>
                <c:pt idx="0">
                  <c:v>PM2,5</c:v>
                </c:pt>
              </c:strCache>
            </c:strRef>
          </c:tx>
          <c:spPr>
            <a:scene3d>
              <a:camera prst="orthographicFront"/>
              <a:lightRig rig="threePt" dir="t"/>
            </a:scene3d>
            <a:sp3d>
              <a:bevelT/>
            </a:sp3d>
          </c:spPr>
          <c:cat>
            <c:strRef>
              <c:f>Sheet1!$A$2:$A$6</c:f>
              <c:strCache>
                <c:ptCount val="5"/>
                <c:pt idx="0">
                  <c:v>Energie </c:v>
                </c:pt>
                <c:pt idx="1">
                  <c:v>Transporturi </c:v>
                </c:pt>
                <c:pt idx="2">
                  <c:v>Procese industriale</c:v>
                </c:pt>
                <c:pt idx="3">
                  <c:v>Agricultura  </c:v>
                </c:pt>
                <c:pt idx="4">
                  <c:v>Deseuri </c:v>
                </c:pt>
              </c:strCache>
            </c:strRef>
          </c:cat>
          <c:val>
            <c:numRef>
              <c:f>Sheet1!$C$2:$C$6</c:f>
              <c:numCache>
                <c:formatCode>0.00</c:formatCode>
                <c:ptCount val="5"/>
                <c:pt idx="0">
                  <c:v>97.030799999999999</c:v>
                </c:pt>
                <c:pt idx="1">
                  <c:v>1.9675</c:v>
                </c:pt>
                <c:pt idx="2" formatCode="0.000">
                  <c:v>0.10170000000000007</c:v>
                </c:pt>
                <c:pt idx="3">
                  <c:v>0.88890000000000002</c:v>
                </c:pt>
                <c:pt idx="4">
                  <c:v>1.0999999999999998E-2</c:v>
                </c:pt>
              </c:numCache>
            </c:numRef>
          </c:val>
        </c:ser>
        <c:gapWidth val="296"/>
        <c:shape val="box"/>
        <c:axId val="168219776"/>
        <c:axId val="168221312"/>
        <c:axId val="0"/>
      </c:bar3DChart>
      <c:catAx>
        <c:axId val="168219776"/>
        <c:scaling>
          <c:orientation val="minMax"/>
        </c:scaling>
        <c:axPos val="b"/>
        <c:tickLblPos val="nextTo"/>
        <c:txPr>
          <a:bodyPr rot="0"/>
          <a:lstStyle/>
          <a:p>
            <a:pPr>
              <a:defRPr lang="en-US" sz="900">
                <a:latin typeface="Arial" pitchFamily="34" charset="0"/>
                <a:cs typeface="Arial" pitchFamily="34" charset="0"/>
              </a:defRPr>
            </a:pPr>
            <a:endParaRPr lang="ro-RO"/>
          </a:p>
        </c:txPr>
        <c:crossAx val="168221312"/>
        <c:crosses val="autoZero"/>
        <c:auto val="1"/>
        <c:lblAlgn val="ctr"/>
        <c:lblOffset val="100"/>
      </c:catAx>
      <c:valAx>
        <c:axId val="168221312"/>
        <c:scaling>
          <c:orientation val="minMax"/>
          <c:max val="100"/>
        </c:scaling>
        <c:axPos val="l"/>
        <c:majorGridlines/>
        <c:title>
          <c:tx>
            <c:rich>
              <a:bodyPr rot="0" vert="horz"/>
              <a:lstStyle/>
              <a:p>
                <a:pPr>
                  <a:defRPr lang="en-US"/>
                </a:pPr>
                <a:r>
                  <a:rPr lang="ro-RO" sz="900">
                    <a:latin typeface="Arial" pitchFamily="34" charset="0"/>
                    <a:cs typeface="Arial" pitchFamily="34" charset="0"/>
                  </a:rPr>
                  <a:t>%</a:t>
                </a:r>
                <a:endParaRPr lang="en-US" sz="900">
                  <a:latin typeface="Arial" pitchFamily="34" charset="0"/>
                  <a:cs typeface="Arial" pitchFamily="34" charset="0"/>
                </a:endParaRPr>
              </a:p>
            </c:rich>
          </c:tx>
          <c:layout>
            <c:manualLayout>
              <c:xMode val="edge"/>
              <c:yMode val="edge"/>
              <c:x val="0"/>
              <c:y val="0.11810155559328619"/>
            </c:manualLayout>
          </c:layout>
        </c:title>
        <c:numFmt formatCode="0" sourceLinked="0"/>
        <c:tickLblPos val="nextTo"/>
        <c:txPr>
          <a:bodyPr/>
          <a:lstStyle/>
          <a:p>
            <a:pPr>
              <a:defRPr lang="en-US" sz="1000">
                <a:latin typeface="Arial" pitchFamily="34" charset="0"/>
                <a:cs typeface="Arial" pitchFamily="34" charset="0"/>
              </a:defRPr>
            </a:pPr>
            <a:endParaRPr lang="ro-RO"/>
          </a:p>
        </c:txPr>
        <c:crossAx val="168219776"/>
        <c:crosses val="autoZero"/>
        <c:crossBetween val="between"/>
        <c:majorUnit val="20"/>
      </c:valAx>
    </c:plotArea>
    <c:legend>
      <c:legendPos val="r"/>
      <c:layout>
        <c:manualLayout>
          <c:xMode val="edge"/>
          <c:yMode val="edge"/>
          <c:x val="0.85379378097961234"/>
          <c:y val="0.17321475618110632"/>
          <c:w val="9.5866992107597901E-2"/>
          <c:h val="0.29952164430150457"/>
        </c:manualLayout>
      </c:layout>
      <c:txPr>
        <a:bodyPr/>
        <a:lstStyle/>
        <a:p>
          <a:pPr>
            <a:defRPr lang="ro-RO" sz="900">
              <a:latin typeface="Arial" pitchFamily="34" charset="0"/>
              <a:cs typeface="Arial" pitchFamily="34" charset="0"/>
            </a:defRPr>
          </a:pPr>
          <a:endParaRPr lang="ro-RO"/>
        </a:p>
      </c:txPr>
    </c:legend>
    <c:plotVisOnly val="1"/>
  </c:chart>
  <c:spPr>
    <a:ln>
      <a:noFill/>
    </a:ln>
  </c:sp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lrMapOvr bg1="lt1" tx1="dk1" bg2="lt2" tx2="dk2" accent1="accent1" accent2="accent2" accent3="accent3" accent4="accent4" accent5="accent5" accent6="accent6" hlink="hlink" folHlink="folHlink"/>
  <c:chart>
    <c:view3D>
      <c:rAngAx val="1"/>
    </c:view3D>
    <c:sideWall>
      <c:spPr>
        <a:ln>
          <a:solidFill>
            <a:schemeClr val="bg1">
              <a:lumMod val="50000"/>
            </a:schemeClr>
          </a:solidFill>
        </a:ln>
      </c:spPr>
    </c:sideWall>
    <c:backWall>
      <c:spPr>
        <a:ln>
          <a:solidFill>
            <a:schemeClr val="bg1">
              <a:lumMod val="50000"/>
            </a:schemeClr>
          </a:solidFill>
        </a:ln>
      </c:spPr>
    </c:backWall>
    <c:plotArea>
      <c:layout>
        <c:manualLayout>
          <c:layoutTarget val="inner"/>
          <c:xMode val="edge"/>
          <c:yMode val="edge"/>
          <c:x val="6.0553784156197513E-2"/>
          <c:y val="4.9462365591397862E-2"/>
          <c:w val="0.83881730737623728"/>
          <c:h val="0.69577165354330739"/>
        </c:manualLayout>
      </c:layout>
      <c:bar3DChart>
        <c:barDir val="col"/>
        <c:grouping val="clustered"/>
        <c:ser>
          <c:idx val="0"/>
          <c:order val="0"/>
          <c:tx>
            <c:strRef>
              <c:f>Sheet1!$B$1</c:f>
              <c:strCache>
                <c:ptCount val="1"/>
                <c:pt idx="0">
                  <c:v>Cd</c:v>
                </c:pt>
              </c:strCache>
            </c:strRef>
          </c:tx>
          <c:spPr>
            <a:scene3d>
              <a:camera prst="orthographicFront"/>
              <a:lightRig rig="threePt" dir="t"/>
            </a:scene3d>
            <a:sp3d>
              <a:bevelT/>
            </a:sp3d>
          </c:spPr>
          <c:cat>
            <c:strRef>
              <c:f>Sheet1!$A$2:$A$6</c:f>
              <c:strCache>
                <c:ptCount val="5"/>
                <c:pt idx="0">
                  <c:v>Energie</c:v>
                </c:pt>
                <c:pt idx="1">
                  <c:v>Transporturi</c:v>
                </c:pt>
                <c:pt idx="2">
                  <c:v>Procese industriale</c:v>
                </c:pt>
                <c:pt idx="3">
                  <c:v>Agricultura</c:v>
                </c:pt>
                <c:pt idx="4">
                  <c:v>Deșeuri</c:v>
                </c:pt>
              </c:strCache>
            </c:strRef>
          </c:cat>
          <c:val>
            <c:numRef>
              <c:f>Sheet1!$B$2:$B$6</c:f>
              <c:numCache>
                <c:formatCode>0.00</c:formatCode>
                <c:ptCount val="5"/>
                <c:pt idx="0">
                  <c:v>98.291452670110715</c:v>
                </c:pt>
                <c:pt idx="1">
                  <c:v>1.4560434444341126</c:v>
                </c:pt>
                <c:pt idx="2" formatCode="0.000">
                  <c:v>3.8160917756468453E-2</c:v>
                </c:pt>
                <c:pt idx="4">
                  <c:v>0.21434296769877989</c:v>
                </c:pt>
              </c:numCache>
            </c:numRef>
          </c:val>
        </c:ser>
        <c:ser>
          <c:idx val="1"/>
          <c:order val="1"/>
          <c:tx>
            <c:strRef>
              <c:f>Sheet1!$C$1</c:f>
              <c:strCache>
                <c:ptCount val="1"/>
                <c:pt idx="0">
                  <c:v>Pb</c:v>
                </c:pt>
              </c:strCache>
            </c:strRef>
          </c:tx>
          <c:spPr>
            <a:scene3d>
              <a:camera prst="orthographicFront"/>
              <a:lightRig rig="threePt" dir="t"/>
            </a:scene3d>
            <a:sp3d>
              <a:bevelT/>
            </a:sp3d>
          </c:spPr>
          <c:cat>
            <c:strRef>
              <c:f>Sheet1!$A$2:$A$6</c:f>
              <c:strCache>
                <c:ptCount val="5"/>
                <c:pt idx="0">
                  <c:v>Energie</c:v>
                </c:pt>
                <c:pt idx="1">
                  <c:v>Transporturi</c:v>
                </c:pt>
                <c:pt idx="2">
                  <c:v>Procese industriale</c:v>
                </c:pt>
                <c:pt idx="3">
                  <c:v>Agricultura</c:v>
                </c:pt>
                <c:pt idx="4">
                  <c:v>Deșeuri</c:v>
                </c:pt>
              </c:strCache>
            </c:strRef>
          </c:cat>
          <c:val>
            <c:numRef>
              <c:f>Sheet1!$C$2:$C$6</c:f>
              <c:numCache>
                <c:formatCode>0.00</c:formatCode>
                <c:ptCount val="5"/>
                <c:pt idx="0">
                  <c:v>77.88363067376774</c:v>
                </c:pt>
                <c:pt idx="1">
                  <c:v>21.430332613474686</c:v>
                </c:pt>
                <c:pt idx="2">
                  <c:v>0.33063145635965202</c:v>
                </c:pt>
                <c:pt idx="4">
                  <c:v>0.3554052563979358</c:v>
                </c:pt>
              </c:numCache>
            </c:numRef>
          </c:val>
        </c:ser>
        <c:ser>
          <c:idx val="2"/>
          <c:order val="2"/>
          <c:tx>
            <c:strRef>
              <c:f>Sheet1!$D$1</c:f>
              <c:strCache>
                <c:ptCount val="1"/>
                <c:pt idx="0">
                  <c:v>Hg</c:v>
                </c:pt>
              </c:strCache>
            </c:strRef>
          </c:tx>
          <c:spPr>
            <a:scene3d>
              <a:camera prst="orthographicFront"/>
              <a:lightRig rig="threePt" dir="t"/>
            </a:scene3d>
            <a:sp3d>
              <a:bevelT/>
            </a:sp3d>
          </c:spPr>
          <c:cat>
            <c:strRef>
              <c:f>Sheet1!$A$2:$A$6</c:f>
              <c:strCache>
                <c:ptCount val="5"/>
                <c:pt idx="0">
                  <c:v>Energie</c:v>
                </c:pt>
                <c:pt idx="1">
                  <c:v>Transporturi</c:v>
                </c:pt>
                <c:pt idx="2">
                  <c:v>Procese industriale</c:v>
                </c:pt>
                <c:pt idx="3">
                  <c:v>Agricultura</c:v>
                </c:pt>
                <c:pt idx="4">
                  <c:v>Deșeuri</c:v>
                </c:pt>
              </c:strCache>
            </c:strRef>
          </c:cat>
          <c:val>
            <c:numRef>
              <c:f>Sheet1!$D$2:$D$6</c:f>
              <c:numCache>
                <c:formatCode>General</c:formatCode>
                <c:ptCount val="5"/>
                <c:pt idx="0" formatCode="0.00">
                  <c:v>82.1042673408204</c:v>
                </c:pt>
                <c:pt idx="4" formatCode="0.00">
                  <c:v>17.895732659179572</c:v>
                </c:pt>
              </c:numCache>
            </c:numRef>
          </c:val>
        </c:ser>
        <c:gapWidth val="281"/>
        <c:shape val="box"/>
        <c:axId val="172056960"/>
        <c:axId val="172058496"/>
        <c:axId val="0"/>
      </c:bar3DChart>
      <c:catAx>
        <c:axId val="172056960"/>
        <c:scaling>
          <c:orientation val="minMax"/>
        </c:scaling>
        <c:axPos val="b"/>
        <c:tickLblPos val="nextTo"/>
        <c:txPr>
          <a:bodyPr anchor="t" anchorCtr="0"/>
          <a:lstStyle/>
          <a:p>
            <a:pPr>
              <a:defRPr lang="en-US"/>
            </a:pPr>
            <a:endParaRPr lang="ro-RO"/>
          </a:p>
        </c:txPr>
        <c:crossAx val="172058496"/>
        <c:crosses val="autoZero"/>
        <c:auto val="1"/>
        <c:lblAlgn val="ctr"/>
        <c:lblOffset val="100"/>
      </c:catAx>
      <c:valAx>
        <c:axId val="172058496"/>
        <c:scaling>
          <c:orientation val="minMax"/>
        </c:scaling>
        <c:axPos val="l"/>
        <c:majorGridlines/>
        <c:title>
          <c:tx>
            <c:rich>
              <a:bodyPr rot="0" vert="horz"/>
              <a:lstStyle/>
              <a:p>
                <a:pPr>
                  <a:defRPr lang="en-US"/>
                </a:pPr>
                <a:r>
                  <a:rPr lang="ro-RO"/>
                  <a:t>%</a:t>
                </a:r>
              </a:p>
              <a:p>
                <a:pPr>
                  <a:defRPr lang="en-US"/>
                </a:pPr>
                <a:endParaRPr lang="en-US"/>
              </a:p>
            </c:rich>
          </c:tx>
          <c:layout>
            <c:manualLayout>
              <c:xMode val="edge"/>
              <c:yMode val="edge"/>
              <c:x val="1.9090246010797761E-3"/>
              <c:y val="0.17007026295626093"/>
            </c:manualLayout>
          </c:layout>
        </c:title>
        <c:numFmt formatCode="0" sourceLinked="0"/>
        <c:tickLblPos val="nextTo"/>
        <c:txPr>
          <a:bodyPr/>
          <a:lstStyle/>
          <a:p>
            <a:pPr>
              <a:defRPr lang="en-US"/>
            </a:pPr>
            <a:endParaRPr lang="ro-RO"/>
          </a:p>
        </c:txPr>
        <c:crossAx val="172056960"/>
        <c:crosses val="autoZero"/>
        <c:crossBetween val="between"/>
        <c:majorUnit val="20"/>
      </c:valAx>
    </c:plotArea>
    <c:legend>
      <c:legendPos val="r"/>
      <c:layout>
        <c:manualLayout>
          <c:xMode val="edge"/>
          <c:yMode val="edge"/>
          <c:x val="0.87943513096616088"/>
          <c:y val="0.21849877748928939"/>
          <c:w val="6.5073858321021388E-2"/>
          <c:h val="0.52101460599867766"/>
        </c:manualLayout>
      </c:layout>
      <c:txPr>
        <a:bodyPr/>
        <a:lstStyle/>
        <a:p>
          <a:pPr>
            <a:defRPr lang="en-US"/>
          </a:pPr>
          <a:endParaRPr lang="ro-RO"/>
        </a:p>
      </c:txPr>
    </c:legend>
    <c:plotVisOnly val="1"/>
  </c:chart>
  <c:spPr>
    <a:ln>
      <a:solidFill>
        <a:schemeClr val="bg1"/>
      </a:solidFill>
    </a:ln>
  </c:spPr>
  <c:txPr>
    <a:bodyPr/>
    <a:lstStyle/>
    <a:p>
      <a:pPr>
        <a:defRPr>
          <a:latin typeface="Arial" pitchFamily="34" charset="0"/>
          <a:cs typeface="Arial" pitchFamily="34" charset="0"/>
        </a:defRPr>
      </a:pPr>
      <a:endParaRPr lang="ro-RO"/>
    </a:p>
  </c:tx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lrMapOvr bg1="lt1" tx1="dk1" bg2="lt2" tx2="dk2" accent1="accent1" accent2="accent2" accent3="accent3" accent4="accent4" accent5="accent5" accent6="accent6" hlink="hlink" folHlink="folHlink"/>
  <c:chart>
    <c:view3D>
      <c:rAngAx val="1"/>
    </c:view3D>
    <c:sideWall>
      <c:spPr>
        <a:ln>
          <a:solidFill>
            <a:schemeClr val="bg1">
              <a:lumMod val="50000"/>
            </a:schemeClr>
          </a:solidFill>
        </a:ln>
      </c:spPr>
    </c:sideWall>
    <c:backWall>
      <c:spPr>
        <a:ln>
          <a:solidFill>
            <a:schemeClr val="bg1">
              <a:lumMod val="50000"/>
            </a:schemeClr>
          </a:solidFill>
        </a:ln>
      </c:spPr>
    </c:backWall>
    <c:plotArea>
      <c:layout>
        <c:manualLayout>
          <c:layoutTarget val="inner"/>
          <c:xMode val="edge"/>
          <c:yMode val="edge"/>
          <c:x val="5.7909040691068066E-2"/>
          <c:y val="6.9324937104494194E-2"/>
          <c:w val="0.78904072511420342"/>
          <c:h val="0.69154173910079431"/>
        </c:manualLayout>
      </c:layout>
      <c:bar3DChart>
        <c:barDir val="col"/>
        <c:grouping val="clustered"/>
        <c:ser>
          <c:idx val="0"/>
          <c:order val="0"/>
          <c:tx>
            <c:strRef>
              <c:f>Sheet1!$B$1</c:f>
              <c:strCache>
                <c:ptCount val="1"/>
                <c:pt idx="0">
                  <c:v>PAH</c:v>
                </c:pt>
              </c:strCache>
            </c:strRef>
          </c:tx>
          <c:spPr>
            <a:scene3d>
              <a:camera prst="orthographicFront"/>
              <a:lightRig rig="threePt" dir="t"/>
            </a:scene3d>
            <a:sp3d>
              <a:bevelT/>
            </a:sp3d>
          </c:spPr>
          <c:cat>
            <c:strRef>
              <c:f>Sheet1!$A$2:$A$6</c:f>
              <c:strCache>
                <c:ptCount val="5"/>
                <c:pt idx="0">
                  <c:v>Energie</c:v>
                </c:pt>
                <c:pt idx="1">
                  <c:v>Transporturi</c:v>
                </c:pt>
                <c:pt idx="2">
                  <c:v>Procese industriale</c:v>
                </c:pt>
                <c:pt idx="3">
                  <c:v>Agricultura</c:v>
                </c:pt>
                <c:pt idx="4">
                  <c:v>Deșeuri</c:v>
                </c:pt>
              </c:strCache>
            </c:strRef>
          </c:cat>
          <c:val>
            <c:numRef>
              <c:f>Sheet1!$B$2:$B$6</c:f>
              <c:numCache>
                <c:formatCode>0.000</c:formatCode>
                <c:ptCount val="5"/>
                <c:pt idx="0">
                  <c:v>99.983000000000004</c:v>
                </c:pt>
                <c:pt idx="1">
                  <c:v>1.6000000000000018E-2</c:v>
                </c:pt>
                <c:pt idx="4" formatCode="0.0000">
                  <c:v>1.0000000000000011E-3</c:v>
                </c:pt>
              </c:numCache>
            </c:numRef>
          </c:val>
        </c:ser>
        <c:ser>
          <c:idx val="1"/>
          <c:order val="1"/>
          <c:tx>
            <c:strRef>
              <c:f>Sheet1!$C$1</c:f>
              <c:strCache>
                <c:ptCount val="1"/>
                <c:pt idx="0">
                  <c:v>PCDD/PCDF</c:v>
                </c:pt>
              </c:strCache>
            </c:strRef>
          </c:tx>
          <c:spPr>
            <a:scene3d>
              <a:camera prst="orthographicFront"/>
              <a:lightRig rig="threePt" dir="t"/>
            </a:scene3d>
            <a:sp3d>
              <a:bevelT/>
            </a:sp3d>
          </c:spPr>
          <c:cat>
            <c:strRef>
              <c:f>Sheet1!$A$2:$A$6</c:f>
              <c:strCache>
                <c:ptCount val="5"/>
                <c:pt idx="0">
                  <c:v>Energie</c:v>
                </c:pt>
                <c:pt idx="1">
                  <c:v>Transporturi</c:v>
                </c:pt>
                <c:pt idx="2">
                  <c:v>Procese industriale</c:v>
                </c:pt>
                <c:pt idx="3">
                  <c:v>Agricultura</c:v>
                </c:pt>
                <c:pt idx="4">
                  <c:v>Deșeuri</c:v>
                </c:pt>
              </c:strCache>
            </c:strRef>
          </c:cat>
          <c:val>
            <c:numRef>
              <c:f>Sheet1!$C$2:$C$6</c:f>
              <c:numCache>
                <c:formatCode>General</c:formatCode>
                <c:ptCount val="5"/>
                <c:pt idx="0" formatCode="0.000">
                  <c:v>99.839100000000002</c:v>
                </c:pt>
                <c:pt idx="4" formatCode="0.000">
                  <c:v>0.16089999999999999</c:v>
                </c:pt>
              </c:numCache>
            </c:numRef>
          </c:val>
        </c:ser>
        <c:ser>
          <c:idx val="2"/>
          <c:order val="2"/>
          <c:tx>
            <c:strRef>
              <c:f>Sheet1!$D$1</c:f>
              <c:strCache>
                <c:ptCount val="1"/>
                <c:pt idx="0">
                  <c:v>HCB</c:v>
                </c:pt>
              </c:strCache>
            </c:strRef>
          </c:tx>
          <c:spPr>
            <a:scene3d>
              <a:camera prst="orthographicFront"/>
              <a:lightRig rig="threePt" dir="t"/>
            </a:scene3d>
            <a:sp3d>
              <a:bevelT/>
            </a:sp3d>
          </c:spPr>
          <c:cat>
            <c:strRef>
              <c:f>Sheet1!$A$2:$A$6</c:f>
              <c:strCache>
                <c:ptCount val="5"/>
                <c:pt idx="0">
                  <c:v>Energie</c:v>
                </c:pt>
                <c:pt idx="1">
                  <c:v>Transporturi</c:v>
                </c:pt>
                <c:pt idx="2">
                  <c:v>Procese industriale</c:v>
                </c:pt>
                <c:pt idx="3">
                  <c:v>Agricultura</c:v>
                </c:pt>
                <c:pt idx="4">
                  <c:v>Deșeuri</c:v>
                </c:pt>
              </c:strCache>
            </c:strRef>
          </c:cat>
          <c:val>
            <c:numRef>
              <c:f>Sheet1!$D$2:$D$6</c:f>
              <c:numCache>
                <c:formatCode>General</c:formatCode>
                <c:ptCount val="5"/>
                <c:pt idx="0" formatCode="0.000">
                  <c:v>38.502700000000011</c:v>
                </c:pt>
                <c:pt idx="4" formatCode="0.000">
                  <c:v>61.497300000000003</c:v>
                </c:pt>
              </c:numCache>
            </c:numRef>
          </c:val>
        </c:ser>
        <c:ser>
          <c:idx val="3"/>
          <c:order val="3"/>
          <c:tx>
            <c:strRef>
              <c:f>Sheet1!$E$1</c:f>
              <c:strCache>
                <c:ptCount val="1"/>
                <c:pt idx="0">
                  <c:v>PCB</c:v>
                </c:pt>
              </c:strCache>
            </c:strRef>
          </c:tx>
          <c:spPr>
            <a:scene3d>
              <a:camera prst="orthographicFront"/>
              <a:lightRig rig="threePt" dir="t"/>
            </a:scene3d>
            <a:sp3d>
              <a:bevelT/>
            </a:sp3d>
          </c:spPr>
          <c:cat>
            <c:strRef>
              <c:f>Sheet1!$A$2:$A$6</c:f>
              <c:strCache>
                <c:ptCount val="5"/>
                <c:pt idx="0">
                  <c:v>Energie</c:v>
                </c:pt>
                <c:pt idx="1">
                  <c:v>Transporturi</c:v>
                </c:pt>
                <c:pt idx="2">
                  <c:v>Procese industriale</c:v>
                </c:pt>
                <c:pt idx="3">
                  <c:v>Agricultura</c:v>
                </c:pt>
                <c:pt idx="4">
                  <c:v>Deșeuri</c:v>
                </c:pt>
              </c:strCache>
            </c:strRef>
          </c:cat>
          <c:val>
            <c:numRef>
              <c:f>Sheet1!$E$2:$E$6</c:f>
              <c:numCache>
                <c:formatCode>General</c:formatCode>
                <c:ptCount val="5"/>
                <c:pt idx="0" formatCode="0.000">
                  <c:v>32.523400000000002</c:v>
                </c:pt>
                <c:pt idx="4" formatCode="0.000">
                  <c:v>67.476600000000005</c:v>
                </c:pt>
              </c:numCache>
            </c:numRef>
          </c:val>
        </c:ser>
        <c:gapWidth val="304"/>
        <c:shape val="box"/>
        <c:axId val="168882560"/>
        <c:axId val="168884096"/>
        <c:axId val="0"/>
      </c:bar3DChart>
      <c:catAx>
        <c:axId val="168882560"/>
        <c:scaling>
          <c:orientation val="minMax"/>
        </c:scaling>
        <c:axPos val="b"/>
        <c:tickLblPos val="nextTo"/>
        <c:txPr>
          <a:bodyPr/>
          <a:lstStyle/>
          <a:p>
            <a:pPr>
              <a:defRPr lang="ro-RO" sz="900">
                <a:latin typeface="Arial" pitchFamily="34" charset="0"/>
                <a:cs typeface="Arial" pitchFamily="34" charset="0"/>
              </a:defRPr>
            </a:pPr>
            <a:endParaRPr lang="ro-RO"/>
          </a:p>
        </c:txPr>
        <c:crossAx val="168884096"/>
        <c:crosses val="autoZero"/>
        <c:auto val="1"/>
        <c:lblAlgn val="ctr"/>
        <c:lblOffset val="100"/>
      </c:catAx>
      <c:valAx>
        <c:axId val="168884096"/>
        <c:scaling>
          <c:orientation val="minMax"/>
          <c:max val="100"/>
        </c:scaling>
        <c:axPos val="l"/>
        <c:majorGridlines/>
        <c:title>
          <c:tx>
            <c:rich>
              <a:bodyPr rot="0" vert="horz"/>
              <a:lstStyle/>
              <a:p>
                <a:pPr>
                  <a:defRPr lang="ro-RO"/>
                </a:pPr>
                <a:r>
                  <a:rPr lang="ro-RO"/>
                  <a:t>%</a:t>
                </a:r>
              </a:p>
              <a:p>
                <a:pPr>
                  <a:defRPr lang="ro-RO"/>
                </a:pPr>
                <a:endParaRPr lang="en-US"/>
              </a:p>
            </c:rich>
          </c:tx>
          <c:layout>
            <c:manualLayout>
              <c:xMode val="edge"/>
              <c:yMode val="edge"/>
              <c:x val="1.1454475660005285E-2"/>
              <c:y val="0.21388835167533901"/>
            </c:manualLayout>
          </c:layout>
        </c:title>
        <c:numFmt formatCode="0" sourceLinked="0"/>
        <c:tickLblPos val="nextTo"/>
        <c:txPr>
          <a:bodyPr/>
          <a:lstStyle/>
          <a:p>
            <a:pPr>
              <a:defRPr lang="ro-RO">
                <a:latin typeface="Arial" pitchFamily="34" charset="0"/>
                <a:cs typeface="Arial" pitchFamily="34" charset="0"/>
              </a:defRPr>
            </a:pPr>
            <a:endParaRPr lang="ro-RO"/>
          </a:p>
        </c:txPr>
        <c:crossAx val="168882560"/>
        <c:crosses val="autoZero"/>
        <c:crossBetween val="between"/>
        <c:majorUnit val="20"/>
        <c:minorUnit val="20"/>
      </c:valAx>
    </c:plotArea>
    <c:legend>
      <c:legendPos val="r"/>
      <c:legendEntry>
        <c:idx val="0"/>
        <c:txPr>
          <a:bodyPr/>
          <a:lstStyle/>
          <a:p>
            <a:pPr>
              <a:defRPr sz="900">
                <a:latin typeface="Arial" pitchFamily="34" charset="0"/>
                <a:cs typeface="Arial" pitchFamily="34" charset="0"/>
              </a:defRPr>
            </a:pPr>
            <a:endParaRPr lang="ro-RO"/>
          </a:p>
        </c:txPr>
      </c:legendEntry>
      <c:legendEntry>
        <c:idx val="1"/>
        <c:txPr>
          <a:bodyPr/>
          <a:lstStyle/>
          <a:p>
            <a:pPr>
              <a:defRPr sz="900">
                <a:latin typeface="Arial" pitchFamily="34" charset="0"/>
                <a:cs typeface="Arial" pitchFamily="34" charset="0"/>
              </a:defRPr>
            </a:pPr>
            <a:endParaRPr lang="ro-RO"/>
          </a:p>
        </c:txPr>
      </c:legendEntry>
      <c:legendEntry>
        <c:idx val="2"/>
        <c:txPr>
          <a:bodyPr/>
          <a:lstStyle/>
          <a:p>
            <a:pPr>
              <a:defRPr sz="900">
                <a:latin typeface="Arial" pitchFamily="34" charset="0"/>
                <a:cs typeface="Arial" pitchFamily="34" charset="0"/>
              </a:defRPr>
            </a:pPr>
            <a:endParaRPr lang="ro-RO"/>
          </a:p>
        </c:txPr>
      </c:legendEntry>
      <c:legendEntry>
        <c:idx val="3"/>
        <c:txPr>
          <a:bodyPr/>
          <a:lstStyle/>
          <a:p>
            <a:pPr>
              <a:defRPr sz="900">
                <a:latin typeface="Arial" pitchFamily="34" charset="0"/>
                <a:cs typeface="Arial" pitchFamily="34" charset="0"/>
              </a:defRPr>
            </a:pPr>
            <a:endParaRPr lang="ro-RO"/>
          </a:p>
        </c:txPr>
      </c:legendEntry>
      <c:layout>
        <c:manualLayout>
          <c:xMode val="edge"/>
          <c:yMode val="edge"/>
          <c:x val="0.82643255421631356"/>
          <c:y val="4.8907607479297684E-2"/>
          <c:w val="0.14604916089088499"/>
          <c:h val="0.65941199210563795"/>
        </c:manualLayout>
      </c:layout>
      <c:txPr>
        <a:bodyPr/>
        <a:lstStyle/>
        <a:p>
          <a:pPr>
            <a:defRPr lang="ro-RO"/>
          </a:pPr>
          <a:endParaRPr lang="ro-RO"/>
        </a:p>
      </c:txPr>
    </c:legend>
    <c:plotVisOnly val="1"/>
  </c:chart>
  <c:spPr>
    <a:ln>
      <a:solidFill>
        <a:schemeClr val="bg1"/>
      </a:solidFill>
    </a:ln>
  </c:sp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clrMapOvr bg1="lt1" tx1="dk1" bg2="lt2" tx2="dk2" accent1="accent1" accent2="accent2" accent3="accent3" accent4="accent4" accent5="accent5" accent6="accent6" hlink="hlink" folHlink="folHlink"/>
  <c:chart>
    <c:view3D>
      <c:rAngAx val="1"/>
    </c:view3D>
    <c:sideWall>
      <c:spPr>
        <a:noFill/>
        <a:ln>
          <a:solidFill>
            <a:schemeClr val="bg1">
              <a:lumMod val="50000"/>
            </a:schemeClr>
          </a:solidFill>
        </a:ln>
      </c:spPr>
    </c:sideWall>
    <c:backWall>
      <c:spPr>
        <a:noFill/>
        <a:ln>
          <a:solidFill>
            <a:schemeClr val="bg1">
              <a:lumMod val="50000"/>
            </a:schemeClr>
          </a:solidFill>
        </a:ln>
      </c:spPr>
    </c:backWall>
    <c:plotArea>
      <c:layout>
        <c:manualLayout>
          <c:layoutTarget val="inner"/>
          <c:xMode val="edge"/>
          <c:yMode val="edge"/>
          <c:x val="6.705450249780584E-2"/>
          <c:y val="4.3809523809523861E-2"/>
          <c:w val="0.83943579952664349"/>
          <c:h val="0.63381844510815466"/>
        </c:manualLayout>
      </c:layout>
      <c:bar3DChart>
        <c:barDir val="col"/>
        <c:grouping val="clustered"/>
        <c:ser>
          <c:idx val="0"/>
          <c:order val="0"/>
          <c:tx>
            <c:strRef>
              <c:f>Sheet1!$B$1</c:f>
              <c:strCache>
                <c:ptCount val="1"/>
                <c:pt idx="0">
                  <c:v>SOx</c:v>
                </c:pt>
              </c:strCache>
            </c:strRef>
          </c:tx>
          <c:spPr>
            <a:scene3d>
              <a:camera prst="orthographicFront"/>
              <a:lightRig rig="threePt" dir="t"/>
            </a:scene3d>
            <a:sp3d>
              <a:bevelT/>
            </a:sp3d>
          </c:spPr>
          <c:cat>
            <c:strRef>
              <c:f>Sheet1!$A$2:$A$6</c:f>
              <c:strCache>
                <c:ptCount val="5"/>
                <c:pt idx="0">
                  <c:v>Producţie en.electrică si termică</c:v>
                </c:pt>
                <c:pt idx="1">
                  <c:v>Arderi in industrii</c:v>
                </c:pt>
                <c:pt idx="2">
                  <c:v>Arderi in sectorul rezidential</c:v>
                </c:pt>
                <c:pt idx="3">
                  <c:v>Nerutiere şi alte motoare staţionare</c:v>
                </c:pt>
                <c:pt idx="4">
                  <c:v>Arderi in sect. comercial</c:v>
                </c:pt>
              </c:strCache>
            </c:strRef>
          </c:cat>
          <c:val>
            <c:numRef>
              <c:f>Sheet1!$B$2:$B$6</c:f>
              <c:numCache>
                <c:formatCode>0.00</c:formatCode>
                <c:ptCount val="5"/>
                <c:pt idx="0">
                  <c:v>11.732900000000001</c:v>
                </c:pt>
                <c:pt idx="1">
                  <c:v>32.54</c:v>
                </c:pt>
                <c:pt idx="2">
                  <c:v>54.868400000000001</c:v>
                </c:pt>
                <c:pt idx="4">
                  <c:v>0.85870000000000068</c:v>
                </c:pt>
              </c:numCache>
            </c:numRef>
          </c:val>
        </c:ser>
        <c:ser>
          <c:idx val="1"/>
          <c:order val="1"/>
          <c:tx>
            <c:strRef>
              <c:f>Sheet1!$C$1</c:f>
              <c:strCache>
                <c:ptCount val="1"/>
                <c:pt idx="0">
                  <c:v>NOx</c:v>
                </c:pt>
              </c:strCache>
            </c:strRef>
          </c:tx>
          <c:spPr>
            <a:scene3d>
              <a:camera prst="orthographicFront"/>
              <a:lightRig rig="threePt" dir="t"/>
            </a:scene3d>
            <a:sp3d>
              <a:bevelT/>
            </a:sp3d>
          </c:spPr>
          <c:cat>
            <c:strRef>
              <c:f>Sheet1!$A$2:$A$6</c:f>
              <c:strCache>
                <c:ptCount val="5"/>
                <c:pt idx="0">
                  <c:v>Producţie en.electrică si termică</c:v>
                </c:pt>
                <c:pt idx="1">
                  <c:v>Arderi in industrii</c:v>
                </c:pt>
                <c:pt idx="2">
                  <c:v>Arderi in sectorul rezidential</c:v>
                </c:pt>
                <c:pt idx="3">
                  <c:v>Nerutiere şi alte motoare staţionare</c:v>
                </c:pt>
                <c:pt idx="4">
                  <c:v>Arderi in sect. comercial</c:v>
                </c:pt>
              </c:strCache>
            </c:strRef>
          </c:cat>
          <c:val>
            <c:numRef>
              <c:f>Sheet1!$C$2:$C$6</c:f>
              <c:numCache>
                <c:formatCode>0.00</c:formatCode>
                <c:ptCount val="5"/>
                <c:pt idx="0">
                  <c:v>10.7928</c:v>
                </c:pt>
                <c:pt idx="1">
                  <c:v>36.116100000000003</c:v>
                </c:pt>
                <c:pt idx="2">
                  <c:v>39.303799999999995</c:v>
                </c:pt>
                <c:pt idx="3">
                  <c:v>9.8591000000000104</c:v>
                </c:pt>
                <c:pt idx="4">
                  <c:v>3.9281999999999999</c:v>
                </c:pt>
              </c:numCache>
            </c:numRef>
          </c:val>
        </c:ser>
        <c:ser>
          <c:idx val="2"/>
          <c:order val="2"/>
          <c:tx>
            <c:strRef>
              <c:f>Sheet1!$D$1</c:f>
              <c:strCache>
                <c:ptCount val="1"/>
                <c:pt idx="0">
                  <c:v>NH3</c:v>
                </c:pt>
              </c:strCache>
            </c:strRef>
          </c:tx>
          <c:spPr>
            <a:scene3d>
              <a:camera prst="orthographicFront"/>
              <a:lightRig rig="threePt" dir="t"/>
            </a:scene3d>
            <a:sp3d>
              <a:bevelT/>
            </a:sp3d>
          </c:spPr>
          <c:cat>
            <c:strRef>
              <c:f>Sheet1!$A$2:$A$6</c:f>
              <c:strCache>
                <c:ptCount val="5"/>
                <c:pt idx="0">
                  <c:v>Producţie en.electrică si termică</c:v>
                </c:pt>
                <c:pt idx="1">
                  <c:v>Arderi in industrii</c:v>
                </c:pt>
                <c:pt idx="2">
                  <c:v>Arderi in sectorul rezidential</c:v>
                </c:pt>
                <c:pt idx="3">
                  <c:v>Nerutiere şi alte motoare staţionare</c:v>
                </c:pt>
                <c:pt idx="4">
                  <c:v>Arderi in sect. comercial</c:v>
                </c:pt>
              </c:strCache>
            </c:strRef>
          </c:cat>
          <c:val>
            <c:numRef>
              <c:f>Sheet1!$D$2:$D$6</c:f>
              <c:numCache>
                <c:formatCode>0.00</c:formatCode>
                <c:ptCount val="5"/>
                <c:pt idx="1">
                  <c:v>13.365700000000009</c:v>
                </c:pt>
                <c:pt idx="2">
                  <c:v>86.596500000000006</c:v>
                </c:pt>
                <c:pt idx="3">
                  <c:v>5.5000000000000014E-3</c:v>
                </c:pt>
                <c:pt idx="4">
                  <c:v>3.2300000000000002E-2</c:v>
                </c:pt>
              </c:numCache>
            </c:numRef>
          </c:val>
        </c:ser>
        <c:gapWidth val="342"/>
        <c:shape val="box"/>
        <c:axId val="172201088"/>
        <c:axId val="172202624"/>
        <c:axId val="0"/>
      </c:bar3DChart>
      <c:catAx>
        <c:axId val="172201088"/>
        <c:scaling>
          <c:orientation val="minMax"/>
        </c:scaling>
        <c:axPos val="b"/>
        <c:tickLblPos val="nextTo"/>
        <c:txPr>
          <a:bodyPr/>
          <a:lstStyle/>
          <a:p>
            <a:pPr>
              <a:defRPr lang="en-US"/>
            </a:pPr>
            <a:endParaRPr lang="ro-RO"/>
          </a:p>
        </c:txPr>
        <c:crossAx val="172202624"/>
        <c:crosses val="autoZero"/>
        <c:auto val="1"/>
        <c:lblAlgn val="ctr"/>
        <c:lblOffset val="100"/>
      </c:catAx>
      <c:valAx>
        <c:axId val="172202624"/>
        <c:scaling>
          <c:orientation val="minMax"/>
          <c:max val="100"/>
        </c:scaling>
        <c:axPos val="l"/>
        <c:majorGridlines/>
        <c:title>
          <c:tx>
            <c:rich>
              <a:bodyPr rot="0" vert="horz"/>
              <a:lstStyle/>
              <a:p>
                <a:pPr>
                  <a:defRPr lang="en-US"/>
                </a:pPr>
                <a:r>
                  <a:rPr lang="ro-RO"/>
                  <a:t>%</a:t>
                </a:r>
                <a:endParaRPr lang="en-US"/>
              </a:p>
            </c:rich>
          </c:tx>
          <c:layout>
            <c:manualLayout>
              <c:xMode val="edge"/>
              <c:yMode val="edge"/>
              <c:x val="2.1408171839058941E-2"/>
              <c:y val="0.15819962504686921"/>
            </c:manualLayout>
          </c:layout>
        </c:title>
        <c:numFmt formatCode="0" sourceLinked="0"/>
        <c:tickLblPos val="nextTo"/>
        <c:txPr>
          <a:bodyPr/>
          <a:lstStyle/>
          <a:p>
            <a:pPr>
              <a:defRPr lang="en-US"/>
            </a:pPr>
            <a:endParaRPr lang="ro-RO"/>
          </a:p>
        </c:txPr>
        <c:crossAx val="172201088"/>
        <c:crosses val="autoZero"/>
        <c:crossBetween val="between"/>
        <c:majorUnit val="20"/>
      </c:valAx>
    </c:plotArea>
    <c:legend>
      <c:legendPos val="r"/>
      <c:layout>
        <c:manualLayout>
          <c:xMode val="edge"/>
          <c:yMode val="edge"/>
          <c:x val="0.87077781943926014"/>
          <c:y val="0.21463176562389161"/>
          <c:w val="7.6191189255067363E-2"/>
          <c:h val="0.4490323249067551"/>
        </c:manualLayout>
      </c:layout>
      <c:txPr>
        <a:bodyPr/>
        <a:lstStyle/>
        <a:p>
          <a:pPr>
            <a:defRPr lang="en-US"/>
          </a:pPr>
          <a:endParaRPr lang="ro-RO"/>
        </a:p>
      </c:txPr>
    </c:legend>
    <c:plotVisOnly val="1"/>
  </c:chart>
  <c:spPr>
    <a:ln>
      <a:noFill/>
    </a:ln>
  </c:spPr>
  <c:txPr>
    <a:bodyPr/>
    <a:lstStyle/>
    <a:p>
      <a:pPr>
        <a:defRPr>
          <a:latin typeface="Arial" pitchFamily="34" charset="0"/>
          <a:cs typeface="Arial" pitchFamily="34" charset="0"/>
        </a:defRPr>
      </a:pPr>
      <a:endParaRPr lang="ro-RO"/>
    </a:p>
  </c:txPr>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o-RO"/>
  <c:clrMapOvr bg1="lt1" tx1="dk1" bg2="lt2" tx2="dk2" accent1="accent1" accent2="accent2" accent3="accent3" accent4="accent4" accent5="accent5" accent6="accent6" hlink="hlink" folHlink="folHlink"/>
  <c:chart>
    <c:view3D>
      <c:depthPercent val="100"/>
      <c:rAngAx val="1"/>
    </c:view3D>
    <c:sideWall>
      <c:spPr>
        <a:ln>
          <a:solidFill>
            <a:sysClr val="window" lastClr="FFFFFF">
              <a:lumMod val="65000"/>
            </a:sysClr>
          </a:solidFill>
        </a:ln>
      </c:spPr>
    </c:sideWall>
    <c:backWall>
      <c:spPr>
        <a:ln>
          <a:solidFill>
            <a:sysClr val="window" lastClr="FFFFFF">
              <a:lumMod val="65000"/>
            </a:sysClr>
          </a:solidFill>
        </a:ln>
      </c:spPr>
    </c:backWall>
    <c:plotArea>
      <c:layout>
        <c:manualLayout>
          <c:layoutTarget val="inner"/>
          <c:xMode val="edge"/>
          <c:yMode val="edge"/>
          <c:x val="5.5543445871754367E-2"/>
          <c:y val="4.9145322351947393E-2"/>
          <c:w val="0.83282330832906271"/>
          <c:h val="0.55901606502085777"/>
        </c:manualLayout>
      </c:layout>
      <c:bar3DChart>
        <c:barDir val="col"/>
        <c:grouping val="clustered"/>
        <c:ser>
          <c:idx val="0"/>
          <c:order val="0"/>
          <c:tx>
            <c:strRef>
              <c:f>Sheet1!$B$1</c:f>
              <c:strCache>
                <c:ptCount val="1"/>
                <c:pt idx="0">
                  <c:v>CO</c:v>
                </c:pt>
              </c:strCache>
            </c:strRef>
          </c:tx>
          <c:spPr>
            <a:solidFill>
              <a:srgbClr val="92D050"/>
            </a:solidFill>
            <a:scene3d>
              <a:camera prst="orthographicFront"/>
              <a:lightRig rig="threePt" dir="t"/>
            </a:scene3d>
            <a:sp3d>
              <a:bevelT/>
            </a:sp3d>
          </c:spPr>
          <c:cat>
            <c:strRef>
              <c:f>Sheet1!$A$2:$A$7</c:f>
              <c:strCache>
                <c:ptCount val="6"/>
                <c:pt idx="0">
                  <c:v>Producţie en.electrică si termică</c:v>
                </c:pt>
                <c:pt idx="1">
                  <c:v>Arderi in industrii</c:v>
                </c:pt>
                <c:pt idx="2">
                  <c:v>Arderi in sect. rezidential</c:v>
                </c:pt>
                <c:pt idx="3">
                  <c:v>Nerutiere şi alte motoare staţionare</c:v>
                </c:pt>
                <c:pt idx="4">
                  <c:v>Arderi in sect. comercial</c:v>
                </c:pt>
                <c:pt idx="5">
                  <c:v>Distrib. pr. petr., explorare gaze nat.</c:v>
                </c:pt>
              </c:strCache>
            </c:strRef>
          </c:cat>
          <c:val>
            <c:numRef>
              <c:f>Sheet1!$B$2:$B$7</c:f>
              <c:numCache>
                <c:formatCode>0.00</c:formatCode>
                <c:ptCount val="6"/>
                <c:pt idx="0">
                  <c:v>0.49268926191149737</c:v>
                </c:pt>
                <c:pt idx="1">
                  <c:v>2.8165939172055827</c:v>
                </c:pt>
                <c:pt idx="2">
                  <c:v>96.511246039107817</c:v>
                </c:pt>
                <c:pt idx="3">
                  <c:v>0.12028143725585742</c:v>
                </c:pt>
                <c:pt idx="4">
                  <c:v>5.9189344519322028E-2</c:v>
                </c:pt>
              </c:numCache>
            </c:numRef>
          </c:val>
        </c:ser>
        <c:ser>
          <c:idx val="1"/>
          <c:order val="1"/>
          <c:tx>
            <c:strRef>
              <c:f>Sheet1!$C$1</c:f>
              <c:strCache>
                <c:ptCount val="1"/>
                <c:pt idx="0">
                  <c:v>NOx</c:v>
                </c:pt>
              </c:strCache>
            </c:strRef>
          </c:tx>
          <c:spPr>
            <a:solidFill>
              <a:srgbClr val="C00000"/>
            </a:solidFill>
            <a:ln>
              <a:noFill/>
            </a:ln>
            <a:scene3d>
              <a:camera prst="orthographicFront"/>
              <a:lightRig rig="threePt" dir="t"/>
            </a:scene3d>
            <a:sp3d>
              <a:bevelT/>
            </a:sp3d>
          </c:spPr>
          <c:cat>
            <c:strRef>
              <c:f>Sheet1!$A$2:$A$7</c:f>
              <c:strCache>
                <c:ptCount val="6"/>
                <c:pt idx="0">
                  <c:v>Producţie en.electrică si termică</c:v>
                </c:pt>
                <c:pt idx="1">
                  <c:v>Arderi in industrii</c:v>
                </c:pt>
                <c:pt idx="2">
                  <c:v>Arderi in sect. rezidential</c:v>
                </c:pt>
                <c:pt idx="3">
                  <c:v>Nerutiere şi alte motoare staţionare</c:v>
                </c:pt>
                <c:pt idx="4">
                  <c:v>Arderi in sect. comercial</c:v>
                </c:pt>
                <c:pt idx="5">
                  <c:v>Distrib. pr. petr., explorare gaze nat.</c:v>
                </c:pt>
              </c:strCache>
            </c:strRef>
          </c:cat>
          <c:val>
            <c:numRef>
              <c:f>Sheet1!$C$2:$C$7</c:f>
              <c:numCache>
                <c:formatCode>0.00</c:formatCode>
                <c:ptCount val="6"/>
                <c:pt idx="0">
                  <c:v>10.7928</c:v>
                </c:pt>
                <c:pt idx="1">
                  <c:v>36.116100000000003</c:v>
                </c:pt>
                <c:pt idx="2">
                  <c:v>39.303799999999995</c:v>
                </c:pt>
                <c:pt idx="3">
                  <c:v>9.8591000000000104</c:v>
                </c:pt>
                <c:pt idx="4">
                  <c:v>3.9281999999999999</c:v>
                </c:pt>
              </c:numCache>
            </c:numRef>
          </c:val>
        </c:ser>
        <c:ser>
          <c:idx val="2"/>
          <c:order val="2"/>
          <c:tx>
            <c:strRef>
              <c:f>Sheet1!$D$1</c:f>
              <c:strCache>
                <c:ptCount val="1"/>
                <c:pt idx="0">
                  <c:v>NMVOC</c:v>
                </c:pt>
              </c:strCache>
            </c:strRef>
          </c:tx>
          <c:spPr>
            <a:solidFill>
              <a:srgbClr val="1F497D"/>
            </a:solidFill>
            <a:scene3d>
              <a:camera prst="orthographicFront"/>
              <a:lightRig rig="threePt" dir="t"/>
            </a:scene3d>
            <a:sp3d>
              <a:bevelT/>
            </a:sp3d>
          </c:spPr>
          <c:cat>
            <c:strRef>
              <c:f>Sheet1!$A$2:$A$7</c:f>
              <c:strCache>
                <c:ptCount val="6"/>
                <c:pt idx="0">
                  <c:v>Producţie en.electrică si termică</c:v>
                </c:pt>
                <c:pt idx="1">
                  <c:v>Arderi in industrii</c:v>
                </c:pt>
                <c:pt idx="2">
                  <c:v>Arderi in sect. rezidential</c:v>
                </c:pt>
                <c:pt idx="3">
                  <c:v>Nerutiere şi alte motoare staţionare</c:v>
                </c:pt>
                <c:pt idx="4">
                  <c:v>Arderi in sect. comercial</c:v>
                </c:pt>
                <c:pt idx="5">
                  <c:v>Distrib. pr. petr., explorare gaze nat.</c:v>
                </c:pt>
              </c:strCache>
            </c:strRef>
          </c:cat>
          <c:val>
            <c:numRef>
              <c:f>Sheet1!$D$2:$D$7</c:f>
              <c:numCache>
                <c:formatCode>0.00</c:formatCode>
                <c:ptCount val="6"/>
                <c:pt idx="0">
                  <c:v>0.27356751474099955</c:v>
                </c:pt>
                <c:pt idx="1">
                  <c:v>0.71853306150312113</c:v>
                </c:pt>
                <c:pt idx="2">
                  <c:v>98.371643308450757</c:v>
                </c:pt>
                <c:pt idx="3">
                  <c:v>0.37572921237704804</c:v>
                </c:pt>
                <c:pt idx="4">
                  <c:v>1.1372162067854919E-2</c:v>
                </c:pt>
                <c:pt idx="5">
                  <c:v>0.24915474086013931</c:v>
                </c:pt>
              </c:numCache>
            </c:numRef>
          </c:val>
        </c:ser>
        <c:gapWidth val="345"/>
        <c:shape val="box"/>
        <c:axId val="172179840"/>
        <c:axId val="172181376"/>
        <c:axId val="0"/>
      </c:bar3DChart>
      <c:catAx>
        <c:axId val="172179840"/>
        <c:scaling>
          <c:orientation val="minMax"/>
        </c:scaling>
        <c:axPos val="b"/>
        <c:tickLblPos val="nextTo"/>
        <c:txPr>
          <a:bodyPr anchor="t" anchorCtr="0"/>
          <a:lstStyle/>
          <a:p>
            <a:pPr>
              <a:defRPr lang="en-US"/>
            </a:pPr>
            <a:endParaRPr lang="ro-RO"/>
          </a:p>
        </c:txPr>
        <c:crossAx val="172181376"/>
        <c:crosses val="autoZero"/>
        <c:auto val="1"/>
        <c:lblAlgn val="ctr"/>
        <c:lblOffset val="100"/>
      </c:catAx>
      <c:valAx>
        <c:axId val="172181376"/>
        <c:scaling>
          <c:orientation val="minMax"/>
          <c:max val="100"/>
        </c:scaling>
        <c:axPos val="l"/>
        <c:majorGridlines/>
        <c:title>
          <c:tx>
            <c:rich>
              <a:bodyPr rot="0" vert="horz"/>
              <a:lstStyle/>
              <a:p>
                <a:pPr>
                  <a:defRPr lang="en-US"/>
                </a:pPr>
                <a:r>
                  <a:rPr lang="ro-RO"/>
                  <a:t>%</a:t>
                </a:r>
              </a:p>
            </c:rich>
          </c:tx>
          <c:layout>
            <c:manualLayout>
              <c:xMode val="edge"/>
              <c:yMode val="edge"/>
              <c:x val="1.5599680474723235E-3"/>
              <c:y val="5.5496512133845627E-2"/>
            </c:manualLayout>
          </c:layout>
        </c:title>
        <c:numFmt formatCode="0" sourceLinked="0"/>
        <c:tickLblPos val="nextTo"/>
        <c:txPr>
          <a:bodyPr/>
          <a:lstStyle/>
          <a:p>
            <a:pPr>
              <a:defRPr lang="en-US"/>
            </a:pPr>
            <a:endParaRPr lang="ro-RO"/>
          </a:p>
        </c:txPr>
        <c:crossAx val="172179840"/>
        <c:crosses val="autoZero"/>
        <c:crossBetween val="between"/>
        <c:majorUnit val="20"/>
      </c:valAx>
      <c:spPr>
        <a:noFill/>
      </c:spPr>
    </c:plotArea>
    <c:legend>
      <c:legendPos val="r"/>
      <c:layout>
        <c:manualLayout>
          <c:xMode val="edge"/>
          <c:yMode val="edge"/>
          <c:x val="0.84205625184425859"/>
          <c:y val="8.0410818212940688E-2"/>
          <c:w val="0.10508378760347264"/>
          <c:h val="0.42393113904240232"/>
        </c:manualLayout>
      </c:layout>
    </c:legend>
    <c:plotVisOnly val="1"/>
  </c:chart>
  <c:spPr>
    <a:ln>
      <a:noFill/>
    </a:ln>
  </c:spPr>
  <c:txPr>
    <a:bodyPr/>
    <a:lstStyle/>
    <a:p>
      <a:pPr>
        <a:defRPr>
          <a:latin typeface="Arial" pitchFamily="34" charset="0"/>
          <a:cs typeface="Arial" pitchFamily="34" charset="0"/>
        </a:defRPr>
      </a:pPr>
      <a:endParaRPr lang="ro-RO"/>
    </a:p>
  </c:tx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o-RO"/>
  <c:clrMapOvr bg1="lt1" tx1="dk1" bg2="lt2" tx2="dk2" accent1="accent1" accent2="accent2" accent3="accent3" accent4="accent4" accent5="accent5" accent6="accent6" hlink="hlink" folHlink="folHlink"/>
  <c:chart>
    <c:view3D>
      <c:rAngAx val="1"/>
    </c:view3D>
    <c:sideWall>
      <c:spPr>
        <a:ln>
          <a:solidFill>
            <a:sysClr val="window" lastClr="FFFFFF">
              <a:lumMod val="50000"/>
            </a:sysClr>
          </a:solidFill>
        </a:ln>
      </c:spPr>
    </c:sideWall>
    <c:backWall>
      <c:spPr>
        <a:ln>
          <a:solidFill>
            <a:sysClr val="window" lastClr="FFFFFF">
              <a:lumMod val="50000"/>
            </a:sysClr>
          </a:solidFill>
        </a:ln>
      </c:spPr>
    </c:backWall>
    <c:plotArea>
      <c:layout>
        <c:manualLayout>
          <c:layoutTarget val="inner"/>
          <c:xMode val="edge"/>
          <c:yMode val="edge"/>
          <c:x val="6.9735968434409323E-2"/>
          <c:y val="4.1441441441441483E-2"/>
          <c:w val="0.79918391823538615"/>
          <c:h val="0.44673069045560065"/>
        </c:manualLayout>
      </c:layout>
      <c:bar3DChart>
        <c:barDir val="col"/>
        <c:grouping val="clustered"/>
        <c:ser>
          <c:idx val="0"/>
          <c:order val="0"/>
          <c:tx>
            <c:strRef>
              <c:f>Sheet1!$B$1</c:f>
              <c:strCache>
                <c:ptCount val="1"/>
                <c:pt idx="0">
                  <c:v>PM2,5</c:v>
                </c:pt>
              </c:strCache>
            </c:strRef>
          </c:tx>
          <c:spPr>
            <a:solidFill>
              <a:srgbClr val="FF0000"/>
            </a:solidFill>
            <a:scene3d>
              <a:camera prst="orthographicFront"/>
              <a:lightRig rig="threePt" dir="t"/>
            </a:scene3d>
            <a:sp3d>
              <a:bevelT/>
            </a:sp3d>
          </c:spPr>
          <c:cat>
            <c:strRef>
              <c:f>Sheet1!$A$2:$A$6</c:f>
              <c:strCache>
                <c:ptCount val="5"/>
                <c:pt idx="0">
                  <c:v>Producţie en.electrică si termică</c:v>
                </c:pt>
                <c:pt idx="1">
                  <c:v>Arderi in industrii</c:v>
                </c:pt>
                <c:pt idx="2">
                  <c:v>Arderi in sectorul rezidential</c:v>
                </c:pt>
                <c:pt idx="3">
                  <c:v>Nerutiere şi alte motoare staţionare</c:v>
                </c:pt>
                <c:pt idx="4">
                  <c:v>Arderi in sect. comercial</c:v>
                </c:pt>
              </c:strCache>
            </c:strRef>
          </c:cat>
          <c:val>
            <c:numRef>
              <c:f>Sheet1!$B$2:$B$6</c:f>
              <c:numCache>
                <c:formatCode>0.00</c:formatCode>
                <c:ptCount val="5"/>
                <c:pt idx="0">
                  <c:v>0.52858366814128277</c:v>
                </c:pt>
                <c:pt idx="1">
                  <c:v>0.29536953577300107</c:v>
                </c:pt>
                <c:pt idx="2">
                  <c:v>99.055841361125658</c:v>
                </c:pt>
                <c:pt idx="3">
                  <c:v>0.11371771577404924</c:v>
                </c:pt>
                <c:pt idx="4">
                  <c:v>6.4877191859749979E-3</c:v>
                </c:pt>
              </c:numCache>
            </c:numRef>
          </c:val>
        </c:ser>
        <c:ser>
          <c:idx val="1"/>
          <c:order val="1"/>
          <c:tx>
            <c:strRef>
              <c:f>Sheet1!$C$1</c:f>
              <c:strCache>
                <c:ptCount val="1"/>
                <c:pt idx="0">
                  <c:v>PM10</c:v>
                </c:pt>
              </c:strCache>
            </c:strRef>
          </c:tx>
          <c:spPr>
            <a:solidFill>
              <a:schemeClr val="accent3">
                <a:lumMod val="50000"/>
              </a:schemeClr>
            </a:solidFill>
            <a:scene3d>
              <a:camera prst="orthographicFront"/>
              <a:lightRig rig="threePt" dir="t"/>
            </a:scene3d>
            <a:sp3d>
              <a:bevelT/>
            </a:sp3d>
          </c:spPr>
          <c:cat>
            <c:strRef>
              <c:f>Sheet1!$A$2:$A$6</c:f>
              <c:strCache>
                <c:ptCount val="5"/>
                <c:pt idx="0">
                  <c:v>Producţie en.electrică si termică</c:v>
                </c:pt>
                <c:pt idx="1">
                  <c:v>Arderi in industrii</c:v>
                </c:pt>
                <c:pt idx="2">
                  <c:v>Arderi in sectorul rezidential</c:v>
                </c:pt>
                <c:pt idx="3">
                  <c:v>Nerutiere şi alte motoare staţionare</c:v>
                </c:pt>
                <c:pt idx="4">
                  <c:v>Arderi in sect. comercial</c:v>
                </c:pt>
              </c:strCache>
            </c:strRef>
          </c:cat>
          <c:val>
            <c:numRef>
              <c:f>Sheet1!$C$2:$C$6</c:f>
              <c:numCache>
                <c:formatCode>0.00</c:formatCode>
                <c:ptCount val="5"/>
                <c:pt idx="0">
                  <c:v>0.60042855714957799</c:v>
                </c:pt>
                <c:pt idx="1">
                  <c:v>0.12669735635209967</c:v>
                </c:pt>
                <c:pt idx="2">
                  <c:v>99.155691558291053</c:v>
                </c:pt>
                <c:pt idx="3">
                  <c:v>0.11083978368493475</c:v>
                </c:pt>
                <c:pt idx="4">
                  <c:v>6.3427445222297317E-3</c:v>
                </c:pt>
              </c:numCache>
            </c:numRef>
          </c:val>
        </c:ser>
        <c:gapWidth val="426"/>
        <c:shape val="box"/>
        <c:axId val="195930752"/>
        <c:axId val="195948928"/>
        <c:axId val="0"/>
      </c:bar3DChart>
      <c:catAx>
        <c:axId val="195930752"/>
        <c:scaling>
          <c:orientation val="minMax"/>
        </c:scaling>
        <c:axPos val="b"/>
        <c:tickLblPos val="nextTo"/>
        <c:txPr>
          <a:bodyPr/>
          <a:lstStyle/>
          <a:p>
            <a:pPr>
              <a:defRPr lang="en-US"/>
            </a:pPr>
            <a:endParaRPr lang="ro-RO"/>
          </a:p>
        </c:txPr>
        <c:crossAx val="195948928"/>
        <c:crosses val="autoZero"/>
        <c:auto val="1"/>
        <c:lblAlgn val="ctr"/>
        <c:lblOffset val="100"/>
      </c:catAx>
      <c:valAx>
        <c:axId val="195948928"/>
        <c:scaling>
          <c:orientation val="minMax"/>
          <c:max val="100"/>
        </c:scaling>
        <c:axPos val="l"/>
        <c:majorGridlines/>
        <c:title>
          <c:tx>
            <c:rich>
              <a:bodyPr rot="0" vert="horz"/>
              <a:lstStyle/>
              <a:p>
                <a:pPr>
                  <a:defRPr lang="en-US"/>
                </a:pPr>
                <a:r>
                  <a:rPr lang="ro-RO"/>
                  <a:t>%</a:t>
                </a:r>
              </a:p>
            </c:rich>
          </c:tx>
          <c:layout>
            <c:manualLayout>
              <c:xMode val="edge"/>
              <c:yMode val="edge"/>
              <c:x val="8.6816558665847067E-3"/>
              <c:y val="0.26566758889915582"/>
            </c:manualLayout>
          </c:layout>
        </c:title>
        <c:numFmt formatCode="0" sourceLinked="0"/>
        <c:tickLblPos val="nextTo"/>
        <c:txPr>
          <a:bodyPr/>
          <a:lstStyle/>
          <a:p>
            <a:pPr>
              <a:defRPr lang="en-US"/>
            </a:pPr>
            <a:endParaRPr lang="ro-RO"/>
          </a:p>
        </c:txPr>
        <c:crossAx val="195930752"/>
        <c:crosses val="autoZero"/>
        <c:crossBetween val="between"/>
      </c:valAx>
    </c:plotArea>
    <c:legend>
      <c:legendPos val="r"/>
      <c:layout>
        <c:manualLayout>
          <c:xMode val="edge"/>
          <c:yMode val="edge"/>
          <c:x val="0.85030161229778711"/>
          <c:y val="0.22919103685423825"/>
          <c:w val="9.9243885904990364E-2"/>
          <c:h val="0.30133736594184068"/>
        </c:manualLayout>
      </c:layout>
      <c:txPr>
        <a:bodyPr/>
        <a:lstStyle/>
        <a:p>
          <a:pPr>
            <a:defRPr lang="en-US"/>
          </a:pPr>
          <a:endParaRPr lang="ro-RO"/>
        </a:p>
      </c:txPr>
    </c:legend>
    <c:plotVisOnly val="1"/>
  </c:chart>
  <c:spPr>
    <a:ln>
      <a:noFill/>
    </a:ln>
  </c:spPr>
  <c:txPr>
    <a:bodyPr/>
    <a:lstStyle/>
    <a:p>
      <a:pPr>
        <a:defRPr>
          <a:latin typeface="Arial" pitchFamily="34" charset="0"/>
          <a:cs typeface="Arial" pitchFamily="34" charset="0"/>
        </a:defRPr>
      </a:pPr>
      <a:endParaRPr lang="ro-RO"/>
    </a:p>
  </c:tx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o-RO"/>
  <c:clrMapOvr bg1="lt1" tx1="dk1" bg2="lt2" tx2="dk2" accent1="accent1" accent2="accent2" accent3="accent3" accent4="accent4" accent5="accent5" accent6="accent6" hlink="hlink" folHlink="folHlink"/>
  <c:chart>
    <c:view3D>
      <c:rAngAx val="1"/>
    </c:view3D>
    <c:sideWall>
      <c:spPr>
        <a:ln>
          <a:solidFill>
            <a:sysClr val="window" lastClr="FFFFFF">
              <a:lumMod val="50000"/>
            </a:sysClr>
          </a:solidFill>
        </a:ln>
      </c:spPr>
    </c:sideWall>
    <c:backWall>
      <c:spPr>
        <a:ln>
          <a:solidFill>
            <a:sysClr val="window" lastClr="FFFFFF">
              <a:lumMod val="50000"/>
            </a:sysClr>
          </a:solidFill>
        </a:ln>
      </c:spPr>
    </c:backWall>
    <c:plotArea>
      <c:layout>
        <c:manualLayout>
          <c:layoutTarget val="inner"/>
          <c:xMode val="edge"/>
          <c:yMode val="edge"/>
          <c:x val="5.7886930800316774E-2"/>
          <c:y val="5.8974358974358904E-2"/>
          <c:w val="0.8297284778989279"/>
          <c:h val="0.54819656976840159"/>
        </c:manualLayout>
      </c:layout>
      <c:bar3DChart>
        <c:barDir val="col"/>
        <c:grouping val="clustered"/>
        <c:ser>
          <c:idx val="0"/>
          <c:order val="0"/>
          <c:tx>
            <c:strRef>
              <c:f>Sheet1!$B$1</c:f>
              <c:strCache>
                <c:ptCount val="1"/>
                <c:pt idx="0">
                  <c:v>Cd</c:v>
                </c:pt>
              </c:strCache>
            </c:strRef>
          </c:tx>
          <c:spPr>
            <a:solidFill>
              <a:srgbClr val="FF0000"/>
            </a:solidFill>
            <a:scene3d>
              <a:camera prst="orthographicFront"/>
              <a:lightRig rig="threePt" dir="t"/>
            </a:scene3d>
            <a:sp3d>
              <a:bevelT/>
            </a:sp3d>
          </c:spPr>
          <c:cat>
            <c:strRef>
              <c:f>Sheet1!$A$2:$A$6</c:f>
              <c:strCache>
                <c:ptCount val="5"/>
                <c:pt idx="0">
                  <c:v>Producţie en.electrică si termică</c:v>
                </c:pt>
                <c:pt idx="1">
                  <c:v>Arderi in industrii</c:v>
                </c:pt>
                <c:pt idx="2">
                  <c:v>Arderi in sectorul rezidential</c:v>
                </c:pt>
                <c:pt idx="3">
                  <c:v>Nerutiere şi alte motoare staţionare</c:v>
                </c:pt>
                <c:pt idx="4">
                  <c:v>Arderi in sect. comercial</c:v>
                </c:pt>
              </c:strCache>
            </c:strRef>
          </c:cat>
          <c:val>
            <c:numRef>
              <c:f>Sheet1!$B$2:$B$6</c:f>
              <c:numCache>
                <c:formatCode>0.00</c:formatCode>
                <c:ptCount val="5"/>
                <c:pt idx="0">
                  <c:v>0.58450189400270136</c:v>
                </c:pt>
                <c:pt idx="1">
                  <c:v>4.2210189050963391</c:v>
                </c:pt>
                <c:pt idx="2">
                  <c:v>95.144916974030693</c:v>
                </c:pt>
                <c:pt idx="3">
                  <c:v>2.8642471784078246E-2</c:v>
                </c:pt>
                <c:pt idx="4">
                  <c:v>2.0919755086193082E-2</c:v>
                </c:pt>
              </c:numCache>
            </c:numRef>
          </c:val>
        </c:ser>
        <c:ser>
          <c:idx val="1"/>
          <c:order val="1"/>
          <c:tx>
            <c:strRef>
              <c:f>Sheet1!$C$1</c:f>
              <c:strCache>
                <c:ptCount val="1"/>
                <c:pt idx="0">
                  <c:v>Hg</c:v>
                </c:pt>
              </c:strCache>
            </c:strRef>
          </c:tx>
          <c:spPr>
            <a:solidFill>
              <a:schemeClr val="accent6">
                <a:lumMod val="75000"/>
              </a:schemeClr>
            </a:solidFill>
            <a:scene3d>
              <a:camera prst="orthographicFront"/>
              <a:lightRig rig="threePt" dir="t"/>
            </a:scene3d>
            <a:sp3d>
              <a:bevelT/>
            </a:sp3d>
          </c:spPr>
          <c:cat>
            <c:strRef>
              <c:f>Sheet1!$A$2:$A$6</c:f>
              <c:strCache>
                <c:ptCount val="5"/>
                <c:pt idx="0">
                  <c:v>Producţie en.electrică si termică</c:v>
                </c:pt>
                <c:pt idx="1">
                  <c:v>Arderi in industrii</c:v>
                </c:pt>
                <c:pt idx="2">
                  <c:v>Arderi in sectorul rezidential</c:v>
                </c:pt>
                <c:pt idx="3">
                  <c:v>Nerutiere şi alte motoare staţionare</c:v>
                </c:pt>
                <c:pt idx="4">
                  <c:v>Arderi in sect. comercial</c:v>
                </c:pt>
              </c:strCache>
            </c:strRef>
          </c:cat>
          <c:val>
            <c:numRef>
              <c:f>Sheet1!$C$2:$C$6</c:f>
              <c:numCache>
                <c:formatCode>0.00</c:formatCode>
                <c:ptCount val="5"/>
                <c:pt idx="0">
                  <c:v>19.392965305919677</c:v>
                </c:pt>
                <c:pt idx="1">
                  <c:v>29.37862477623078</c:v>
                </c:pt>
                <c:pt idx="2">
                  <c:v>50.454488135159806</c:v>
                </c:pt>
                <c:pt idx="4">
                  <c:v>0.77392178268975931</c:v>
                </c:pt>
              </c:numCache>
            </c:numRef>
          </c:val>
        </c:ser>
        <c:ser>
          <c:idx val="2"/>
          <c:order val="2"/>
          <c:tx>
            <c:strRef>
              <c:f>Sheet1!$D$1</c:f>
              <c:strCache>
                <c:ptCount val="1"/>
                <c:pt idx="0">
                  <c:v>Pb</c:v>
                </c:pt>
              </c:strCache>
            </c:strRef>
          </c:tx>
          <c:spPr>
            <a:solidFill>
              <a:schemeClr val="accent3">
                <a:lumMod val="50000"/>
              </a:schemeClr>
            </a:solidFill>
            <a:scene3d>
              <a:camera prst="orthographicFront"/>
              <a:lightRig rig="threePt" dir="t"/>
            </a:scene3d>
            <a:sp3d>
              <a:bevelT/>
            </a:sp3d>
          </c:spPr>
          <c:cat>
            <c:strRef>
              <c:f>Sheet1!$A$2:$A$6</c:f>
              <c:strCache>
                <c:ptCount val="5"/>
                <c:pt idx="0">
                  <c:v>Producţie en.electrică si termică</c:v>
                </c:pt>
                <c:pt idx="1">
                  <c:v>Arderi in industrii</c:v>
                </c:pt>
                <c:pt idx="2">
                  <c:v>Arderi in sectorul rezidential</c:v>
                </c:pt>
                <c:pt idx="3">
                  <c:v>Nerutiere şi alte motoare staţionare</c:v>
                </c:pt>
                <c:pt idx="4">
                  <c:v>Arderi in sect. comercial</c:v>
                </c:pt>
              </c:strCache>
            </c:strRef>
          </c:cat>
          <c:val>
            <c:numRef>
              <c:f>Sheet1!$D$2:$D$6</c:f>
              <c:numCache>
                <c:formatCode>0.00</c:formatCode>
                <c:ptCount val="5"/>
                <c:pt idx="0">
                  <c:v>3.0954133270199944</c:v>
                </c:pt>
                <c:pt idx="1">
                  <c:v>7.4102196096986104</c:v>
                </c:pt>
                <c:pt idx="2">
                  <c:v>89.441337707751188</c:v>
                </c:pt>
                <c:pt idx="4">
                  <c:v>5.3029355530166605E-2</c:v>
                </c:pt>
              </c:numCache>
            </c:numRef>
          </c:val>
        </c:ser>
        <c:gapWidth val="249"/>
        <c:shape val="box"/>
        <c:axId val="196056960"/>
        <c:axId val="196058496"/>
        <c:axId val="0"/>
      </c:bar3DChart>
      <c:catAx>
        <c:axId val="196056960"/>
        <c:scaling>
          <c:orientation val="minMax"/>
        </c:scaling>
        <c:axPos val="b"/>
        <c:tickLblPos val="nextTo"/>
        <c:txPr>
          <a:bodyPr/>
          <a:lstStyle/>
          <a:p>
            <a:pPr>
              <a:defRPr lang="en-US"/>
            </a:pPr>
            <a:endParaRPr lang="ro-RO"/>
          </a:p>
        </c:txPr>
        <c:crossAx val="196058496"/>
        <c:crosses val="autoZero"/>
        <c:auto val="1"/>
        <c:lblAlgn val="ctr"/>
        <c:lblOffset val="100"/>
      </c:catAx>
      <c:valAx>
        <c:axId val="196058496"/>
        <c:scaling>
          <c:orientation val="minMax"/>
          <c:max val="100"/>
        </c:scaling>
        <c:axPos val="l"/>
        <c:majorGridlines/>
        <c:title>
          <c:tx>
            <c:rich>
              <a:bodyPr rot="0" vert="horz"/>
              <a:lstStyle/>
              <a:p>
                <a:pPr>
                  <a:defRPr lang="en-US"/>
                </a:pPr>
                <a:r>
                  <a:rPr lang="ro-RO"/>
                  <a:t>%</a:t>
                </a:r>
              </a:p>
            </c:rich>
          </c:tx>
          <c:layout>
            <c:manualLayout>
              <c:xMode val="edge"/>
              <c:yMode val="edge"/>
              <c:x val="8.6816558665847067E-3"/>
              <c:y val="0.26566758889915582"/>
            </c:manualLayout>
          </c:layout>
        </c:title>
        <c:numFmt formatCode="0" sourceLinked="0"/>
        <c:tickLblPos val="nextTo"/>
        <c:txPr>
          <a:bodyPr/>
          <a:lstStyle/>
          <a:p>
            <a:pPr>
              <a:defRPr lang="en-US"/>
            </a:pPr>
            <a:endParaRPr lang="ro-RO"/>
          </a:p>
        </c:txPr>
        <c:crossAx val="196056960"/>
        <c:crosses val="autoZero"/>
        <c:crossBetween val="between"/>
        <c:majorUnit val="20"/>
      </c:valAx>
    </c:plotArea>
    <c:legend>
      <c:legendPos val="r"/>
      <c:layout>
        <c:manualLayout>
          <c:xMode val="edge"/>
          <c:yMode val="edge"/>
          <c:x val="0.91847268208081767"/>
          <c:y val="0.15094603740570195"/>
          <c:w val="6.1128734106964767E-2"/>
          <c:h val="0.4292636062001684"/>
        </c:manualLayout>
      </c:layout>
      <c:txPr>
        <a:bodyPr/>
        <a:lstStyle/>
        <a:p>
          <a:pPr>
            <a:defRPr lang="en-US" sz="1000"/>
          </a:pPr>
          <a:endParaRPr lang="ro-RO"/>
        </a:p>
      </c:txPr>
    </c:legend>
    <c:plotVisOnly val="1"/>
  </c:chart>
  <c:spPr>
    <a:ln>
      <a:noFill/>
    </a:ln>
  </c:spPr>
  <c:txPr>
    <a:bodyPr/>
    <a:lstStyle/>
    <a:p>
      <a:pPr>
        <a:defRPr>
          <a:latin typeface="Arial" pitchFamily="34" charset="0"/>
          <a:cs typeface="Arial" pitchFamily="34" charset="0"/>
        </a:defRPr>
      </a:pPr>
      <a:endParaRPr lang="ro-RO"/>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sz="900" b="0"/>
            </a:pPr>
            <a:r>
              <a:rPr lang="ro-RO" sz="900" b="0"/>
              <a:t> µg/m³ </a:t>
            </a:r>
          </a:p>
          <a:p>
            <a:pPr algn="ctr" rtl="0">
              <a:defRPr lang="en-GB" sz="900" b="0"/>
            </a:pPr>
            <a:endParaRPr lang="ro-RO" sz="900" b="0"/>
          </a:p>
        </c:rich>
      </c:tx>
      <c:layout>
        <c:manualLayout>
          <c:xMode val="edge"/>
          <c:yMode val="edge"/>
          <c:x val="1.8075347943470287E-3"/>
          <c:y val="5.7813534177794133E-2"/>
        </c:manualLayout>
      </c:layout>
    </c:title>
    <c:plotArea>
      <c:layout>
        <c:manualLayout>
          <c:layoutTarget val="inner"/>
          <c:xMode val="edge"/>
          <c:yMode val="edge"/>
          <c:x val="0.24694430306478063"/>
          <c:y val="8.6871332094724127E-2"/>
          <c:w val="0.55439949316680914"/>
          <c:h val="0.68391877331123052"/>
        </c:manualLayout>
      </c:layout>
      <c:barChart>
        <c:barDir val="col"/>
        <c:grouping val="clustered"/>
        <c:ser>
          <c:idx val="0"/>
          <c:order val="0"/>
          <c:tx>
            <c:strRef>
              <c:f>Sheet1!$A$2</c:f>
              <c:strCache>
                <c:ptCount val="1"/>
                <c:pt idx="0">
                  <c:v>Concentrații medii anuale</c:v>
                </c:pt>
              </c:strCache>
            </c:strRef>
          </c:tx>
          <c:spPr>
            <a:solidFill>
              <a:schemeClr val="accent3">
                <a:lumMod val="75000"/>
              </a:schemeClr>
            </a:solidFill>
            <a:ln w="12700">
              <a:noFill/>
              <a:prstDash val="solid"/>
            </a:ln>
            <a:scene3d>
              <a:camera prst="orthographicFront"/>
              <a:lightRig rig="threePt" dir="t"/>
            </a:scene3d>
            <a:sp3d>
              <a:bevelT/>
            </a:sp3d>
          </c:spPr>
          <c:cat>
            <c:strRef>
              <c:f>Sheet1!$B$1:$C$1</c:f>
              <c:strCache>
                <c:ptCount val="2"/>
                <c:pt idx="0">
                  <c:v>SV1</c:v>
                </c:pt>
                <c:pt idx="1">
                  <c:v>SV2</c:v>
                </c:pt>
              </c:strCache>
            </c:strRef>
          </c:cat>
          <c:val>
            <c:numRef>
              <c:f>Sheet1!$B$2:$C$2</c:f>
              <c:numCache>
                <c:formatCode>General</c:formatCode>
                <c:ptCount val="2"/>
                <c:pt idx="0" formatCode="0.00">
                  <c:v>7.42</c:v>
                </c:pt>
                <c:pt idx="1">
                  <c:v>10.55</c:v>
                </c:pt>
              </c:numCache>
            </c:numRef>
          </c:val>
        </c:ser>
        <c:gapWidth val="401"/>
        <c:axId val="146263040"/>
        <c:axId val="146278272"/>
      </c:barChart>
      <c:catAx>
        <c:axId val="14626304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46278272"/>
        <c:crosses val="autoZero"/>
        <c:auto val="1"/>
        <c:lblAlgn val="ctr"/>
        <c:lblOffset val="100"/>
        <c:tickLblSkip val="1"/>
        <c:tickMarkSkip val="1"/>
      </c:catAx>
      <c:valAx>
        <c:axId val="146278272"/>
        <c:scaling>
          <c:orientation val="minMax"/>
          <c:max val="15"/>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46263040"/>
        <c:crosses val="autoZero"/>
        <c:crossBetween val="between"/>
        <c:majorUnit val="5"/>
        <c:minorUnit val="0.1"/>
      </c:valAx>
      <c:spPr>
        <a:noFill/>
        <a:ln w="3175">
          <a:solidFill>
            <a:srgbClr val="000000"/>
          </a:solidFill>
          <a:prstDash val="solid"/>
        </a:ln>
      </c:spPr>
    </c:plotArea>
    <c:plotVisOnly val="1"/>
    <c:dispBlanksAs val="gap"/>
  </c:chart>
  <c:spPr>
    <a:noFill/>
    <a:ln>
      <a:noFill/>
    </a:ln>
  </c:spPr>
  <c:txPr>
    <a:bodyPr/>
    <a:lstStyle/>
    <a:p>
      <a:pPr>
        <a:defRPr sz="900" b="0" i="0" u="none" strike="noStrike" baseline="0">
          <a:solidFill>
            <a:srgbClr val="000000"/>
          </a:solidFill>
          <a:latin typeface="Arial" pitchFamily="34" charset="0"/>
          <a:ea typeface="Arial"/>
          <a:cs typeface="Arial" pitchFamily="34" charset="0"/>
        </a:defRPr>
      </a:pPr>
      <a:endParaRPr lang="ro-RO"/>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o-RO"/>
  <c:clrMapOvr bg1="lt1" tx1="dk1" bg2="lt2" tx2="dk2" accent1="accent1" accent2="accent2" accent3="accent3" accent4="accent4" accent5="accent5" accent6="accent6" hlink="hlink" folHlink="folHlink"/>
  <c:chart>
    <c:view3D>
      <c:rAngAx val="1"/>
    </c:view3D>
    <c:sideWall>
      <c:spPr>
        <a:ln>
          <a:solidFill>
            <a:sysClr val="window" lastClr="FFFFFF">
              <a:lumMod val="50000"/>
            </a:sysClr>
          </a:solidFill>
        </a:ln>
      </c:spPr>
    </c:sideWall>
    <c:backWall>
      <c:spPr>
        <a:ln>
          <a:solidFill>
            <a:sysClr val="window" lastClr="FFFFFF">
              <a:lumMod val="50000"/>
            </a:sysClr>
          </a:solidFill>
        </a:ln>
      </c:spPr>
    </c:backWall>
    <c:plotArea>
      <c:layout>
        <c:manualLayout>
          <c:layoutTarget val="inner"/>
          <c:xMode val="edge"/>
          <c:yMode val="edge"/>
          <c:x val="5.6599739612580115E-2"/>
          <c:y val="4.5436053447864472E-2"/>
          <c:w val="0.86397068290991963"/>
          <c:h val="0.54161445646632356"/>
        </c:manualLayout>
      </c:layout>
      <c:bar3DChart>
        <c:barDir val="col"/>
        <c:grouping val="clustered"/>
        <c:ser>
          <c:idx val="0"/>
          <c:order val="0"/>
          <c:tx>
            <c:strRef>
              <c:f>Sheet1!$B$1</c:f>
              <c:strCache>
                <c:ptCount val="1"/>
                <c:pt idx="0">
                  <c:v>PCDD/PCDF</c:v>
                </c:pt>
              </c:strCache>
            </c:strRef>
          </c:tx>
          <c:spPr>
            <a:solidFill>
              <a:srgbClr val="FF0000"/>
            </a:solidFill>
            <a:scene3d>
              <a:camera prst="orthographicFront"/>
              <a:lightRig rig="threePt" dir="t"/>
            </a:scene3d>
            <a:sp3d>
              <a:bevelT/>
            </a:sp3d>
          </c:spPr>
          <c:cat>
            <c:strRef>
              <c:f>Sheet1!$A$2:$A$6</c:f>
              <c:strCache>
                <c:ptCount val="5"/>
                <c:pt idx="0">
                  <c:v>Producţie en.electrică si termică</c:v>
                </c:pt>
                <c:pt idx="1">
                  <c:v>Arderi in industrii</c:v>
                </c:pt>
                <c:pt idx="2">
                  <c:v>Nerutiere şi alte motoare staţionare</c:v>
                </c:pt>
                <c:pt idx="3">
                  <c:v>Arderi in sect. comercial</c:v>
                </c:pt>
                <c:pt idx="4">
                  <c:v>Arderi in sectorul rezidential</c:v>
                </c:pt>
              </c:strCache>
            </c:strRef>
          </c:cat>
          <c:val>
            <c:numRef>
              <c:f>Sheet1!$B$2:$B$6</c:f>
              <c:numCache>
                <c:formatCode>0.00</c:formatCode>
                <c:ptCount val="5"/>
                <c:pt idx="0">
                  <c:v>1.3363363717402161</c:v>
                </c:pt>
                <c:pt idx="1">
                  <c:v>4.6986325764615673</c:v>
                </c:pt>
                <c:pt idx="3">
                  <c:v>1.3616608696524805E-2</c:v>
                </c:pt>
                <c:pt idx="4">
                  <c:v>93.951414443101697</c:v>
                </c:pt>
              </c:numCache>
            </c:numRef>
          </c:val>
        </c:ser>
        <c:ser>
          <c:idx val="1"/>
          <c:order val="1"/>
          <c:tx>
            <c:strRef>
              <c:f>Sheet1!$C$1</c:f>
              <c:strCache>
                <c:ptCount val="1"/>
                <c:pt idx="0">
                  <c:v>PAH</c:v>
                </c:pt>
              </c:strCache>
            </c:strRef>
          </c:tx>
          <c:spPr>
            <a:solidFill>
              <a:schemeClr val="accent6">
                <a:lumMod val="75000"/>
              </a:schemeClr>
            </a:solidFill>
            <a:scene3d>
              <a:camera prst="orthographicFront"/>
              <a:lightRig rig="threePt" dir="t"/>
            </a:scene3d>
            <a:sp3d>
              <a:bevelT/>
            </a:sp3d>
          </c:spPr>
          <c:cat>
            <c:strRef>
              <c:f>Sheet1!$A$2:$A$6</c:f>
              <c:strCache>
                <c:ptCount val="5"/>
                <c:pt idx="0">
                  <c:v>Producţie en.electrică si termică</c:v>
                </c:pt>
                <c:pt idx="1">
                  <c:v>Arderi in industrii</c:v>
                </c:pt>
                <c:pt idx="2">
                  <c:v>Nerutiere şi alte motoare staţionare</c:v>
                </c:pt>
                <c:pt idx="3">
                  <c:v>Arderi in sect. comercial</c:v>
                </c:pt>
                <c:pt idx="4">
                  <c:v>Arderi in sectorul rezidential</c:v>
                </c:pt>
              </c:strCache>
            </c:strRef>
          </c:cat>
          <c:val>
            <c:numRef>
              <c:f>Sheet1!$C$2:$C$6</c:f>
              <c:numCache>
                <c:formatCode>0.00</c:formatCode>
                <c:ptCount val="5"/>
                <c:pt idx="0">
                  <c:v>7.7295482509338514E-2</c:v>
                </c:pt>
                <c:pt idx="1">
                  <c:v>2.9652072241540268</c:v>
                </c:pt>
                <c:pt idx="2">
                  <c:v>0.36400610661765403</c:v>
                </c:pt>
                <c:pt idx="3">
                  <c:v>1.0813609191831341E-2</c:v>
                </c:pt>
                <c:pt idx="4">
                  <c:v>96.582677577527036</c:v>
                </c:pt>
              </c:numCache>
            </c:numRef>
          </c:val>
        </c:ser>
        <c:ser>
          <c:idx val="2"/>
          <c:order val="2"/>
          <c:tx>
            <c:strRef>
              <c:f>Sheet1!$D$1</c:f>
              <c:strCache>
                <c:ptCount val="1"/>
                <c:pt idx="0">
                  <c:v>HCB</c:v>
                </c:pt>
              </c:strCache>
            </c:strRef>
          </c:tx>
          <c:spPr>
            <a:solidFill>
              <a:schemeClr val="accent3">
                <a:lumMod val="50000"/>
              </a:schemeClr>
            </a:solidFill>
            <a:scene3d>
              <a:camera prst="orthographicFront"/>
              <a:lightRig rig="threePt" dir="t"/>
            </a:scene3d>
            <a:sp3d>
              <a:bevelT/>
            </a:sp3d>
          </c:spPr>
          <c:cat>
            <c:strRef>
              <c:f>Sheet1!$A$2:$A$6</c:f>
              <c:strCache>
                <c:ptCount val="5"/>
                <c:pt idx="0">
                  <c:v>Producţie en.electrică si termică</c:v>
                </c:pt>
                <c:pt idx="1">
                  <c:v>Arderi in industrii</c:v>
                </c:pt>
                <c:pt idx="2">
                  <c:v>Nerutiere şi alte motoare staţionare</c:v>
                </c:pt>
                <c:pt idx="3">
                  <c:v>Arderi in sect. comercial</c:v>
                </c:pt>
                <c:pt idx="4">
                  <c:v>Arderi in sectorul rezidential</c:v>
                </c:pt>
              </c:strCache>
            </c:strRef>
          </c:cat>
          <c:val>
            <c:numRef>
              <c:f>Sheet1!$D$2:$D$6</c:f>
              <c:numCache>
                <c:formatCode>0.00</c:formatCode>
                <c:ptCount val="5"/>
                <c:pt idx="0">
                  <c:v>11.154453697644177</c:v>
                </c:pt>
                <c:pt idx="1">
                  <c:v>38.713470670297795</c:v>
                </c:pt>
                <c:pt idx="3" formatCode="0.000">
                  <c:v>3.4991907666044653E-2</c:v>
                </c:pt>
                <c:pt idx="4">
                  <c:v>50.097083724391979</c:v>
                </c:pt>
              </c:numCache>
            </c:numRef>
          </c:val>
        </c:ser>
        <c:ser>
          <c:idx val="3"/>
          <c:order val="3"/>
          <c:tx>
            <c:strRef>
              <c:f>Sheet1!$E$1</c:f>
              <c:strCache>
                <c:ptCount val="1"/>
                <c:pt idx="0">
                  <c:v>PCB</c:v>
                </c:pt>
              </c:strCache>
            </c:strRef>
          </c:tx>
          <c:spPr>
            <a:scene3d>
              <a:camera prst="orthographicFront"/>
              <a:lightRig rig="threePt" dir="t"/>
            </a:scene3d>
            <a:sp3d>
              <a:bevelT/>
            </a:sp3d>
          </c:spPr>
          <c:cat>
            <c:strRef>
              <c:f>Sheet1!$A$2:$A$6</c:f>
              <c:strCache>
                <c:ptCount val="5"/>
                <c:pt idx="0">
                  <c:v>Producţie en.electrică si termică</c:v>
                </c:pt>
                <c:pt idx="1">
                  <c:v>Arderi in industrii</c:v>
                </c:pt>
                <c:pt idx="2">
                  <c:v>Nerutiere şi alte motoare staţionare</c:v>
                </c:pt>
                <c:pt idx="3">
                  <c:v>Arderi in sect. comercial</c:v>
                </c:pt>
                <c:pt idx="4">
                  <c:v>Arderi in sectorul rezidential</c:v>
                </c:pt>
              </c:strCache>
            </c:strRef>
          </c:cat>
          <c:val>
            <c:numRef>
              <c:f>Sheet1!$E$2:$E$6</c:f>
              <c:numCache>
                <c:formatCode>0.00</c:formatCode>
                <c:ptCount val="5"/>
                <c:pt idx="0">
                  <c:v>51.379007574734622</c:v>
                </c:pt>
                <c:pt idx="1">
                  <c:v>44.741187909505861</c:v>
                </c:pt>
                <c:pt idx="3" formatCode="0.00000">
                  <c:v>2.3968151120790668E-4</c:v>
                </c:pt>
                <c:pt idx="4">
                  <c:v>3.8795648342482472</c:v>
                </c:pt>
              </c:numCache>
            </c:numRef>
          </c:val>
        </c:ser>
        <c:shape val="box"/>
        <c:axId val="196155264"/>
        <c:axId val="196156800"/>
        <c:axId val="0"/>
      </c:bar3DChart>
      <c:catAx>
        <c:axId val="196155264"/>
        <c:scaling>
          <c:orientation val="minMax"/>
        </c:scaling>
        <c:axPos val="b"/>
        <c:tickLblPos val="nextTo"/>
        <c:txPr>
          <a:bodyPr/>
          <a:lstStyle/>
          <a:p>
            <a:pPr>
              <a:defRPr lang="en-US"/>
            </a:pPr>
            <a:endParaRPr lang="ro-RO"/>
          </a:p>
        </c:txPr>
        <c:crossAx val="196156800"/>
        <c:crosses val="autoZero"/>
        <c:auto val="1"/>
        <c:lblAlgn val="ctr"/>
        <c:lblOffset val="100"/>
      </c:catAx>
      <c:valAx>
        <c:axId val="196156800"/>
        <c:scaling>
          <c:orientation val="minMax"/>
          <c:max val="100"/>
        </c:scaling>
        <c:axPos val="l"/>
        <c:majorGridlines/>
        <c:title>
          <c:tx>
            <c:rich>
              <a:bodyPr rot="0" vert="horz"/>
              <a:lstStyle/>
              <a:p>
                <a:pPr>
                  <a:defRPr lang="en-US"/>
                </a:pPr>
                <a:r>
                  <a:rPr lang="ro-RO"/>
                  <a:t>%</a:t>
                </a:r>
              </a:p>
            </c:rich>
          </c:tx>
          <c:layout>
            <c:manualLayout>
              <c:xMode val="edge"/>
              <c:yMode val="edge"/>
              <c:x val="2.3690220540615492E-5"/>
              <c:y val="0.26566780847309329"/>
            </c:manualLayout>
          </c:layout>
        </c:title>
        <c:numFmt formatCode="0" sourceLinked="0"/>
        <c:tickLblPos val="nextTo"/>
        <c:txPr>
          <a:bodyPr/>
          <a:lstStyle/>
          <a:p>
            <a:pPr>
              <a:defRPr lang="en-US"/>
            </a:pPr>
            <a:endParaRPr lang="ro-RO"/>
          </a:p>
        </c:txPr>
        <c:crossAx val="196155264"/>
        <c:crosses val="autoZero"/>
        <c:crossBetween val="between"/>
      </c:valAx>
    </c:plotArea>
    <c:legend>
      <c:legendPos val="r"/>
      <c:layout>
        <c:manualLayout>
          <c:xMode val="edge"/>
          <c:yMode val="edge"/>
          <c:x val="0.84147514048858085"/>
          <c:y val="5.1308160343593423E-2"/>
          <c:w val="0.15594859604813574"/>
          <c:h val="0.65470420513982608"/>
        </c:manualLayout>
      </c:layout>
      <c:txPr>
        <a:bodyPr/>
        <a:lstStyle/>
        <a:p>
          <a:pPr>
            <a:defRPr lang="en-US"/>
          </a:pPr>
          <a:endParaRPr lang="ro-RO"/>
        </a:p>
      </c:txPr>
    </c:legend>
    <c:plotVisOnly val="1"/>
  </c:chart>
  <c:spPr>
    <a:ln>
      <a:noFill/>
    </a:ln>
  </c:spPr>
  <c:txPr>
    <a:bodyPr/>
    <a:lstStyle/>
    <a:p>
      <a:pPr>
        <a:defRPr>
          <a:latin typeface="Arial" pitchFamily="34" charset="0"/>
          <a:cs typeface="Arial" pitchFamily="34" charset="0"/>
        </a:defRPr>
      </a:pPr>
      <a:endParaRPr lang="ro-RO"/>
    </a:p>
  </c:txPr>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o-RO"/>
  <c:clrMapOvr bg1="lt1" tx1="dk1" bg2="lt2" tx2="dk2" accent1="accent1" accent2="accent2" accent3="accent3" accent4="accent4" accent5="accent5" accent6="accent6" hlink="hlink" folHlink="folHlink"/>
  <c:chart>
    <c:autoTitleDeleted val="1"/>
    <c:view3D>
      <c:rAngAx val="1"/>
    </c:view3D>
    <c:sideWall>
      <c:spPr>
        <a:ln>
          <a:solidFill>
            <a:schemeClr val="bg1">
              <a:lumMod val="50000"/>
            </a:schemeClr>
          </a:solidFill>
        </a:ln>
      </c:spPr>
    </c:sideWall>
    <c:backWall>
      <c:spPr>
        <a:ln>
          <a:solidFill>
            <a:schemeClr val="bg1">
              <a:lumMod val="50000"/>
            </a:schemeClr>
          </a:solidFill>
        </a:ln>
      </c:spPr>
    </c:backWall>
    <c:plotArea>
      <c:layout>
        <c:manualLayout>
          <c:layoutTarget val="inner"/>
          <c:xMode val="edge"/>
          <c:yMode val="edge"/>
          <c:x val="4.5794664016512575E-2"/>
          <c:y val="4.902017425336648E-2"/>
          <c:w val="0.90322445639780613"/>
          <c:h val="0.51202901164072112"/>
        </c:manualLayout>
      </c:layout>
      <c:bar3DChart>
        <c:barDir val="col"/>
        <c:grouping val="clustered"/>
        <c:ser>
          <c:idx val="0"/>
          <c:order val="0"/>
          <c:tx>
            <c:strRef>
              <c:f>Sheet1!$B$1</c:f>
              <c:strCache>
                <c:ptCount val="1"/>
                <c:pt idx="0">
                  <c:v>NMVOC</c:v>
                </c:pt>
              </c:strCache>
            </c:strRef>
          </c:tx>
          <c:spPr>
            <a:solidFill>
              <a:srgbClr val="1F497D"/>
            </a:solidFill>
            <a:scene3d>
              <a:camera prst="orthographicFront"/>
              <a:lightRig rig="threePt" dir="t"/>
            </a:scene3d>
            <a:sp3d>
              <a:bevelT/>
            </a:sp3d>
          </c:spPr>
          <c:cat>
            <c:strRef>
              <c:f>Sheet1!$A$2:$A$6</c:f>
              <c:strCache>
                <c:ptCount val="5"/>
                <c:pt idx="0">
                  <c:v>Asfaltare drumuri</c:v>
                </c:pt>
                <c:pt idx="1">
                  <c:v>Alte procese din ind. chimică</c:v>
                </c:pt>
                <c:pt idx="2">
                  <c:v>Utiliz. solvenți şi alte produse</c:v>
                </c:pt>
                <c:pt idx="3">
                  <c:v>Ind. alim. şi băuturi</c:v>
                </c:pt>
                <c:pt idx="4">
                  <c:v>Procesare lemn</c:v>
                </c:pt>
              </c:strCache>
            </c:strRef>
          </c:cat>
          <c:val>
            <c:numRef>
              <c:f>Sheet1!$B$2:$B$6</c:f>
              <c:numCache>
                <c:formatCode>General</c:formatCode>
                <c:ptCount val="5"/>
                <c:pt idx="0">
                  <c:v>0.19285609090152811</c:v>
                </c:pt>
                <c:pt idx="1">
                  <c:v>9.9123773156154726E-2</c:v>
                </c:pt>
                <c:pt idx="2">
                  <c:v>19.952025654412711</c:v>
                </c:pt>
                <c:pt idx="3">
                  <c:v>6.6104729891887883</c:v>
                </c:pt>
                <c:pt idx="4">
                  <c:v>73.145521492340805</c:v>
                </c:pt>
              </c:numCache>
            </c:numRef>
          </c:val>
        </c:ser>
        <c:gapWidth val="500"/>
        <c:shape val="box"/>
        <c:axId val="196210048"/>
        <c:axId val="166003840"/>
        <c:axId val="0"/>
      </c:bar3DChart>
      <c:catAx>
        <c:axId val="196210048"/>
        <c:scaling>
          <c:orientation val="minMax"/>
        </c:scaling>
        <c:axPos val="b"/>
        <c:tickLblPos val="nextTo"/>
        <c:txPr>
          <a:bodyPr/>
          <a:lstStyle/>
          <a:p>
            <a:pPr>
              <a:defRPr lang="ro-RO"/>
            </a:pPr>
            <a:endParaRPr lang="ro-RO"/>
          </a:p>
        </c:txPr>
        <c:crossAx val="166003840"/>
        <c:crosses val="autoZero"/>
        <c:auto val="1"/>
        <c:lblAlgn val="ctr"/>
        <c:lblOffset val="100"/>
      </c:catAx>
      <c:valAx>
        <c:axId val="166003840"/>
        <c:scaling>
          <c:orientation val="minMax"/>
        </c:scaling>
        <c:axPos val="l"/>
        <c:majorGridlines/>
        <c:title>
          <c:tx>
            <c:rich>
              <a:bodyPr rot="0" vert="horz"/>
              <a:lstStyle/>
              <a:p>
                <a:pPr>
                  <a:defRPr lang="ro-RO"/>
                </a:pPr>
                <a:r>
                  <a:rPr lang="ro-RO"/>
                  <a:t>%</a:t>
                </a:r>
              </a:p>
            </c:rich>
          </c:tx>
          <c:layout>
            <c:manualLayout>
              <c:xMode val="edge"/>
              <c:yMode val="edge"/>
              <c:x val="1.1292757391412939E-2"/>
              <c:y val="5.1608920343168482E-2"/>
            </c:manualLayout>
          </c:layout>
        </c:title>
        <c:numFmt formatCode="0" sourceLinked="0"/>
        <c:tickLblPos val="nextTo"/>
        <c:txPr>
          <a:bodyPr/>
          <a:lstStyle/>
          <a:p>
            <a:pPr>
              <a:defRPr lang="ro-RO"/>
            </a:pPr>
            <a:endParaRPr lang="ro-RO"/>
          </a:p>
        </c:txPr>
        <c:crossAx val="196210048"/>
        <c:crosses val="autoZero"/>
        <c:crossBetween val="between"/>
      </c:valAx>
    </c:plotArea>
    <c:legend>
      <c:legendPos val="r"/>
      <c:layout>
        <c:manualLayout>
          <c:xMode val="edge"/>
          <c:yMode val="edge"/>
          <c:x val="0.86426984203661661"/>
          <c:y val="0.32202146329342179"/>
          <c:w val="0.12101642320263629"/>
          <c:h val="0.17367153533289253"/>
        </c:manualLayout>
      </c:layout>
      <c:txPr>
        <a:bodyPr/>
        <a:lstStyle/>
        <a:p>
          <a:pPr>
            <a:defRPr lang="ro-RO"/>
          </a:pPr>
          <a:endParaRPr lang="ro-RO"/>
        </a:p>
      </c:txPr>
    </c:legend>
    <c:plotVisOnly val="1"/>
  </c:chart>
  <c:spPr>
    <a:ln>
      <a:noFill/>
    </a:ln>
  </c:spPr>
  <c:txPr>
    <a:bodyPr/>
    <a:lstStyle/>
    <a:p>
      <a:pPr>
        <a:defRPr>
          <a:latin typeface="Arial" pitchFamily="34" charset="0"/>
          <a:cs typeface="Arial" pitchFamily="34" charset="0"/>
        </a:defRPr>
      </a:pPr>
      <a:endParaRPr lang="ro-RO"/>
    </a:p>
  </c:txPr>
  <c:externalData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o-RO"/>
  <c:clrMapOvr bg1="lt1" tx1="dk1" bg2="lt2" tx2="dk2" accent1="accent1" accent2="accent2" accent3="accent3" accent4="accent4" accent5="accent5" accent6="accent6" hlink="hlink" folHlink="folHlink"/>
  <c:chart>
    <c:view3D>
      <c:rAngAx val="1"/>
    </c:view3D>
    <c:sideWall>
      <c:spPr>
        <a:ln>
          <a:solidFill>
            <a:schemeClr val="bg1">
              <a:lumMod val="50000"/>
            </a:schemeClr>
          </a:solidFill>
        </a:ln>
      </c:spPr>
    </c:sideWall>
    <c:backWall>
      <c:spPr>
        <a:ln>
          <a:solidFill>
            <a:schemeClr val="bg1">
              <a:lumMod val="50000"/>
            </a:schemeClr>
          </a:solidFill>
        </a:ln>
      </c:spPr>
    </c:backWall>
    <c:plotArea>
      <c:layout>
        <c:manualLayout>
          <c:layoutTarget val="inner"/>
          <c:xMode val="edge"/>
          <c:yMode val="edge"/>
          <c:x val="4.7090020569392224E-2"/>
          <c:y val="5.6790123456790124E-2"/>
          <c:w val="0.91323071712810144"/>
          <c:h val="0.59134021290816918"/>
        </c:manualLayout>
      </c:layout>
      <c:bar3DChart>
        <c:barDir val="col"/>
        <c:grouping val="clustered"/>
        <c:ser>
          <c:idx val="0"/>
          <c:order val="0"/>
          <c:tx>
            <c:strRef>
              <c:f>Sheet1!$B$1</c:f>
              <c:strCache>
                <c:ptCount val="1"/>
                <c:pt idx="0">
                  <c:v>PM2.5</c:v>
                </c:pt>
              </c:strCache>
            </c:strRef>
          </c:tx>
          <c:spPr>
            <a:scene3d>
              <a:camera prst="orthographicFront"/>
              <a:lightRig rig="threePt" dir="t"/>
            </a:scene3d>
            <a:sp3d>
              <a:bevelT/>
            </a:sp3d>
          </c:spPr>
          <c:cat>
            <c:strRef>
              <c:f>Sheet1!$A$2:$A$7</c:f>
              <c:strCache>
                <c:ptCount val="6"/>
                <c:pt idx="0">
                  <c:v>Asfaltare drumuri</c:v>
                </c:pt>
                <c:pt idx="1">
                  <c:v>Construcţii şi demolări</c:v>
                </c:pt>
                <c:pt idx="2">
                  <c:v>Ind. alim. şi băuturi</c:v>
                </c:pt>
                <c:pt idx="3">
                  <c:v>Procesare lemn</c:v>
                </c:pt>
                <c:pt idx="4">
                  <c:v>Extracţie la supr. (carieră) </c:v>
                </c:pt>
                <c:pt idx="5">
                  <c:v>Altele</c:v>
                </c:pt>
              </c:strCache>
            </c:strRef>
          </c:cat>
          <c:val>
            <c:numRef>
              <c:f>Sheet1!$B$2:$B$7</c:f>
              <c:numCache>
                <c:formatCode>0.00</c:formatCode>
                <c:ptCount val="6"/>
                <c:pt idx="0">
                  <c:v>34.826901169072826</c:v>
                </c:pt>
                <c:pt idx="1">
                  <c:v>54.697910392007707</c:v>
                </c:pt>
                <c:pt idx="2">
                  <c:v>7.7658777919503574</c:v>
                </c:pt>
                <c:pt idx="4">
                  <c:v>1.1819209766425802</c:v>
                </c:pt>
                <c:pt idx="5">
                  <c:v>1.5273896703265515</c:v>
                </c:pt>
              </c:numCache>
            </c:numRef>
          </c:val>
        </c:ser>
        <c:ser>
          <c:idx val="1"/>
          <c:order val="1"/>
          <c:tx>
            <c:strRef>
              <c:f>Sheet1!$C$1</c:f>
              <c:strCache>
                <c:ptCount val="1"/>
                <c:pt idx="0">
                  <c:v>PM10</c:v>
                </c:pt>
              </c:strCache>
            </c:strRef>
          </c:tx>
          <c:spPr>
            <a:scene3d>
              <a:camera prst="orthographicFront"/>
              <a:lightRig rig="threePt" dir="t"/>
            </a:scene3d>
            <a:sp3d>
              <a:bevelT/>
            </a:sp3d>
          </c:spPr>
          <c:cat>
            <c:strRef>
              <c:f>Sheet1!$A$2:$A$7</c:f>
              <c:strCache>
                <c:ptCount val="6"/>
                <c:pt idx="0">
                  <c:v>Asfaltare drumuri</c:v>
                </c:pt>
                <c:pt idx="1">
                  <c:v>Construcţii şi demolări</c:v>
                </c:pt>
                <c:pt idx="2">
                  <c:v>Ind. alim. şi băuturi</c:v>
                </c:pt>
                <c:pt idx="3">
                  <c:v>Procesare lemn</c:v>
                </c:pt>
                <c:pt idx="4">
                  <c:v>Extracţie la supr. (carieră) </c:v>
                </c:pt>
                <c:pt idx="5">
                  <c:v>Altele</c:v>
                </c:pt>
              </c:strCache>
            </c:strRef>
          </c:cat>
          <c:val>
            <c:numRef>
              <c:f>Sheet1!$C$2:$C$7</c:f>
              <c:numCache>
                <c:formatCode>0.00</c:formatCode>
                <c:ptCount val="6"/>
                <c:pt idx="0">
                  <c:v>10.45239248758342</c:v>
                </c:pt>
                <c:pt idx="1">
                  <c:v>38.304376399983006</c:v>
                </c:pt>
                <c:pt idx="2">
                  <c:v>0.54383632553283157</c:v>
                </c:pt>
                <c:pt idx="3">
                  <c:v>47.878264149755076</c:v>
                </c:pt>
                <c:pt idx="4">
                  <c:v>1.9967406714324361</c:v>
                </c:pt>
                <c:pt idx="5">
                  <c:v>0.82438996571323975</c:v>
                </c:pt>
              </c:numCache>
            </c:numRef>
          </c:val>
        </c:ser>
        <c:gapWidth val="380"/>
        <c:shape val="box"/>
        <c:axId val="166066048"/>
        <c:axId val="166067584"/>
        <c:axId val="0"/>
      </c:bar3DChart>
      <c:dateAx>
        <c:axId val="166066048"/>
        <c:scaling>
          <c:orientation val="minMax"/>
        </c:scaling>
        <c:axPos val="b"/>
        <c:tickLblPos val="nextTo"/>
        <c:txPr>
          <a:bodyPr rot="0" vert="horz"/>
          <a:lstStyle/>
          <a:p>
            <a:pPr>
              <a:defRPr lang="ro-RO"/>
            </a:pPr>
            <a:endParaRPr lang="ro-RO"/>
          </a:p>
        </c:txPr>
        <c:crossAx val="166067584"/>
        <c:crosses val="autoZero"/>
        <c:lblOffset val="100"/>
        <c:baseTimeUnit val="days"/>
        <c:majorUnit val="1"/>
      </c:dateAx>
      <c:valAx>
        <c:axId val="166067584"/>
        <c:scaling>
          <c:orientation val="minMax"/>
        </c:scaling>
        <c:axPos val="l"/>
        <c:majorGridlines/>
        <c:title>
          <c:tx>
            <c:rich>
              <a:bodyPr rot="0" vert="horz"/>
              <a:lstStyle/>
              <a:p>
                <a:pPr>
                  <a:defRPr lang="ro-RO"/>
                </a:pPr>
                <a:r>
                  <a:rPr lang="ro-RO"/>
                  <a:t>%</a:t>
                </a:r>
                <a:endParaRPr lang="en-US"/>
              </a:p>
            </c:rich>
          </c:tx>
          <c:layout>
            <c:manualLayout>
              <c:xMode val="edge"/>
              <c:yMode val="edge"/>
              <c:x val="1.1351412668051341E-3"/>
              <c:y val="4.151972806677854E-2"/>
            </c:manualLayout>
          </c:layout>
        </c:title>
        <c:numFmt formatCode="0" sourceLinked="0"/>
        <c:tickLblPos val="nextTo"/>
        <c:txPr>
          <a:bodyPr/>
          <a:lstStyle/>
          <a:p>
            <a:pPr>
              <a:defRPr lang="ro-RO"/>
            </a:pPr>
            <a:endParaRPr lang="ro-RO"/>
          </a:p>
        </c:txPr>
        <c:crossAx val="166066048"/>
        <c:crossesAt val="1"/>
        <c:crossBetween val="between"/>
        <c:majorUnit val="20"/>
      </c:valAx>
    </c:plotArea>
    <c:legend>
      <c:legendPos val="r"/>
      <c:layout>
        <c:manualLayout>
          <c:xMode val="edge"/>
          <c:yMode val="edge"/>
          <c:x val="0.88789905108015532"/>
          <c:y val="0.24977646250594579"/>
          <c:w val="9.9739279678226656E-2"/>
          <c:h val="0.3370514241275398"/>
        </c:manualLayout>
      </c:layout>
      <c:txPr>
        <a:bodyPr/>
        <a:lstStyle/>
        <a:p>
          <a:pPr>
            <a:defRPr lang="ro-RO"/>
          </a:pPr>
          <a:endParaRPr lang="ro-RO"/>
        </a:p>
      </c:txPr>
    </c:legend>
    <c:plotVisOnly val="1"/>
  </c:chart>
  <c:spPr>
    <a:ln>
      <a:solidFill>
        <a:schemeClr val="bg1"/>
      </a:solidFill>
    </a:ln>
  </c:spPr>
  <c:txPr>
    <a:bodyPr/>
    <a:lstStyle/>
    <a:p>
      <a:pPr>
        <a:defRPr>
          <a:latin typeface="Arial" pitchFamily="34" charset="0"/>
          <a:cs typeface="Arial" pitchFamily="34" charset="0"/>
        </a:defRPr>
      </a:pPr>
      <a:endParaRPr lang="ro-RO"/>
    </a:p>
  </c:txPr>
  <c:externalData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o-RO"/>
  <c:clrMapOvr bg1="lt1" tx1="dk1" bg2="lt2" tx2="dk2" accent1="accent1" accent2="accent2" accent3="accent3" accent4="accent4" accent5="accent5" accent6="accent6" hlink="hlink" folHlink="folHlink"/>
  <c:chart>
    <c:view3D>
      <c:rAngAx val="1"/>
    </c:view3D>
    <c:sideWall>
      <c:spPr>
        <a:noFill/>
        <a:ln>
          <a:solidFill>
            <a:sysClr val="window" lastClr="FFFFFF">
              <a:lumMod val="65000"/>
            </a:sysClr>
          </a:solidFill>
        </a:ln>
      </c:spPr>
    </c:sideWall>
    <c:backWall>
      <c:spPr>
        <a:noFill/>
        <a:ln>
          <a:solidFill>
            <a:sysClr val="window" lastClr="FFFFFF">
              <a:lumMod val="65000"/>
            </a:sysClr>
          </a:solidFill>
        </a:ln>
      </c:spPr>
    </c:backWall>
    <c:plotArea>
      <c:layout>
        <c:manualLayout>
          <c:layoutTarget val="inner"/>
          <c:xMode val="edge"/>
          <c:yMode val="edge"/>
          <c:x val="5.5891122338651004E-2"/>
          <c:y val="5.3240740740740741E-2"/>
          <c:w val="0.91703933669658655"/>
          <c:h val="0.78680592009332162"/>
        </c:manualLayout>
      </c:layout>
      <c:bar3DChart>
        <c:barDir val="col"/>
        <c:grouping val="clustered"/>
        <c:ser>
          <c:idx val="0"/>
          <c:order val="0"/>
          <c:tx>
            <c:strRef>
              <c:f>Sheet1!$B$1</c:f>
              <c:strCache>
                <c:ptCount val="1"/>
                <c:pt idx="0">
                  <c:v>NH3</c:v>
                </c:pt>
              </c:strCache>
            </c:strRef>
          </c:tx>
          <c:spPr>
            <a:scene3d>
              <a:camera prst="orthographicFront"/>
              <a:lightRig rig="threePt" dir="t"/>
            </a:scene3d>
            <a:sp3d>
              <a:bevelT/>
            </a:sp3d>
          </c:spPr>
          <c:cat>
            <c:strRef>
              <c:f>Sheet1!$A$2:$A$7</c:f>
              <c:strCache>
                <c:ptCount val="6"/>
                <c:pt idx="0">
                  <c:v>autoturisme </c:v>
                </c:pt>
                <c:pt idx="1">
                  <c:v>autoutilitare</c:v>
                </c:pt>
                <c:pt idx="2">
                  <c:v>autovehicule grele, incl. autobuze</c:v>
                </c:pt>
                <c:pt idx="3">
                  <c:v>motorete şi motociclete</c:v>
                </c:pt>
                <c:pt idx="4">
                  <c:v>transport feroviar</c:v>
                </c:pt>
                <c:pt idx="5">
                  <c:v>transport   aerian</c:v>
                </c:pt>
              </c:strCache>
            </c:strRef>
          </c:cat>
          <c:val>
            <c:numRef>
              <c:f>Sheet1!$B$2:$B$7</c:f>
              <c:numCache>
                <c:formatCode>0.000</c:formatCode>
                <c:ptCount val="6"/>
                <c:pt idx="0">
                  <c:v>85.182299999999998</c:v>
                </c:pt>
                <c:pt idx="1">
                  <c:v>7.4340000000000002</c:v>
                </c:pt>
                <c:pt idx="2">
                  <c:v>7.2008999999999999</c:v>
                </c:pt>
                <c:pt idx="3">
                  <c:v>1.9599999999999999E-2</c:v>
                </c:pt>
                <c:pt idx="4">
                  <c:v>0.16309999999999999</c:v>
                </c:pt>
              </c:numCache>
            </c:numRef>
          </c:val>
        </c:ser>
        <c:ser>
          <c:idx val="1"/>
          <c:order val="1"/>
          <c:tx>
            <c:strRef>
              <c:f>Sheet1!$C$1</c:f>
              <c:strCache>
                <c:ptCount val="1"/>
                <c:pt idx="0">
                  <c:v>NOx</c:v>
                </c:pt>
              </c:strCache>
            </c:strRef>
          </c:tx>
          <c:spPr>
            <a:scene3d>
              <a:camera prst="orthographicFront"/>
              <a:lightRig rig="threePt" dir="t"/>
            </a:scene3d>
            <a:sp3d>
              <a:bevelT/>
            </a:sp3d>
          </c:spPr>
          <c:cat>
            <c:strRef>
              <c:f>Sheet1!$A$2:$A$7</c:f>
              <c:strCache>
                <c:ptCount val="6"/>
                <c:pt idx="0">
                  <c:v>autoturisme </c:v>
                </c:pt>
                <c:pt idx="1">
                  <c:v>autoutilitare</c:v>
                </c:pt>
                <c:pt idx="2">
                  <c:v>autovehicule grele, incl. autobuze</c:v>
                </c:pt>
                <c:pt idx="3">
                  <c:v>motorete şi motociclete</c:v>
                </c:pt>
                <c:pt idx="4">
                  <c:v>transport feroviar</c:v>
                </c:pt>
                <c:pt idx="5">
                  <c:v>transport   aerian</c:v>
                </c:pt>
              </c:strCache>
            </c:strRef>
          </c:cat>
          <c:val>
            <c:numRef>
              <c:f>Sheet1!$C$2:$C$7</c:f>
              <c:numCache>
                <c:formatCode>0.000</c:formatCode>
                <c:ptCount val="6"/>
                <c:pt idx="0">
                  <c:v>22.940999999999978</c:v>
                </c:pt>
                <c:pt idx="1">
                  <c:v>10.434000000000001</c:v>
                </c:pt>
                <c:pt idx="2">
                  <c:v>57.083000000000006</c:v>
                </c:pt>
                <c:pt idx="3">
                  <c:v>2.5000000000000001E-2</c:v>
                </c:pt>
                <c:pt idx="4">
                  <c:v>9.206999999999999</c:v>
                </c:pt>
                <c:pt idx="5">
                  <c:v>0.31000000000000028</c:v>
                </c:pt>
              </c:numCache>
            </c:numRef>
          </c:val>
        </c:ser>
        <c:gapWidth val="433"/>
        <c:shape val="box"/>
        <c:axId val="166695296"/>
        <c:axId val="166696832"/>
        <c:axId val="0"/>
      </c:bar3DChart>
      <c:catAx>
        <c:axId val="166695296"/>
        <c:scaling>
          <c:orientation val="minMax"/>
        </c:scaling>
        <c:axPos val="b"/>
        <c:tickLblPos val="nextTo"/>
        <c:txPr>
          <a:bodyPr anchor="t" anchorCtr="0"/>
          <a:lstStyle/>
          <a:p>
            <a:pPr>
              <a:defRPr lang="ro-RO" sz="900"/>
            </a:pPr>
            <a:endParaRPr lang="ro-RO"/>
          </a:p>
        </c:txPr>
        <c:crossAx val="166696832"/>
        <c:crosses val="autoZero"/>
        <c:auto val="1"/>
        <c:lblAlgn val="ctr"/>
        <c:lblOffset val="100"/>
      </c:catAx>
      <c:valAx>
        <c:axId val="166696832"/>
        <c:scaling>
          <c:orientation val="minMax"/>
        </c:scaling>
        <c:axPos val="l"/>
        <c:majorGridlines/>
        <c:title>
          <c:tx>
            <c:rich>
              <a:bodyPr rot="0" vert="wordArtVert"/>
              <a:lstStyle/>
              <a:p>
                <a:pPr>
                  <a:defRPr lang="ro-RO"/>
                </a:pPr>
                <a:r>
                  <a:rPr lang="ro-RO"/>
                  <a:t>%</a:t>
                </a:r>
              </a:p>
            </c:rich>
          </c:tx>
          <c:layout>
            <c:manualLayout>
              <c:xMode val="edge"/>
              <c:yMode val="edge"/>
              <c:x val="0"/>
              <c:y val="9.7610495339068765E-2"/>
            </c:manualLayout>
          </c:layout>
        </c:title>
        <c:numFmt formatCode="0" sourceLinked="0"/>
        <c:tickLblPos val="nextTo"/>
        <c:txPr>
          <a:bodyPr/>
          <a:lstStyle/>
          <a:p>
            <a:pPr>
              <a:defRPr lang="ro-RO"/>
            </a:pPr>
            <a:endParaRPr lang="ro-RO"/>
          </a:p>
        </c:txPr>
        <c:crossAx val="166695296"/>
        <c:crosses val="autoZero"/>
        <c:crossBetween val="between"/>
        <c:majorUnit val="20"/>
      </c:valAx>
    </c:plotArea>
    <c:legend>
      <c:legendPos val="r"/>
      <c:layout>
        <c:manualLayout>
          <c:xMode val="edge"/>
          <c:yMode val="edge"/>
          <c:x val="0.9135505884345102"/>
          <c:y val="0.19574105684341936"/>
          <c:w val="7.6433450588151833E-2"/>
          <c:h val="0.31598571011956894"/>
        </c:manualLayout>
      </c:layout>
      <c:txPr>
        <a:bodyPr/>
        <a:lstStyle/>
        <a:p>
          <a:pPr>
            <a:defRPr lang="ro-RO"/>
          </a:pPr>
          <a:endParaRPr lang="ro-RO"/>
        </a:p>
      </c:txPr>
    </c:legend>
    <c:plotVisOnly val="1"/>
  </c:chart>
  <c:spPr>
    <a:noFill/>
    <a:ln>
      <a:noFill/>
    </a:ln>
  </c:spPr>
  <c:txPr>
    <a:bodyPr/>
    <a:lstStyle/>
    <a:p>
      <a:pPr>
        <a:defRPr>
          <a:latin typeface="Arial" pitchFamily="34" charset="0"/>
          <a:cs typeface="Arial" pitchFamily="34" charset="0"/>
        </a:defRPr>
      </a:pPr>
      <a:endParaRPr lang="ro-RO"/>
    </a:p>
  </c:txPr>
  <c:externalData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o-RO"/>
  <c:clrMapOvr bg1="lt1" tx1="dk1" bg2="lt2" tx2="dk2" accent1="accent1" accent2="accent2" accent3="accent3" accent4="accent4" accent5="accent5" accent6="accent6" hlink="hlink" folHlink="folHlink"/>
  <c:chart>
    <c:view3D>
      <c:rAngAx val="1"/>
    </c:view3D>
    <c:sideWall>
      <c:spPr>
        <a:noFill/>
        <a:ln>
          <a:solidFill>
            <a:sysClr val="window" lastClr="FFFFFF">
              <a:lumMod val="65000"/>
            </a:sysClr>
          </a:solidFill>
        </a:ln>
      </c:spPr>
    </c:sideWall>
    <c:backWall>
      <c:spPr>
        <a:noFill/>
        <a:ln>
          <a:solidFill>
            <a:sysClr val="window" lastClr="FFFFFF">
              <a:lumMod val="65000"/>
            </a:sysClr>
          </a:solidFill>
        </a:ln>
      </c:spPr>
    </c:backWall>
    <c:plotArea>
      <c:layout>
        <c:manualLayout>
          <c:layoutTarget val="inner"/>
          <c:xMode val="edge"/>
          <c:yMode val="edge"/>
          <c:x val="4.3856852254022943E-2"/>
          <c:y val="4.4834307992202824E-2"/>
          <c:w val="0.92392317678318014"/>
          <c:h val="0.61657896421483893"/>
        </c:manualLayout>
      </c:layout>
      <c:bar3DChart>
        <c:barDir val="col"/>
        <c:grouping val="clustered"/>
        <c:ser>
          <c:idx val="0"/>
          <c:order val="0"/>
          <c:tx>
            <c:strRef>
              <c:f>Sheet1!$B$1</c:f>
              <c:strCache>
                <c:ptCount val="1"/>
                <c:pt idx="0">
                  <c:v>CO</c:v>
                </c:pt>
              </c:strCache>
            </c:strRef>
          </c:tx>
          <c:spPr>
            <a:scene3d>
              <a:camera prst="orthographicFront"/>
              <a:lightRig rig="threePt" dir="t"/>
            </a:scene3d>
            <a:sp3d>
              <a:bevelT/>
            </a:sp3d>
          </c:spPr>
          <c:cat>
            <c:strRef>
              <c:f>Sheet1!$A$2:$A$7</c:f>
              <c:strCache>
                <c:ptCount val="6"/>
                <c:pt idx="0">
                  <c:v>autoturisme </c:v>
                </c:pt>
                <c:pt idx="1">
                  <c:v>autoutilitare</c:v>
                </c:pt>
                <c:pt idx="2">
                  <c:v>autovehicule grele, incl. autobuze</c:v>
                </c:pt>
                <c:pt idx="3">
                  <c:v>motorete şi motociclete</c:v>
                </c:pt>
                <c:pt idx="4">
                  <c:v>transport feroviar</c:v>
                </c:pt>
                <c:pt idx="5">
                  <c:v>transport aerian</c:v>
                </c:pt>
              </c:strCache>
            </c:strRef>
          </c:cat>
          <c:val>
            <c:numRef>
              <c:f>Sheet1!$B$2:$B$7</c:f>
              <c:numCache>
                <c:formatCode>0.000</c:formatCode>
                <c:ptCount val="6"/>
                <c:pt idx="0">
                  <c:v>70.527000000000001</c:v>
                </c:pt>
                <c:pt idx="1">
                  <c:v>15.135</c:v>
                </c:pt>
                <c:pt idx="2">
                  <c:v>11.803000000000004</c:v>
                </c:pt>
                <c:pt idx="3">
                  <c:v>0.90500000000000003</c:v>
                </c:pt>
                <c:pt idx="4">
                  <c:v>1.4109999999999987</c:v>
                </c:pt>
                <c:pt idx="5">
                  <c:v>0.21900000000000014</c:v>
                </c:pt>
              </c:numCache>
            </c:numRef>
          </c:val>
        </c:ser>
        <c:ser>
          <c:idx val="1"/>
          <c:order val="1"/>
          <c:tx>
            <c:strRef>
              <c:f>Sheet1!$C$1</c:f>
              <c:strCache>
                <c:ptCount val="1"/>
                <c:pt idx="0">
                  <c:v>NMVOC</c:v>
                </c:pt>
              </c:strCache>
            </c:strRef>
          </c:tx>
          <c:spPr>
            <a:scene3d>
              <a:camera prst="orthographicFront"/>
              <a:lightRig rig="threePt" dir="t"/>
            </a:scene3d>
            <a:sp3d>
              <a:bevelT/>
            </a:sp3d>
          </c:spPr>
          <c:cat>
            <c:strRef>
              <c:f>Sheet1!$A$2:$A$7</c:f>
              <c:strCache>
                <c:ptCount val="6"/>
                <c:pt idx="0">
                  <c:v>autoturisme </c:v>
                </c:pt>
                <c:pt idx="1">
                  <c:v>autoutilitare</c:v>
                </c:pt>
                <c:pt idx="2">
                  <c:v>autovehicule grele, incl. autobuze</c:v>
                </c:pt>
                <c:pt idx="3">
                  <c:v>motorete şi motociclete</c:v>
                </c:pt>
                <c:pt idx="4">
                  <c:v>transport feroviar</c:v>
                </c:pt>
                <c:pt idx="5">
                  <c:v>transport aerian</c:v>
                </c:pt>
              </c:strCache>
            </c:strRef>
          </c:cat>
          <c:val>
            <c:numRef>
              <c:f>Sheet1!$C$2:$C$7</c:f>
              <c:numCache>
                <c:formatCode>0.000</c:formatCode>
                <c:ptCount val="6"/>
                <c:pt idx="0">
                  <c:v>68.963589761984196</c:v>
                </c:pt>
                <c:pt idx="1">
                  <c:v>10.73238727946547</c:v>
                </c:pt>
                <c:pt idx="2">
                  <c:v>15.763363849854247</c:v>
                </c:pt>
                <c:pt idx="3">
                  <c:v>1.4182051227128161</c:v>
                </c:pt>
                <c:pt idx="4">
                  <c:v>3.1223896646894271</c:v>
                </c:pt>
                <c:pt idx="5" formatCode="0.000000">
                  <c:v>6.4321293874057043E-5</c:v>
                </c:pt>
              </c:numCache>
            </c:numRef>
          </c:val>
        </c:ser>
        <c:ser>
          <c:idx val="2"/>
          <c:order val="2"/>
          <c:tx>
            <c:strRef>
              <c:f>Sheet1!$D$1</c:f>
              <c:strCache>
                <c:ptCount val="1"/>
                <c:pt idx="0">
                  <c:v>NOx</c:v>
                </c:pt>
              </c:strCache>
            </c:strRef>
          </c:tx>
          <c:spPr>
            <a:scene3d>
              <a:camera prst="orthographicFront"/>
              <a:lightRig rig="threePt" dir="t"/>
            </a:scene3d>
            <a:sp3d>
              <a:bevelT/>
            </a:sp3d>
          </c:spPr>
          <c:cat>
            <c:strRef>
              <c:f>Sheet1!$A$2:$A$7</c:f>
              <c:strCache>
                <c:ptCount val="6"/>
                <c:pt idx="0">
                  <c:v>autoturisme </c:v>
                </c:pt>
                <c:pt idx="1">
                  <c:v>autoutilitare</c:v>
                </c:pt>
                <c:pt idx="2">
                  <c:v>autovehicule grele, incl. autobuze</c:v>
                </c:pt>
                <c:pt idx="3">
                  <c:v>motorete şi motociclete</c:v>
                </c:pt>
                <c:pt idx="4">
                  <c:v>transport feroviar</c:v>
                </c:pt>
                <c:pt idx="5">
                  <c:v>transport aerian</c:v>
                </c:pt>
              </c:strCache>
            </c:strRef>
          </c:cat>
          <c:val>
            <c:numRef>
              <c:f>Sheet1!$D$2:$D$7</c:f>
              <c:numCache>
                <c:formatCode>0.000</c:formatCode>
                <c:ptCount val="6"/>
                <c:pt idx="0">
                  <c:v>22.940999999999978</c:v>
                </c:pt>
                <c:pt idx="1">
                  <c:v>10.434000000000001</c:v>
                </c:pt>
                <c:pt idx="2">
                  <c:v>57.083000000000006</c:v>
                </c:pt>
                <c:pt idx="3">
                  <c:v>2.5000000000000001E-2</c:v>
                </c:pt>
                <c:pt idx="4">
                  <c:v>9.206999999999999</c:v>
                </c:pt>
                <c:pt idx="5">
                  <c:v>0.31000000000000028</c:v>
                </c:pt>
              </c:numCache>
            </c:numRef>
          </c:val>
        </c:ser>
        <c:gapWidth val="338"/>
        <c:shape val="box"/>
        <c:axId val="166722944"/>
        <c:axId val="166757504"/>
        <c:axId val="0"/>
      </c:bar3DChart>
      <c:catAx>
        <c:axId val="166722944"/>
        <c:scaling>
          <c:orientation val="minMax"/>
        </c:scaling>
        <c:axPos val="b"/>
        <c:tickLblPos val="nextTo"/>
        <c:txPr>
          <a:bodyPr rot="0" anchor="t" anchorCtr="1"/>
          <a:lstStyle/>
          <a:p>
            <a:pPr>
              <a:defRPr lang="ro-RO" sz="900"/>
            </a:pPr>
            <a:endParaRPr lang="ro-RO"/>
          </a:p>
        </c:txPr>
        <c:crossAx val="166757504"/>
        <c:crosses val="autoZero"/>
        <c:auto val="1"/>
        <c:lblAlgn val="ctr"/>
        <c:lblOffset val="100"/>
      </c:catAx>
      <c:valAx>
        <c:axId val="166757504"/>
        <c:scaling>
          <c:orientation val="minMax"/>
        </c:scaling>
        <c:axPos val="l"/>
        <c:majorGridlines/>
        <c:title>
          <c:tx>
            <c:rich>
              <a:bodyPr rot="0" vert="wordArtVert"/>
              <a:lstStyle/>
              <a:p>
                <a:pPr>
                  <a:defRPr lang="ro-RO"/>
                </a:pPr>
                <a:r>
                  <a:rPr lang="ro-RO"/>
                  <a:t>%</a:t>
                </a:r>
              </a:p>
            </c:rich>
          </c:tx>
          <c:layout>
            <c:manualLayout>
              <c:xMode val="edge"/>
              <c:yMode val="edge"/>
              <c:x val="1.0777153679513301E-3"/>
              <c:y val="0.12157942521335777"/>
            </c:manualLayout>
          </c:layout>
        </c:title>
        <c:numFmt formatCode="0" sourceLinked="0"/>
        <c:tickLblPos val="nextTo"/>
        <c:txPr>
          <a:bodyPr/>
          <a:lstStyle/>
          <a:p>
            <a:pPr>
              <a:defRPr lang="ro-RO"/>
            </a:pPr>
            <a:endParaRPr lang="ro-RO"/>
          </a:p>
        </c:txPr>
        <c:crossAx val="166722944"/>
        <c:crosses val="autoZero"/>
        <c:crossBetween val="between"/>
        <c:majorUnit val="20"/>
      </c:valAx>
    </c:plotArea>
    <c:legend>
      <c:legendPos val="r"/>
      <c:layout>
        <c:manualLayout>
          <c:xMode val="edge"/>
          <c:yMode val="edge"/>
          <c:x val="0.89171242654760607"/>
          <c:y val="7.8895944458555578E-2"/>
          <c:w val="0.10828757345239402"/>
          <c:h val="0.46748570812210138"/>
        </c:manualLayout>
      </c:layout>
      <c:txPr>
        <a:bodyPr/>
        <a:lstStyle/>
        <a:p>
          <a:pPr>
            <a:defRPr lang="ro-RO"/>
          </a:pPr>
          <a:endParaRPr lang="ro-RO"/>
        </a:p>
      </c:txPr>
    </c:legend>
    <c:plotVisOnly val="1"/>
  </c:chart>
  <c:spPr>
    <a:noFill/>
    <a:ln>
      <a:noFill/>
    </a:ln>
  </c:spPr>
  <c:txPr>
    <a:bodyPr/>
    <a:lstStyle/>
    <a:p>
      <a:pPr>
        <a:defRPr>
          <a:latin typeface="Arial" pitchFamily="34" charset="0"/>
          <a:cs typeface="Arial" pitchFamily="34" charset="0"/>
        </a:defRPr>
      </a:pPr>
      <a:endParaRPr lang="ro-RO"/>
    </a:p>
  </c:txPr>
  <c:externalData r:id="rId2"/>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o-RO"/>
  <c:clrMapOvr bg1="lt1" tx1="dk1" bg2="lt2" tx2="dk2" accent1="accent1" accent2="accent2" accent3="accent3" accent4="accent4" accent5="accent5" accent6="accent6" hlink="hlink" folHlink="folHlink"/>
  <c:chart>
    <c:view3D>
      <c:rAngAx val="1"/>
    </c:view3D>
    <c:sideWall>
      <c:spPr>
        <a:noFill/>
        <a:ln>
          <a:solidFill>
            <a:sysClr val="window" lastClr="FFFFFF">
              <a:lumMod val="65000"/>
            </a:sysClr>
          </a:solidFill>
        </a:ln>
      </c:spPr>
    </c:sideWall>
    <c:backWall>
      <c:spPr>
        <a:noFill/>
        <a:ln>
          <a:solidFill>
            <a:sysClr val="window" lastClr="FFFFFF">
              <a:lumMod val="65000"/>
            </a:sysClr>
          </a:solidFill>
        </a:ln>
      </c:spPr>
    </c:backWall>
    <c:plotArea>
      <c:layout>
        <c:manualLayout>
          <c:layoutTarget val="inner"/>
          <c:xMode val="edge"/>
          <c:yMode val="edge"/>
          <c:x val="4.5690490611750463E-2"/>
          <c:y val="4.9145299145299144E-2"/>
          <c:w val="0.88936973564578969"/>
          <c:h val="0.63221970135089056"/>
        </c:manualLayout>
      </c:layout>
      <c:bar3DChart>
        <c:barDir val="col"/>
        <c:grouping val="clustered"/>
        <c:ser>
          <c:idx val="0"/>
          <c:order val="0"/>
          <c:tx>
            <c:strRef>
              <c:f>Sheet1!$B$1</c:f>
              <c:strCache>
                <c:ptCount val="1"/>
                <c:pt idx="0">
                  <c:v>PM10</c:v>
                </c:pt>
              </c:strCache>
            </c:strRef>
          </c:tx>
          <c:spPr>
            <a:solidFill>
              <a:srgbClr val="F79646">
                <a:lumMod val="60000"/>
                <a:lumOff val="40000"/>
              </a:srgbClr>
            </a:solidFill>
            <a:scene3d>
              <a:camera prst="orthographicFront"/>
              <a:lightRig rig="threePt" dir="t"/>
            </a:scene3d>
            <a:sp3d>
              <a:bevelT/>
            </a:sp3d>
          </c:spPr>
          <c:cat>
            <c:strRef>
              <c:f>Sheet1!$A$2:$A$6</c:f>
              <c:strCache>
                <c:ptCount val="5"/>
                <c:pt idx="0">
                  <c:v>autoturisme </c:v>
                </c:pt>
                <c:pt idx="1">
                  <c:v>autoutilitare</c:v>
                </c:pt>
                <c:pt idx="2">
                  <c:v>autovehicule grele, incl. autobuze</c:v>
                </c:pt>
                <c:pt idx="3">
                  <c:v>motorete şi motociclete</c:v>
                </c:pt>
                <c:pt idx="4">
                  <c:v>transport feroviar</c:v>
                </c:pt>
              </c:strCache>
            </c:strRef>
          </c:cat>
          <c:val>
            <c:numRef>
              <c:f>Sheet1!$B$2:$B$6</c:f>
              <c:numCache>
                <c:formatCode>0.00</c:formatCode>
                <c:ptCount val="5"/>
                <c:pt idx="0">
                  <c:v>29.589285840024772</c:v>
                </c:pt>
                <c:pt idx="1">
                  <c:v>18.033141156253333</c:v>
                </c:pt>
                <c:pt idx="2">
                  <c:v>46.937118676835773</c:v>
                </c:pt>
                <c:pt idx="3">
                  <c:v>0.15095733209267506</c:v>
                </c:pt>
                <c:pt idx="4">
                  <c:v>5.2894969947934891</c:v>
                </c:pt>
              </c:numCache>
            </c:numRef>
          </c:val>
        </c:ser>
        <c:ser>
          <c:idx val="1"/>
          <c:order val="1"/>
          <c:tx>
            <c:strRef>
              <c:f>Sheet1!$C$1</c:f>
              <c:strCache>
                <c:ptCount val="1"/>
                <c:pt idx="0">
                  <c:v>PM2.5</c:v>
                </c:pt>
              </c:strCache>
            </c:strRef>
          </c:tx>
          <c:spPr>
            <a:solidFill>
              <a:srgbClr val="C0504D">
                <a:lumMod val="75000"/>
              </a:srgbClr>
            </a:solidFill>
            <a:scene3d>
              <a:camera prst="orthographicFront"/>
              <a:lightRig rig="threePt" dir="t"/>
            </a:scene3d>
            <a:sp3d>
              <a:bevelT/>
            </a:sp3d>
          </c:spPr>
          <c:cat>
            <c:strRef>
              <c:f>Sheet1!$A$2:$A$6</c:f>
              <c:strCache>
                <c:ptCount val="5"/>
                <c:pt idx="0">
                  <c:v>autoturisme </c:v>
                </c:pt>
                <c:pt idx="1">
                  <c:v>autoutilitare</c:v>
                </c:pt>
                <c:pt idx="2">
                  <c:v>autovehicule grele, incl. autobuze</c:v>
                </c:pt>
                <c:pt idx="3">
                  <c:v>motorete şi motociclete</c:v>
                </c:pt>
                <c:pt idx="4">
                  <c:v>transport feroviar</c:v>
                </c:pt>
              </c:strCache>
            </c:strRef>
          </c:cat>
          <c:val>
            <c:numRef>
              <c:f>Sheet1!$C$2:$C$6</c:f>
              <c:numCache>
                <c:formatCode>0.00</c:formatCode>
                <c:ptCount val="5"/>
                <c:pt idx="0">
                  <c:v>28.134327156327693</c:v>
                </c:pt>
                <c:pt idx="1">
                  <c:v>18.39377741093729</c:v>
                </c:pt>
                <c:pt idx="2">
                  <c:v>47.441553150820674</c:v>
                </c:pt>
                <c:pt idx="3">
                  <c:v>0.16244057349073218</c:v>
                </c:pt>
                <c:pt idx="4">
                  <c:v>5.8679017084235863</c:v>
                </c:pt>
              </c:numCache>
            </c:numRef>
          </c:val>
        </c:ser>
        <c:gapWidth val="422"/>
        <c:shape val="box"/>
        <c:axId val="166606720"/>
        <c:axId val="166608256"/>
        <c:axId val="0"/>
      </c:bar3DChart>
      <c:catAx>
        <c:axId val="166606720"/>
        <c:scaling>
          <c:orientation val="minMax"/>
        </c:scaling>
        <c:axPos val="b"/>
        <c:tickLblPos val="nextTo"/>
        <c:txPr>
          <a:bodyPr/>
          <a:lstStyle/>
          <a:p>
            <a:pPr>
              <a:defRPr lang="ro-RO" sz="900">
                <a:latin typeface="Arial" pitchFamily="34" charset="0"/>
                <a:cs typeface="Arial" pitchFamily="34" charset="0"/>
              </a:defRPr>
            </a:pPr>
            <a:endParaRPr lang="ro-RO"/>
          </a:p>
        </c:txPr>
        <c:crossAx val="166608256"/>
        <c:crosses val="autoZero"/>
        <c:auto val="1"/>
        <c:lblAlgn val="ctr"/>
        <c:lblOffset val="100"/>
      </c:catAx>
      <c:valAx>
        <c:axId val="166608256"/>
        <c:scaling>
          <c:orientation val="minMax"/>
        </c:scaling>
        <c:axPos val="l"/>
        <c:majorGridlines/>
        <c:title>
          <c:tx>
            <c:rich>
              <a:bodyPr rot="0" vert="horz"/>
              <a:lstStyle/>
              <a:p>
                <a:pPr>
                  <a:defRPr lang="ro-RO"/>
                </a:pPr>
                <a:r>
                  <a:rPr lang="ro-RO"/>
                  <a:t>%</a:t>
                </a:r>
              </a:p>
            </c:rich>
          </c:tx>
          <c:layout>
            <c:manualLayout>
              <c:xMode val="edge"/>
              <c:yMode val="edge"/>
              <c:x val="1.7049509324886683E-3"/>
              <c:y val="8.8927027834095743E-2"/>
            </c:manualLayout>
          </c:layout>
        </c:title>
        <c:numFmt formatCode="0" sourceLinked="0"/>
        <c:tickLblPos val="nextTo"/>
        <c:txPr>
          <a:bodyPr/>
          <a:lstStyle/>
          <a:p>
            <a:pPr>
              <a:defRPr lang="ro-RO" sz="1000">
                <a:latin typeface="Arial" pitchFamily="34" charset="0"/>
                <a:cs typeface="Arial" pitchFamily="34" charset="0"/>
              </a:defRPr>
            </a:pPr>
            <a:endParaRPr lang="ro-RO"/>
          </a:p>
        </c:txPr>
        <c:crossAx val="166606720"/>
        <c:crosses val="autoZero"/>
        <c:crossBetween val="between"/>
      </c:valAx>
    </c:plotArea>
    <c:legend>
      <c:legendPos val="r"/>
      <c:layout>
        <c:manualLayout>
          <c:xMode val="edge"/>
          <c:yMode val="edge"/>
          <c:x val="0.89670238467897934"/>
          <c:y val="0.20155001458151064"/>
          <c:w val="8.9444530218036528E-2"/>
          <c:h val="0.29536162146398381"/>
        </c:manualLayout>
      </c:layout>
      <c:txPr>
        <a:bodyPr/>
        <a:lstStyle/>
        <a:p>
          <a:pPr>
            <a:defRPr lang="ro-RO" sz="900">
              <a:latin typeface="Arial" pitchFamily="34" charset="0"/>
              <a:cs typeface="Arial" pitchFamily="34" charset="0"/>
            </a:defRPr>
          </a:pPr>
          <a:endParaRPr lang="ro-RO"/>
        </a:p>
      </c:txPr>
    </c:legend>
    <c:plotVisOnly val="1"/>
  </c:chart>
  <c:spPr>
    <a:noFill/>
    <a:ln>
      <a:noFill/>
    </a:ln>
  </c:spPr>
  <c:externalData r:id="rId2"/>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o-RO"/>
  <c:clrMapOvr bg1="lt1" tx1="dk1" bg2="lt2" tx2="dk2" accent1="accent1" accent2="accent2" accent3="accent3" accent4="accent4" accent5="accent5" accent6="accent6" hlink="hlink" folHlink="folHlink"/>
  <c:chart>
    <c:view3D>
      <c:rAngAx val="1"/>
    </c:view3D>
    <c:sideWall>
      <c:spPr>
        <a:ln>
          <a:solidFill>
            <a:sysClr val="window" lastClr="FFFFFF">
              <a:lumMod val="65000"/>
            </a:sysClr>
          </a:solidFill>
        </a:ln>
      </c:spPr>
    </c:sideWall>
    <c:backWall>
      <c:spPr>
        <a:ln>
          <a:solidFill>
            <a:sysClr val="window" lastClr="FFFFFF">
              <a:lumMod val="65000"/>
            </a:sysClr>
          </a:solidFill>
        </a:ln>
      </c:spPr>
    </c:backWall>
    <c:plotArea>
      <c:layout>
        <c:manualLayout>
          <c:layoutTarget val="inner"/>
          <c:xMode val="edge"/>
          <c:yMode val="edge"/>
          <c:x val="6.8989371378082698E-2"/>
          <c:y val="4.0780141843971933E-2"/>
          <c:w val="0.86238160823956478"/>
          <c:h val="0.62000689913760776"/>
        </c:manualLayout>
      </c:layout>
      <c:bar3DChart>
        <c:barDir val="col"/>
        <c:grouping val="clustered"/>
        <c:ser>
          <c:idx val="0"/>
          <c:order val="0"/>
          <c:tx>
            <c:strRef>
              <c:f>Sheet1!$B$1</c:f>
              <c:strCache>
                <c:ptCount val="1"/>
                <c:pt idx="0">
                  <c:v>Pb</c:v>
                </c:pt>
              </c:strCache>
            </c:strRef>
          </c:tx>
          <c:spPr>
            <a:scene3d>
              <a:camera prst="orthographicFront"/>
              <a:lightRig rig="threePt" dir="t"/>
            </a:scene3d>
            <a:sp3d>
              <a:bevelT/>
            </a:sp3d>
          </c:spPr>
          <c:cat>
            <c:strRef>
              <c:f>Sheet1!$A$2:$A$6</c:f>
              <c:strCache>
                <c:ptCount val="5"/>
                <c:pt idx="0">
                  <c:v>autoturisme </c:v>
                </c:pt>
                <c:pt idx="1">
                  <c:v>autoutilitare</c:v>
                </c:pt>
                <c:pt idx="2">
                  <c:v>autovehicule grele, incl. autobuze</c:v>
                </c:pt>
                <c:pt idx="3">
                  <c:v>motorete şi motociclete</c:v>
                </c:pt>
                <c:pt idx="4">
                  <c:v>transport feroviar</c:v>
                </c:pt>
              </c:strCache>
            </c:strRef>
          </c:cat>
          <c:val>
            <c:numRef>
              <c:f>Sheet1!$B$2:$B$6</c:f>
              <c:numCache>
                <c:formatCode>0.00</c:formatCode>
                <c:ptCount val="5"/>
                <c:pt idx="0">
                  <c:v>37.046770390475729</c:v>
                </c:pt>
                <c:pt idx="1">
                  <c:v>15.436102160243719</c:v>
                </c:pt>
                <c:pt idx="2">
                  <c:v>47.441721579660339</c:v>
                </c:pt>
                <c:pt idx="3">
                  <c:v>7.5405869620178742E-2</c:v>
                </c:pt>
              </c:numCache>
            </c:numRef>
          </c:val>
        </c:ser>
        <c:ser>
          <c:idx val="1"/>
          <c:order val="1"/>
          <c:tx>
            <c:strRef>
              <c:f>Sheet1!$C$1</c:f>
              <c:strCache>
                <c:ptCount val="1"/>
                <c:pt idx="0">
                  <c:v>Cd</c:v>
                </c:pt>
              </c:strCache>
            </c:strRef>
          </c:tx>
          <c:spPr>
            <a:scene3d>
              <a:camera prst="orthographicFront"/>
              <a:lightRig rig="threePt" dir="t"/>
            </a:scene3d>
            <a:sp3d>
              <a:bevelT/>
            </a:sp3d>
          </c:spPr>
          <c:cat>
            <c:strRef>
              <c:f>Sheet1!$A$2:$A$6</c:f>
              <c:strCache>
                <c:ptCount val="5"/>
                <c:pt idx="0">
                  <c:v>autoturisme </c:v>
                </c:pt>
                <c:pt idx="1">
                  <c:v>autoutilitare</c:v>
                </c:pt>
                <c:pt idx="2">
                  <c:v>autovehicule grele, incl. autobuze</c:v>
                </c:pt>
                <c:pt idx="3">
                  <c:v>motorete şi motociclete</c:v>
                </c:pt>
                <c:pt idx="4">
                  <c:v>transport feroviar</c:v>
                </c:pt>
              </c:strCache>
            </c:strRef>
          </c:cat>
          <c:val>
            <c:numRef>
              <c:f>Sheet1!$C$2:$C$6</c:f>
              <c:numCache>
                <c:formatCode>0.00</c:formatCode>
                <c:ptCount val="5"/>
                <c:pt idx="0">
                  <c:v>42.364991951725997</c:v>
                </c:pt>
                <c:pt idx="1">
                  <c:v>14.366009521604328</c:v>
                </c:pt>
                <c:pt idx="2">
                  <c:v>39.990944324254322</c:v>
                </c:pt>
                <c:pt idx="3">
                  <c:v>9.3639759764567371E-2</c:v>
                </c:pt>
                <c:pt idx="4">
                  <c:v>3.1844144426508052</c:v>
                </c:pt>
              </c:numCache>
            </c:numRef>
          </c:val>
        </c:ser>
        <c:gapWidth val="397"/>
        <c:shape val="box"/>
        <c:axId val="166781312"/>
        <c:axId val="166782848"/>
        <c:axId val="0"/>
      </c:bar3DChart>
      <c:catAx>
        <c:axId val="166781312"/>
        <c:scaling>
          <c:orientation val="minMax"/>
        </c:scaling>
        <c:axPos val="b"/>
        <c:tickLblPos val="nextTo"/>
        <c:txPr>
          <a:bodyPr/>
          <a:lstStyle/>
          <a:p>
            <a:pPr>
              <a:defRPr lang="ro-RO" sz="900">
                <a:latin typeface="Arial" pitchFamily="34" charset="0"/>
                <a:cs typeface="Arial" pitchFamily="34" charset="0"/>
              </a:defRPr>
            </a:pPr>
            <a:endParaRPr lang="ro-RO"/>
          </a:p>
        </c:txPr>
        <c:crossAx val="166782848"/>
        <c:crosses val="autoZero"/>
        <c:auto val="1"/>
        <c:lblAlgn val="ctr"/>
        <c:lblOffset val="100"/>
        <c:tickMarkSkip val="1"/>
      </c:catAx>
      <c:valAx>
        <c:axId val="166782848"/>
        <c:scaling>
          <c:orientation val="minMax"/>
        </c:scaling>
        <c:axPos val="l"/>
        <c:majorGridlines/>
        <c:title>
          <c:tx>
            <c:rich>
              <a:bodyPr rot="0" vert="horz"/>
              <a:lstStyle/>
              <a:p>
                <a:pPr>
                  <a:defRPr lang="ro-RO"/>
                </a:pPr>
                <a:r>
                  <a:rPr lang="ro-RO"/>
                  <a:t>%</a:t>
                </a:r>
              </a:p>
            </c:rich>
          </c:tx>
          <c:layout>
            <c:manualLayout>
              <c:xMode val="edge"/>
              <c:yMode val="edge"/>
              <c:x val="1.4914603065921106E-2"/>
              <c:y val="5.2977468725500264E-2"/>
            </c:manualLayout>
          </c:layout>
        </c:title>
        <c:numFmt formatCode="0" sourceLinked="0"/>
        <c:tickLblPos val="nextTo"/>
        <c:txPr>
          <a:bodyPr/>
          <a:lstStyle/>
          <a:p>
            <a:pPr>
              <a:defRPr lang="ro-RO" sz="1000">
                <a:latin typeface="Arial" pitchFamily="34" charset="0"/>
                <a:cs typeface="Arial" pitchFamily="34" charset="0"/>
              </a:defRPr>
            </a:pPr>
            <a:endParaRPr lang="ro-RO"/>
          </a:p>
        </c:txPr>
        <c:crossAx val="166781312"/>
        <c:crosses val="autoZero"/>
        <c:crossBetween val="between"/>
      </c:valAx>
    </c:plotArea>
    <c:legend>
      <c:legendPos val="r"/>
      <c:layout>
        <c:manualLayout>
          <c:xMode val="edge"/>
          <c:yMode val="edge"/>
          <c:x val="0.90784196529889283"/>
          <c:y val="0.20503271598092493"/>
          <c:w val="6.3448801573070687E-2"/>
          <c:h val="0.32043621307899922"/>
        </c:manualLayout>
      </c:layout>
      <c:txPr>
        <a:bodyPr/>
        <a:lstStyle/>
        <a:p>
          <a:pPr>
            <a:defRPr lang="ro-RO" sz="1000">
              <a:latin typeface="Arial" pitchFamily="34" charset="0"/>
              <a:cs typeface="Arial" pitchFamily="34" charset="0"/>
            </a:defRPr>
          </a:pPr>
          <a:endParaRPr lang="ro-RO"/>
        </a:p>
      </c:txPr>
    </c:legend>
    <c:plotVisOnly val="1"/>
  </c:chart>
  <c:spPr>
    <a:noFill/>
    <a:ln>
      <a:solidFill>
        <a:schemeClr val="bg1"/>
      </a:solidFill>
    </a:ln>
  </c:spPr>
  <c:externalData r:id="rId2"/>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o-RO"/>
  <c:clrMapOvr bg1="lt1" tx1="dk1" bg2="lt2" tx2="dk2" accent1="accent1" accent2="accent2" accent3="accent3" accent4="accent4" accent5="accent5" accent6="accent6" hlink="hlink" folHlink="folHlink"/>
  <c:chart>
    <c:autoTitleDeleted val="1"/>
    <c:view3D>
      <c:rAngAx val="1"/>
    </c:view3D>
    <c:sideWall>
      <c:spPr>
        <a:noFill/>
        <a:ln>
          <a:solidFill>
            <a:sysClr val="window" lastClr="FFFFFF">
              <a:lumMod val="65000"/>
            </a:sysClr>
          </a:solidFill>
        </a:ln>
      </c:spPr>
    </c:sideWall>
    <c:backWall>
      <c:spPr>
        <a:noFill/>
        <a:ln>
          <a:solidFill>
            <a:sysClr val="window" lastClr="FFFFFF">
              <a:lumMod val="65000"/>
            </a:sysClr>
          </a:solidFill>
        </a:ln>
      </c:spPr>
    </c:backWall>
    <c:plotArea>
      <c:layout>
        <c:manualLayout>
          <c:layoutTarget val="inner"/>
          <c:xMode val="edge"/>
          <c:yMode val="edge"/>
          <c:x val="5.788401247250901E-2"/>
          <c:y val="5.437352245862892E-2"/>
          <c:w val="0.86347906511686034"/>
          <c:h val="0.65480136005726552"/>
        </c:manualLayout>
      </c:layout>
      <c:bar3DChart>
        <c:barDir val="col"/>
        <c:grouping val="clustered"/>
        <c:ser>
          <c:idx val="0"/>
          <c:order val="0"/>
          <c:tx>
            <c:strRef>
              <c:f>Sheet1!$B$1</c:f>
              <c:strCache>
                <c:ptCount val="1"/>
                <c:pt idx="0">
                  <c:v>NH3</c:v>
                </c:pt>
              </c:strCache>
            </c:strRef>
          </c:tx>
          <c:spPr>
            <a:solidFill>
              <a:srgbClr val="C0504D">
                <a:lumMod val="60000"/>
                <a:lumOff val="40000"/>
              </a:srgbClr>
            </a:solidFill>
            <a:ln>
              <a:noFill/>
            </a:ln>
            <a:scene3d>
              <a:camera prst="orthographicFront"/>
              <a:lightRig rig="threePt" dir="t"/>
            </a:scene3d>
            <a:sp3d>
              <a:bevelT/>
            </a:sp3d>
          </c:spPr>
          <c:cat>
            <c:strRef>
              <c:f>Sheet1!$A$2:$A$10</c:f>
              <c:strCache>
                <c:ptCount val="9"/>
                <c:pt idx="0">
                  <c:v>vaci de lapte</c:v>
                </c:pt>
                <c:pt idx="1">
                  <c:v>alte bovine</c:v>
                </c:pt>
                <c:pt idx="2">
                  <c:v>ovine </c:v>
                </c:pt>
                <c:pt idx="3">
                  <c:v>porcine</c:v>
                </c:pt>
                <c:pt idx="4">
                  <c:v>caprine</c:v>
                </c:pt>
                <c:pt idx="5">
                  <c:v>cai</c:v>
                </c:pt>
                <c:pt idx="6">
                  <c:v>păsări</c:v>
                </c:pt>
                <c:pt idx="7">
                  <c:v>pui de carne</c:v>
                </c:pt>
                <c:pt idx="8">
                  <c:v>îngrăş. sintetice cu N</c:v>
                </c:pt>
              </c:strCache>
            </c:strRef>
          </c:cat>
          <c:val>
            <c:numRef>
              <c:f>Sheet1!$B$2:$B$10</c:f>
              <c:numCache>
                <c:formatCode>0.00</c:formatCode>
                <c:ptCount val="9"/>
                <c:pt idx="0">
                  <c:v>60.284466973429801</c:v>
                </c:pt>
                <c:pt idx="1">
                  <c:v>14.099473238454179</c:v>
                </c:pt>
                <c:pt idx="2">
                  <c:v>7.2337583406849983</c:v>
                </c:pt>
                <c:pt idx="3">
                  <c:v>3.6031320827375208</c:v>
                </c:pt>
                <c:pt idx="4">
                  <c:v>0.48665781962690402</c:v>
                </c:pt>
                <c:pt idx="5">
                  <c:v>7.9964335780397118</c:v>
                </c:pt>
                <c:pt idx="6">
                  <c:v>3.8631374492576005</c:v>
                </c:pt>
                <c:pt idx="7">
                  <c:v>0.40393589773690552</c:v>
                </c:pt>
                <c:pt idx="8">
                  <c:v>2.0290046200324001</c:v>
                </c:pt>
              </c:numCache>
            </c:numRef>
          </c:val>
        </c:ser>
        <c:ser>
          <c:idx val="1"/>
          <c:order val="1"/>
          <c:tx>
            <c:strRef>
              <c:f>Sheet1!$C$1</c:f>
              <c:strCache>
                <c:ptCount val="1"/>
                <c:pt idx="0">
                  <c:v>NO (ca NO2)</c:v>
                </c:pt>
              </c:strCache>
            </c:strRef>
          </c:tx>
          <c:spPr>
            <a:solidFill>
              <a:srgbClr val="9BBB59"/>
            </a:solidFill>
            <a:ln>
              <a:noFill/>
            </a:ln>
            <a:scene3d>
              <a:camera prst="orthographicFront"/>
              <a:lightRig rig="threePt" dir="t"/>
            </a:scene3d>
            <a:sp3d>
              <a:bevelT/>
            </a:sp3d>
          </c:spPr>
          <c:cat>
            <c:strRef>
              <c:f>Sheet1!$A$2:$A$10</c:f>
              <c:strCache>
                <c:ptCount val="9"/>
                <c:pt idx="0">
                  <c:v>vaci de lapte</c:v>
                </c:pt>
                <c:pt idx="1">
                  <c:v>alte bovine</c:v>
                </c:pt>
                <c:pt idx="2">
                  <c:v>ovine </c:v>
                </c:pt>
                <c:pt idx="3">
                  <c:v>porcine</c:v>
                </c:pt>
                <c:pt idx="4">
                  <c:v>caprine</c:v>
                </c:pt>
                <c:pt idx="5">
                  <c:v>cai</c:v>
                </c:pt>
                <c:pt idx="6">
                  <c:v>păsări</c:v>
                </c:pt>
                <c:pt idx="7">
                  <c:v>pui de carne</c:v>
                </c:pt>
                <c:pt idx="8">
                  <c:v>îngrăş. sintetice cu N</c:v>
                </c:pt>
              </c:strCache>
            </c:strRef>
          </c:cat>
          <c:val>
            <c:numRef>
              <c:f>Sheet1!$C$2:$C$10</c:f>
              <c:numCache>
                <c:formatCode>0.00</c:formatCode>
                <c:ptCount val="9"/>
                <c:pt idx="0">
                  <c:v>0.93541641752783378</c:v>
                </c:pt>
                <c:pt idx="1">
                  <c:v>0.17505608477859591</c:v>
                </c:pt>
                <c:pt idx="2">
                  <c:v>2.2911045976712452</c:v>
                </c:pt>
                <c:pt idx="3">
                  <c:v>6.9348247398618584E-2</c:v>
                </c:pt>
                <c:pt idx="4">
                  <c:v>0.15455056819377885</c:v>
                </c:pt>
                <c:pt idx="5">
                  <c:v>6.0187786900964753</c:v>
                </c:pt>
                <c:pt idx="6">
                  <c:v>8.920857811377754E-2</c:v>
                </c:pt>
                <c:pt idx="7">
                  <c:v>0.20351548718881501</c:v>
                </c:pt>
                <c:pt idx="8">
                  <c:v>90.063021329030846</c:v>
                </c:pt>
              </c:numCache>
            </c:numRef>
          </c:val>
        </c:ser>
        <c:shape val="box"/>
        <c:axId val="166902400"/>
        <c:axId val="166916480"/>
        <c:axId val="0"/>
      </c:bar3DChart>
      <c:catAx>
        <c:axId val="166902400"/>
        <c:scaling>
          <c:orientation val="minMax"/>
        </c:scaling>
        <c:axPos val="b"/>
        <c:tickLblPos val="nextTo"/>
        <c:txPr>
          <a:bodyPr rot="0" vert="horz"/>
          <a:lstStyle/>
          <a:p>
            <a:pPr>
              <a:defRPr sz="900">
                <a:latin typeface="Calibri (Body)"/>
              </a:defRPr>
            </a:pPr>
            <a:endParaRPr lang="ro-RO"/>
          </a:p>
        </c:txPr>
        <c:crossAx val="166916480"/>
        <c:crosses val="autoZero"/>
        <c:auto val="1"/>
        <c:lblAlgn val="ctr"/>
        <c:lblOffset val="100"/>
      </c:catAx>
      <c:valAx>
        <c:axId val="166916480"/>
        <c:scaling>
          <c:orientation val="minMax"/>
          <c:max val="100"/>
          <c:min val="0"/>
        </c:scaling>
        <c:axPos val="l"/>
        <c:majorGridlines/>
        <c:title>
          <c:tx>
            <c:rich>
              <a:bodyPr rot="0" vert="horz"/>
              <a:lstStyle/>
              <a:p>
                <a:pPr>
                  <a:defRPr/>
                </a:pPr>
                <a:r>
                  <a:rPr lang="ro-RO"/>
                  <a:t>%</a:t>
                </a:r>
              </a:p>
            </c:rich>
          </c:tx>
          <c:layout>
            <c:manualLayout>
              <c:xMode val="edge"/>
              <c:yMode val="edge"/>
              <c:x val="1.4762359623079901E-2"/>
              <c:y val="0.28785609115935973"/>
            </c:manualLayout>
          </c:layout>
        </c:title>
        <c:numFmt formatCode="0" sourceLinked="0"/>
        <c:tickLblPos val="nextTo"/>
        <c:txPr>
          <a:bodyPr/>
          <a:lstStyle/>
          <a:p>
            <a:pPr>
              <a:defRPr sz="1000">
                <a:latin typeface="Arial" pitchFamily="34" charset="0"/>
                <a:cs typeface="Arial" pitchFamily="34" charset="0"/>
              </a:defRPr>
            </a:pPr>
            <a:endParaRPr lang="ro-RO"/>
          </a:p>
        </c:txPr>
        <c:crossAx val="166902400"/>
        <c:crosses val="autoZero"/>
        <c:crossBetween val="between"/>
        <c:majorUnit val="20"/>
      </c:valAx>
    </c:plotArea>
    <c:legend>
      <c:legendPos val="r"/>
      <c:layout>
        <c:manualLayout>
          <c:xMode val="edge"/>
          <c:yMode val="edge"/>
          <c:x val="0.86873324167812416"/>
          <c:y val="0.11736735439715597"/>
          <c:w val="0.13043719535058121"/>
          <c:h val="0.27439216439408537"/>
        </c:manualLayout>
      </c:layout>
    </c:legend>
    <c:plotVisOnly val="1"/>
  </c:chart>
  <c:spPr>
    <a:noFill/>
    <a:ln>
      <a:noFill/>
    </a:ln>
  </c:spPr>
  <c:txPr>
    <a:bodyPr/>
    <a:lstStyle/>
    <a:p>
      <a:pPr>
        <a:defRPr sz="900">
          <a:latin typeface="+mn-lt"/>
          <a:cs typeface="Arial" pitchFamily="34" charset="0"/>
        </a:defRPr>
      </a:pPr>
      <a:endParaRPr lang="ro-RO"/>
    </a:p>
  </c:txPr>
  <c:externalData r:id="rId2"/>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o-RO"/>
  <c:clrMapOvr bg1="lt1" tx1="dk1" bg2="lt2" tx2="dk2" accent1="accent1" accent2="accent2" accent3="accent3" accent4="accent4" accent5="accent5" accent6="accent6" hlink="hlink" folHlink="folHlink"/>
  <c:chart>
    <c:autoTitleDeleted val="1"/>
    <c:view3D>
      <c:rAngAx val="1"/>
    </c:view3D>
    <c:sideWall>
      <c:spPr>
        <a:noFill/>
        <a:ln>
          <a:solidFill>
            <a:sysClr val="window" lastClr="FFFFFF">
              <a:lumMod val="65000"/>
            </a:sysClr>
          </a:solidFill>
        </a:ln>
      </c:spPr>
    </c:sideWall>
    <c:backWall>
      <c:spPr>
        <a:noFill/>
        <a:ln>
          <a:solidFill>
            <a:sysClr val="window" lastClr="FFFFFF">
              <a:lumMod val="65000"/>
            </a:sysClr>
          </a:solidFill>
        </a:ln>
      </c:spPr>
    </c:backWall>
    <c:plotArea>
      <c:layout>
        <c:manualLayout>
          <c:layoutTarget val="inner"/>
          <c:xMode val="edge"/>
          <c:yMode val="edge"/>
          <c:x val="5.452587657312067E-2"/>
          <c:y val="5.0108827859932217E-2"/>
          <c:w val="0.8749702893473158"/>
          <c:h val="0.681885366423438"/>
        </c:manualLayout>
      </c:layout>
      <c:bar3DChart>
        <c:barDir val="col"/>
        <c:grouping val="clustered"/>
        <c:ser>
          <c:idx val="0"/>
          <c:order val="0"/>
          <c:tx>
            <c:strRef>
              <c:f>Sheet1!$B$1</c:f>
              <c:strCache>
                <c:ptCount val="1"/>
                <c:pt idx="0">
                  <c:v>NMVOC</c:v>
                </c:pt>
              </c:strCache>
            </c:strRef>
          </c:tx>
          <c:spPr>
            <a:scene3d>
              <a:camera prst="orthographicFront"/>
              <a:lightRig rig="threePt" dir="t"/>
            </a:scene3d>
            <a:sp3d>
              <a:bevelT/>
            </a:sp3d>
          </c:spPr>
          <c:cat>
            <c:strRef>
              <c:f>Sheet1!$A$2:$A$11</c:f>
              <c:strCache>
                <c:ptCount val="10"/>
                <c:pt idx="0">
                  <c:v>vaci de lapte</c:v>
                </c:pt>
                <c:pt idx="1">
                  <c:v>alte bovine</c:v>
                </c:pt>
                <c:pt idx="2">
                  <c:v>ovine </c:v>
                </c:pt>
                <c:pt idx="3">
                  <c:v>porcine</c:v>
                </c:pt>
                <c:pt idx="4">
                  <c:v>caprine</c:v>
                </c:pt>
                <c:pt idx="5">
                  <c:v>cai</c:v>
                </c:pt>
                <c:pt idx="6">
                  <c:v>păsări</c:v>
                </c:pt>
                <c:pt idx="7">
                  <c:v>pui de carne</c:v>
                </c:pt>
                <c:pt idx="8">
                  <c:v>îngrăş. sintetice cu N</c:v>
                </c:pt>
                <c:pt idx="9">
                  <c:v>operaţii agricole</c:v>
                </c:pt>
              </c:strCache>
            </c:strRef>
          </c:cat>
          <c:val>
            <c:numRef>
              <c:f>Sheet1!$B$2:$B$11</c:f>
              <c:numCache>
                <c:formatCode>0.00</c:formatCode>
                <c:ptCount val="10"/>
                <c:pt idx="0">
                  <c:v>53.713664402761637</c:v>
                </c:pt>
                <c:pt idx="1">
                  <c:v>16.50289095696694</c:v>
                </c:pt>
                <c:pt idx="2">
                  <c:v>3.7998310876366195</c:v>
                </c:pt>
                <c:pt idx="3">
                  <c:v>1.5304741839628826</c:v>
                </c:pt>
                <c:pt idx="4">
                  <c:v>0.81986398547553152</c:v>
                </c:pt>
                <c:pt idx="5">
                  <c:v>10.050989090317136</c:v>
                </c:pt>
                <c:pt idx="6">
                  <c:v>5.7785773517173071</c:v>
                </c:pt>
                <c:pt idx="7">
                  <c:v>0.86288235656503975</c:v>
                </c:pt>
                <c:pt idx="9">
                  <c:v>6.94082658459683</c:v>
                </c:pt>
              </c:numCache>
            </c:numRef>
          </c:val>
        </c:ser>
        <c:ser>
          <c:idx val="1"/>
          <c:order val="1"/>
          <c:tx>
            <c:strRef>
              <c:f>Sheet1!$C$1</c:f>
              <c:strCache>
                <c:ptCount val="1"/>
                <c:pt idx="0">
                  <c:v>NO (ca NO2)</c:v>
                </c:pt>
              </c:strCache>
            </c:strRef>
          </c:tx>
          <c:spPr>
            <a:solidFill>
              <a:srgbClr val="9BBB59"/>
            </a:solidFill>
            <a:scene3d>
              <a:camera prst="orthographicFront"/>
              <a:lightRig rig="threePt" dir="t"/>
            </a:scene3d>
            <a:sp3d>
              <a:bevelT/>
            </a:sp3d>
          </c:spPr>
          <c:cat>
            <c:strRef>
              <c:f>Sheet1!$A$2:$A$11</c:f>
              <c:strCache>
                <c:ptCount val="10"/>
                <c:pt idx="0">
                  <c:v>vaci de lapte</c:v>
                </c:pt>
                <c:pt idx="1">
                  <c:v>alte bovine</c:v>
                </c:pt>
                <c:pt idx="2">
                  <c:v>ovine </c:v>
                </c:pt>
                <c:pt idx="3">
                  <c:v>porcine</c:v>
                </c:pt>
                <c:pt idx="4">
                  <c:v>caprine</c:v>
                </c:pt>
                <c:pt idx="5">
                  <c:v>cai</c:v>
                </c:pt>
                <c:pt idx="6">
                  <c:v>păsări</c:v>
                </c:pt>
                <c:pt idx="7">
                  <c:v>pui de carne</c:v>
                </c:pt>
                <c:pt idx="8">
                  <c:v>îngrăş. sintetice cu N</c:v>
                </c:pt>
                <c:pt idx="9">
                  <c:v>operaţii agricole</c:v>
                </c:pt>
              </c:strCache>
            </c:strRef>
          </c:cat>
          <c:val>
            <c:numRef>
              <c:f>Sheet1!$C$2:$C$11</c:f>
              <c:numCache>
                <c:formatCode>0.00</c:formatCode>
                <c:ptCount val="10"/>
                <c:pt idx="0">
                  <c:v>0.93541641752783378</c:v>
                </c:pt>
                <c:pt idx="1">
                  <c:v>0.17505608477859591</c:v>
                </c:pt>
                <c:pt idx="2">
                  <c:v>2.2911045976712452</c:v>
                </c:pt>
                <c:pt idx="3">
                  <c:v>6.9348247398618584E-2</c:v>
                </c:pt>
                <c:pt idx="4">
                  <c:v>0.15455056819377885</c:v>
                </c:pt>
                <c:pt idx="5">
                  <c:v>6.0187786900964753</c:v>
                </c:pt>
                <c:pt idx="6">
                  <c:v>8.920857811377754E-2</c:v>
                </c:pt>
                <c:pt idx="7">
                  <c:v>0.20351548718881501</c:v>
                </c:pt>
                <c:pt idx="8">
                  <c:v>90.063021329030846</c:v>
                </c:pt>
              </c:numCache>
            </c:numRef>
          </c:val>
        </c:ser>
        <c:shape val="box"/>
        <c:axId val="166966400"/>
        <c:axId val="166967936"/>
        <c:axId val="0"/>
      </c:bar3DChart>
      <c:catAx>
        <c:axId val="166966400"/>
        <c:scaling>
          <c:orientation val="minMax"/>
        </c:scaling>
        <c:axPos val="b"/>
        <c:tickLblPos val="nextTo"/>
        <c:txPr>
          <a:bodyPr rot="0" vert="horz" anchor="t" anchorCtr="0"/>
          <a:lstStyle/>
          <a:p>
            <a:pPr>
              <a:defRPr lang="en-US" sz="900"/>
            </a:pPr>
            <a:endParaRPr lang="ro-RO"/>
          </a:p>
        </c:txPr>
        <c:crossAx val="166967936"/>
        <c:crosses val="autoZero"/>
        <c:auto val="1"/>
        <c:lblAlgn val="ctr"/>
        <c:lblOffset val="100"/>
      </c:catAx>
      <c:valAx>
        <c:axId val="166967936"/>
        <c:scaling>
          <c:orientation val="minMax"/>
        </c:scaling>
        <c:axPos val="l"/>
        <c:majorGridlines/>
        <c:title>
          <c:tx>
            <c:rich>
              <a:bodyPr rot="0" vert="horz"/>
              <a:lstStyle/>
              <a:p>
                <a:pPr>
                  <a:defRPr lang="en-US"/>
                </a:pPr>
                <a:r>
                  <a:rPr lang="ro-RO"/>
                  <a:t>%</a:t>
                </a:r>
              </a:p>
            </c:rich>
          </c:tx>
          <c:layout>
            <c:manualLayout>
              <c:xMode val="edge"/>
              <c:yMode val="edge"/>
              <c:x val="1.4762359623079901E-2"/>
              <c:y val="0.28785609115935951"/>
            </c:manualLayout>
          </c:layout>
        </c:title>
        <c:numFmt formatCode="0" sourceLinked="0"/>
        <c:tickLblPos val="nextTo"/>
        <c:txPr>
          <a:bodyPr/>
          <a:lstStyle/>
          <a:p>
            <a:pPr>
              <a:defRPr lang="en-US"/>
            </a:pPr>
            <a:endParaRPr lang="ro-RO"/>
          </a:p>
        </c:txPr>
        <c:crossAx val="166966400"/>
        <c:crosses val="autoZero"/>
        <c:crossBetween val="between"/>
        <c:majorUnit val="20"/>
      </c:valAx>
    </c:plotArea>
    <c:legend>
      <c:legendPos val="r"/>
      <c:layout>
        <c:manualLayout>
          <c:xMode val="edge"/>
          <c:yMode val="edge"/>
          <c:x val="0.86544140623485688"/>
          <c:y val="0.19641397766455665"/>
          <c:w val="0.13455865528121203"/>
          <c:h val="0.25934191152935177"/>
        </c:manualLayout>
      </c:layout>
      <c:txPr>
        <a:bodyPr/>
        <a:lstStyle/>
        <a:p>
          <a:pPr>
            <a:defRPr lang="en-US" sz="900"/>
          </a:pPr>
          <a:endParaRPr lang="ro-RO"/>
        </a:p>
      </c:txPr>
    </c:legend>
    <c:plotVisOnly val="1"/>
  </c:chart>
  <c:spPr>
    <a:noFill/>
    <a:ln>
      <a:noFill/>
    </a:ln>
  </c:spPr>
  <c:txPr>
    <a:bodyPr/>
    <a:lstStyle/>
    <a:p>
      <a:pPr>
        <a:defRPr>
          <a:latin typeface="Arial" pitchFamily="34" charset="0"/>
          <a:cs typeface="Arial" pitchFamily="34" charset="0"/>
        </a:defRPr>
      </a:pPr>
      <a:endParaRPr lang="ro-RO"/>
    </a:p>
  </c:txPr>
  <c:externalData r:id="rId2"/>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o-RO"/>
  <c:clrMapOvr bg1="lt1" tx1="dk1" bg2="lt2" tx2="dk2" accent1="accent1" accent2="accent2" accent3="accent3" accent4="accent4" accent5="accent5" accent6="accent6" hlink="hlink" folHlink="folHlink"/>
  <c:chart>
    <c:view3D>
      <c:rAngAx val="1"/>
    </c:view3D>
    <c:sideWall>
      <c:spPr>
        <a:noFill/>
        <a:ln>
          <a:solidFill>
            <a:sysClr val="window" lastClr="FFFFFF">
              <a:lumMod val="65000"/>
            </a:sysClr>
          </a:solidFill>
        </a:ln>
      </c:spPr>
    </c:sideWall>
    <c:backWall>
      <c:spPr>
        <a:noFill/>
        <a:ln>
          <a:solidFill>
            <a:sysClr val="window" lastClr="FFFFFF">
              <a:lumMod val="65000"/>
            </a:sysClr>
          </a:solidFill>
        </a:ln>
      </c:spPr>
    </c:backWall>
    <c:plotArea>
      <c:layout>
        <c:manualLayout>
          <c:layoutTarget val="inner"/>
          <c:xMode val="edge"/>
          <c:yMode val="edge"/>
          <c:x val="4.4403301667414831E-2"/>
          <c:y val="6.0367454068241552E-2"/>
          <c:w val="0.85853682286341571"/>
          <c:h val="0.68123035990364156"/>
        </c:manualLayout>
      </c:layout>
      <c:bar3DChart>
        <c:barDir val="col"/>
        <c:grouping val="clustered"/>
        <c:ser>
          <c:idx val="0"/>
          <c:order val="0"/>
          <c:tx>
            <c:strRef>
              <c:f>Sheet1!$B$1</c:f>
              <c:strCache>
                <c:ptCount val="1"/>
                <c:pt idx="0">
                  <c:v>PM10</c:v>
                </c:pt>
              </c:strCache>
            </c:strRef>
          </c:tx>
          <c:spPr>
            <a:solidFill>
              <a:srgbClr val="F79646">
                <a:lumMod val="50000"/>
              </a:srgbClr>
            </a:solidFill>
            <a:scene3d>
              <a:camera prst="orthographicFront"/>
              <a:lightRig rig="threePt" dir="t"/>
            </a:scene3d>
            <a:sp3d>
              <a:bevelT/>
            </a:sp3d>
          </c:spPr>
          <c:cat>
            <c:strRef>
              <c:f>Sheet1!$A$2:$A$10</c:f>
              <c:strCache>
                <c:ptCount val="9"/>
                <c:pt idx="0">
                  <c:v>vaci de lapte</c:v>
                </c:pt>
                <c:pt idx="1">
                  <c:v>alte bovine</c:v>
                </c:pt>
                <c:pt idx="2">
                  <c:v>ovine</c:v>
                </c:pt>
                <c:pt idx="3">
                  <c:v>porcine</c:v>
                </c:pt>
                <c:pt idx="4">
                  <c:v>caprine</c:v>
                </c:pt>
                <c:pt idx="5">
                  <c:v>cai</c:v>
                </c:pt>
                <c:pt idx="6">
                  <c:v>găini</c:v>
                </c:pt>
                <c:pt idx="7">
                  <c:v>pui de carne</c:v>
                </c:pt>
                <c:pt idx="8">
                  <c:v>operatii agricole</c:v>
                </c:pt>
              </c:strCache>
            </c:strRef>
          </c:cat>
          <c:val>
            <c:numRef>
              <c:f>Sheet1!$B$2:$B$10</c:f>
              <c:numCache>
                <c:formatCode>General</c:formatCode>
                <c:ptCount val="9"/>
                <c:pt idx="0">
                  <c:v>18.869</c:v>
                </c:pt>
                <c:pt idx="1">
                  <c:v>3.2890000000000001</c:v>
                </c:pt>
                <c:pt idx="2">
                  <c:v>6.0529999999999973</c:v>
                </c:pt>
                <c:pt idx="3">
                  <c:v>1.042</c:v>
                </c:pt>
                <c:pt idx="4">
                  <c:v>0.40700000000000008</c:v>
                </c:pt>
                <c:pt idx="5">
                  <c:v>2.3209999999999997</c:v>
                </c:pt>
                <c:pt idx="6">
                  <c:v>6.2859999999999996</c:v>
                </c:pt>
                <c:pt idx="7">
                  <c:v>0.7170000000000003</c:v>
                </c:pt>
                <c:pt idx="8">
                  <c:v>61.016000000000005</c:v>
                </c:pt>
              </c:numCache>
            </c:numRef>
          </c:val>
        </c:ser>
        <c:ser>
          <c:idx val="1"/>
          <c:order val="1"/>
          <c:tx>
            <c:strRef>
              <c:f>Sheet1!$C$1</c:f>
              <c:strCache>
                <c:ptCount val="1"/>
                <c:pt idx="0">
                  <c:v>PM2,5</c:v>
                </c:pt>
              </c:strCache>
            </c:strRef>
          </c:tx>
          <c:spPr>
            <a:solidFill>
              <a:srgbClr val="F79646">
                <a:lumMod val="60000"/>
                <a:lumOff val="40000"/>
              </a:srgbClr>
            </a:solidFill>
            <a:scene3d>
              <a:camera prst="orthographicFront"/>
              <a:lightRig rig="threePt" dir="t"/>
            </a:scene3d>
            <a:sp3d>
              <a:bevelT/>
            </a:sp3d>
          </c:spPr>
          <c:cat>
            <c:strRef>
              <c:f>Sheet1!$A$2:$A$10</c:f>
              <c:strCache>
                <c:ptCount val="9"/>
                <c:pt idx="0">
                  <c:v>vaci de lapte</c:v>
                </c:pt>
                <c:pt idx="1">
                  <c:v>alte bovine</c:v>
                </c:pt>
                <c:pt idx="2">
                  <c:v>ovine</c:v>
                </c:pt>
                <c:pt idx="3">
                  <c:v>porcine</c:v>
                </c:pt>
                <c:pt idx="4">
                  <c:v>caprine</c:v>
                </c:pt>
                <c:pt idx="5">
                  <c:v>cai</c:v>
                </c:pt>
                <c:pt idx="6">
                  <c:v>găini</c:v>
                </c:pt>
                <c:pt idx="7">
                  <c:v>pui de carne</c:v>
                </c:pt>
                <c:pt idx="8">
                  <c:v>operatii agricole</c:v>
                </c:pt>
              </c:strCache>
            </c:strRef>
          </c:cat>
          <c:val>
            <c:numRef>
              <c:f>Sheet1!$C$2:$C$10</c:f>
              <c:numCache>
                <c:formatCode>General</c:formatCode>
                <c:ptCount val="9"/>
                <c:pt idx="0">
                  <c:v>56.492000000000012</c:v>
                </c:pt>
                <c:pt idx="1">
                  <c:v>9.4570000000000007</c:v>
                </c:pt>
                <c:pt idx="2">
                  <c:v>9.2830000000000013</c:v>
                </c:pt>
                <c:pt idx="3">
                  <c:v>0.23800000000000004</c:v>
                </c:pt>
                <c:pt idx="4">
                  <c:v>0.62500000000000033</c:v>
                </c:pt>
                <c:pt idx="5">
                  <c:v>6.7949999999999973</c:v>
                </c:pt>
                <c:pt idx="6">
                  <c:v>2.169</c:v>
                </c:pt>
                <c:pt idx="7">
                  <c:v>0.33000000000000024</c:v>
                </c:pt>
                <c:pt idx="8">
                  <c:v>14.611000000000001</c:v>
                </c:pt>
              </c:numCache>
            </c:numRef>
          </c:val>
        </c:ser>
        <c:shape val="box"/>
        <c:axId val="166980992"/>
        <c:axId val="167036032"/>
        <c:axId val="0"/>
      </c:bar3DChart>
      <c:catAx>
        <c:axId val="166980992"/>
        <c:scaling>
          <c:orientation val="minMax"/>
        </c:scaling>
        <c:axPos val="b"/>
        <c:tickLblPos val="nextTo"/>
        <c:txPr>
          <a:bodyPr/>
          <a:lstStyle/>
          <a:p>
            <a:pPr>
              <a:defRPr lang="ro-RO" sz="900">
                <a:latin typeface="Arial" pitchFamily="34" charset="0"/>
                <a:cs typeface="Arial" pitchFamily="34" charset="0"/>
              </a:defRPr>
            </a:pPr>
            <a:endParaRPr lang="ro-RO"/>
          </a:p>
        </c:txPr>
        <c:crossAx val="167036032"/>
        <c:crosses val="autoZero"/>
        <c:auto val="1"/>
        <c:lblAlgn val="ctr"/>
        <c:lblOffset val="100"/>
      </c:catAx>
      <c:valAx>
        <c:axId val="167036032"/>
        <c:scaling>
          <c:orientation val="minMax"/>
          <c:min val="0"/>
        </c:scaling>
        <c:axPos val="l"/>
        <c:majorGridlines/>
        <c:title>
          <c:tx>
            <c:rich>
              <a:bodyPr rot="0" vert="horz"/>
              <a:lstStyle/>
              <a:p>
                <a:pPr>
                  <a:defRPr lang="ro-RO" sz="1000"/>
                </a:pPr>
                <a:r>
                  <a:rPr lang="ro-RO" sz="1000">
                    <a:latin typeface="Arial" pitchFamily="34" charset="0"/>
                    <a:cs typeface="Arial" pitchFamily="34" charset="0"/>
                  </a:rPr>
                  <a:t>%</a:t>
                </a:r>
              </a:p>
            </c:rich>
          </c:tx>
          <c:layout>
            <c:manualLayout>
              <c:xMode val="edge"/>
              <c:yMode val="edge"/>
              <c:x val="3.4196432102860999E-4"/>
              <c:y val="0.1340096910963105"/>
            </c:manualLayout>
          </c:layout>
        </c:title>
        <c:numFmt formatCode="0" sourceLinked="0"/>
        <c:tickLblPos val="nextTo"/>
        <c:txPr>
          <a:bodyPr/>
          <a:lstStyle/>
          <a:p>
            <a:pPr>
              <a:defRPr lang="ro-RO" sz="1000">
                <a:latin typeface="Arial" pitchFamily="34" charset="0"/>
                <a:cs typeface="Arial" pitchFamily="34" charset="0"/>
              </a:defRPr>
            </a:pPr>
            <a:endParaRPr lang="ro-RO"/>
          </a:p>
        </c:txPr>
        <c:crossAx val="166980992"/>
        <c:crosses val="autoZero"/>
        <c:crossBetween val="between"/>
      </c:valAx>
    </c:plotArea>
    <c:legend>
      <c:legendPos val="r"/>
      <c:layout>
        <c:manualLayout>
          <c:xMode val="edge"/>
          <c:yMode val="edge"/>
          <c:x val="0.8727641556361696"/>
          <c:y val="0.29566251238462793"/>
          <c:w val="8.4345227262616826E-2"/>
          <c:h val="0.28166936086631555"/>
        </c:manualLayout>
      </c:layout>
      <c:txPr>
        <a:bodyPr/>
        <a:lstStyle/>
        <a:p>
          <a:pPr>
            <a:defRPr lang="ro-RO" sz="900">
              <a:latin typeface="Arial" pitchFamily="34" charset="0"/>
              <a:cs typeface="Arial" pitchFamily="34" charset="0"/>
            </a:defRPr>
          </a:pPr>
          <a:endParaRPr lang="ro-RO"/>
        </a:p>
      </c:txPr>
    </c:legend>
    <c:plotVisOnly val="1"/>
  </c:chart>
  <c:spPr>
    <a:noFill/>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sz="900" b="0"/>
            </a:pPr>
            <a:r>
              <a:rPr lang="ro-RO" sz="900" b="0"/>
              <a:t> µg/m³ </a:t>
            </a:r>
          </a:p>
          <a:p>
            <a:pPr algn="ctr" rtl="0">
              <a:defRPr lang="en-GB" sz="900" b="0"/>
            </a:pPr>
            <a:endParaRPr lang="ro-RO" sz="900" b="0"/>
          </a:p>
        </c:rich>
      </c:tx>
      <c:layout>
        <c:manualLayout>
          <c:xMode val="edge"/>
          <c:yMode val="edge"/>
          <c:x val="4.8941685757488411E-2"/>
          <c:y val="7.8402080473885721E-2"/>
        </c:manualLayout>
      </c:layout>
    </c:title>
    <c:plotArea>
      <c:layout>
        <c:manualLayout>
          <c:layoutTarget val="inner"/>
          <c:xMode val="edge"/>
          <c:yMode val="edge"/>
          <c:x val="0.19536401003047871"/>
          <c:y val="8.6871342916998065E-2"/>
          <c:w val="0.38096237970254293"/>
          <c:h val="0.66990970165427177"/>
        </c:manualLayout>
      </c:layout>
      <c:barChart>
        <c:barDir val="col"/>
        <c:grouping val="clustered"/>
        <c:ser>
          <c:idx val="0"/>
          <c:order val="0"/>
          <c:tx>
            <c:strRef>
              <c:f>Sheet1!$A$2</c:f>
              <c:strCache>
                <c:ptCount val="1"/>
                <c:pt idx="0">
                  <c:v>Concentrații medii anuale</c:v>
                </c:pt>
              </c:strCache>
            </c:strRef>
          </c:tx>
          <c:spPr>
            <a:solidFill>
              <a:schemeClr val="accent3">
                <a:lumMod val="75000"/>
              </a:schemeClr>
            </a:solidFill>
            <a:ln w="12700">
              <a:noFill/>
              <a:prstDash val="solid"/>
            </a:ln>
            <a:scene3d>
              <a:camera prst="orthographicFront"/>
              <a:lightRig rig="threePt" dir="t"/>
            </a:scene3d>
            <a:sp3d>
              <a:bevelT/>
            </a:sp3d>
          </c:spPr>
          <c:cat>
            <c:strRef>
              <c:f>Sheet1!$B$1:$C$1</c:f>
              <c:strCache>
                <c:ptCount val="2"/>
                <c:pt idx="0">
                  <c:v>SV1</c:v>
                </c:pt>
                <c:pt idx="1">
                  <c:v>SV2</c:v>
                </c:pt>
              </c:strCache>
            </c:strRef>
          </c:cat>
          <c:val>
            <c:numRef>
              <c:f>Sheet1!$B$2:$C$2</c:f>
              <c:numCache>
                <c:formatCode>General</c:formatCode>
                <c:ptCount val="2"/>
                <c:pt idx="0">
                  <c:v>22.23</c:v>
                </c:pt>
                <c:pt idx="1">
                  <c:v>28.69</c:v>
                </c:pt>
              </c:numCache>
            </c:numRef>
          </c:val>
        </c:ser>
        <c:gapWidth val="498"/>
        <c:axId val="146458496"/>
        <c:axId val="146476416"/>
      </c:barChart>
      <c:lineChart>
        <c:grouping val="standard"/>
        <c:ser>
          <c:idx val="2"/>
          <c:order val="1"/>
          <c:tx>
            <c:strRef>
              <c:f>Sheet1!$A$3</c:f>
              <c:strCache>
                <c:ptCount val="1"/>
                <c:pt idx="0">
                  <c:v>Valoare limită anuală</c:v>
                </c:pt>
              </c:strCache>
            </c:strRef>
          </c:tx>
          <c:spPr>
            <a:ln w="38101">
              <a:solidFill>
                <a:srgbClr val="FF0000"/>
              </a:solidFill>
              <a:prstDash val="solid"/>
            </a:ln>
          </c:spPr>
          <c:marker>
            <c:symbol val="square"/>
            <c:size val="5"/>
            <c:spPr>
              <a:noFill/>
              <a:ln w="9525">
                <a:noFill/>
              </a:ln>
            </c:spPr>
          </c:marker>
          <c:cat>
            <c:strRef>
              <c:f>Sheet1!$B$1:$C$1</c:f>
              <c:strCache>
                <c:ptCount val="2"/>
                <c:pt idx="0">
                  <c:v>SV1</c:v>
                </c:pt>
                <c:pt idx="1">
                  <c:v>SV2</c:v>
                </c:pt>
              </c:strCache>
            </c:strRef>
          </c:cat>
          <c:val>
            <c:numRef>
              <c:f>Sheet1!$B$3:$C$3</c:f>
              <c:numCache>
                <c:formatCode>General</c:formatCode>
                <c:ptCount val="2"/>
                <c:pt idx="0">
                  <c:v>40</c:v>
                </c:pt>
                <c:pt idx="1">
                  <c:v>40</c:v>
                </c:pt>
              </c:numCache>
            </c:numRef>
          </c:val>
        </c:ser>
        <c:marker val="1"/>
        <c:axId val="146458496"/>
        <c:axId val="146476416"/>
      </c:lineChart>
      <c:catAx>
        <c:axId val="14645849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46476416"/>
        <c:crosses val="autoZero"/>
        <c:auto val="1"/>
        <c:lblAlgn val="ctr"/>
        <c:lblOffset val="100"/>
        <c:tickLblSkip val="1"/>
        <c:tickMarkSkip val="1"/>
      </c:catAx>
      <c:valAx>
        <c:axId val="146476416"/>
        <c:scaling>
          <c:orientation val="minMax"/>
          <c:max val="5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46458496"/>
        <c:crosses val="autoZero"/>
        <c:crossBetween val="between"/>
        <c:majorUnit val="10"/>
        <c:minorUnit val="0.1"/>
      </c:valAx>
      <c:spPr>
        <a:noFill/>
        <a:ln w="3175">
          <a:solidFill>
            <a:srgbClr val="000000"/>
          </a:solidFill>
          <a:prstDash val="solid"/>
        </a:ln>
      </c:spPr>
    </c:plotArea>
    <c:legend>
      <c:legendPos val="r"/>
      <c:layout>
        <c:manualLayout>
          <c:xMode val="edge"/>
          <c:yMode val="edge"/>
          <c:x val="0.59547375049456397"/>
          <c:y val="0.1820665077415782"/>
          <c:w val="0.38416325347866548"/>
          <c:h val="0.42389077512100443"/>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Arial" pitchFamily="34" charset="0"/>
          <a:ea typeface="Arial"/>
          <a:cs typeface="Arial" pitchFamily="34" charset="0"/>
        </a:defRPr>
      </a:pPr>
      <a:endParaRPr lang="ro-RO"/>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o-RO"/>
  <c:clrMapOvr bg1="lt1" tx1="dk1" bg2="lt2" tx2="dk2" accent1="accent1" accent2="accent2" accent3="accent3" accent4="accent4" accent5="accent5" accent6="accent6" hlink="hlink" folHlink="folHlink"/>
  <c:chart>
    <c:view3D>
      <c:depthPercent val="100"/>
      <c:rAngAx val="1"/>
    </c:view3D>
    <c:sideWall>
      <c:spPr>
        <a:ln>
          <a:solidFill>
            <a:schemeClr val="bg1">
              <a:lumMod val="65000"/>
            </a:schemeClr>
          </a:solidFill>
        </a:ln>
      </c:spPr>
    </c:sideWall>
    <c:backWall>
      <c:spPr>
        <a:ln>
          <a:solidFill>
            <a:schemeClr val="bg1">
              <a:lumMod val="65000"/>
            </a:schemeClr>
          </a:solidFill>
        </a:ln>
      </c:spPr>
    </c:backWall>
    <c:plotArea>
      <c:layout>
        <c:manualLayout>
          <c:layoutTarget val="inner"/>
          <c:xMode val="edge"/>
          <c:yMode val="edge"/>
          <c:x val="0.14184036891221929"/>
          <c:y val="7.4347691832641546E-2"/>
          <c:w val="0.72725667104111991"/>
          <c:h val="0.73749961401885922"/>
        </c:manualLayout>
      </c:layout>
      <c:bar3DChart>
        <c:barDir val="col"/>
        <c:grouping val="clustered"/>
        <c:ser>
          <c:idx val="0"/>
          <c:order val="0"/>
          <c:tx>
            <c:strRef>
              <c:f>Sheet1!$B$1</c:f>
              <c:strCache>
                <c:ptCount val="1"/>
                <c:pt idx="0">
                  <c:v>SOx</c:v>
                </c:pt>
              </c:strCache>
            </c:strRef>
          </c:tx>
          <c:spPr>
            <a:solidFill>
              <a:srgbClr val="A20000"/>
            </a:solidFill>
            <a:scene3d>
              <a:camera prst="orthographicFront"/>
              <a:lightRig rig="threePt" dir="t"/>
            </a:scene3d>
            <a:sp3d>
              <a:bevelT/>
            </a:sp3d>
          </c:spPr>
          <c:cat>
            <c:numRef>
              <c:f>Sheet1!$A$2:$A$6</c:f>
              <c:numCache>
                <c:formatCode>General</c:formatCode>
                <c:ptCount val="5"/>
                <c:pt idx="0">
                  <c:v>2013</c:v>
                </c:pt>
                <c:pt idx="1">
                  <c:v>2014</c:v>
                </c:pt>
                <c:pt idx="2">
                  <c:v>2015</c:v>
                </c:pt>
                <c:pt idx="3">
                  <c:v>2016</c:v>
                </c:pt>
                <c:pt idx="4">
                  <c:v>2017</c:v>
                </c:pt>
              </c:numCache>
            </c:numRef>
          </c:cat>
          <c:val>
            <c:numRef>
              <c:f>Sheet1!$B$2:$B$6</c:f>
              <c:numCache>
                <c:formatCode>0</c:formatCode>
                <c:ptCount val="5"/>
                <c:pt idx="0">
                  <c:v>853</c:v>
                </c:pt>
                <c:pt idx="1">
                  <c:v>369</c:v>
                </c:pt>
                <c:pt idx="2">
                  <c:v>186.56</c:v>
                </c:pt>
                <c:pt idx="3">
                  <c:v>179.52</c:v>
                </c:pt>
                <c:pt idx="4">
                  <c:v>170.17299999999997</c:v>
                </c:pt>
              </c:numCache>
            </c:numRef>
          </c:val>
        </c:ser>
        <c:ser>
          <c:idx val="1"/>
          <c:order val="1"/>
          <c:tx>
            <c:strRef>
              <c:f>Sheet1!$C$1</c:f>
              <c:strCache>
                <c:ptCount val="1"/>
                <c:pt idx="0">
                  <c:v>NOx</c:v>
                </c:pt>
              </c:strCache>
            </c:strRef>
          </c:tx>
          <c:spPr>
            <a:solidFill>
              <a:srgbClr val="9BBB59">
                <a:lumMod val="60000"/>
                <a:lumOff val="40000"/>
              </a:srgbClr>
            </a:solidFill>
            <a:ln>
              <a:solidFill>
                <a:sysClr val="window" lastClr="FFFFFF">
                  <a:lumMod val="65000"/>
                </a:sysClr>
              </a:solidFill>
            </a:ln>
            <a:scene3d>
              <a:camera prst="orthographicFront"/>
              <a:lightRig rig="threePt" dir="t"/>
            </a:scene3d>
            <a:sp3d>
              <a:bevelT/>
              <a:contourClr>
                <a:srgbClr val="000000"/>
              </a:contourClr>
            </a:sp3d>
          </c:spPr>
          <c:cat>
            <c:numRef>
              <c:f>Sheet1!$A$2:$A$6</c:f>
              <c:numCache>
                <c:formatCode>General</c:formatCode>
                <c:ptCount val="5"/>
                <c:pt idx="0">
                  <c:v>2013</c:v>
                </c:pt>
                <c:pt idx="1">
                  <c:v>2014</c:v>
                </c:pt>
                <c:pt idx="2">
                  <c:v>2015</c:v>
                </c:pt>
                <c:pt idx="3">
                  <c:v>2016</c:v>
                </c:pt>
                <c:pt idx="4">
                  <c:v>2017</c:v>
                </c:pt>
              </c:numCache>
            </c:numRef>
          </c:cat>
          <c:val>
            <c:numRef>
              <c:f>Sheet1!$C$2:$C$6</c:f>
              <c:numCache>
                <c:formatCode>0</c:formatCode>
                <c:ptCount val="5"/>
                <c:pt idx="0">
                  <c:v>4448</c:v>
                </c:pt>
                <c:pt idx="1">
                  <c:v>4368</c:v>
                </c:pt>
                <c:pt idx="2">
                  <c:v>4178.7</c:v>
                </c:pt>
                <c:pt idx="3">
                  <c:v>4396.9299999999994</c:v>
                </c:pt>
                <c:pt idx="4">
                  <c:v>4352.2089999999998</c:v>
                </c:pt>
              </c:numCache>
            </c:numRef>
          </c:val>
        </c:ser>
        <c:ser>
          <c:idx val="2"/>
          <c:order val="2"/>
          <c:tx>
            <c:strRef>
              <c:f>Sheet1!$D$1</c:f>
              <c:strCache>
                <c:ptCount val="1"/>
                <c:pt idx="0">
                  <c:v>NH3</c:v>
                </c:pt>
              </c:strCache>
            </c:strRef>
          </c:tx>
          <c:spPr>
            <a:solidFill>
              <a:srgbClr val="C0504D">
                <a:lumMod val="60000"/>
                <a:lumOff val="40000"/>
              </a:srgbClr>
            </a:solidFill>
            <a:ln>
              <a:solidFill>
                <a:sysClr val="window" lastClr="FFFFFF">
                  <a:lumMod val="65000"/>
                </a:sysClr>
              </a:solidFill>
            </a:ln>
            <a:scene3d>
              <a:camera prst="orthographicFront"/>
              <a:lightRig rig="threePt" dir="t"/>
            </a:scene3d>
            <a:sp3d>
              <a:bevelT/>
              <a:contourClr>
                <a:srgbClr val="000000"/>
              </a:contourClr>
            </a:sp3d>
          </c:spPr>
          <c:cat>
            <c:numRef>
              <c:f>Sheet1!$A$2:$A$6</c:f>
              <c:numCache>
                <c:formatCode>General</c:formatCode>
                <c:ptCount val="5"/>
                <c:pt idx="0">
                  <c:v>2013</c:v>
                </c:pt>
                <c:pt idx="1">
                  <c:v>2014</c:v>
                </c:pt>
                <c:pt idx="2">
                  <c:v>2015</c:v>
                </c:pt>
                <c:pt idx="3">
                  <c:v>2016</c:v>
                </c:pt>
                <c:pt idx="4">
                  <c:v>2017</c:v>
                </c:pt>
              </c:numCache>
            </c:numRef>
          </c:cat>
          <c:val>
            <c:numRef>
              <c:f>Sheet1!$D$2:$D$6</c:f>
              <c:numCache>
                <c:formatCode>0</c:formatCode>
                <c:ptCount val="5"/>
                <c:pt idx="0">
                  <c:v>6453</c:v>
                </c:pt>
                <c:pt idx="1">
                  <c:v>6413</c:v>
                </c:pt>
                <c:pt idx="2">
                  <c:v>6119.3</c:v>
                </c:pt>
                <c:pt idx="3">
                  <c:v>3879.84</c:v>
                </c:pt>
                <c:pt idx="4">
                  <c:v>5628.79</c:v>
                </c:pt>
              </c:numCache>
            </c:numRef>
          </c:val>
        </c:ser>
        <c:gapWidth val="205"/>
        <c:shape val="box"/>
        <c:axId val="167164544"/>
        <c:axId val="167170432"/>
        <c:axId val="0"/>
      </c:bar3DChart>
      <c:catAx>
        <c:axId val="167164544"/>
        <c:scaling>
          <c:orientation val="minMax"/>
        </c:scaling>
        <c:axPos val="b"/>
        <c:numFmt formatCode="General" sourceLinked="1"/>
        <c:tickLblPos val="nextTo"/>
        <c:txPr>
          <a:bodyPr/>
          <a:lstStyle/>
          <a:p>
            <a:pPr>
              <a:defRPr lang="ro-RO" sz="1000">
                <a:latin typeface="Arial" pitchFamily="34" charset="0"/>
                <a:cs typeface="Arial" pitchFamily="34" charset="0"/>
              </a:defRPr>
            </a:pPr>
            <a:endParaRPr lang="ro-RO"/>
          </a:p>
        </c:txPr>
        <c:crossAx val="167170432"/>
        <c:crosses val="autoZero"/>
        <c:auto val="1"/>
        <c:lblAlgn val="ctr"/>
        <c:lblOffset val="100"/>
      </c:catAx>
      <c:valAx>
        <c:axId val="167170432"/>
        <c:scaling>
          <c:orientation val="minMax"/>
          <c:max val="8000"/>
        </c:scaling>
        <c:axPos val="l"/>
        <c:majorGridlines/>
        <c:title>
          <c:tx>
            <c:rich>
              <a:bodyPr rot="-5400000" vert="horz"/>
              <a:lstStyle/>
              <a:p>
                <a:pPr>
                  <a:defRPr lang="ro-RO" b="1"/>
                </a:pPr>
                <a:r>
                  <a:rPr lang="ro-RO" sz="900" b="1">
                    <a:latin typeface="Arial" pitchFamily="34" charset="0"/>
                    <a:cs typeface="Arial" pitchFamily="34" charset="0"/>
                  </a:rPr>
                  <a:t>tone</a:t>
                </a:r>
              </a:p>
            </c:rich>
          </c:tx>
          <c:layout>
            <c:manualLayout>
              <c:xMode val="edge"/>
              <c:yMode val="edge"/>
              <c:x val="1.5750400991542724E-2"/>
              <c:y val="0.29505218824391138"/>
            </c:manualLayout>
          </c:layout>
        </c:title>
        <c:numFmt formatCode="0" sourceLinked="0"/>
        <c:tickLblPos val="nextTo"/>
        <c:txPr>
          <a:bodyPr/>
          <a:lstStyle/>
          <a:p>
            <a:pPr>
              <a:defRPr lang="ro-RO" sz="1000">
                <a:latin typeface="Arial" pitchFamily="34" charset="0"/>
                <a:cs typeface="Arial" pitchFamily="34" charset="0"/>
              </a:defRPr>
            </a:pPr>
            <a:endParaRPr lang="ro-RO"/>
          </a:p>
        </c:txPr>
        <c:crossAx val="167164544"/>
        <c:crosses val="autoZero"/>
        <c:crossBetween val="between"/>
        <c:majorUnit val="2000"/>
        <c:minorUnit val="1000"/>
      </c:valAx>
    </c:plotArea>
    <c:legend>
      <c:legendPos val="r"/>
      <c:layout>
        <c:manualLayout>
          <c:xMode val="edge"/>
          <c:yMode val="edge"/>
          <c:x val="0.85632527704870476"/>
          <c:y val="0.25932199034561365"/>
          <c:w val="8.3466389617964445E-2"/>
          <c:h val="0.47397856517935344"/>
        </c:manualLayout>
      </c:layout>
      <c:txPr>
        <a:bodyPr/>
        <a:lstStyle/>
        <a:p>
          <a:pPr>
            <a:defRPr lang="ro-RO" sz="1000">
              <a:latin typeface="Arial" pitchFamily="34" charset="0"/>
              <a:cs typeface="Arial" pitchFamily="34" charset="0"/>
            </a:defRPr>
          </a:pPr>
          <a:endParaRPr lang="ro-RO"/>
        </a:p>
      </c:txPr>
    </c:legend>
    <c:plotVisOnly val="1"/>
  </c:chart>
  <c:spPr>
    <a:ln>
      <a:noFill/>
    </a:ln>
    <a:scene3d>
      <a:camera prst="orthographicFront"/>
      <a:lightRig rig="threePt" dir="t"/>
    </a:scene3d>
    <a:sp3d/>
  </c:spPr>
  <c:externalData r:id="rId2"/>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o-RO"/>
  <c:clrMapOvr bg1="lt1" tx1="dk1" bg2="lt2" tx2="dk2" accent1="accent1" accent2="accent2" accent3="accent3" accent4="accent4" accent5="accent5" accent6="accent6" hlink="hlink" folHlink="folHlink"/>
  <c:chart>
    <c:view3D>
      <c:depthPercent val="100"/>
      <c:rAngAx val="1"/>
    </c:view3D>
    <c:sideWall>
      <c:spPr>
        <a:ln>
          <a:solidFill>
            <a:schemeClr val="bg1">
              <a:lumMod val="65000"/>
            </a:schemeClr>
          </a:solidFill>
        </a:ln>
      </c:spPr>
    </c:sideWall>
    <c:backWall>
      <c:spPr>
        <a:ln>
          <a:solidFill>
            <a:schemeClr val="bg1">
              <a:lumMod val="65000"/>
            </a:schemeClr>
          </a:solidFill>
        </a:ln>
      </c:spPr>
    </c:backWall>
    <c:plotArea>
      <c:layout>
        <c:manualLayout>
          <c:layoutTarget val="inner"/>
          <c:xMode val="edge"/>
          <c:yMode val="edge"/>
          <c:x val="0.13258110965296024"/>
          <c:y val="6.4642304327343914E-2"/>
          <c:w val="0.72725667104111991"/>
          <c:h val="0.73521217362280578"/>
        </c:manualLayout>
      </c:layout>
      <c:bar3DChart>
        <c:barDir val="col"/>
        <c:grouping val="clustered"/>
        <c:ser>
          <c:idx val="0"/>
          <c:order val="0"/>
          <c:tx>
            <c:strRef>
              <c:f>Sheet1!$B$1</c:f>
              <c:strCache>
                <c:ptCount val="1"/>
                <c:pt idx="0">
                  <c:v>SOx</c:v>
                </c:pt>
              </c:strCache>
            </c:strRef>
          </c:tx>
          <c:spPr>
            <a:solidFill>
              <a:srgbClr val="A20000"/>
            </a:solidFill>
            <a:scene3d>
              <a:camera prst="orthographicFront"/>
              <a:lightRig rig="threePt" dir="t"/>
            </a:scene3d>
            <a:sp3d>
              <a:bevelT/>
            </a:sp3d>
          </c:spPr>
          <c:cat>
            <c:numRef>
              <c:f>Sheet1!$A$2:$A$6</c:f>
              <c:numCache>
                <c:formatCode>General</c:formatCode>
                <c:ptCount val="5"/>
                <c:pt idx="0">
                  <c:v>2013</c:v>
                </c:pt>
                <c:pt idx="1">
                  <c:v>2014</c:v>
                </c:pt>
                <c:pt idx="2">
                  <c:v>2015</c:v>
                </c:pt>
                <c:pt idx="3">
                  <c:v>2016</c:v>
                </c:pt>
                <c:pt idx="4">
                  <c:v>2017</c:v>
                </c:pt>
              </c:numCache>
            </c:numRef>
          </c:cat>
          <c:val>
            <c:numRef>
              <c:f>Sheet1!$B$2:$B$6</c:f>
              <c:numCache>
                <c:formatCode>0</c:formatCode>
                <c:ptCount val="5"/>
                <c:pt idx="0">
                  <c:v>853</c:v>
                </c:pt>
                <c:pt idx="1">
                  <c:v>369</c:v>
                </c:pt>
                <c:pt idx="2">
                  <c:v>186</c:v>
                </c:pt>
                <c:pt idx="3">
                  <c:v>177.5</c:v>
                </c:pt>
                <c:pt idx="4">
                  <c:v>169.089</c:v>
                </c:pt>
              </c:numCache>
            </c:numRef>
          </c:val>
        </c:ser>
        <c:ser>
          <c:idx val="1"/>
          <c:order val="1"/>
          <c:tx>
            <c:strRef>
              <c:f>Sheet1!$C$1</c:f>
              <c:strCache>
                <c:ptCount val="1"/>
                <c:pt idx="0">
                  <c:v>NOx</c:v>
                </c:pt>
              </c:strCache>
            </c:strRef>
          </c:tx>
          <c:spPr>
            <a:solidFill>
              <a:srgbClr val="9BBB59">
                <a:lumMod val="60000"/>
                <a:lumOff val="40000"/>
              </a:srgbClr>
            </a:solidFill>
            <a:ln>
              <a:solidFill>
                <a:sysClr val="window" lastClr="FFFFFF">
                  <a:lumMod val="65000"/>
                </a:sysClr>
              </a:solidFill>
            </a:ln>
            <a:scene3d>
              <a:camera prst="orthographicFront"/>
              <a:lightRig rig="threePt" dir="t"/>
            </a:scene3d>
            <a:sp3d>
              <a:bevelT/>
              <a:contourClr>
                <a:srgbClr val="000000"/>
              </a:contourClr>
            </a:sp3d>
          </c:spPr>
          <c:cat>
            <c:numRef>
              <c:f>Sheet1!$A$2:$A$6</c:f>
              <c:numCache>
                <c:formatCode>General</c:formatCode>
                <c:ptCount val="5"/>
                <c:pt idx="0">
                  <c:v>2013</c:v>
                </c:pt>
                <c:pt idx="1">
                  <c:v>2014</c:v>
                </c:pt>
                <c:pt idx="2">
                  <c:v>2015</c:v>
                </c:pt>
                <c:pt idx="3">
                  <c:v>2016</c:v>
                </c:pt>
                <c:pt idx="4">
                  <c:v>2017</c:v>
                </c:pt>
              </c:numCache>
            </c:numRef>
          </c:cat>
          <c:val>
            <c:numRef>
              <c:f>Sheet1!$C$2:$C$6</c:f>
              <c:numCache>
                <c:formatCode>General</c:formatCode>
                <c:ptCount val="5"/>
                <c:pt idx="0">
                  <c:v>1556</c:v>
                </c:pt>
                <c:pt idx="1">
                  <c:v>2127</c:v>
                </c:pt>
                <c:pt idx="2">
                  <c:v>1404</c:v>
                </c:pt>
                <c:pt idx="3" formatCode="0">
                  <c:v>1300</c:v>
                </c:pt>
                <c:pt idx="4" formatCode="0">
                  <c:v>1378.6519999999998</c:v>
                </c:pt>
              </c:numCache>
            </c:numRef>
          </c:val>
        </c:ser>
        <c:ser>
          <c:idx val="2"/>
          <c:order val="2"/>
          <c:tx>
            <c:strRef>
              <c:f>Sheet1!$D$1</c:f>
              <c:strCache>
                <c:ptCount val="1"/>
                <c:pt idx="0">
                  <c:v>NH3</c:v>
                </c:pt>
              </c:strCache>
            </c:strRef>
          </c:tx>
          <c:spPr>
            <a:solidFill>
              <a:srgbClr val="C0504D">
                <a:lumMod val="60000"/>
                <a:lumOff val="40000"/>
              </a:srgbClr>
            </a:solidFill>
            <a:ln>
              <a:solidFill>
                <a:sysClr val="window" lastClr="FFFFFF">
                  <a:lumMod val="65000"/>
                </a:sysClr>
              </a:solidFill>
            </a:ln>
            <a:scene3d>
              <a:camera prst="orthographicFront"/>
              <a:lightRig rig="threePt" dir="t"/>
            </a:scene3d>
            <a:sp3d>
              <a:bevelT/>
              <a:contourClr>
                <a:srgbClr val="000000"/>
              </a:contourClr>
            </a:sp3d>
          </c:spPr>
          <c:cat>
            <c:numRef>
              <c:f>Sheet1!$A$2:$A$6</c:f>
              <c:numCache>
                <c:formatCode>General</c:formatCode>
                <c:ptCount val="5"/>
                <c:pt idx="0">
                  <c:v>2013</c:v>
                </c:pt>
                <c:pt idx="1">
                  <c:v>2014</c:v>
                </c:pt>
                <c:pt idx="2">
                  <c:v>2015</c:v>
                </c:pt>
                <c:pt idx="3">
                  <c:v>2016</c:v>
                </c:pt>
                <c:pt idx="4">
                  <c:v>2017</c:v>
                </c:pt>
              </c:numCache>
            </c:numRef>
          </c:cat>
          <c:val>
            <c:numRef>
              <c:f>Sheet1!$D$2:$D$6</c:f>
              <c:numCache>
                <c:formatCode>0</c:formatCode>
                <c:ptCount val="5"/>
                <c:pt idx="0">
                  <c:v>26</c:v>
                </c:pt>
                <c:pt idx="1">
                  <c:v>39</c:v>
                </c:pt>
                <c:pt idx="2">
                  <c:v>650</c:v>
                </c:pt>
                <c:pt idx="3">
                  <c:v>680</c:v>
                </c:pt>
                <c:pt idx="4">
                  <c:v>660.61900000000003</c:v>
                </c:pt>
              </c:numCache>
            </c:numRef>
          </c:val>
        </c:ser>
        <c:gapWidth val="234"/>
        <c:shape val="box"/>
        <c:axId val="167098240"/>
        <c:axId val="167099776"/>
        <c:axId val="0"/>
      </c:bar3DChart>
      <c:catAx>
        <c:axId val="167098240"/>
        <c:scaling>
          <c:orientation val="minMax"/>
        </c:scaling>
        <c:axPos val="b"/>
        <c:numFmt formatCode="General" sourceLinked="1"/>
        <c:tickLblPos val="nextTo"/>
        <c:txPr>
          <a:bodyPr/>
          <a:lstStyle/>
          <a:p>
            <a:pPr>
              <a:defRPr lang="ro-RO" sz="1000">
                <a:latin typeface="Arial" pitchFamily="34" charset="0"/>
                <a:cs typeface="Arial" pitchFamily="34" charset="0"/>
              </a:defRPr>
            </a:pPr>
            <a:endParaRPr lang="ro-RO"/>
          </a:p>
        </c:txPr>
        <c:crossAx val="167099776"/>
        <c:crosses val="autoZero"/>
        <c:auto val="1"/>
        <c:lblAlgn val="ctr"/>
        <c:lblOffset val="100"/>
      </c:catAx>
      <c:valAx>
        <c:axId val="167099776"/>
        <c:scaling>
          <c:orientation val="minMax"/>
          <c:max val="2500"/>
        </c:scaling>
        <c:axPos val="l"/>
        <c:majorGridlines/>
        <c:title>
          <c:tx>
            <c:rich>
              <a:bodyPr rot="0" vert="horz"/>
              <a:lstStyle/>
              <a:p>
                <a:pPr>
                  <a:defRPr lang="ro-RO" sz="800" b="1"/>
                </a:pPr>
                <a:r>
                  <a:rPr lang="ro-RO" sz="800" b="1">
                    <a:latin typeface="Arial" pitchFamily="34" charset="0"/>
                    <a:cs typeface="Arial" pitchFamily="34" charset="0"/>
                  </a:rPr>
                  <a:t>tone</a:t>
                </a:r>
              </a:p>
            </c:rich>
          </c:tx>
          <c:layout>
            <c:manualLayout>
              <c:xMode val="edge"/>
              <c:yMode val="edge"/>
              <c:x val="8.8059565470983061E-3"/>
              <c:y val="0.12069291338582677"/>
            </c:manualLayout>
          </c:layout>
        </c:title>
        <c:numFmt formatCode="0" sourceLinked="0"/>
        <c:tickLblPos val="nextTo"/>
        <c:txPr>
          <a:bodyPr/>
          <a:lstStyle/>
          <a:p>
            <a:pPr>
              <a:defRPr lang="ro-RO" sz="1000">
                <a:latin typeface="Arial" pitchFamily="34" charset="0"/>
                <a:cs typeface="Arial" pitchFamily="34" charset="0"/>
              </a:defRPr>
            </a:pPr>
            <a:endParaRPr lang="ro-RO"/>
          </a:p>
        </c:txPr>
        <c:crossAx val="167098240"/>
        <c:crosses val="autoZero"/>
        <c:crossBetween val="between"/>
        <c:majorUnit val="500"/>
        <c:minorUnit val="500"/>
      </c:valAx>
    </c:plotArea>
    <c:legend>
      <c:legendPos val="r"/>
      <c:layout>
        <c:manualLayout>
          <c:xMode val="edge"/>
          <c:yMode val="edge"/>
          <c:x val="0.851695647419077"/>
          <c:y val="0.15675835041167857"/>
          <c:w val="8.3466389617964445E-2"/>
          <c:h val="0.52502241066020594"/>
        </c:manualLayout>
      </c:layout>
      <c:txPr>
        <a:bodyPr/>
        <a:lstStyle/>
        <a:p>
          <a:pPr>
            <a:defRPr lang="ro-RO" sz="1000">
              <a:latin typeface="Arial" pitchFamily="34" charset="0"/>
              <a:cs typeface="Arial" pitchFamily="34" charset="0"/>
            </a:defRPr>
          </a:pPr>
          <a:endParaRPr lang="ro-RO"/>
        </a:p>
      </c:txPr>
    </c:legend>
    <c:plotVisOnly val="1"/>
  </c:chart>
  <c:spPr>
    <a:ln>
      <a:noFill/>
    </a:ln>
  </c:spPr>
  <c:externalData r:id="rId2"/>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o-RO"/>
  <c:clrMapOvr bg1="lt1" tx1="dk1" bg2="lt2" tx2="dk2" accent1="accent1" accent2="accent2" accent3="accent3" accent4="accent4" accent5="accent5" accent6="accent6" hlink="hlink" folHlink="folHlink"/>
  <c:chart>
    <c:view3D>
      <c:depthPercent val="100"/>
      <c:rAngAx val="1"/>
    </c:view3D>
    <c:sideWall>
      <c:spPr>
        <a:ln>
          <a:solidFill>
            <a:sysClr val="window" lastClr="FFFFFF">
              <a:lumMod val="65000"/>
            </a:sysClr>
          </a:solidFill>
        </a:ln>
      </c:spPr>
    </c:sideWall>
    <c:backWall>
      <c:spPr>
        <a:ln>
          <a:solidFill>
            <a:sysClr val="window" lastClr="FFFFFF">
              <a:lumMod val="65000"/>
            </a:sysClr>
          </a:solidFill>
        </a:ln>
      </c:spPr>
    </c:backWall>
    <c:plotArea>
      <c:layout>
        <c:manualLayout>
          <c:layoutTarget val="inner"/>
          <c:xMode val="edge"/>
          <c:yMode val="edge"/>
          <c:x val="0.12977072572922713"/>
          <c:y val="0.10043452901720619"/>
          <c:w val="0.78595974179976058"/>
          <c:h val="0.72329979585885162"/>
        </c:manualLayout>
      </c:layout>
      <c:bar3DChart>
        <c:barDir val="col"/>
        <c:grouping val="clustered"/>
        <c:ser>
          <c:idx val="0"/>
          <c:order val="0"/>
          <c:tx>
            <c:strRef>
              <c:f>Sheet1!$B$1</c:f>
              <c:strCache>
                <c:ptCount val="1"/>
                <c:pt idx="0">
                  <c:v>NOx</c:v>
                </c:pt>
              </c:strCache>
            </c:strRef>
          </c:tx>
          <c:spPr>
            <a:solidFill>
              <a:srgbClr val="9BBB59">
                <a:lumMod val="60000"/>
                <a:lumOff val="40000"/>
              </a:srgbClr>
            </a:solidFill>
            <a:scene3d>
              <a:camera prst="orthographicFront"/>
              <a:lightRig rig="threePt" dir="t"/>
            </a:scene3d>
            <a:sp3d>
              <a:bevelT/>
            </a:sp3d>
          </c:spPr>
          <c:cat>
            <c:numRef>
              <c:f>Sheet1!$A$2:$A$6</c:f>
              <c:numCache>
                <c:formatCode>General</c:formatCode>
                <c:ptCount val="5"/>
                <c:pt idx="0">
                  <c:v>2013</c:v>
                </c:pt>
                <c:pt idx="1">
                  <c:v>2014</c:v>
                </c:pt>
                <c:pt idx="2">
                  <c:v>2015</c:v>
                </c:pt>
                <c:pt idx="3">
                  <c:v>2016</c:v>
                </c:pt>
                <c:pt idx="4">
                  <c:v>2017</c:v>
                </c:pt>
              </c:numCache>
            </c:numRef>
          </c:cat>
          <c:val>
            <c:numRef>
              <c:f>Sheet1!$B$2:$B$6</c:f>
              <c:numCache>
                <c:formatCode>0.0</c:formatCode>
                <c:ptCount val="5"/>
                <c:pt idx="0" formatCode="0">
                  <c:v>2875.6</c:v>
                </c:pt>
                <c:pt idx="1">
                  <c:v>2239</c:v>
                </c:pt>
                <c:pt idx="2">
                  <c:v>2772.7</c:v>
                </c:pt>
                <c:pt idx="3">
                  <c:v>2949.73</c:v>
                </c:pt>
                <c:pt idx="4" formatCode="General">
                  <c:v>2970.6</c:v>
                </c:pt>
              </c:numCache>
            </c:numRef>
          </c:val>
        </c:ser>
        <c:ser>
          <c:idx val="1"/>
          <c:order val="1"/>
          <c:tx>
            <c:strRef>
              <c:f>Sheet1!$C$1</c:f>
              <c:strCache>
                <c:ptCount val="1"/>
                <c:pt idx="0">
                  <c:v>NH3</c:v>
                </c:pt>
              </c:strCache>
            </c:strRef>
          </c:tx>
          <c:spPr>
            <a:solidFill>
              <a:srgbClr val="C0504D">
                <a:lumMod val="60000"/>
                <a:lumOff val="40000"/>
              </a:srgbClr>
            </a:solidFill>
            <a:scene3d>
              <a:camera prst="orthographicFront"/>
              <a:lightRig rig="threePt" dir="t"/>
            </a:scene3d>
            <a:sp3d>
              <a:bevelT/>
            </a:sp3d>
          </c:spPr>
          <c:cat>
            <c:numRef>
              <c:f>Sheet1!$A$2:$A$6</c:f>
              <c:numCache>
                <c:formatCode>General</c:formatCode>
                <c:ptCount val="5"/>
                <c:pt idx="0">
                  <c:v>2013</c:v>
                </c:pt>
                <c:pt idx="1">
                  <c:v>2014</c:v>
                </c:pt>
                <c:pt idx="2">
                  <c:v>2015</c:v>
                </c:pt>
                <c:pt idx="3">
                  <c:v>2016</c:v>
                </c:pt>
                <c:pt idx="4">
                  <c:v>2017</c:v>
                </c:pt>
              </c:numCache>
            </c:numRef>
          </c:cat>
          <c:val>
            <c:numRef>
              <c:f>Sheet1!$C$2:$C$6</c:f>
              <c:numCache>
                <c:formatCode>0.0</c:formatCode>
                <c:ptCount val="5"/>
                <c:pt idx="0" formatCode="General">
                  <c:v>15.8</c:v>
                </c:pt>
                <c:pt idx="1">
                  <c:v>16.3</c:v>
                </c:pt>
                <c:pt idx="2">
                  <c:v>17.899999999999999</c:v>
                </c:pt>
                <c:pt idx="3">
                  <c:v>21.39</c:v>
                </c:pt>
                <c:pt idx="4">
                  <c:v>22.396000000000001</c:v>
                </c:pt>
              </c:numCache>
            </c:numRef>
          </c:val>
        </c:ser>
        <c:gapWidth val="310"/>
        <c:shape val="box"/>
        <c:axId val="167293312"/>
        <c:axId val="167294848"/>
        <c:axId val="0"/>
      </c:bar3DChart>
      <c:catAx>
        <c:axId val="167293312"/>
        <c:scaling>
          <c:orientation val="minMax"/>
        </c:scaling>
        <c:axPos val="b"/>
        <c:numFmt formatCode="General" sourceLinked="1"/>
        <c:tickLblPos val="nextTo"/>
        <c:txPr>
          <a:bodyPr/>
          <a:lstStyle/>
          <a:p>
            <a:pPr>
              <a:defRPr lang="ro-RO">
                <a:latin typeface="Arial" pitchFamily="34" charset="0"/>
                <a:cs typeface="Arial" pitchFamily="34" charset="0"/>
              </a:defRPr>
            </a:pPr>
            <a:endParaRPr lang="ro-RO"/>
          </a:p>
        </c:txPr>
        <c:crossAx val="167294848"/>
        <c:crosses val="autoZero"/>
        <c:auto val="1"/>
        <c:lblAlgn val="ctr"/>
        <c:lblOffset val="100"/>
      </c:catAx>
      <c:valAx>
        <c:axId val="167294848"/>
        <c:scaling>
          <c:orientation val="minMax"/>
          <c:max val="3000"/>
          <c:min val="0"/>
        </c:scaling>
        <c:axPos val="l"/>
        <c:majorGridlines/>
        <c:title>
          <c:tx>
            <c:rich>
              <a:bodyPr rot="0" vert="horz"/>
              <a:lstStyle/>
              <a:p>
                <a:pPr>
                  <a:defRPr lang="ro-RO" sz="900">
                    <a:latin typeface="Arial" pitchFamily="34" charset="0"/>
                    <a:cs typeface="Arial" pitchFamily="34" charset="0"/>
                  </a:defRPr>
                </a:pPr>
                <a:r>
                  <a:rPr lang="ro-RO" sz="900">
                    <a:latin typeface="Arial" pitchFamily="34" charset="0"/>
                    <a:cs typeface="Arial" pitchFamily="34" charset="0"/>
                  </a:rPr>
                  <a:t>tone</a:t>
                </a:r>
              </a:p>
            </c:rich>
          </c:tx>
          <c:layout>
            <c:manualLayout>
              <c:xMode val="edge"/>
              <c:yMode val="edge"/>
              <c:x val="0"/>
              <c:y val="0.21970797242866191"/>
            </c:manualLayout>
          </c:layout>
        </c:title>
        <c:numFmt formatCode="0" sourceLinked="0"/>
        <c:tickLblPos val="nextTo"/>
        <c:txPr>
          <a:bodyPr/>
          <a:lstStyle/>
          <a:p>
            <a:pPr>
              <a:defRPr lang="ro-RO" sz="1000">
                <a:latin typeface="Arial" pitchFamily="34" charset="0"/>
                <a:cs typeface="Arial" pitchFamily="34" charset="0"/>
              </a:defRPr>
            </a:pPr>
            <a:endParaRPr lang="ro-RO"/>
          </a:p>
        </c:txPr>
        <c:crossAx val="167293312"/>
        <c:crosses val="autoZero"/>
        <c:crossBetween val="between"/>
        <c:majorUnit val="1000"/>
        <c:minorUnit val="500"/>
      </c:valAx>
    </c:plotArea>
    <c:legend>
      <c:legendPos val="r"/>
      <c:layout>
        <c:manualLayout>
          <c:xMode val="edge"/>
          <c:yMode val="edge"/>
          <c:x val="0.88524432822645549"/>
          <c:y val="0.25784496189313288"/>
          <c:w val="9.0882117996119949E-2"/>
          <c:h val="0.35001494044013726"/>
        </c:manualLayout>
      </c:layout>
      <c:txPr>
        <a:bodyPr/>
        <a:lstStyle/>
        <a:p>
          <a:pPr>
            <a:defRPr lang="ro-RO" sz="1000">
              <a:latin typeface="Arial" pitchFamily="34" charset="0"/>
              <a:cs typeface="Arial" pitchFamily="34" charset="0"/>
            </a:defRPr>
          </a:pPr>
          <a:endParaRPr lang="ro-RO"/>
        </a:p>
      </c:txPr>
    </c:legend>
    <c:plotVisOnly val="1"/>
  </c:chart>
  <c:spPr>
    <a:ln>
      <a:noFill/>
    </a:ln>
  </c:spPr>
  <c:externalData r:id="rId2"/>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o-RO"/>
  <c:clrMapOvr bg1="lt1" tx1="dk1" bg2="lt2" tx2="dk2" accent1="accent1" accent2="accent2" accent3="accent3" accent4="accent4" accent5="accent5" accent6="accent6" hlink="hlink" folHlink="folHlink"/>
  <c:chart>
    <c:autoTitleDeleted val="1"/>
    <c:view3D>
      <c:depthPercent val="100"/>
      <c:rAngAx val="1"/>
    </c:view3D>
    <c:sideWall>
      <c:spPr>
        <a:ln>
          <a:solidFill>
            <a:schemeClr val="bg1">
              <a:lumMod val="65000"/>
            </a:schemeClr>
          </a:solidFill>
        </a:ln>
      </c:spPr>
    </c:sideWall>
    <c:backWall>
      <c:spPr>
        <a:ln>
          <a:solidFill>
            <a:schemeClr val="bg1">
              <a:lumMod val="65000"/>
            </a:schemeClr>
          </a:solidFill>
        </a:ln>
      </c:spPr>
    </c:backWall>
    <c:plotArea>
      <c:layout>
        <c:manualLayout>
          <c:layoutTarget val="inner"/>
          <c:xMode val="edge"/>
          <c:yMode val="edge"/>
          <c:x val="0.16176109612073244"/>
          <c:y val="7.3544251109632891E-2"/>
          <c:w val="0.66986529928658833"/>
          <c:h val="0.70852343457069411"/>
        </c:manualLayout>
      </c:layout>
      <c:bar3DChart>
        <c:barDir val="col"/>
        <c:grouping val="clustered"/>
        <c:ser>
          <c:idx val="0"/>
          <c:order val="0"/>
          <c:tx>
            <c:strRef>
              <c:f>Sheet1!$B$1</c:f>
              <c:strCache>
                <c:ptCount val="1"/>
                <c:pt idx="0">
                  <c:v>NH3</c:v>
                </c:pt>
              </c:strCache>
            </c:strRef>
          </c:tx>
          <c:spPr>
            <a:solidFill>
              <a:srgbClr val="C0504D">
                <a:lumMod val="60000"/>
                <a:lumOff val="40000"/>
              </a:srgbClr>
            </a:solidFill>
            <a:scene3d>
              <a:camera prst="orthographicFront"/>
              <a:lightRig rig="threePt" dir="t"/>
            </a:scene3d>
            <a:sp3d>
              <a:bevelT/>
            </a:sp3d>
          </c:spPr>
          <c:cat>
            <c:numRef>
              <c:f>Sheet1!$A$2:$A$6</c:f>
              <c:numCache>
                <c:formatCode>General</c:formatCode>
                <c:ptCount val="5"/>
                <c:pt idx="0">
                  <c:v>2013</c:v>
                </c:pt>
                <c:pt idx="1">
                  <c:v>2014</c:v>
                </c:pt>
                <c:pt idx="2">
                  <c:v>2015</c:v>
                </c:pt>
                <c:pt idx="3">
                  <c:v>2016</c:v>
                </c:pt>
                <c:pt idx="4">
                  <c:v>2017</c:v>
                </c:pt>
              </c:numCache>
            </c:numRef>
          </c:cat>
          <c:val>
            <c:numRef>
              <c:f>Sheet1!$B$2:$B$6</c:f>
              <c:numCache>
                <c:formatCode>0</c:formatCode>
                <c:ptCount val="5"/>
                <c:pt idx="0">
                  <c:v>6274</c:v>
                </c:pt>
                <c:pt idx="1">
                  <c:v>6363</c:v>
                </c:pt>
                <c:pt idx="2">
                  <c:v>5451</c:v>
                </c:pt>
                <c:pt idx="3">
                  <c:v>3178</c:v>
                </c:pt>
                <c:pt idx="4">
                  <c:v>4945.8</c:v>
                </c:pt>
              </c:numCache>
            </c:numRef>
          </c:val>
        </c:ser>
        <c:gapWidth val="346"/>
        <c:shape val="box"/>
        <c:axId val="167024512"/>
        <c:axId val="167026048"/>
        <c:axId val="0"/>
      </c:bar3DChart>
      <c:catAx>
        <c:axId val="167024512"/>
        <c:scaling>
          <c:orientation val="minMax"/>
        </c:scaling>
        <c:axPos val="b"/>
        <c:numFmt formatCode="General" sourceLinked="1"/>
        <c:tickLblPos val="nextTo"/>
        <c:txPr>
          <a:bodyPr/>
          <a:lstStyle/>
          <a:p>
            <a:pPr>
              <a:defRPr lang="ro-RO" sz="1000">
                <a:latin typeface="Arial" pitchFamily="34" charset="0"/>
                <a:cs typeface="Arial" pitchFamily="34" charset="0"/>
              </a:defRPr>
            </a:pPr>
            <a:endParaRPr lang="ro-RO"/>
          </a:p>
        </c:txPr>
        <c:crossAx val="167026048"/>
        <c:crosses val="autoZero"/>
        <c:auto val="1"/>
        <c:lblAlgn val="ctr"/>
        <c:lblOffset val="100"/>
      </c:catAx>
      <c:valAx>
        <c:axId val="167026048"/>
        <c:scaling>
          <c:orientation val="minMax"/>
          <c:max val="6000"/>
          <c:min val="0"/>
        </c:scaling>
        <c:axPos val="l"/>
        <c:majorGridlines/>
        <c:title>
          <c:tx>
            <c:rich>
              <a:bodyPr rot="0" vert="horz"/>
              <a:lstStyle/>
              <a:p>
                <a:pPr>
                  <a:defRPr lang="ro-RO" b="1"/>
                </a:pPr>
                <a:r>
                  <a:rPr lang="ro-RO" sz="900" b="1">
                    <a:latin typeface="Arial" pitchFamily="34" charset="0"/>
                    <a:cs typeface="Arial" pitchFamily="34" charset="0"/>
                  </a:rPr>
                  <a:t>tone</a:t>
                </a:r>
              </a:p>
            </c:rich>
          </c:tx>
          <c:layout>
            <c:manualLayout>
              <c:xMode val="edge"/>
              <c:yMode val="edge"/>
              <c:x val="0"/>
              <c:y val="0.11911541776892667"/>
            </c:manualLayout>
          </c:layout>
        </c:title>
        <c:numFmt formatCode="0" sourceLinked="0"/>
        <c:tickLblPos val="nextTo"/>
        <c:txPr>
          <a:bodyPr/>
          <a:lstStyle/>
          <a:p>
            <a:pPr>
              <a:defRPr lang="ro-RO" sz="1000">
                <a:latin typeface="Arial" pitchFamily="34" charset="0"/>
                <a:cs typeface="Arial" pitchFamily="34" charset="0"/>
              </a:defRPr>
            </a:pPr>
            <a:endParaRPr lang="ro-RO"/>
          </a:p>
        </c:txPr>
        <c:crossAx val="167024512"/>
        <c:crosses val="autoZero"/>
        <c:crossBetween val="between"/>
        <c:majorUnit val="2000"/>
      </c:valAx>
    </c:plotArea>
    <c:legend>
      <c:legendPos val="r"/>
      <c:layout>
        <c:manualLayout>
          <c:xMode val="edge"/>
          <c:yMode val="edge"/>
          <c:x val="0.89074096507167377"/>
          <c:y val="0.42188785492722547"/>
          <c:w val="0.10497083061123928"/>
          <c:h val="0.16606548269057644"/>
        </c:manualLayout>
      </c:layout>
      <c:txPr>
        <a:bodyPr/>
        <a:lstStyle/>
        <a:p>
          <a:pPr>
            <a:defRPr lang="ro-RO" sz="1000">
              <a:latin typeface="Arial" pitchFamily="34" charset="0"/>
              <a:cs typeface="Arial" pitchFamily="34" charset="0"/>
            </a:defRPr>
          </a:pPr>
          <a:endParaRPr lang="ro-RO"/>
        </a:p>
      </c:txPr>
    </c:legend>
    <c:plotVisOnly val="1"/>
  </c:chart>
  <c:spPr>
    <a:ln>
      <a:noFill/>
    </a:ln>
  </c:spPr>
  <c:externalData r:id="rId2"/>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o-RO"/>
  <c:clrMapOvr bg1="lt1" tx1="dk1" bg2="lt2" tx2="dk2" accent1="accent1" accent2="accent2" accent3="accent3" accent4="accent4" accent5="accent5" accent6="accent6" hlink="hlink" folHlink="folHlink"/>
  <c:chart>
    <c:view3D>
      <c:depthPercent val="100"/>
      <c:rAngAx val="1"/>
    </c:view3D>
    <c:sideWall>
      <c:spPr>
        <a:ln>
          <a:solidFill>
            <a:sysClr val="window" lastClr="FFFFFF">
              <a:lumMod val="65000"/>
            </a:sysClr>
          </a:solidFill>
        </a:ln>
      </c:spPr>
    </c:sideWall>
    <c:backWall>
      <c:spPr>
        <a:ln>
          <a:solidFill>
            <a:sysClr val="window" lastClr="FFFFFF">
              <a:lumMod val="65000"/>
            </a:sysClr>
          </a:solidFill>
        </a:ln>
      </c:spPr>
    </c:backWall>
    <c:plotArea>
      <c:layout>
        <c:manualLayout>
          <c:layoutTarget val="inner"/>
          <c:xMode val="edge"/>
          <c:yMode val="edge"/>
          <c:x val="0.16055756051326919"/>
          <c:y val="5.7930229017344924E-2"/>
          <c:w val="0.69218667979002557"/>
          <c:h val="0.74022414825291649"/>
        </c:manualLayout>
      </c:layout>
      <c:bar3DChart>
        <c:barDir val="col"/>
        <c:grouping val="clustered"/>
        <c:ser>
          <c:idx val="0"/>
          <c:order val="0"/>
          <c:tx>
            <c:strRef>
              <c:f>Sheet1!$B$1</c:f>
              <c:strCache>
                <c:ptCount val="1"/>
                <c:pt idx="0">
                  <c:v>NOx</c:v>
                </c:pt>
              </c:strCache>
            </c:strRef>
          </c:tx>
          <c:spPr>
            <a:solidFill>
              <a:srgbClr val="9BBB59">
                <a:lumMod val="60000"/>
                <a:lumOff val="40000"/>
              </a:srgbClr>
            </a:solidFill>
            <a:scene3d>
              <a:camera prst="orthographicFront"/>
              <a:lightRig rig="threePt" dir="t"/>
            </a:scene3d>
            <a:sp3d>
              <a:bevelT/>
            </a:sp3d>
          </c:spPr>
          <c:cat>
            <c:numRef>
              <c:f>Sheet1!$A$2:$A$6</c:f>
              <c:numCache>
                <c:formatCode>General</c:formatCode>
                <c:ptCount val="5"/>
                <c:pt idx="0">
                  <c:v>2013</c:v>
                </c:pt>
                <c:pt idx="1">
                  <c:v>2014</c:v>
                </c:pt>
                <c:pt idx="2">
                  <c:v>2015</c:v>
                </c:pt>
                <c:pt idx="3">
                  <c:v>2016</c:v>
                </c:pt>
                <c:pt idx="4">
                  <c:v>2017</c:v>
                </c:pt>
              </c:numCache>
            </c:numRef>
          </c:cat>
          <c:val>
            <c:numRef>
              <c:f>Sheet1!$B$2:$B$6</c:f>
              <c:numCache>
                <c:formatCode>0</c:formatCode>
                <c:ptCount val="5"/>
                <c:pt idx="0">
                  <c:v>4448</c:v>
                </c:pt>
                <c:pt idx="1">
                  <c:v>4368</c:v>
                </c:pt>
                <c:pt idx="2">
                  <c:v>4178.7</c:v>
                </c:pt>
                <c:pt idx="3">
                  <c:v>4396.9299999999994</c:v>
                </c:pt>
                <c:pt idx="4">
                  <c:v>4352.2</c:v>
                </c:pt>
              </c:numCache>
            </c:numRef>
          </c:val>
        </c:ser>
        <c:ser>
          <c:idx val="1"/>
          <c:order val="1"/>
          <c:tx>
            <c:strRef>
              <c:f>Sheet1!$C$1</c:f>
              <c:strCache>
                <c:ptCount val="1"/>
                <c:pt idx="0">
                  <c:v>NMVOC</c:v>
                </c:pt>
              </c:strCache>
            </c:strRef>
          </c:tx>
          <c:spPr>
            <a:scene3d>
              <a:camera prst="orthographicFront"/>
              <a:lightRig rig="threePt" dir="t"/>
            </a:scene3d>
            <a:sp3d>
              <a:bevelT/>
            </a:sp3d>
          </c:spPr>
          <c:cat>
            <c:numRef>
              <c:f>Sheet1!$A$2:$A$6</c:f>
              <c:numCache>
                <c:formatCode>General</c:formatCode>
                <c:ptCount val="5"/>
                <c:pt idx="0">
                  <c:v>2013</c:v>
                </c:pt>
                <c:pt idx="1">
                  <c:v>2014</c:v>
                </c:pt>
                <c:pt idx="2">
                  <c:v>2015</c:v>
                </c:pt>
                <c:pt idx="3">
                  <c:v>2016</c:v>
                </c:pt>
                <c:pt idx="4">
                  <c:v>2017</c:v>
                </c:pt>
              </c:numCache>
            </c:numRef>
          </c:cat>
          <c:val>
            <c:numRef>
              <c:f>Sheet1!$C$2:$C$6</c:f>
              <c:numCache>
                <c:formatCode>0</c:formatCode>
                <c:ptCount val="5"/>
                <c:pt idx="0">
                  <c:v>9176</c:v>
                </c:pt>
                <c:pt idx="1">
                  <c:v>9317</c:v>
                </c:pt>
                <c:pt idx="2">
                  <c:v>7821.08</c:v>
                </c:pt>
                <c:pt idx="3">
                  <c:v>7779.64</c:v>
                </c:pt>
                <c:pt idx="4">
                  <c:v>7651.41</c:v>
                </c:pt>
              </c:numCache>
            </c:numRef>
          </c:val>
        </c:ser>
        <c:ser>
          <c:idx val="2"/>
          <c:order val="2"/>
          <c:tx>
            <c:strRef>
              <c:f>Sheet1!$D$1</c:f>
              <c:strCache>
                <c:ptCount val="1"/>
                <c:pt idx="0">
                  <c:v>CO</c:v>
                </c:pt>
              </c:strCache>
            </c:strRef>
          </c:tx>
          <c:spPr>
            <a:solidFill>
              <a:srgbClr val="7A0000"/>
            </a:solidFill>
            <a:ln>
              <a:noFill/>
            </a:ln>
            <a:scene3d>
              <a:camera prst="orthographicFront"/>
              <a:lightRig rig="threePt" dir="t"/>
            </a:scene3d>
            <a:sp3d>
              <a:bevelT/>
            </a:sp3d>
          </c:spPr>
          <c:cat>
            <c:numRef>
              <c:f>Sheet1!$A$2:$A$6</c:f>
              <c:numCache>
                <c:formatCode>General</c:formatCode>
                <c:ptCount val="5"/>
                <c:pt idx="0">
                  <c:v>2013</c:v>
                </c:pt>
                <c:pt idx="1">
                  <c:v>2014</c:v>
                </c:pt>
                <c:pt idx="2">
                  <c:v>2015</c:v>
                </c:pt>
                <c:pt idx="3">
                  <c:v>2016</c:v>
                </c:pt>
                <c:pt idx="4">
                  <c:v>2017</c:v>
                </c:pt>
              </c:numCache>
            </c:numRef>
          </c:cat>
          <c:val>
            <c:numRef>
              <c:f>Sheet1!$D$2:$D$6</c:f>
              <c:numCache>
                <c:formatCode>0</c:formatCode>
                <c:ptCount val="5"/>
                <c:pt idx="0">
                  <c:v>39146</c:v>
                </c:pt>
                <c:pt idx="1">
                  <c:v>47358</c:v>
                </c:pt>
                <c:pt idx="2">
                  <c:v>36959.129999999997</c:v>
                </c:pt>
                <c:pt idx="3">
                  <c:v>37953.14</c:v>
                </c:pt>
                <c:pt idx="4">
                  <c:v>37524.42</c:v>
                </c:pt>
              </c:numCache>
            </c:numRef>
          </c:val>
        </c:ser>
        <c:gapWidth val="180"/>
        <c:shape val="box"/>
        <c:axId val="167244928"/>
        <c:axId val="167246464"/>
        <c:axId val="0"/>
      </c:bar3DChart>
      <c:catAx>
        <c:axId val="167244928"/>
        <c:scaling>
          <c:orientation val="minMax"/>
        </c:scaling>
        <c:axPos val="b"/>
        <c:numFmt formatCode="General" sourceLinked="1"/>
        <c:tickLblPos val="nextTo"/>
        <c:txPr>
          <a:bodyPr/>
          <a:lstStyle/>
          <a:p>
            <a:pPr>
              <a:defRPr lang="en-US"/>
            </a:pPr>
            <a:endParaRPr lang="ro-RO"/>
          </a:p>
        </c:txPr>
        <c:crossAx val="167246464"/>
        <c:crosses val="autoZero"/>
        <c:auto val="1"/>
        <c:lblAlgn val="ctr"/>
        <c:lblOffset val="100"/>
      </c:catAx>
      <c:valAx>
        <c:axId val="167246464"/>
        <c:scaling>
          <c:orientation val="minMax"/>
          <c:max val="50000"/>
        </c:scaling>
        <c:axPos val="l"/>
        <c:majorGridlines/>
        <c:title>
          <c:tx>
            <c:rich>
              <a:bodyPr rot="0" vert="horz"/>
              <a:lstStyle/>
              <a:p>
                <a:pPr>
                  <a:defRPr lang="en-US"/>
                </a:pPr>
                <a:r>
                  <a:rPr lang="ro-RO"/>
                  <a:t>tone</a:t>
                </a:r>
              </a:p>
            </c:rich>
          </c:tx>
          <c:layout>
            <c:manualLayout>
              <c:xMode val="edge"/>
              <c:yMode val="edge"/>
              <c:x val="0"/>
              <c:y val="0.21970797242866191"/>
            </c:manualLayout>
          </c:layout>
        </c:title>
        <c:numFmt formatCode="0" sourceLinked="0"/>
        <c:tickLblPos val="nextTo"/>
        <c:txPr>
          <a:bodyPr/>
          <a:lstStyle/>
          <a:p>
            <a:pPr>
              <a:defRPr lang="en-US"/>
            </a:pPr>
            <a:endParaRPr lang="ro-RO"/>
          </a:p>
        </c:txPr>
        <c:crossAx val="167244928"/>
        <c:crosses val="autoZero"/>
        <c:crossBetween val="between"/>
        <c:majorUnit val="10000"/>
      </c:valAx>
    </c:plotArea>
    <c:legend>
      <c:legendPos val="r"/>
      <c:layout>
        <c:manualLayout>
          <c:xMode val="edge"/>
          <c:yMode val="edge"/>
          <c:x val="0.83613443347205962"/>
          <c:y val="0.16572333524698354"/>
          <c:w val="0.1638655665279409"/>
          <c:h val="0.51317979989343432"/>
        </c:manualLayout>
      </c:layout>
      <c:txPr>
        <a:bodyPr/>
        <a:lstStyle/>
        <a:p>
          <a:pPr>
            <a:defRPr lang="en-US"/>
          </a:pPr>
          <a:endParaRPr lang="ro-RO"/>
        </a:p>
      </c:txPr>
    </c:legend>
    <c:plotVisOnly val="1"/>
  </c:chart>
  <c:spPr>
    <a:ln>
      <a:noFill/>
    </a:ln>
  </c:spPr>
  <c:txPr>
    <a:bodyPr/>
    <a:lstStyle/>
    <a:p>
      <a:pPr>
        <a:defRPr>
          <a:latin typeface="Arial" pitchFamily="34" charset="0"/>
          <a:cs typeface="Arial" pitchFamily="34" charset="0"/>
        </a:defRPr>
      </a:pPr>
      <a:endParaRPr lang="ro-RO"/>
    </a:p>
  </c:txPr>
  <c:externalData r:id="rId2"/>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o-RO"/>
  <c:clrMapOvr bg1="lt1" tx1="dk1" bg2="lt2" tx2="dk2" accent1="accent1" accent2="accent2" accent3="accent3" accent4="accent4" accent5="accent5" accent6="accent6" hlink="hlink" folHlink="folHlink"/>
  <c:chart>
    <c:view3D>
      <c:depthPercent val="100"/>
      <c:rAngAx val="1"/>
    </c:view3D>
    <c:sideWall>
      <c:spPr>
        <a:ln>
          <a:solidFill>
            <a:sysClr val="window" lastClr="FFFFFF">
              <a:lumMod val="65000"/>
            </a:sysClr>
          </a:solidFill>
        </a:ln>
      </c:spPr>
    </c:sideWall>
    <c:backWall>
      <c:spPr>
        <a:ln>
          <a:solidFill>
            <a:sysClr val="window" lastClr="FFFFFF">
              <a:lumMod val="65000"/>
            </a:sysClr>
          </a:solidFill>
        </a:ln>
      </c:spPr>
    </c:backWall>
    <c:plotArea>
      <c:layout>
        <c:manualLayout>
          <c:layoutTarget val="inner"/>
          <c:xMode val="edge"/>
          <c:yMode val="edge"/>
          <c:x val="0.15361311606882491"/>
          <c:y val="0.10093896713615021"/>
          <c:w val="0.70490070650716463"/>
          <c:h val="0.72031315051135847"/>
        </c:manualLayout>
      </c:layout>
      <c:bar3DChart>
        <c:barDir val="col"/>
        <c:grouping val="clustered"/>
        <c:ser>
          <c:idx val="0"/>
          <c:order val="0"/>
          <c:tx>
            <c:strRef>
              <c:f>Sheet1!$B$1</c:f>
              <c:strCache>
                <c:ptCount val="1"/>
                <c:pt idx="0">
                  <c:v>NOx</c:v>
                </c:pt>
              </c:strCache>
            </c:strRef>
          </c:tx>
          <c:spPr>
            <a:solidFill>
              <a:srgbClr val="9BBB59">
                <a:lumMod val="60000"/>
                <a:lumOff val="40000"/>
              </a:srgbClr>
            </a:solidFill>
            <a:scene3d>
              <a:camera prst="orthographicFront"/>
              <a:lightRig rig="threePt" dir="t"/>
            </a:scene3d>
            <a:sp3d>
              <a:bevelT/>
            </a:sp3d>
          </c:spPr>
          <c:cat>
            <c:numRef>
              <c:f>Sheet1!$A$2:$A$6</c:f>
              <c:numCache>
                <c:formatCode>General</c:formatCode>
                <c:ptCount val="5"/>
                <c:pt idx="0">
                  <c:v>2013</c:v>
                </c:pt>
                <c:pt idx="1">
                  <c:v>2014</c:v>
                </c:pt>
                <c:pt idx="2">
                  <c:v>2015</c:v>
                </c:pt>
                <c:pt idx="3">
                  <c:v>2016</c:v>
                </c:pt>
                <c:pt idx="4">
                  <c:v>2017</c:v>
                </c:pt>
              </c:numCache>
            </c:numRef>
          </c:cat>
          <c:val>
            <c:numRef>
              <c:f>Sheet1!$B$2:$B$6</c:f>
              <c:numCache>
                <c:formatCode>0</c:formatCode>
                <c:ptCount val="5"/>
                <c:pt idx="0">
                  <c:v>1556</c:v>
                </c:pt>
                <c:pt idx="1">
                  <c:v>2127</c:v>
                </c:pt>
                <c:pt idx="2">
                  <c:v>1403.87</c:v>
                </c:pt>
                <c:pt idx="3">
                  <c:v>1300</c:v>
                </c:pt>
                <c:pt idx="4">
                  <c:v>1378.6519999999998</c:v>
                </c:pt>
              </c:numCache>
            </c:numRef>
          </c:val>
        </c:ser>
        <c:ser>
          <c:idx val="1"/>
          <c:order val="1"/>
          <c:tx>
            <c:strRef>
              <c:f>Sheet1!$C$1</c:f>
              <c:strCache>
                <c:ptCount val="1"/>
                <c:pt idx="0">
                  <c:v>NMVOC</c:v>
                </c:pt>
              </c:strCache>
            </c:strRef>
          </c:tx>
          <c:spPr>
            <a:scene3d>
              <a:camera prst="orthographicFront"/>
              <a:lightRig rig="threePt" dir="t"/>
            </a:scene3d>
            <a:sp3d>
              <a:bevelT/>
            </a:sp3d>
          </c:spPr>
          <c:cat>
            <c:numRef>
              <c:f>Sheet1!$A$2:$A$6</c:f>
              <c:numCache>
                <c:formatCode>General</c:formatCode>
                <c:ptCount val="5"/>
                <c:pt idx="0">
                  <c:v>2013</c:v>
                </c:pt>
                <c:pt idx="1">
                  <c:v>2014</c:v>
                </c:pt>
                <c:pt idx="2">
                  <c:v>2015</c:v>
                </c:pt>
                <c:pt idx="3">
                  <c:v>2016</c:v>
                </c:pt>
                <c:pt idx="4">
                  <c:v>2017</c:v>
                </c:pt>
              </c:numCache>
            </c:numRef>
          </c:cat>
          <c:val>
            <c:numRef>
              <c:f>Sheet1!$C$2:$C$6</c:f>
              <c:numCache>
                <c:formatCode>0</c:formatCode>
                <c:ptCount val="5"/>
                <c:pt idx="0">
                  <c:v>5794</c:v>
                </c:pt>
                <c:pt idx="1">
                  <c:v>5683</c:v>
                </c:pt>
                <c:pt idx="2">
                  <c:v>5212.3900000000003</c:v>
                </c:pt>
                <c:pt idx="3">
                  <c:v>5601.3</c:v>
                </c:pt>
                <c:pt idx="4">
                  <c:v>4909.7300000000005</c:v>
                </c:pt>
              </c:numCache>
            </c:numRef>
          </c:val>
        </c:ser>
        <c:ser>
          <c:idx val="2"/>
          <c:order val="2"/>
          <c:tx>
            <c:strRef>
              <c:f>Sheet1!$D$1</c:f>
              <c:strCache>
                <c:ptCount val="1"/>
                <c:pt idx="0">
                  <c:v>CO</c:v>
                </c:pt>
              </c:strCache>
            </c:strRef>
          </c:tx>
          <c:spPr>
            <a:solidFill>
              <a:srgbClr val="7A0000"/>
            </a:solidFill>
            <a:ln>
              <a:noFill/>
            </a:ln>
            <a:scene3d>
              <a:camera prst="orthographicFront"/>
              <a:lightRig rig="threePt" dir="t"/>
            </a:scene3d>
            <a:sp3d>
              <a:bevelT/>
            </a:sp3d>
          </c:spPr>
          <c:cat>
            <c:numRef>
              <c:f>Sheet1!$A$2:$A$6</c:f>
              <c:numCache>
                <c:formatCode>General</c:formatCode>
                <c:ptCount val="5"/>
                <c:pt idx="0">
                  <c:v>2013</c:v>
                </c:pt>
                <c:pt idx="1">
                  <c:v>2014</c:v>
                </c:pt>
                <c:pt idx="2">
                  <c:v>2015</c:v>
                </c:pt>
                <c:pt idx="3">
                  <c:v>2016</c:v>
                </c:pt>
                <c:pt idx="4">
                  <c:v>2017</c:v>
                </c:pt>
              </c:numCache>
            </c:numRef>
          </c:cat>
          <c:val>
            <c:numRef>
              <c:f>Sheet1!$D$2:$D$6</c:f>
              <c:numCache>
                <c:formatCode>0</c:formatCode>
                <c:ptCount val="5"/>
                <c:pt idx="0">
                  <c:v>35237</c:v>
                </c:pt>
                <c:pt idx="1">
                  <c:v>42889</c:v>
                </c:pt>
                <c:pt idx="2">
                  <c:v>31991.52</c:v>
                </c:pt>
                <c:pt idx="3">
                  <c:v>34107.5</c:v>
                </c:pt>
                <c:pt idx="4">
                  <c:v>33564</c:v>
                </c:pt>
              </c:numCache>
            </c:numRef>
          </c:val>
        </c:ser>
        <c:gapWidth val="180"/>
        <c:shape val="box"/>
        <c:axId val="167375232"/>
        <c:axId val="167376768"/>
        <c:axId val="0"/>
      </c:bar3DChart>
      <c:catAx>
        <c:axId val="167375232"/>
        <c:scaling>
          <c:orientation val="minMax"/>
        </c:scaling>
        <c:axPos val="b"/>
        <c:numFmt formatCode="General" sourceLinked="1"/>
        <c:tickLblPos val="nextTo"/>
        <c:txPr>
          <a:bodyPr/>
          <a:lstStyle/>
          <a:p>
            <a:pPr>
              <a:defRPr lang="ro-RO" sz="1000">
                <a:latin typeface="Arial" pitchFamily="34" charset="0"/>
                <a:cs typeface="Arial" pitchFamily="34" charset="0"/>
              </a:defRPr>
            </a:pPr>
            <a:endParaRPr lang="ro-RO"/>
          </a:p>
        </c:txPr>
        <c:crossAx val="167376768"/>
        <c:crosses val="autoZero"/>
        <c:auto val="1"/>
        <c:lblAlgn val="ctr"/>
        <c:lblOffset val="100"/>
      </c:catAx>
      <c:valAx>
        <c:axId val="167376768"/>
        <c:scaling>
          <c:orientation val="minMax"/>
          <c:max val="40000"/>
        </c:scaling>
        <c:axPos val="l"/>
        <c:majorGridlines/>
        <c:title>
          <c:tx>
            <c:rich>
              <a:bodyPr rot="0" vert="horz"/>
              <a:lstStyle/>
              <a:p>
                <a:pPr>
                  <a:defRPr lang="ro-RO"/>
                </a:pPr>
                <a:r>
                  <a:rPr lang="ro-RO"/>
                  <a:t>tone</a:t>
                </a:r>
              </a:p>
            </c:rich>
          </c:tx>
          <c:layout>
            <c:manualLayout>
              <c:xMode val="edge"/>
              <c:yMode val="edge"/>
              <c:x val="0"/>
              <c:y val="0.21970797242866191"/>
            </c:manualLayout>
          </c:layout>
        </c:title>
        <c:numFmt formatCode="0" sourceLinked="0"/>
        <c:tickLblPos val="nextTo"/>
        <c:txPr>
          <a:bodyPr/>
          <a:lstStyle/>
          <a:p>
            <a:pPr>
              <a:defRPr lang="ro-RO" sz="1000">
                <a:latin typeface="Arial" pitchFamily="34" charset="0"/>
                <a:cs typeface="Arial" pitchFamily="34" charset="0"/>
              </a:defRPr>
            </a:pPr>
            <a:endParaRPr lang="ro-RO"/>
          </a:p>
        </c:txPr>
        <c:crossAx val="167375232"/>
        <c:crosses val="autoZero"/>
        <c:crossBetween val="between"/>
        <c:majorUnit val="10000"/>
      </c:valAx>
    </c:plotArea>
    <c:legend>
      <c:legendPos val="r"/>
      <c:layout>
        <c:manualLayout>
          <c:xMode val="edge"/>
          <c:yMode val="edge"/>
          <c:x val="0.85111862845297903"/>
          <c:y val="0.22025009936260728"/>
          <c:w val="0.14888137154702144"/>
          <c:h val="0.53322588582677166"/>
        </c:manualLayout>
      </c:layout>
      <c:txPr>
        <a:bodyPr/>
        <a:lstStyle/>
        <a:p>
          <a:pPr>
            <a:defRPr lang="ro-RO" sz="1000">
              <a:latin typeface="Arial" pitchFamily="34" charset="0"/>
              <a:cs typeface="Arial" pitchFamily="34" charset="0"/>
            </a:defRPr>
          </a:pPr>
          <a:endParaRPr lang="ro-RO"/>
        </a:p>
      </c:txPr>
    </c:legend>
    <c:plotVisOnly val="1"/>
  </c:chart>
  <c:spPr>
    <a:ln>
      <a:noFill/>
    </a:ln>
  </c:spPr>
  <c:externalData r:id="rId2"/>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o-RO"/>
  <c:clrMapOvr bg1="lt1" tx1="dk1" bg2="lt2" tx2="dk2" accent1="accent1" accent2="accent2" accent3="accent3" accent4="accent4" accent5="accent5" accent6="accent6" hlink="hlink" folHlink="folHlink"/>
  <c:chart>
    <c:autoTitleDeleted val="1"/>
    <c:view3D>
      <c:depthPercent val="100"/>
      <c:rAngAx val="1"/>
    </c:view3D>
    <c:sideWall>
      <c:spPr>
        <a:noFill/>
        <a:ln w="3175">
          <a:solidFill>
            <a:sysClr val="window" lastClr="FFFFFF">
              <a:lumMod val="65000"/>
            </a:sysClr>
          </a:solidFill>
        </a:ln>
      </c:spPr>
    </c:sideWall>
    <c:backWall>
      <c:spPr>
        <a:noFill/>
        <a:ln w="3175">
          <a:solidFill>
            <a:sysClr val="window" lastClr="FFFFFF">
              <a:lumMod val="65000"/>
            </a:sysClr>
          </a:solidFill>
        </a:ln>
      </c:spPr>
    </c:backWall>
    <c:plotArea>
      <c:layout>
        <c:manualLayout>
          <c:layoutTarget val="inner"/>
          <c:xMode val="edge"/>
          <c:yMode val="edge"/>
          <c:x val="0.1716152952999834"/>
          <c:y val="6.1333333333333497E-2"/>
          <c:w val="0.65610143527598275"/>
          <c:h val="0.7083691338582675"/>
        </c:manualLayout>
      </c:layout>
      <c:bar3DChart>
        <c:barDir val="col"/>
        <c:grouping val="clustered"/>
        <c:ser>
          <c:idx val="0"/>
          <c:order val="0"/>
          <c:tx>
            <c:strRef>
              <c:f>Sheet1!$B$1</c:f>
              <c:strCache>
                <c:ptCount val="1"/>
                <c:pt idx="0">
                  <c:v>NMVOC</c:v>
                </c:pt>
              </c:strCache>
            </c:strRef>
          </c:tx>
          <c:spPr>
            <a:solidFill>
              <a:srgbClr val="C0504D"/>
            </a:solidFill>
            <a:scene3d>
              <a:camera prst="orthographicFront"/>
              <a:lightRig rig="threePt" dir="t"/>
            </a:scene3d>
            <a:sp3d>
              <a:bevelT/>
            </a:sp3d>
          </c:spPr>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427.4</c:v>
                </c:pt>
                <c:pt idx="1">
                  <c:v>820</c:v>
                </c:pt>
                <c:pt idx="2">
                  <c:v>853</c:v>
                </c:pt>
                <c:pt idx="3">
                  <c:v>888.98</c:v>
                </c:pt>
                <c:pt idx="4" formatCode="0">
                  <c:v>820.18000000000052</c:v>
                </c:pt>
              </c:numCache>
            </c:numRef>
          </c:val>
        </c:ser>
        <c:gapWidth val="417"/>
        <c:shape val="box"/>
        <c:axId val="167217024"/>
        <c:axId val="167218560"/>
        <c:axId val="0"/>
      </c:bar3DChart>
      <c:catAx>
        <c:axId val="167217024"/>
        <c:scaling>
          <c:orientation val="minMax"/>
        </c:scaling>
        <c:axPos val="b"/>
        <c:numFmt formatCode="General" sourceLinked="1"/>
        <c:tickLblPos val="nextTo"/>
        <c:txPr>
          <a:bodyPr/>
          <a:lstStyle/>
          <a:p>
            <a:pPr>
              <a:defRPr lang="en-US" sz="1000"/>
            </a:pPr>
            <a:endParaRPr lang="ro-RO"/>
          </a:p>
        </c:txPr>
        <c:crossAx val="167218560"/>
        <c:crosses val="autoZero"/>
        <c:auto val="1"/>
        <c:lblAlgn val="ctr"/>
        <c:lblOffset val="100"/>
      </c:catAx>
      <c:valAx>
        <c:axId val="167218560"/>
        <c:scaling>
          <c:orientation val="minMax"/>
          <c:max val="1000"/>
        </c:scaling>
        <c:axPos val="l"/>
        <c:majorGridlines>
          <c:spPr>
            <a:ln>
              <a:solidFill>
                <a:sysClr val="window" lastClr="FFFFFF">
                  <a:lumMod val="65000"/>
                </a:sysClr>
              </a:solidFill>
            </a:ln>
          </c:spPr>
        </c:majorGridlines>
        <c:title>
          <c:tx>
            <c:rich>
              <a:bodyPr rot="0" vert="horz"/>
              <a:lstStyle/>
              <a:p>
                <a:pPr>
                  <a:defRPr lang="en-US"/>
                </a:pPr>
                <a:r>
                  <a:rPr lang="ro-RO"/>
                  <a:t>tone</a:t>
                </a:r>
              </a:p>
            </c:rich>
          </c:tx>
          <c:layout>
            <c:manualLayout>
              <c:xMode val="edge"/>
              <c:yMode val="edge"/>
              <c:x val="0"/>
              <c:y val="0.21970797242866191"/>
            </c:manualLayout>
          </c:layout>
        </c:title>
        <c:numFmt formatCode="0" sourceLinked="0"/>
        <c:tickLblPos val="nextTo"/>
        <c:spPr>
          <a:noFill/>
          <a:ln w="3175">
            <a:solidFill>
              <a:sysClr val="window" lastClr="FFFFFF">
                <a:lumMod val="65000"/>
                <a:alpha val="0"/>
              </a:sysClr>
            </a:solidFill>
          </a:ln>
        </c:spPr>
        <c:txPr>
          <a:bodyPr/>
          <a:lstStyle/>
          <a:p>
            <a:pPr>
              <a:defRPr lang="en-US" sz="1000"/>
            </a:pPr>
            <a:endParaRPr lang="ro-RO"/>
          </a:p>
        </c:txPr>
        <c:crossAx val="167217024"/>
        <c:crosses val="autoZero"/>
        <c:crossBetween val="between"/>
        <c:majorUnit val="200"/>
      </c:valAx>
      <c:spPr>
        <a:noFill/>
        <a:ln w="25400">
          <a:noFill/>
        </a:ln>
      </c:spPr>
    </c:plotArea>
    <c:legend>
      <c:legendPos val="r"/>
      <c:layout>
        <c:manualLayout>
          <c:xMode val="edge"/>
          <c:yMode val="edge"/>
          <c:x val="0.8434647620720267"/>
          <c:y val="0.35203695538057772"/>
          <c:w val="0.15440876581877094"/>
          <c:h val="0.18200776902887139"/>
        </c:manualLayout>
      </c:layout>
      <c:txPr>
        <a:bodyPr/>
        <a:lstStyle/>
        <a:p>
          <a:pPr>
            <a:defRPr lang="en-US" sz="1000"/>
          </a:pPr>
          <a:endParaRPr lang="ro-RO"/>
        </a:p>
      </c:txPr>
    </c:legend>
    <c:plotVisOnly val="1"/>
  </c:chart>
  <c:spPr>
    <a:ln>
      <a:noFill/>
    </a:ln>
  </c:spPr>
  <c:txPr>
    <a:bodyPr/>
    <a:lstStyle/>
    <a:p>
      <a:pPr>
        <a:defRPr sz="900">
          <a:latin typeface="Arial" pitchFamily="34" charset="0"/>
          <a:cs typeface="Arial" pitchFamily="34" charset="0"/>
        </a:defRPr>
      </a:pPr>
      <a:endParaRPr lang="ro-RO"/>
    </a:p>
  </c:txPr>
  <c:externalData r:id="rId2"/>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o-RO"/>
  <c:clrMapOvr bg1="lt1" tx1="dk1" bg2="lt2" tx2="dk2" accent1="accent1" accent2="accent2" accent3="accent3" accent4="accent4" accent5="accent5" accent6="accent6" hlink="hlink" folHlink="folHlink"/>
  <c:chart>
    <c:view3D>
      <c:depthPercent val="100"/>
      <c:rAngAx val="1"/>
    </c:view3D>
    <c:sideWall>
      <c:spPr>
        <a:ln>
          <a:solidFill>
            <a:sysClr val="window" lastClr="FFFFFF">
              <a:lumMod val="65000"/>
            </a:sysClr>
          </a:solidFill>
        </a:ln>
      </c:spPr>
    </c:sideWall>
    <c:backWall>
      <c:spPr>
        <a:ln>
          <a:solidFill>
            <a:sysClr val="window" lastClr="FFFFFF">
              <a:lumMod val="65000"/>
            </a:sysClr>
          </a:solidFill>
        </a:ln>
      </c:spPr>
    </c:backWall>
    <c:plotArea>
      <c:layout>
        <c:manualLayout>
          <c:layoutTarget val="inner"/>
          <c:xMode val="edge"/>
          <c:yMode val="edge"/>
          <c:x val="0.12538549289113382"/>
          <c:y val="5.7929957801276424E-2"/>
          <c:w val="0.73145673928568111"/>
          <c:h val="0.76757575757576035"/>
        </c:manualLayout>
      </c:layout>
      <c:bar3DChart>
        <c:barDir val="col"/>
        <c:grouping val="clustered"/>
        <c:ser>
          <c:idx val="0"/>
          <c:order val="0"/>
          <c:tx>
            <c:strRef>
              <c:f>Sheet1!$B$1</c:f>
              <c:strCache>
                <c:ptCount val="1"/>
                <c:pt idx="0">
                  <c:v>NOx</c:v>
                </c:pt>
              </c:strCache>
            </c:strRef>
          </c:tx>
          <c:spPr>
            <a:solidFill>
              <a:srgbClr val="9BBB59">
                <a:lumMod val="60000"/>
                <a:lumOff val="40000"/>
              </a:srgbClr>
            </a:solidFill>
            <a:scene3d>
              <a:camera prst="orthographicFront"/>
              <a:lightRig rig="threePt" dir="t"/>
            </a:scene3d>
            <a:sp3d>
              <a:bevelT/>
            </a:sp3d>
          </c:spPr>
          <c:cat>
            <c:numRef>
              <c:f>Sheet1!$A$2:$A$6</c:f>
              <c:numCache>
                <c:formatCode>General</c:formatCode>
                <c:ptCount val="5"/>
                <c:pt idx="0">
                  <c:v>2013</c:v>
                </c:pt>
                <c:pt idx="1">
                  <c:v>2014</c:v>
                </c:pt>
                <c:pt idx="2">
                  <c:v>2015</c:v>
                </c:pt>
                <c:pt idx="3">
                  <c:v>2016</c:v>
                </c:pt>
                <c:pt idx="4">
                  <c:v>2017</c:v>
                </c:pt>
              </c:numCache>
            </c:numRef>
          </c:cat>
          <c:val>
            <c:numRef>
              <c:f>Sheet1!$B$2:$B$6</c:f>
              <c:numCache>
                <c:formatCode>0.00</c:formatCode>
                <c:ptCount val="5"/>
                <c:pt idx="0" formatCode="General">
                  <c:v>2875.59</c:v>
                </c:pt>
                <c:pt idx="1">
                  <c:v>2239</c:v>
                </c:pt>
                <c:pt idx="2">
                  <c:v>2772.7</c:v>
                </c:pt>
                <c:pt idx="3">
                  <c:v>2949.73</c:v>
                </c:pt>
                <c:pt idx="4">
                  <c:v>2970.6</c:v>
                </c:pt>
              </c:numCache>
            </c:numRef>
          </c:val>
        </c:ser>
        <c:ser>
          <c:idx val="1"/>
          <c:order val="1"/>
          <c:tx>
            <c:strRef>
              <c:f>Sheet1!$C$1</c:f>
              <c:strCache>
                <c:ptCount val="1"/>
                <c:pt idx="0">
                  <c:v>NMVOC</c:v>
                </c:pt>
              </c:strCache>
            </c:strRef>
          </c:tx>
          <c:spPr>
            <a:scene3d>
              <a:camera prst="orthographicFront"/>
              <a:lightRig rig="threePt" dir="t"/>
            </a:scene3d>
            <a:sp3d>
              <a:bevelT/>
            </a:sp3d>
          </c:spPr>
          <c:cat>
            <c:numRef>
              <c:f>Sheet1!$A$2:$A$6</c:f>
              <c:numCache>
                <c:formatCode>General</c:formatCode>
                <c:ptCount val="5"/>
                <c:pt idx="0">
                  <c:v>2013</c:v>
                </c:pt>
                <c:pt idx="1">
                  <c:v>2014</c:v>
                </c:pt>
                <c:pt idx="2">
                  <c:v>2015</c:v>
                </c:pt>
                <c:pt idx="3">
                  <c:v>2016</c:v>
                </c:pt>
                <c:pt idx="4">
                  <c:v>2017</c:v>
                </c:pt>
              </c:numCache>
            </c:numRef>
          </c:cat>
          <c:val>
            <c:numRef>
              <c:f>Sheet1!$C$2:$C$6</c:f>
              <c:numCache>
                <c:formatCode>0.00</c:formatCode>
                <c:ptCount val="5"/>
                <c:pt idx="0" formatCode="General">
                  <c:v>612.80999999999949</c:v>
                </c:pt>
                <c:pt idx="1">
                  <c:v>565.79999999999995</c:v>
                </c:pt>
                <c:pt idx="2">
                  <c:v>647.5</c:v>
                </c:pt>
                <c:pt idx="3">
                  <c:v>703.04</c:v>
                </c:pt>
                <c:pt idx="4">
                  <c:v>777.34799999999882</c:v>
                </c:pt>
              </c:numCache>
            </c:numRef>
          </c:val>
        </c:ser>
        <c:ser>
          <c:idx val="2"/>
          <c:order val="2"/>
          <c:tx>
            <c:strRef>
              <c:f>Sheet1!$D$1</c:f>
              <c:strCache>
                <c:ptCount val="1"/>
                <c:pt idx="0">
                  <c:v>CO</c:v>
                </c:pt>
              </c:strCache>
            </c:strRef>
          </c:tx>
          <c:spPr>
            <a:solidFill>
              <a:srgbClr val="7A0000"/>
            </a:solidFill>
            <a:ln>
              <a:noFill/>
            </a:ln>
            <a:scene3d>
              <a:camera prst="orthographicFront"/>
              <a:lightRig rig="threePt" dir="t"/>
            </a:scene3d>
            <a:sp3d>
              <a:bevelT/>
            </a:sp3d>
          </c:spPr>
          <c:cat>
            <c:numRef>
              <c:f>Sheet1!$A$2:$A$6</c:f>
              <c:numCache>
                <c:formatCode>General</c:formatCode>
                <c:ptCount val="5"/>
                <c:pt idx="0">
                  <c:v>2013</c:v>
                </c:pt>
                <c:pt idx="1">
                  <c:v>2014</c:v>
                </c:pt>
                <c:pt idx="2">
                  <c:v>2015</c:v>
                </c:pt>
                <c:pt idx="3">
                  <c:v>2016</c:v>
                </c:pt>
                <c:pt idx="4">
                  <c:v>2017</c:v>
                </c:pt>
              </c:numCache>
            </c:numRef>
          </c:cat>
          <c:val>
            <c:numRef>
              <c:f>Sheet1!$D$2:$D$6</c:f>
              <c:numCache>
                <c:formatCode>0.00</c:formatCode>
                <c:ptCount val="5"/>
                <c:pt idx="0" formatCode="General">
                  <c:v>4665.05</c:v>
                </c:pt>
                <c:pt idx="1">
                  <c:v>4467</c:v>
                </c:pt>
                <c:pt idx="2">
                  <c:v>4965.5</c:v>
                </c:pt>
                <c:pt idx="3">
                  <c:v>3837.7799999999997</c:v>
                </c:pt>
                <c:pt idx="4">
                  <c:v>3958.5010000000002</c:v>
                </c:pt>
              </c:numCache>
            </c:numRef>
          </c:val>
        </c:ser>
        <c:gapWidth val="214"/>
        <c:shape val="box"/>
        <c:axId val="197629056"/>
        <c:axId val="197630592"/>
        <c:axId val="0"/>
      </c:bar3DChart>
      <c:catAx>
        <c:axId val="197629056"/>
        <c:scaling>
          <c:orientation val="minMax"/>
        </c:scaling>
        <c:axPos val="b"/>
        <c:numFmt formatCode="General" sourceLinked="1"/>
        <c:tickLblPos val="nextTo"/>
        <c:txPr>
          <a:bodyPr/>
          <a:lstStyle/>
          <a:p>
            <a:pPr>
              <a:defRPr lang="ro-RO" sz="900">
                <a:latin typeface="Arial" pitchFamily="34" charset="0"/>
                <a:cs typeface="Arial" pitchFamily="34" charset="0"/>
              </a:defRPr>
            </a:pPr>
            <a:endParaRPr lang="ro-RO"/>
          </a:p>
        </c:txPr>
        <c:crossAx val="197630592"/>
        <c:crossesAt val="0"/>
        <c:auto val="1"/>
        <c:lblAlgn val="ctr"/>
        <c:lblOffset val="100"/>
      </c:catAx>
      <c:valAx>
        <c:axId val="197630592"/>
        <c:scaling>
          <c:orientation val="minMax"/>
          <c:max val="6000"/>
          <c:min val="0"/>
        </c:scaling>
        <c:axPos val="l"/>
        <c:majorGridlines/>
        <c:title>
          <c:tx>
            <c:rich>
              <a:bodyPr rot="0" vert="horz"/>
              <a:lstStyle/>
              <a:p>
                <a:pPr>
                  <a:defRPr lang="ro-RO" sz="900">
                    <a:latin typeface="Arial" pitchFamily="34" charset="0"/>
                    <a:cs typeface="Arial" pitchFamily="34" charset="0"/>
                  </a:defRPr>
                </a:pPr>
                <a:r>
                  <a:rPr lang="ro-RO" sz="900">
                    <a:latin typeface="Arial" pitchFamily="34" charset="0"/>
                    <a:cs typeface="Arial" pitchFamily="34" charset="0"/>
                  </a:rPr>
                  <a:t>tone</a:t>
                </a:r>
              </a:p>
            </c:rich>
          </c:tx>
          <c:layout>
            <c:manualLayout>
              <c:xMode val="edge"/>
              <c:yMode val="edge"/>
              <c:x val="0"/>
              <c:y val="0.21970797242866191"/>
            </c:manualLayout>
          </c:layout>
        </c:title>
        <c:numFmt formatCode="0" sourceLinked="0"/>
        <c:tickLblPos val="nextTo"/>
        <c:txPr>
          <a:bodyPr/>
          <a:lstStyle/>
          <a:p>
            <a:pPr>
              <a:defRPr lang="ro-RO" sz="900">
                <a:latin typeface="Arial" pitchFamily="34" charset="0"/>
                <a:cs typeface="Arial" pitchFamily="34" charset="0"/>
              </a:defRPr>
            </a:pPr>
            <a:endParaRPr lang="ro-RO"/>
          </a:p>
        </c:txPr>
        <c:crossAx val="197629056"/>
        <c:crosses val="autoZero"/>
        <c:crossBetween val="between"/>
        <c:majorUnit val="2000"/>
        <c:minorUnit val="2000"/>
      </c:valAx>
    </c:plotArea>
    <c:legend>
      <c:legendPos val="r"/>
      <c:layout>
        <c:manualLayout>
          <c:xMode val="edge"/>
          <c:yMode val="edge"/>
          <c:x val="0.85697578438737565"/>
          <c:y val="0.17845102695496398"/>
          <c:w val="0.11435816106025615"/>
          <c:h val="0.51038488188976228"/>
        </c:manualLayout>
      </c:layout>
      <c:txPr>
        <a:bodyPr/>
        <a:lstStyle/>
        <a:p>
          <a:pPr>
            <a:defRPr lang="ro-RO" sz="900">
              <a:latin typeface="Arial" pitchFamily="34" charset="0"/>
              <a:cs typeface="Arial" pitchFamily="34" charset="0"/>
            </a:defRPr>
          </a:pPr>
          <a:endParaRPr lang="ro-RO"/>
        </a:p>
      </c:txPr>
    </c:legend>
    <c:plotVisOnly val="1"/>
  </c:chart>
  <c:spPr>
    <a:ln>
      <a:noFill/>
    </a:ln>
  </c:spPr>
  <c:externalData r:id="rId2"/>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o-RO"/>
  <c:clrMapOvr bg1="lt1" tx1="dk1" bg2="lt2" tx2="dk2" accent1="accent1" accent2="accent2" accent3="accent3" accent4="accent4" accent5="accent5" accent6="accent6" hlink="hlink" folHlink="folHlink"/>
  <c:chart>
    <c:autoTitleDeleted val="1"/>
    <c:view3D>
      <c:depthPercent val="100"/>
      <c:rAngAx val="1"/>
    </c:view3D>
    <c:sideWall>
      <c:spPr>
        <a:ln>
          <a:solidFill>
            <a:sysClr val="window" lastClr="FFFFFF">
              <a:lumMod val="65000"/>
            </a:sysClr>
          </a:solidFill>
        </a:ln>
      </c:spPr>
    </c:sideWall>
    <c:backWall>
      <c:spPr>
        <a:ln>
          <a:solidFill>
            <a:sysClr val="window" lastClr="FFFFFF">
              <a:lumMod val="65000"/>
            </a:sysClr>
          </a:solidFill>
        </a:ln>
      </c:spPr>
    </c:backWall>
    <c:plotArea>
      <c:layout>
        <c:manualLayout>
          <c:layoutTarget val="inner"/>
          <c:xMode val="edge"/>
          <c:yMode val="edge"/>
          <c:x val="0.16750200495771361"/>
          <c:y val="4.7594379471188053E-2"/>
          <c:w val="0.65052001312339869"/>
          <c:h val="0.77990882718609844"/>
        </c:manualLayout>
      </c:layout>
      <c:bar3DChart>
        <c:barDir val="col"/>
        <c:grouping val="clustered"/>
        <c:ser>
          <c:idx val="0"/>
          <c:order val="0"/>
          <c:tx>
            <c:strRef>
              <c:f>Sheet1!$B$1</c:f>
              <c:strCache>
                <c:ptCount val="1"/>
                <c:pt idx="0">
                  <c:v>NMVOC</c:v>
                </c:pt>
              </c:strCache>
            </c:strRef>
          </c:tx>
          <c:spPr>
            <a:solidFill>
              <a:srgbClr val="C0504D"/>
            </a:solidFill>
            <a:scene3d>
              <a:camera prst="orthographicFront"/>
              <a:lightRig rig="threePt" dir="t"/>
            </a:scene3d>
            <a:sp3d>
              <a:bevelT/>
            </a:sp3d>
          </c:spPr>
          <c:cat>
            <c:numRef>
              <c:f>Sheet1!$A$2:$A$6</c:f>
              <c:numCache>
                <c:formatCode>General</c:formatCode>
                <c:ptCount val="5"/>
                <c:pt idx="0">
                  <c:v>2013</c:v>
                </c:pt>
                <c:pt idx="1">
                  <c:v>2014</c:v>
                </c:pt>
                <c:pt idx="2">
                  <c:v>2015</c:v>
                </c:pt>
                <c:pt idx="3">
                  <c:v>2016</c:v>
                </c:pt>
                <c:pt idx="4">
                  <c:v>2017</c:v>
                </c:pt>
              </c:numCache>
            </c:numRef>
          </c:cat>
          <c:val>
            <c:numRef>
              <c:f>Sheet1!$B$2:$B$6</c:f>
              <c:numCache>
                <c:formatCode>0</c:formatCode>
                <c:ptCount val="5"/>
                <c:pt idx="0">
                  <c:v>2236</c:v>
                </c:pt>
                <c:pt idx="1">
                  <c:v>2235</c:v>
                </c:pt>
                <c:pt idx="2">
                  <c:v>1101.5</c:v>
                </c:pt>
                <c:pt idx="3">
                  <c:v>578.53</c:v>
                </c:pt>
                <c:pt idx="4">
                  <c:v>1136.5999999999999</c:v>
                </c:pt>
              </c:numCache>
            </c:numRef>
          </c:val>
        </c:ser>
        <c:gapWidth val="382"/>
        <c:shape val="box"/>
        <c:axId val="197651072"/>
        <c:axId val="196120960"/>
        <c:axId val="0"/>
      </c:bar3DChart>
      <c:catAx>
        <c:axId val="197651072"/>
        <c:scaling>
          <c:orientation val="minMax"/>
        </c:scaling>
        <c:axPos val="b"/>
        <c:numFmt formatCode="General" sourceLinked="1"/>
        <c:tickLblPos val="nextTo"/>
        <c:txPr>
          <a:bodyPr/>
          <a:lstStyle/>
          <a:p>
            <a:pPr>
              <a:defRPr lang="ro-RO">
                <a:latin typeface="Arial" pitchFamily="34" charset="0"/>
                <a:cs typeface="Arial" pitchFamily="34" charset="0"/>
              </a:defRPr>
            </a:pPr>
            <a:endParaRPr lang="ro-RO"/>
          </a:p>
        </c:txPr>
        <c:crossAx val="196120960"/>
        <c:crosses val="autoZero"/>
        <c:auto val="1"/>
        <c:lblAlgn val="ctr"/>
        <c:lblOffset val="100"/>
      </c:catAx>
      <c:valAx>
        <c:axId val="196120960"/>
        <c:scaling>
          <c:orientation val="minMax"/>
          <c:max val="2500"/>
          <c:min val="0"/>
        </c:scaling>
        <c:axPos val="l"/>
        <c:majorGridlines/>
        <c:title>
          <c:tx>
            <c:rich>
              <a:bodyPr rot="0" vert="horz"/>
              <a:lstStyle/>
              <a:p>
                <a:pPr>
                  <a:defRPr lang="ro-RO">
                    <a:latin typeface="Arial" pitchFamily="34" charset="0"/>
                    <a:cs typeface="Arial" pitchFamily="34" charset="0"/>
                  </a:defRPr>
                </a:pPr>
                <a:r>
                  <a:rPr lang="ro-RO" sz="900">
                    <a:latin typeface="Arial" pitchFamily="34" charset="0"/>
                    <a:cs typeface="Arial" pitchFamily="34" charset="0"/>
                  </a:rPr>
                  <a:t>tone</a:t>
                </a:r>
              </a:p>
            </c:rich>
          </c:tx>
          <c:layout>
            <c:manualLayout>
              <c:xMode val="edge"/>
              <c:yMode val="edge"/>
              <c:x val="0"/>
              <c:y val="0.21970797242866191"/>
            </c:manualLayout>
          </c:layout>
        </c:title>
        <c:numFmt formatCode="0" sourceLinked="0"/>
        <c:tickLblPos val="nextTo"/>
        <c:txPr>
          <a:bodyPr/>
          <a:lstStyle/>
          <a:p>
            <a:pPr>
              <a:defRPr lang="ro-RO" sz="1000">
                <a:latin typeface="Arial" pitchFamily="34" charset="0"/>
                <a:cs typeface="Arial" pitchFamily="34" charset="0"/>
              </a:defRPr>
            </a:pPr>
            <a:endParaRPr lang="ro-RO"/>
          </a:p>
        </c:txPr>
        <c:crossAx val="197651072"/>
        <c:crosses val="autoZero"/>
        <c:crossBetween val="between"/>
        <c:majorUnit val="500"/>
        <c:minorUnit val="500"/>
      </c:valAx>
    </c:plotArea>
    <c:legend>
      <c:legendPos val="r"/>
      <c:layout>
        <c:manualLayout>
          <c:xMode val="edge"/>
          <c:yMode val="edge"/>
          <c:x val="0.83854449255651065"/>
          <c:y val="0.34912148176600138"/>
          <c:w val="0.13956117960696959"/>
          <c:h val="0.20133602768680464"/>
        </c:manualLayout>
      </c:layout>
      <c:txPr>
        <a:bodyPr/>
        <a:lstStyle/>
        <a:p>
          <a:pPr>
            <a:defRPr lang="ro-RO">
              <a:latin typeface="Arial" pitchFamily="34" charset="0"/>
              <a:cs typeface="Arial" pitchFamily="34" charset="0"/>
            </a:defRPr>
          </a:pPr>
          <a:endParaRPr lang="ro-RO"/>
        </a:p>
      </c:txPr>
    </c:legend>
    <c:plotVisOnly val="1"/>
  </c:chart>
  <c:spPr>
    <a:ln>
      <a:noFill/>
    </a:ln>
  </c:spPr>
  <c:externalData r:id="rId2"/>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o-RO"/>
  <c:clrMapOvr bg1="lt1" tx1="dk1" bg2="lt2" tx2="dk2" accent1="accent1" accent2="accent2" accent3="accent3" accent4="accent4" accent5="accent5" accent6="accent6" hlink="hlink" folHlink="folHlink"/>
  <c:chart>
    <c:view3D>
      <c:depthPercent val="100"/>
      <c:rAngAx val="1"/>
    </c:view3D>
    <c:sideWall>
      <c:spPr>
        <a:noFill/>
        <a:ln>
          <a:solidFill>
            <a:sysClr val="window" lastClr="FFFFFF">
              <a:lumMod val="65000"/>
            </a:sysClr>
          </a:solidFill>
        </a:ln>
      </c:spPr>
    </c:sideWall>
    <c:backWall>
      <c:spPr>
        <a:noFill/>
        <a:ln>
          <a:solidFill>
            <a:sysClr val="window" lastClr="FFFFFF">
              <a:lumMod val="65000"/>
            </a:sysClr>
          </a:solidFill>
        </a:ln>
      </c:spPr>
    </c:backWall>
    <c:plotArea>
      <c:layout>
        <c:manualLayout>
          <c:layoutTarget val="inner"/>
          <c:xMode val="edge"/>
          <c:yMode val="edge"/>
          <c:x val="0.16567619188446644"/>
          <c:y val="5.8974358974358765E-2"/>
          <c:w val="0.72364858148599964"/>
          <c:h val="0.76952401220120192"/>
        </c:manualLayout>
      </c:layout>
      <c:bar3DChart>
        <c:barDir val="col"/>
        <c:grouping val="clustered"/>
        <c:ser>
          <c:idx val="0"/>
          <c:order val="0"/>
          <c:tx>
            <c:strRef>
              <c:f>Sheet1!$B$1</c:f>
              <c:strCache>
                <c:ptCount val="1"/>
                <c:pt idx="0">
                  <c:v>PM2,5</c:v>
                </c:pt>
              </c:strCache>
            </c:strRef>
          </c:tx>
          <c:spPr>
            <a:solidFill>
              <a:srgbClr val="F79646">
                <a:lumMod val="60000"/>
                <a:lumOff val="40000"/>
              </a:srgbClr>
            </a:solidFill>
            <a:scene3d>
              <a:camera prst="orthographicFront"/>
              <a:lightRig rig="threePt" dir="t"/>
            </a:scene3d>
            <a:sp3d>
              <a:bevelT/>
            </a:sp3d>
          </c:spPr>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4378</c:v>
                </c:pt>
                <c:pt idx="1">
                  <c:v>5313</c:v>
                </c:pt>
                <c:pt idx="2" formatCode="0">
                  <c:v>5591.9</c:v>
                </c:pt>
                <c:pt idx="3" formatCode="0">
                  <c:v>6129.54</c:v>
                </c:pt>
                <c:pt idx="4" formatCode="0">
                  <c:v>6194.07</c:v>
                </c:pt>
              </c:numCache>
            </c:numRef>
          </c:val>
        </c:ser>
        <c:ser>
          <c:idx val="1"/>
          <c:order val="1"/>
          <c:tx>
            <c:strRef>
              <c:f>Sheet1!$C$1</c:f>
              <c:strCache>
                <c:ptCount val="1"/>
                <c:pt idx="0">
                  <c:v>PM10</c:v>
                </c:pt>
              </c:strCache>
            </c:strRef>
          </c:tx>
          <c:spPr>
            <a:solidFill>
              <a:srgbClr val="C0504D">
                <a:lumMod val="75000"/>
              </a:srgbClr>
            </a:solidFill>
            <a:scene3d>
              <a:camera prst="orthographicFront"/>
              <a:lightRig rig="threePt" dir="t"/>
            </a:scene3d>
            <a:sp3d>
              <a:bevelT/>
            </a:sp3d>
          </c:spPr>
          <c:cat>
            <c:numRef>
              <c:f>Sheet1!$A$2:$A$6</c:f>
              <c:numCache>
                <c:formatCode>General</c:formatCode>
                <c:ptCount val="5"/>
                <c:pt idx="0">
                  <c:v>2013</c:v>
                </c:pt>
                <c:pt idx="1">
                  <c:v>2014</c:v>
                </c:pt>
                <c:pt idx="2">
                  <c:v>2015</c:v>
                </c:pt>
                <c:pt idx="3">
                  <c:v>2016</c:v>
                </c:pt>
                <c:pt idx="4">
                  <c:v>2017</c:v>
                </c:pt>
              </c:numCache>
            </c:numRef>
          </c:cat>
          <c:val>
            <c:numRef>
              <c:f>Sheet1!$C$2:$C$6</c:f>
              <c:numCache>
                <c:formatCode>General</c:formatCode>
                <c:ptCount val="5"/>
                <c:pt idx="0">
                  <c:v>4680</c:v>
                </c:pt>
                <c:pt idx="1">
                  <c:v>5786</c:v>
                </c:pt>
                <c:pt idx="2" formatCode="0">
                  <c:v>6166.3</c:v>
                </c:pt>
                <c:pt idx="3" formatCode="0">
                  <c:v>6606.04</c:v>
                </c:pt>
                <c:pt idx="4" formatCode="0">
                  <c:v>6652.4034999999985</c:v>
                </c:pt>
              </c:numCache>
            </c:numRef>
          </c:val>
        </c:ser>
        <c:gapWidth val="324"/>
        <c:shape val="box"/>
        <c:axId val="173364352"/>
        <c:axId val="173365888"/>
        <c:axId val="0"/>
      </c:bar3DChart>
      <c:catAx>
        <c:axId val="173364352"/>
        <c:scaling>
          <c:orientation val="minMax"/>
        </c:scaling>
        <c:axPos val="b"/>
        <c:numFmt formatCode="General" sourceLinked="1"/>
        <c:tickLblPos val="nextTo"/>
        <c:txPr>
          <a:bodyPr/>
          <a:lstStyle/>
          <a:p>
            <a:pPr>
              <a:defRPr lang="ro-RO" sz="1000">
                <a:latin typeface="Arial" pitchFamily="34" charset="0"/>
                <a:cs typeface="Arial" pitchFamily="34" charset="0"/>
              </a:defRPr>
            </a:pPr>
            <a:endParaRPr lang="ro-RO"/>
          </a:p>
        </c:txPr>
        <c:crossAx val="173365888"/>
        <c:crosses val="autoZero"/>
        <c:auto val="1"/>
        <c:lblAlgn val="ctr"/>
        <c:lblOffset val="100"/>
      </c:catAx>
      <c:valAx>
        <c:axId val="173365888"/>
        <c:scaling>
          <c:orientation val="minMax"/>
        </c:scaling>
        <c:axPos val="l"/>
        <c:majorGridlines/>
        <c:title>
          <c:tx>
            <c:rich>
              <a:bodyPr rot="0" vert="horz"/>
              <a:lstStyle/>
              <a:p>
                <a:pPr>
                  <a:defRPr lang="ro-RO">
                    <a:latin typeface="Arial" pitchFamily="34" charset="0"/>
                    <a:cs typeface="Arial" pitchFamily="34" charset="0"/>
                  </a:defRPr>
                </a:pPr>
                <a:r>
                  <a:rPr lang="ro-RO" sz="900">
                    <a:latin typeface="Arial" pitchFamily="34" charset="0"/>
                    <a:cs typeface="Arial" pitchFamily="34" charset="0"/>
                  </a:rPr>
                  <a:t>tone</a:t>
                </a:r>
              </a:p>
            </c:rich>
          </c:tx>
          <c:layout>
            <c:manualLayout>
              <c:xMode val="edge"/>
              <c:yMode val="edge"/>
              <c:x val="0"/>
              <c:y val="0.21970797242866191"/>
            </c:manualLayout>
          </c:layout>
        </c:title>
        <c:numFmt formatCode="0" sourceLinked="0"/>
        <c:tickLblPos val="nextTo"/>
        <c:txPr>
          <a:bodyPr/>
          <a:lstStyle/>
          <a:p>
            <a:pPr>
              <a:defRPr lang="ro-RO" sz="1000">
                <a:latin typeface="Arial" pitchFamily="34" charset="0"/>
                <a:cs typeface="Arial" pitchFamily="34" charset="0"/>
              </a:defRPr>
            </a:pPr>
            <a:endParaRPr lang="ro-RO"/>
          </a:p>
        </c:txPr>
        <c:crossAx val="173364352"/>
        <c:crosses val="autoZero"/>
        <c:crossBetween val="between"/>
        <c:majorUnit val="2000"/>
        <c:minorUnit val="2000"/>
      </c:valAx>
    </c:plotArea>
    <c:legend>
      <c:legendPos val="r"/>
      <c:layout>
        <c:manualLayout>
          <c:xMode val="edge"/>
          <c:yMode val="edge"/>
          <c:x val="0.88524432822645549"/>
          <c:y val="0.20102109556193667"/>
          <c:w val="0.11475570563699579"/>
          <c:h val="0.36993448989608074"/>
        </c:manualLayout>
      </c:layout>
      <c:txPr>
        <a:bodyPr/>
        <a:lstStyle/>
        <a:p>
          <a:pPr>
            <a:defRPr lang="ro-RO" sz="1000">
              <a:latin typeface="Arial" pitchFamily="34" charset="0"/>
              <a:cs typeface="Arial" pitchFamily="34" charset="0"/>
            </a:defRPr>
          </a:pPr>
          <a:endParaRPr lang="ro-RO"/>
        </a:p>
      </c:txPr>
    </c:legend>
    <c:plotVisOnly val="1"/>
  </c:chart>
  <c:spPr>
    <a:ln>
      <a:no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sz="900" b="0"/>
            </a:pPr>
            <a:r>
              <a:rPr lang="ro-RO" sz="900" b="0"/>
              <a:t> µg/m³ </a:t>
            </a:r>
          </a:p>
          <a:p>
            <a:pPr algn="ctr" rtl="0">
              <a:defRPr lang="en-GB" sz="900" b="0"/>
            </a:pPr>
            <a:endParaRPr lang="ro-RO" sz="900" b="0"/>
          </a:p>
        </c:rich>
      </c:tx>
      <c:layout>
        <c:manualLayout>
          <c:xMode val="edge"/>
          <c:yMode val="edge"/>
          <c:x val="2.6989254548310092E-3"/>
          <c:y val="7.8402421919487736E-2"/>
        </c:manualLayout>
      </c:layout>
    </c:title>
    <c:plotArea>
      <c:layout>
        <c:manualLayout>
          <c:layoutTarget val="inner"/>
          <c:xMode val="edge"/>
          <c:yMode val="edge"/>
          <c:x val="0.17836739919705474"/>
          <c:y val="8.6871372146688774E-2"/>
          <c:w val="0.38937725733001793"/>
          <c:h val="0.69786444918684232"/>
        </c:manualLayout>
      </c:layout>
      <c:barChart>
        <c:barDir val="col"/>
        <c:grouping val="clustered"/>
        <c:ser>
          <c:idx val="0"/>
          <c:order val="0"/>
          <c:tx>
            <c:strRef>
              <c:f>Sheet1!$A$2</c:f>
              <c:strCache>
                <c:ptCount val="1"/>
                <c:pt idx="0">
                  <c:v>Valoarea maximă anuală a conc. medii mobile de 8 ore</c:v>
                </c:pt>
              </c:strCache>
            </c:strRef>
          </c:tx>
          <c:spPr>
            <a:solidFill>
              <a:schemeClr val="accent3">
                <a:lumMod val="75000"/>
              </a:schemeClr>
            </a:solidFill>
            <a:ln w="12700">
              <a:noFill/>
              <a:prstDash val="solid"/>
            </a:ln>
            <a:scene3d>
              <a:camera prst="orthographicFront"/>
              <a:lightRig rig="threePt" dir="t"/>
            </a:scene3d>
            <a:sp3d>
              <a:bevelT/>
            </a:sp3d>
          </c:spPr>
          <c:cat>
            <c:strRef>
              <c:f>Sheet1!$B$1:$C$1</c:f>
              <c:strCache>
                <c:ptCount val="2"/>
                <c:pt idx="0">
                  <c:v>SV1</c:v>
                </c:pt>
                <c:pt idx="1">
                  <c:v>SV2</c:v>
                </c:pt>
              </c:strCache>
            </c:strRef>
          </c:cat>
          <c:val>
            <c:numRef>
              <c:f>Sheet1!$B$2:$C$2</c:f>
              <c:numCache>
                <c:formatCode>General</c:formatCode>
                <c:ptCount val="2"/>
                <c:pt idx="0">
                  <c:v>103.77</c:v>
                </c:pt>
                <c:pt idx="1">
                  <c:v>87.26</c:v>
                </c:pt>
              </c:numCache>
            </c:numRef>
          </c:val>
        </c:ser>
        <c:gapWidth val="500"/>
        <c:axId val="146768640"/>
        <c:axId val="146770944"/>
      </c:barChart>
      <c:lineChart>
        <c:grouping val="stacked"/>
        <c:ser>
          <c:idx val="1"/>
          <c:order val="1"/>
          <c:tx>
            <c:strRef>
              <c:f>Sheet1!$A$3</c:f>
              <c:strCache>
                <c:ptCount val="1"/>
                <c:pt idx="0">
                  <c:v>Valoare ţintă</c:v>
                </c:pt>
              </c:strCache>
            </c:strRef>
          </c:tx>
          <c:spPr>
            <a:ln w="38100">
              <a:solidFill>
                <a:srgbClr val="FF0000"/>
              </a:solidFill>
            </a:ln>
          </c:spPr>
          <c:marker>
            <c:symbol val="none"/>
          </c:marker>
          <c:cat>
            <c:strRef>
              <c:f>Sheet1!$B$1:$C$1</c:f>
              <c:strCache>
                <c:ptCount val="2"/>
                <c:pt idx="0">
                  <c:v>SV1</c:v>
                </c:pt>
                <c:pt idx="1">
                  <c:v>SV2</c:v>
                </c:pt>
              </c:strCache>
            </c:strRef>
          </c:cat>
          <c:val>
            <c:numRef>
              <c:f>Sheet1!$B$3:$C$3</c:f>
              <c:numCache>
                <c:formatCode>General</c:formatCode>
                <c:ptCount val="2"/>
                <c:pt idx="0">
                  <c:v>120</c:v>
                </c:pt>
                <c:pt idx="1">
                  <c:v>120</c:v>
                </c:pt>
              </c:numCache>
            </c:numRef>
          </c:val>
        </c:ser>
        <c:marker val="1"/>
        <c:axId val="146768640"/>
        <c:axId val="146770944"/>
      </c:lineChart>
      <c:catAx>
        <c:axId val="14676864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46770944"/>
        <c:crosses val="autoZero"/>
        <c:auto val="1"/>
        <c:lblAlgn val="ctr"/>
        <c:lblOffset val="100"/>
        <c:tickLblSkip val="1"/>
        <c:tickMarkSkip val="1"/>
      </c:catAx>
      <c:valAx>
        <c:axId val="146770944"/>
        <c:scaling>
          <c:orientation val="minMax"/>
          <c:max val="16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46768640"/>
        <c:crosses val="autoZero"/>
        <c:crossBetween val="between"/>
        <c:majorUnit val="40"/>
        <c:minorUnit val="0.1"/>
      </c:valAx>
      <c:spPr>
        <a:noFill/>
        <a:ln w="3175">
          <a:solidFill>
            <a:srgbClr val="000000"/>
          </a:solidFill>
          <a:prstDash val="solid"/>
        </a:ln>
      </c:spPr>
    </c:plotArea>
    <c:legend>
      <c:legendPos val="r"/>
      <c:layout>
        <c:manualLayout>
          <c:xMode val="edge"/>
          <c:yMode val="edge"/>
          <c:x val="0.57119570112908136"/>
          <c:y val="0.13709225599136743"/>
          <c:w val="0.41464494452986544"/>
          <c:h val="0.66417445482866566"/>
        </c:manualLayout>
      </c:layout>
      <c:txPr>
        <a:bodyPr/>
        <a:lstStyle/>
        <a:p>
          <a:pPr>
            <a:defRPr lang="en-US"/>
          </a:pPr>
          <a:endParaRPr lang="ro-RO"/>
        </a:p>
      </c:txPr>
    </c:legend>
    <c:plotVisOnly val="1"/>
    <c:dispBlanksAs val="zero"/>
  </c:chart>
  <c:spPr>
    <a:noFill/>
    <a:ln>
      <a:noFill/>
    </a:ln>
  </c:spPr>
  <c:txPr>
    <a:bodyPr/>
    <a:lstStyle/>
    <a:p>
      <a:pPr>
        <a:defRPr sz="900" b="0" i="0" u="none" strike="noStrike" baseline="0">
          <a:solidFill>
            <a:srgbClr val="000000"/>
          </a:solidFill>
          <a:latin typeface="Arial" pitchFamily="34" charset="0"/>
          <a:ea typeface="Arial"/>
          <a:cs typeface="Arial" pitchFamily="34" charset="0"/>
        </a:defRPr>
      </a:pPr>
      <a:endParaRPr lang="ro-RO"/>
    </a:p>
  </c:tx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ro-RO"/>
  <c:clrMapOvr bg1="lt1" tx1="dk1" bg2="lt2" tx2="dk2" accent1="accent1" accent2="accent2" accent3="accent3" accent4="accent4" accent5="accent5" accent6="accent6" hlink="hlink" folHlink="folHlink"/>
  <c:chart>
    <c:view3D>
      <c:depthPercent val="100"/>
      <c:rAngAx val="1"/>
    </c:view3D>
    <c:sideWall>
      <c:spPr>
        <a:noFill/>
        <a:ln>
          <a:solidFill>
            <a:sysClr val="window" lastClr="FFFFFF">
              <a:lumMod val="65000"/>
            </a:sysClr>
          </a:solidFill>
        </a:ln>
      </c:spPr>
    </c:sideWall>
    <c:backWall>
      <c:spPr>
        <a:noFill/>
        <a:ln>
          <a:solidFill>
            <a:sysClr val="window" lastClr="FFFFFF">
              <a:lumMod val="65000"/>
            </a:sysClr>
          </a:solidFill>
        </a:ln>
      </c:spPr>
    </c:backWall>
    <c:plotArea>
      <c:layout>
        <c:manualLayout>
          <c:layoutTarget val="inner"/>
          <c:xMode val="edge"/>
          <c:yMode val="edge"/>
          <c:x val="0.16567619188446644"/>
          <c:y val="5.8974358974358765E-2"/>
          <c:w val="0.72364858148599964"/>
          <c:h val="0.76952401220120215"/>
        </c:manualLayout>
      </c:layout>
      <c:bar3DChart>
        <c:barDir val="col"/>
        <c:grouping val="clustered"/>
        <c:ser>
          <c:idx val="0"/>
          <c:order val="0"/>
          <c:tx>
            <c:strRef>
              <c:f>Sheet1!$B$1</c:f>
              <c:strCache>
                <c:ptCount val="1"/>
                <c:pt idx="0">
                  <c:v>PM2,5</c:v>
                </c:pt>
              </c:strCache>
            </c:strRef>
          </c:tx>
          <c:spPr>
            <a:solidFill>
              <a:srgbClr val="F79646">
                <a:lumMod val="60000"/>
                <a:lumOff val="40000"/>
              </a:srgbClr>
            </a:solidFill>
            <a:scene3d>
              <a:camera prst="orthographicFront"/>
              <a:lightRig rig="threePt" dir="t"/>
            </a:scene3d>
            <a:sp3d>
              <a:bevelT/>
            </a:sp3d>
          </c:spPr>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4220</c:v>
                </c:pt>
                <c:pt idx="1">
                  <c:v>5106</c:v>
                </c:pt>
                <c:pt idx="2">
                  <c:v>5386</c:v>
                </c:pt>
                <c:pt idx="3" formatCode="0">
                  <c:v>5948.58</c:v>
                </c:pt>
                <c:pt idx="4" formatCode="0">
                  <c:v>6010.1557000000003</c:v>
                </c:pt>
              </c:numCache>
            </c:numRef>
          </c:val>
        </c:ser>
        <c:ser>
          <c:idx val="1"/>
          <c:order val="1"/>
          <c:tx>
            <c:strRef>
              <c:f>Sheet1!$C$1</c:f>
              <c:strCache>
                <c:ptCount val="1"/>
                <c:pt idx="0">
                  <c:v>PM10</c:v>
                </c:pt>
              </c:strCache>
            </c:strRef>
          </c:tx>
          <c:spPr>
            <a:solidFill>
              <a:srgbClr val="C0504D">
                <a:lumMod val="75000"/>
              </a:srgbClr>
            </a:solidFill>
            <a:scene3d>
              <a:camera prst="orthographicFront"/>
              <a:lightRig rig="threePt" dir="t"/>
            </a:scene3d>
            <a:sp3d>
              <a:bevelT/>
            </a:sp3d>
          </c:spPr>
          <c:cat>
            <c:numRef>
              <c:f>Sheet1!$A$2:$A$6</c:f>
              <c:numCache>
                <c:formatCode>General</c:formatCode>
                <c:ptCount val="5"/>
                <c:pt idx="0">
                  <c:v>2013</c:v>
                </c:pt>
                <c:pt idx="1">
                  <c:v>2014</c:v>
                </c:pt>
                <c:pt idx="2">
                  <c:v>2015</c:v>
                </c:pt>
                <c:pt idx="3">
                  <c:v>2016</c:v>
                </c:pt>
                <c:pt idx="4">
                  <c:v>2017</c:v>
                </c:pt>
              </c:numCache>
            </c:numRef>
          </c:cat>
          <c:val>
            <c:numRef>
              <c:f>Sheet1!$C$2:$C$6</c:f>
              <c:numCache>
                <c:formatCode>General</c:formatCode>
                <c:ptCount val="5"/>
                <c:pt idx="0">
                  <c:v>4220</c:v>
                </c:pt>
                <c:pt idx="1">
                  <c:v>5103</c:v>
                </c:pt>
                <c:pt idx="2">
                  <c:v>5623</c:v>
                </c:pt>
                <c:pt idx="3" formatCode="0">
                  <c:v>6104.04</c:v>
                </c:pt>
                <c:pt idx="4" formatCode="0">
                  <c:v>6166.2079999999996</c:v>
                </c:pt>
              </c:numCache>
            </c:numRef>
          </c:val>
        </c:ser>
        <c:gapWidth val="324"/>
        <c:shape val="box"/>
        <c:axId val="197668224"/>
        <c:axId val="197670016"/>
        <c:axId val="0"/>
      </c:bar3DChart>
      <c:catAx>
        <c:axId val="197668224"/>
        <c:scaling>
          <c:orientation val="minMax"/>
        </c:scaling>
        <c:axPos val="b"/>
        <c:numFmt formatCode="General" sourceLinked="1"/>
        <c:tickLblPos val="nextTo"/>
        <c:txPr>
          <a:bodyPr/>
          <a:lstStyle/>
          <a:p>
            <a:pPr>
              <a:defRPr lang="ro-RO" sz="1000">
                <a:latin typeface="Arial" pitchFamily="34" charset="0"/>
                <a:cs typeface="Arial" pitchFamily="34" charset="0"/>
              </a:defRPr>
            </a:pPr>
            <a:endParaRPr lang="ro-RO"/>
          </a:p>
        </c:txPr>
        <c:crossAx val="197670016"/>
        <c:crosses val="autoZero"/>
        <c:auto val="1"/>
        <c:lblAlgn val="ctr"/>
        <c:lblOffset val="100"/>
      </c:catAx>
      <c:valAx>
        <c:axId val="197670016"/>
        <c:scaling>
          <c:orientation val="minMax"/>
        </c:scaling>
        <c:axPos val="l"/>
        <c:majorGridlines/>
        <c:title>
          <c:tx>
            <c:rich>
              <a:bodyPr rot="0" vert="horz"/>
              <a:lstStyle/>
              <a:p>
                <a:pPr>
                  <a:defRPr lang="ro-RO">
                    <a:latin typeface="Arial" pitchFamily="34" charset="0"/>
                    <a:cs typeface="Arial" pitchFamily="34" charset="0"/>
                  </a:defRPr>
                </a:pPr>
                <a:r>
                  <a:rPr lang="ro-RO" sz="900">
                    <a:latin typeface="Arial" pitchFamily="34" charset="0"/>
                    <a:cs typeface="Arial" pitchFamily="34" charset="0"/>
                  </a:rPr>
                  <a:t>tone</a:t>
                </a:r>
              </a:p>
            </c:rich>
          </c:tx>
          <c:layout>
            <c:manualLayout>
              <c:xMode val="edge"/>
              <c:yMode val="edge"/>
              <c:x val="0"/>
              <c:y val="0.21970797242866191"/>
            </c:manualLayout>
          </c:layout>
        </c:title>
        <c:numFmt formatCode="0" sourceLinked="0"/>
        <c:tickLblPos val="nextTo"/>
        <c:txPr>
          <a:bodyPr/>
          <a:lstStyle/>
          <a:p>
            <a:pPr>
              <a:defRPr lang="ro-RO" sz="1000">
                <a:latin typeface="Arial" pitchFamily="34" charset="0"/>
                <a:cs typeface="Arial" pitchFamily="34" charset="0"/>
              </a:defRPr>
            </a:pPr>
            <a:endParaRPr lang="ro-RO"/>
          </a:p>
        </c:txPr>
        <c:crossAx val="197668224"/>
        <c:crosses val="autoZero"/>
        <c:crossBetween val="between"/>
        <c:majorUnit val="2000"/>
        <c:minorUnit val="2000"/>
      </c:valAx>
    </c:plotArea>
    <c:legend>
      <c:legendPos val="r"/>
      <c:layout>
        <c:manualLayout>
          <c:xMode val="edge"/>
          <c:yMode val="edge"/>
          <c:x val="0.88524432822645549"/>
          <c:y val="0.20102109556193676"/>
          <c:w val="0.11475570563699579"/>
          <c:h val="0.36993448989608091"/>
        </c:manualLayout>
      </c:layout>
      <c:txPr>
        <a:bodyPr/>
        <a:lstStyle/>
        <a:p>
          <a:pPr>
            <a:defRPr lang="ro-RO" sz="1000">
              <a:latin typeface="Arial" pitchFamily="34" charset="0"/>
              <a:cs typeface="Arial" pitchFamily="34" charset="0"/>
            </a:defRPr>
          </a:pPr>
          <a:endParaRPr lang="ro-RO"/>
        </a:p>
      </c:txPr>
    </c:legend>
    <c:plotVisOnly val="1"/>
  </c:chart>
  <c:spPr>
    <a:ln>
      <a:noFill/>
    </a:ln>
  </c:spPr>
  <c:externalData r:id="rId2"/>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ro-RO"/>
  <c:clrMapOvr bg1="lt1" tx1="dk1" bg2="lt2" tx2="dk2" accent1="accent1" accent2="accent2" accent3="accent3" accent4="accent4" accent5="accent5" accent6="accent6" hlink="hlink" folHlink="folHlink"/>
  <c:chart>
    <c:view3D>
      <c:depthPercent val="100"/>
      <c:rAngAx val="1"/>
    </c:view3D>
    <c:sideWall>
      <c:spPr>
        <a:noFill/>
        <a:ln>
          <a:solidFill>
            <a:sysClr val="window" lastClr="FFFFFF">
              <a:lumMod val="65000"/>
            </a:sysClr>
          </a:solidFill>
        </a:ln>
      </c:spPr>
    </c:sideWall>
    <c:backWall>
      <c:spPr>
        <a:noFill/>
        <a:ln>
          <a:solidFill>
            <a:sysClr val="window" lastClr="FFFFFF">
              <a:lumMod val="65000"/>
            </a:sysClr>
          </a:solidFill>
        </a:ln>
      </c:spPr>
    </c:backWall>
    <c:plotArea>
      <c:layout>
        <c:manualLayout>
          <c:layoutTarget val="inner"/>
          <c:xMode val="edge"/>
          <c:yMode val="edge"/>
          <c:x val="0.16567619188446644"/>
          <c:y val="5.8974358974358765E-2"/>
          <c:w val="0.72364858148599964"/>
          <c:h val="0.76952401220120248"/>
        </c:manualLayout>
      </c:layout>
      <c:bar3DChart>
        <c:barDir val="col"/>
        <c:grouping val="clustered"/>
        <c:ser>
          <c:idx val="0"/>
          <c:order val="0"/>
          <c:tx>
            <c:strRef>
              <c:f>Sheet1!$B$1</c:f>
              <c:strCache>
                <c:ptCount val="1"/>
                <c:pt idx="0">
                  <c:v>PM2,5</c:v>
                </c:pt>
              </c:strCache>
            </c:strRef>
          </c:tx>
          <c:spPr>
            <a:solidFill>
              <a:srgbClr val="F79646">
                <a:lumMod val="60000"/>
                <a:lumOff val="40000"/>
              </a:srgbClr>
            </a:solidFill>
            <a:scene3d>
              <a:camera prst="orthographicFront"/>
              <a:lightRig rig="threePt" dir="t"/>
            </a:scene3d>
            <a:sp3d>
              <a:bevelT/>
            </a:sp3d>
          </c:spPr>
          <c:cat>
            <c:numRef>
              <c:f>Sheet1!$A$2:$A$6</c:f>
              <c:numCache>
                <c:formatCode>General</c:formatCode>
                <c:ptCount val="5"/>
                <c:pt idx="0">
                  <c:v>2013</c:v>
                </c:pt>
                <c:pt idx="1">
                  <c:v>2014</c:v>
                </c:pt>
                <c:pt idx="2">
                  <c:v>2015</c:v>
                </c:pt>
                <c:pt idx="3">
                  <c:v>2016</c:v>
                </c:pt>
                <c:pt idx="4">
                  <c:v>2017</c:v>
                </c:pt>
              </c:numCache>
            </c:numRef>
          </c:cat>
          <c:val>
            <c:numRef>
              <c:f>Sheet1!$B$2:$B$6</c:f>
              <c:numCache>
                <c:formatCode>0.00</c:formatCode>
                <c:ptCount val="5"/>
                <c:pt idx="0" formatCode="General">
                  <c:v>92.1</c:v>
                </c:pt>
                <c:pt idx="1">
                  <c:v>102</c:v>
                </c:pt>
                <c:pt idx="2">
                  <c:v>120.2</c:v>
                </c:pt>
                <c:pt idx="3">
                  <c:v>121.06</c:v>
                </c:pt>
                <c:pt idx="4" formatCode="General">
                  <c:v>121.867</c:v>
                </c:pt>
              </c:numCache>
            </c:numRef>
          </c:val>
        </c:ser>
        <c:ser>
          <c:idx val="1"/>
          <c:order val="1"/>
          <c:tx>
            <c:strRef>
              <c:f>Sheet1!$C$1</c:f>
              <c:strCache>
                <c:ptCount val="1"/>
                <c:pt idx="0">
                  <c:v>PM10</c:v>
                </c:pt>
              </c:strCache>
            </c:strRef>
          </c:tx>
          <c:spPr>
            <a:solidFill>
              <a:srgbClr val="C0504D">
                <a:lumMod val="75000"/>
              </a:srgbClr>
            </a:solidFill>
            <a:scene3d>
              <a:camera prst="orthographicFront"/>
              <a:lightRig rig="threePt" dir="t"/>
            </a:scene3d>
            <a:sp3d>
              <a:bevelT/>
            </a:sp3d>
          </c:spPr>
          <c:cat>
            <c:numRef>
              <c:f>Sheet1!$A$2:$A$6</c:f>
              <c:numCache>
                <c:formatCode>General</c:formatCode>
                <c:ptCount val="5"/>
                <c:pt idx="0">
                  <c:v>2013</c:v>
                </c:pt>
                <c:pt idx="1">
                  <c:v>2014</c:v>
                </c:pt>
                <c:pt idx="2">
                  <c:v>2015</c:v>
                </c:pt>
                <c:pt idx="3">
                  <c:v>2016</c:v>
                </c:pt>
                <c:pt idx="4">
                  <c:v>2017</c:v>
                </c:pt>
              </c:numCache>
            </c:numRef>
          </c:cat>
          <c:val>
            <c:numRef>
              <c:f>Sheet1!$C$2:$C$6</c:f>
              <c:numCache>
                <c:formatCode>0.00</c:formatCode>
                <c:ptCount val="5"/>
                <c:pt idx="0" formatCode="General">
                  <c:v>108.16999999999999</c:v>
                </c:pt>
                <c:pt idx="1">
                  <c:v>117</c:v>
                </c:pt>
                <c:pt idx="2">
                  <c:v>137.5</c:v>
                </c:pt>
                <c:pt idx="3">
                  <c:v>140.44</c:v>
                </c:pt>
                <c:pt idx="4" formatCode="General">
                  <c:v>142.101</c:v>
                </c:pt>
              </c:numCache>
            </c:numRef>
          </c:val>
        </c:ser>
        <c:gapWidth val="324"/>
        <c:shape val="box"/>
        <c:axId val="197556096"/>
        <c:axId val="197557632"/>
        <c:axId val="0"/>
      </c:bar3DChart>
      <c:catAx>
        <c:axId val="197556096"/>
        <c:scaling>
          <c:orientation val="minMax"/>
        </c:scaling>
        <c:axPos val="b"/>
        <c:numFmt formatCode="General" sourceLinked="1"/>
        <c:tickLblPos val="nextTo"/>
        <c:txPr>
          <a:bodyPr/>
          <a:lstStyle/>
          <a:p>
            <a:pPr>
              <a:defRPr lang="ro-RO" sz="1000">
                <a:latin typeface="Arial" pitchFamily="34" charset="0"/>
                <a:cs typeface="Arial" pitchFamily="34" charset="0"/>
              </a:defRPr>
            </a:pPr>
            <a:endParaRPr lang="ro-RO"/>
          </a:p>
        </c:txPr>
        <c:crossAx val="197557632"/>
        <c:crosses val="autoZero"/>
        <c:auto val="1"/>
        <c:lblAlgn val="ctr"/>
        <c:lblOffset val="100"/>
      </c:catAx>
      <c:valAx>
        <c:axId val="197557632"/>
        <c:scaling>
          <c:orientation val="minMax"/>
        </c:scaling>
        <c:axPos val="l"/>
        <c:majorGridlines/>
        <c:title>
          <c:tx>
            <c:rich>
              <a:bodyPr rot="0" vert="horz"/>
              <a:lstStyle/>
              <a:p>
                <a:pPr>
                  <a:defRPr lang="ro-RO">
                    <a:latin typeface="Arial" pitchFamily="34" charset="0"/>
                    <a:cs typeface="Arial" pitchFamily="34" charset="0"/>
                  </a:defRPr>
                </a:pPr>
                <a:r>
                  <a:rPr lang="ro-RO" sz="900">
                    <a:latin typeface="Arial" pitchFamily="34" charset="0"/>
                    <a:cs typeface="Arial" pitchFamily="34" charset="0"/>
                  </a:rPr>
                  <a:t>tone</a:t>
                </a:r>
              </a:p>
            </c:rich>
          </c:tx>
          <c:layout>
            <c:manualLayout>
              <c:xMode val="edge"/>
              <c:yMode val="edge"/>
              <c:x val="0"/>
              <c:y val="0.21970797242866191"/>
            </c:manualLayout>
          </c:layout>
        </c:title>
        <c:numFmt formatCode="0" sourceLinked="0"/>
        <c:tickLblPos val="nextTo"/>
        <c:txPr>
          <a:bodyPr/>
          <a:lstStyle/>
          <a:p>
            <a:pPr>
              <a:defRPr lang="ro-RO" sz="1000">
                <a:latin typeface="Arial" pitchFamily="34" charset="0"/>
                <a:cs typeface="Arial" pitchFamily="34" charset="0"/>
              </a:defRPr>
            </a:pPr>
            <a:endParaRPr lang="ro-RO"/>
          </a:p>
        </c:txPr>
        <c:crossAx val="197556096"/>
        <c:crosses val="autoZero"/>
        <c:crossBetween val="between"/>
      </c:valAx>
    </c:plotArea>
    <c:legend>
      <c:legendPos val="r"/>
      <c:layout>
        <c:manualLayout>
          <c:xMode val="edge"/>
          <c:yMode val="edge"/>
          <c:x val="0.88524432822645549"/>
          <c:y val="0.20102109556193681"/>
          <c:w val="0.11475570563699579"/>
          <c:h val="0.36993448989608102"/>
        </c:manualLayout>
      </c:layout>
      <c:txPr>
        <a:bodyPr/>
        <a:lstStyle/>
        <a:p>
          <a:pPr>
            <a:defRPr lang="ro-RO" sz="1000">
              <a:latin typeface="Arial" pitchFamily="34" charset="0"/>
              <a:cs typeface="Arial" pitchFamily="34" charset="0"/>
            </a:defRPr>
          </a:pPr>
          <a:endParaRPr lang="ro-RO"/>
        </a:p>
      </c:txPr>
    </c:legend>
    <c:plotVisOnly val="1"/>
  </c:chart>
  <c:spPr>
    <a:ln>
      <a:noFill/>
    </a:ln>
  </c:spPr>
  <c:externalData r:id="rId2"/>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ro-RO"/>
  <c:clrMapOvr bg1="lt1" tx1="dk1" bg2="lt2" tx2="dk2" accent1="accent1" accent2="accent2" accent3="accent3" accent4="accent4" accent5="accent5" accent6="accent6" hlink="hlink" folHlink="folHlink"/>
  <c:chart>
    <c:view3D>
      <c:depthPercent val="100"/>
      <c:rAngAx val="1"/>
    </c:view3D>
    <c:sideWall>
      <c:spPr>
        <a:noFill/>
        <a:ln w="15875">
          <a:solidFill>
            <a:sysClr val="window" lastClr="FFFFFF">
              <a:lumMod val="65000"/>
            </a:sysClr>
          </a:solidFill>
        </a:ln>
      </c:spPr>
    </c:sideWall>
    <c:backWall>
      <c:spPr>
        <a:noFill/>
        <a:ln w="15875">
          <a:solidFill>
            <a:sysClr val="window" lastClr="FFFFFF">
              <a:lumMod val="65000"/>
            </a:sysClr>
          </a:solidFill>
        </a:ln>
      </c:spPr>
    </c:backWall>
    <c:plotArea>
      <c:layout>
        <c:manualLayout>
          <c:layoutTarget val="inner"/>
          <c:xMode val="edge"/>
          <c:yMode val="edge"/>
          <c:x val="0.12694818389636822"/>
          <c:y val="6.9069069069069067E-2"/>
          <c:w val="0.77409533485733661"/>
          <c:h val="0.6761031341670527"/>
        </c:manualLayout>
      </c:layout>
      <c:bar3DChart>
        <c:barDir val="col"/>
        <c:grouping val="clustered"/>
        <c:ser>
          <c:idx val="0"/>
          <c:order val="0"/>
          <c:tx>
            <c:strRef>
              <c:f>Sheet1!$B$1</c:f>
              <c:strCache>
                <c:ptCount val="1"/>
                <c:pt idx="0">
                  <c:v>Pb</c:v>
                </c:pt>
              </c:strCache>
            </c:strRef>
          </c:tx>
          <c:spPr>
            <a:scene3d>
              <a:camera prst="orthographicFront"/>
              <a:lightRig rig="threePt" dir="t"/>
            </a:scene3d>
            <a:sp3d>
              <a:bevelT/>
            </a:sp3d>
          </c:spPr>
          <c:cat>
            <c:numRef>
              <c:f>Sheet1!$A$2:$A$6</c:f>
              <c:numCache>
                <c:formatCode>General</c:formatCode>
                <c:ptCount val="5"/>
                <c:pt idx="0">
                  <c:v>2013</c:v>
                </c:pt>
                <c:pt idx="1">
                  <c:v>2014</c:v>
                </c:pt>
                <c:pt idx="2">
                  <c:v>2015</c:v>
                </c:pt>
                <c:pt idx="3">
                  <c:v>2016</c:v>
                </c:pt>
                <c:pt idx="4">
                  <c:v>2017</c:v>
                </c:pt>
              </c:numCache>
            </c:numRef>
          </c:cat>
          <c:val>
            <c:numRef>
              <c:f>Sheet1!$B$2:$B$6</c:f>
              <c:numCache>
                <c:formatCode>0</c:formatCode>
                <c:ptCount val="5"/>
                <c:pt idx="0">
                  <c:v>357</c:v>
                </c:pt>
                <c:pt idx="1">
                  <c:v>471.64000000000038</c:v>
                </c:pt>
                <c:pt idx="2">
                  <c:v>316.56</c:v>
                </c:pt>
                <c:pt idx="3">
                  <c:v>308.72999999999951</c:v>
                </c:pt>
                <c:pt idx="4">
                  <c:v>314</c:v>
                </c:pt>
              </c:numCache>
            </c:numRef>
          </c:val>
        </c:ser>
        <c:ser>
          <c:idx val="1"/>
          <c:order val="1"/>
          <c:tx>
            <c:strRef>
              <c:f>Sheet1!$C$1</c:f>
              <c:strCache>
                <c:ptCount val="1"/>
                <c:pt idx="0">
                  <c:v>Cd</c:v>
                </c:pt>
              </c:strCache>
            </c:strRef>
          </c:tx>
          <c:spPr>
            <a:scene3d>
              <a:camera prst="orthographicFront"/>
              <a:lightRig rig="threePt" dir="t"/>
            </a:scene3d>
            <a:sp3d>
              <a:bevelT/>
            </a:sp3d>
          </c:spPr>
          <c:cat>
            <c:numRef>
              <c:f>Sheet1!$A$2:$A$6</c:f>
              <c:numCache>
                <c:formatCode>General</c:formatCode>
                <c:ptCount val="5"/>
                <c:pt idx="0">
                  <c:v>2013</c:v>
                </c:pt>
                <c:pt idx="1">
                  <c:v>2014</c:v>
                </c:pt>
                <c:pt idx="2">
                  <c:v>2015</c:v>
                </c:pt>
                <c:pt idx="3">
                  <c:v>2016</c:v>
                </c:pt>
                <c:pt idx="4">
                  <c:v>2017</c:v>
                </c:pt>
              </c:numCache>
            </c:numRef>
          </c:cat>
          <c:val>
            <c:numRef>
              <c:f>Sheet1!$C$2:$C$6</c:f>
              <c:numCache>
                <c:formatCode>0</c:formatCode>
                <c:ptCount val="5"/>
                <c:pt idx="0">
                  <c:v>12</c:v>
                </c:pt>
                <c:pt idx="1">
                  <c:v>21.09</c:v>
                </c:pt>
                <c:pt idx="2">
                  <c:v>104.27</c:v>
                </c:pt>
                <c:pt idx="3">
                  <c:v>111.48</c:v>
                </c:pt>
                <c:pt idx="4">
                  <c:v>112.57599999999998</c:v>
                </c:pt>
              </c:numCache>
            </c:numRef>
          </c:val>
        </c:ser>
        <c:ser>
          <c:idx val="2"/>
          <c:order val="2"/>
          <c:tx>
            <c:strRef>
              <c:f>Sheet1!$D$1</c:f>
              <c:strCache>
                <c:ptCount val="1"/>
                <c:pt idx="0">
                  <c:v>Hg</c:v>
                </c:pt>
              </c:strCache>
            </c:strRef>
          </c:tx>
          <c:spPr>
            <a:solidFill>
              <a:srgbClr val="9BBB59">
                <a:lumMod val="75000"/>
              </a:srgbClr>
            </a:solidFill>
            <a:ln>
              <a:noFill/>
            </a:ln>
            <a:scene3d>
              <a:camera prst="orthographicFront"/>
              <a:lightRig rig="threePt" dir="t"/>
            </a:scene3d>
            <a:sp3d>
              <a:bevelT/>
            </a:sp3d>
          </c:spPr>
          <c:cat>
            <c:numRef>
              <c:f>Sheet1!$A$2:$A$6</c:f>
              <c:numCache>
                <c:formatCode>General</c:formatCode>
                <c:ptCount val="5"/>
                <c:pt idx="0">
                  <c:v>2013</c:v>
                </c:pt>
                <c:pt idx="1">
                  <c:v>2014</c:v>
                </c:pt>
                <c:pt idx="2">
                  <c:v>2015</c:v>
                </c:pt>
                <c:pt idx="3">
                  <c:v>2016</c:v>
                </c:pt>
                <c:pt idx="4">
                  <c:v>2017</c:v>
                </c:pt>
              </c:numCache>
            </c:numRef>
          </c:cat>
          <c:val>
            <c:numRef>
              <c:f>Sheet1!$D$2:$D$6</c:f>
              <c:numCache>
                <c:formatCode>0</c:formatCode>
                <c:ptCount val="5"/>
                <c:pt idx="0">
                  <c:v>10</c:v>
                </c:pt>
                <c:pt idx="1">
                  <c:v>11.450000000000006</c:v>
                </c:pt>
                <c:pt idx="2">
                  <c:v>12.26</c:v>
                </c:pt>
                <c:pt idx="3">
                  <c:v>12.51</c:v>
                </c:pt>
                <c:pt idx="4">
                  <c:v>12.023</c:v>
                </c:pt>
              </c:numCache>
            </c:numRef>
          </c:val>
        </c:ser>
        <c:gapWidth val="277"/>
        <c:shape val="box"/>
        <c:axId val="197842048"/>
        <c:axId val="197843584"/>
        <c:axId val="0"/>
      </c:bar3DChart>
      <c:catAx>
        <c:axId val="197842048"/>
        <c:scaling>
          <c:orientation val="minMax"/>
        </c:scaling>
        <c:axPos val="b"/>
        <c:numFmt formatCode="General" sourceLinked="1"/>
        <c:tickLblPos val="nextTo"/>
        <c:txPr>
          <a:bodyPr/>
          <a:lstStyle/>
          <a:p>
            <a:pPr>
              <a:defRPr lang="ro-RO" sz="1000">
                <a:latin typeface="Arial" pitchFamily="34" charset="0"/>
                <a:cs typeface="Arial" pitchFamily="34" charset="0"/>
              </a:defRPr>
            </a:pPr>
            <a:endParaRPr lang="ro-RO"/>
          </a:p>
        </c:txPr>
        <c:crossAx val="197843584"/>
        <c:crosses val="autoZero"/>
        <c:auto val="1"/>
        <c:lblAlgn val="ctr"/>
        <c:lblOffset val="100"/>
      </c:catAx>
      <c:valAx>
        <c:axId val="197843584"/>
        <c:scaling>
          <c:orientation val="minMax"/>
        </c:scaling>
        <c:axPos val="l"/>
        <c:majorGridlines/>
        <c:title>
          <c:tx>
            <c:rich>
              <a:bodyPr rot="0" vert="horz"/>
              <a:lstStyle/>
              <a:p>
                <a:pPr>
                  <a:defRPr lang="ro-RO">
                    <a:latin typeface="Arial" pitchFamily="34" charset="0"/>
                    <a:cs typeface="Arial" pitchFamily="34" charset="0"/>
                  </a:defRPr>
                </a:pPr>
                <a:r>
                  <a:rPr lang="ro-RO">
                    <a:latin typeface="Arial" pitchFamily="34" charset="0"/>
                    <a:cs typeface="Arial" pitchFamily="34" charset="0"/>
                  </a:rPr>
                  <a:t>kg</a:t>
                </a:r>
              </a:p>
            </c:rich>
          </c:tx>
          <c:layout>
            <c:manualLayout>
              <c:xMode val="edge"/>
              <c:yMode val="edge"/>
              <c:x val="0"/>
              <c:y val="0.21970797242866191"/>
            </c:manualLayout>
          </c:layout>
        </c:title>
        <c:numFmt formatCode="#,##0" sourceLinked="0"/>
        <c:tickLblPos val="nextTo"/>
        <c:spPr>
          <a:ln>
            <a:solidFill>
              <a:sysClr val="window" lastClr="FFFFFF">
                <a:lumMod val="65000"/>
              </a:sysClr>
            </a:solidFill>
          </a:ln>
        </c:spPr>
        <c:txPr>
          <a:bodyPr/>
          <a:lstStyle/>
          <a:p>
            <a:pPr>
              <a:defRPr lang="ro-RO" sz="1000">
                <a:latin typeface="Arial" pitchFamily="34" charset="0"/>
                <a:cs typeface="Arial" pitchFamily="34" charset="0"/>
              </a:defRPr>
            </a:pPr>
            <a:endParaRPr lang="ro-RO"/>
          </a:p>
        </c:txPr>
        <c:crossAx val="197842048"/>
        <c:crosses val="autoZero"/>
        <c:crossBetween val="between"/>
        <c:majorUnit val="100"/>
      </c:valAx>
    </c:plotArea>
    <c:legend>
      <c:legendPos val="r"/>
      <c:txPr>
        <a:bodyPr/>
        <a:lstStyle/>
        <a:p>
          <a:pPr>
            <a:defRPr lang="en-US" sz="1000">
              <a:latin typeface="Arial" pitchFamily="34" charset="0"/>
              <a:cs typeface="Arial" pitchFamily="34" charset="0"/>
            </a:defRPr>
          </a:pPr>
          <a:endParaRPr lang="ro-RO"/>
        </a:p>
      </c:txPr>
    </c:legend>
    <c:plotVisOnly val="1"/>
  </c:chart>
  <c:spPr>
    <a:ln>
      <a:noFill/>
    </a:ln>
  </c:spPr>
  <c:externalData r:id="rId2"/>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ro-RO"/>
  <c:clrMapOvr bg1="lt1" tx1="dk1" bg2="lt2" tx2="dk2" accent1="accent1" accent2="accent2" accent3="accent3" accent4="accent4" accent5="accent5" accent6="accent6" hlink="hlink" folHlink="folHlink"/>
  <c:chart>
    <c:view3D>
      <c:depthPercent val="100"/>
      <c:rAngAx val="1"/>
    </c:view3D>
    <c:sideWall>
      <c:spPr>
        <a:noFill/>
        <a:ln>
          <a:solidFill>
            <a:sysClr val="window" lastClr="FFFFFF">
              <a:lumMod val="65000"/>
            </a:sysClr>
          </a:solidFill>
        </a:ln>
      </c:spPr>
    </c:sideWall>
    <c:backWall>
      <c:spPr>
        <a:noFill/>
        <a:ln>
          <a:solidFill>
            <a:sysClr val="window" lastClr="FFFFFF">
              <a:lumMod val="65000"/>
            </a:sysClr>
          </a:solidFill>
        </a:ln>
      </c:spPr>
    </c:backWall>
    <c:plotArea>
      <c:layout>
        <c:manualLayout>
          <c:layoutTarget val="inner"/>
          <c:xMode val="edge"/>
          <c:yMode val="edge"/>
          <c:x val="0.1297914743415694"/>
          <c:y val="7.2068766404199472E-2"/>
          <c:w val="0.74366349895918271"/>
          <c:h val="0.74400167370383152"/>
        </c:manualLayout>
      </c:layout>
      <c:bar3DChart>
        <c:barDir val="col"/>
        <c:grouping val="clustered"/>
        <c:ser>
          <c:idx val="0"/>
          <c:order val="0"/>
          <c:tx>
            <c:strRef>
              <c:f>Sheet1!$B$1</c:f>
              <c:strCache>
                <c:ptCount val="1"/>
                <c:pt idx="0">
                  <c:v>Pb</c:v>
                </c:pt>
              </c:strCache>
            </c:strRef>
          </c:tx>
          <c:spPr>
            <a:scene3d>
              <a:camera prst="orthographicFront"/>
              <a:lightRig rig="threePt" dir="t"/>
            </a:scene3d>
            <a:sp3d>
              <a:bevelT/>
            </a:sp3d>
          </c:spPr>
          <c:cat>
            <c:numRef>
              <c:f>Sheet1!$A$2:$A$6</c:f>
              <c:numCache>
                <c:formatCode>General</c:formatCode>
                <c:ptCount val="5"/>
                <c:pt idx="0">
                  <c:v>2013</c:v>
                </c:pt>
                <c:pt idx="1">
                  <c:v>2014</c:v>
                </c:pt>
                <c:pt idx="2">
                  <c:v>2015</c:v>
                </c:pt>
                <c:pt idx="3">
                  <c:v>2016</c:v>
                </c:pt>
                <c:pt idx="4">
                  <c:v>2017</c:v>
                </c:pt>
              </c:numCache>
            </c:numRef>
          </c:cat>
          <c:val>
            <c:numRef>
              <c:f>Sheet1!$B$2:$B$6</c:f>
              <c:numCache>
                <c:formatCode>0.00</c:formatCode>
                <c:ptCount val="5"/>
                <c:pt idx="0">
                  <c:v>55.75</c:v>
                </c:pt>
                <c:pt idx="1">
                  <c:v>79.3</c:v>
                </c:pt>
                <c:pt idx="2">
                  <c:v>87.86999999999999</c:v>
                </c:pt>
                <c:pt idx="3">
                  <c:v>64.930000000000007</c:v>
                </c:pt>
                <c:pt idx="4">
                  <c:v>67.292000000000002</c:v>
                </c:pt>
              </c:numCache>
            </c:numRef>
          </c:val>
        </c:ser>
        <c:ser>
          <c:idx val="1"/>
          <c:order val="1"/>
          <c:tx>
            <c:strRef>
              <c:f>Sheet1!$C$1</c:f>
              <c:strCache>
                <c:ptCount val="1"/>
                <c:pt idx="0">
                  <c:v>Cd</c:v>
                </c:pt>
              </c:strCache>
            </c:strRef>
          </c:tx>
          <c:spPr>
            <a:scene3d>
              <a:camera prst="orthographicFront"/>
              <a:lightRig rig="threePt" dir="t"/>
            </a:scene3d>
            <a:sp3d>
              <a:bevelT/>
            </a:sp3d>
          </c:spPr>
          <c:cat>
            <c:numRef>
              <c:f>Sheet1!$A$2:$A$6</c:f>
              <c:numCache>
                <c:formatCode>General</c:formatCode>
                <c:ptCount val="5"/>
                <c:pt idx="0">
                  <c:v>2013</c:v>
                </c:pt>
                <c:pt idx="1">
                  <c:v>2014</c:v>
                </c:pt>
                <c:pt idx="2">
                  <c:v>2015</c:v>
                </c:pt>
                <c:pt idx="3">
                  <c:v>2016</c:v>
                </c:pt>
                <c:pt idx="4">
                  <c:v>2017</c:v>
                </c:pt>
              </c:numCache>
            </c:numRef>
          </c:cat>
          <c:val>
            <c:numRef>
              <c:f>Sheet1!$C$2:$C$6</c:f>
              <c:numCache>
                <c:formatCode>0.00</c:formatCode>
                <c:ptCount val="5"/>
                <c:pt idx="0">
                  <c:v>1.28</c:v>
                </c:pt>
                <c:pt idx="1">
                  <c:v>1.3</c:v>
                </c:pt>
                <c:pt idx="2">
                  <c:v>1.52</c:v>
                </c:pt>
                <c:pt idx="3">
                  <c:v>1.58</c:v>
                </c:pt>
                <c:pt idx="4">
                  <c:v>1.639</c:v>
                </c:pt>
              </c:numCache>
            </c:numRef>
          </c:val>
        </c:ser>
        <c:gapWidth val="279"/>
        <c:gapDepth val="117"/>
        <c:shape val="box"/>
        <c:axId val="197713280"/>
        <c:axId val="197801088"/>
        <c:axId val="0"/>
      </c:bar3DChart>
      <c:catAx>
        <c:axId val="197713280"/>
        <c:scaling>
          <c:orientation val="minMax"/>
        </c:scaling>
        <c:axPos val="b"/>
        <c:numFmt formatCode="General" sourceLinked="1"/>
        <c:tickLblPos val="nextTo"/>
        <c:txPr>
          <a:bodyPr/>
          <a:lstStyle/>
          <a:p>
            <a:pPr>
              <a:defRPr lang="ro-RO">
                <a:latin typeface="Arial" pitchFamily="34" charset="0"/>
                <a:cs typeface="Arial" pitchFamily="34" charset="0"/>
              </a:defRPr>
            </a:pPr>
            <a:endParaRPr lang="ro-RO"/>
          </a:p>
        </c:txPr>
        <c:crossAx val="197801088"/>
        <c:crosses val="autoZero"/>
        <c:auto val="1"/>
        <c:lblAlgn val="ctr"/>
        <c:lblOffset val="100"/>
      </c:catAx>
      <c:valAx>
        <c:axId val="197801088"/>
        <c:scaling>
          <c:orientation val="minMax"/>
        </c:scaling>
        <c:axPos val="l"/>
        <c:majorGridlines/>
        <c:title>
          <c:tx>
            <c:rich>
              <a:bodyPr rot="0" vert="horz"/>
              <a:lstStyle/>
              <a:p>
                <a:pPr>
                  <a:defRPr lang="ro-RO" sz="1000">
                    <a:latin typeface="Arial" pitchFamily="34" charset="0"/>
                    <a:cs typeface="Arial" pitchFamily="34" charset="0"/>
                  </a:defRPr>
                </a:pPr>
                <a:r>
                  <a:rPr lang="ro-RO" sz="1000">
                    <a:latin typeface="Arial" pitchFamily="34" charset="0"/>
                    <a:cs typeface="Arial" pitchFamily="34" charset="0"/>
                  </a:rPr>
                  <a:t>kg</a:t>
                </a:r>
              </a:p>
            </c:rich>
          </c:tx>
          <c:layout>
            <c:manualLayout>
              <c:xMode val="edge"/>
              <c:yMode val="edge"/>
              <c:x val="1.6489988221436987E-2"/>
              <c:y val="0.12604412051799738"/>
            </c:manualLayout>
          </c:layout>
        </c:title>
        <c:numFmt formatCode="0" sourceLinked="0"/>
        <c:tickLblPos val="nextTo"/>
        <c:txPr>
          <a:bodyPr/>
          <a:lstStyle/>
          <a:p>
            <a:pPr>
              <a:defRPr lang="ro-RO">
                <a:latin typeface="Arial" pitchFamily="34" charset="0"/>
                <a:cs typeface="Arial" pitchFamily="34" charset="0"/>
              </a:defRPr>
            </a:pPr>
            <a:endParaRPr lang="ro-RO"/>
          </a:p>
        </c:txPr>
        <c:crossAx val="197713280"/>
        <c:crosses val="autoZero"/>
        <c:crossBetween val="between"/>
        <c:majorUnit val="20"/>
      </c:valAx>
    </c:plotArea>
    <c:legend>
      <c:legendPos val="r"/>
      <c:layout>
        <c:manualLayout>
          <c:xMode val="edge"/>
          <c:yMode val="edge"/>
          <c:x val="0.86438273837678414"/>
          <c:y val="0.23305102610205219"/>
          <c:w val="6.7932815818517511E-2"/>
          <c:h val="0.35828300989935385"/>
        </c:manualLayout>
      </c:layout>
      <c:txPr>
        <a:bodyPr/>
        <a:lstStyle/>
        <a:p>
          <a:pPr>
            <a:defRPr lang="en-US">
              <a:latin typeface="Arial" pitchFamily="34" charset="0"/>
              <a:cs typeface="Arial" pitchFamily="34" charset="0"/>
            </a:defRPr>
          </a:pPr>
          <a:endParaRPr lang="ro-RO"/>
        </a:p>
      </c:txPr>
    </c:legend>
    <c:plotVisOnly val="1"/>
  </c:chart>
  <c:spPr>
    <a:ln>
      <a:noFill/>
    </a:ln>
  </c:spPr>
  <c:externalData r:id="rId2"/>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ro-RO"/>
  <c:clrMapOvr bg1="lt1" tx1="dk1" bg2="lt2" tx2="dk2" accent1="accent1" accent2="accent2" accent3="accent3" accent4="accent4" accent5="accent5" accent6="accent6" hlink="hlink" folHlink="folHlink"/>
  <c:chart>
    <c:view3D>
      <c:depthPercent val="100"/>
      <c:rAngAx val="1"/>
    </c:view3D>
    <c:sideWall>
      <c:spPr>
        <a:ln>
          <a:solidFill>
            <a:sysClr val="window" lastClr="FFFFFF">
              <a:lumMod val="65000"/>
            </a:sysClr>
          </a:solidFill>
        </a:ln>
      </c:spPr>
    </c:sideWall>
    <c:backWall>
      <c:spPr>
        <a:ln>
          <a:solidFill>
            <a:sysClr val="window" lastClr="FFFFFF">
              <a:lumMod val="65000"/>
            </a:sysClr>
          </a:solidFill>
        </a:ln>
      </c:spPr>
    </c:backWall>
    <c:plotArea>
      <c:layout>
        <c:manualLayout>
          <c:layoutTarget val="inner"/>
          <c:xMode val="edge"/>
          <c:yMode val="edge"/>
          <c:x val="0.12492652834454122"/>
          <c:y val="4.6286010655853693E-2"/>
          <c:w val="0.69236657500761278"/>
          <c:h val="0.81579015197951465"/>
        </c:manualLayout>
      </c:layout>
      <c:bar3DChart>
        <c:barDir val="col"/>
        <c:grouping val="clustered"/>
        <c:ser>
          <c:idx val="0"/>
          <c:order val="0"/>
          <c:tx>
            <c:strRef>
              <c:f>Sheet1!$B$1</c:f>
              <c:strCache>
                <c:ptCount val="1"/>
                <c:pt idx="0">
                  <c:v>PCDD/PCDF, g</c:v>
                </c:pt>
              </c:strCache>
            </c:strRef>
          </c:tx>
          <c:spPr>
            <a:solidFill>
              <a:srgbClr val="F79646"/>
            </a:solidFill>
            <a:scene3d>
              <a:camera prst="orthographicFront"/>
              <a:lightRig rig="threePt" dir="t"/>
            </a:scene3d>
            <a:sp3d>
              <a:bevelT/>
            </a:sp3d>
          </c:spPr>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4.59</c:v>
                </c:pt>
                <c:pt idx="1">
                  <c:v>5.48</c:v>
                </c:pt>
                <c:pt idx="2">
                  <c:v>6.3449999999999935</c:v>
                </c:pt>
                <c:pt idx="3">
                  <c:v>6.8789999999999996</c:v>
                </c:pt>
                <c:pt idx="4">
                  <c:v>6.8860000000000001</c:v>
                </c:pt>
              </c:numCache>
            </c:numRef>
          </c:val>
        </c:ser>
        <c:ser>
          <c:idx val="1"/>
          <c:order val="1"/>
          <c:tx>
            <c:strRef>
              <c:f>Sheet1!$C$1</c:f>
              <c:strCache>
                <c:ptCount val="1"/>
                <c:pt idx="0">
                  <c:v>PAH, tone</c:v>
                </c:pt>
              </c:strCache>
            </c:strRef>
          </c:tx>
          <c:spPr>
            <a:solidFill>
              <a:srgbClr val="4BACC6">
                <a:lumMod val="75000"/>
              </a:srgbClr>
            </a:solidFill>
            <a:scene3d>
              <a:camera prst="orthographicFront"/>
              <a:lightRig rig="threePt" dir="t"/>
            </a:scene3d>
            <a:sp3d>
              <a:bevelT/>
            </a:sp3d>
          </c:spPr>
          <c:cat>
            <c:numRef>
              <c:f>Sheet1!$A$2:$A$6</c:f>
              <c:numCache>
                <c:formatCode>General</c:formatCode>
                <c:ptCount val="5"/>
                <c:pt idx="0">
                  <c:v>2013</c:v>
                </c:pt>
                <c:pt idx="1">
                  <c:v>2014</c:v>
                </c:pt>
                <c:pt idx="2">
                  <c:v>2015</c:v>
                </c:pt>
                <c:pt idx="3">
                  <c:v>2016</c:v>
                </c:pt>
                <c:pt idx="4">
                  <c:v>2017</c:v>
                </c:pt>
              </c:numCache>
            </c:numRef>
          </c:cat>
          <c:val>
            <c:numRef>
              <c:f>Sheet1!$C$2:$C$6</c:f>
              <c:numCache>
                <c:formatCode>0.000</c:formatCode>
                <c:ptCount val="5"/>
                <c:pt idx="0" formatCode="General">
                  <c:v>4.6749999999999945</c:v>
                </c:pt>
                <c:pt idx="1">
                  <c:v>5.6069999999999975</c:v>
                </c:pt>
                <c:pt idx="2">
                  <c:v>2.702</c:v>
                </c:pt>
                <c:pt idx="3">
                  <c:v>2.8859999999999997</c:v>
                </c:pt>
                <c:pt idx="4">
                  <c:v>2.8899999999999997</c:v>
                </c:pt>
              </c:numCache>
            </c:numRef>
          </c:val>
        </c:ser>
        <c:ser>
          <c:idx val="2"/>
          <c:order val="2"/>
          <c:tx>
            <c:strRef>
              <c:f>Sheet1!$D$1</c:f>
              <c:strCache>
                <c:ptCount val="1"/>
                <c:pt idx="0">
                  <c:v>HCB, kg</c:v>
                </c:pt>
              </c:strCache>
            </c:strRef>
          </c:tx>
          <c:spPr>
            <a:solidFill>
              <a:srgbClr val="8064A2">
                <a:lumMod val="75000"/>
              </a:srgbClr>
            </a:solidFill>
            <a:ln>
              <a:noFill/>
            </a:ln>
            <a:scene3d>
              <a:camera prst="orthographicFront"/>
              <a:lightRig rig="threePt" dir="t"/>
            </a:scene3d>
            <a:sp3d>
              <a:bevelT/>
            </a:sp3d>
          </c:spPr>
          <c:cat>
            <c:numRef>
              <c:f>Sheet1!$A$2:$A$6</c:f>
              <c:numCache>
                <c:formatCode>General</c:formatCode>
                <c:ptCount val="5"/>
                <c:pt idx="0">
                  <c:v>2013</c:v>
                </c:pt>
                <c:pt idx="1">
                  <c:v>2014</c:v>
                </c:pt>
                <c:pt idx="2">
                  <c:v>2015</c:v>
                </c:pt>
                <c:pt idx="3">
                  <c:v>2016</c:v>
                </c:pt>
                <c:pt idx="4">
                  <c:v>2017</c:v>
                </c:pt>
              </c:numCache>
            </c:numRef>
          </c:cat>
          <c:val>
            <c:numRef>
              <c:f>Sheet1!$D$2:$D$6</c:f>
              <c:numCache>
                <c:formatCode>0.000</c:formatCode>
                <c:ptCount val="5"/>
                <c:pt idx="0" formatCode="General">
                  <c:v>0.222</c:v>
                </c:pt>
                <c:pt idx="1">
                  <c:v>0.25800000000000001</c:v>
                </c:pt>
                <c:pt idx="2">
                  <c:v>0.37500000000000039</c:v>
                </c:pt>
                <c:pt idx="3">
                  <c:v>0.22900000000000001</c:v>
                </c:pt>
                <c:pt idx="4">
                  <c:v>0.21400000000000019</c:v>
                </c:pt>
              </c:numCache>
            </c:numRef>
          </c:val>
        </c:ser>
        <c:gapWidth val="234"/>
        <c:shape val="box"/>
        <c:axId val="197876736"/>
        <c:axId val="198009600"/>
        <c:axId val="0"/>
      </c:bar3DChart>
      <c:catAx>
        <c:axId val="197876736"/>
        <c:scaling>
          <c:orientation val="minMax"/>
        </c:scaling>
        <c:axPos val="b"/>
        <c:numFmt formatCode="General" sourceLinked="1"/>
        <c:tickLblPos val="nextTo"/>
        <c:txPr>
          <a:bodyPr/>
          <a:lstStyle/>
          <a:p>
            <a:pPr>
              <a:defRPr lang="ro-RO" sz="900">
                <a:latin typeface="Arial" pitchFamily="34" charset="0"/>
                <a:cs typeface="Arial" pitchFamily="34" charset="0"/>
              </a:defRPr>
            </a:pPr>
            <a:endParaRPr lang="ro-RO"/>
          </a:p>
        </c:txPr>
        <c:crossAx val="198009600"/>
        <c:crosses val="autoZero"/>
        <c:auto val="1"/>
        <c:lblAlgn val="ctr"/>
        <c:lblOffset val="100"/>
      </c:catAx>
      <c:valAx>
        <c:axId val="198009600"/>
        <c:scaling>
          <c:orientation val="minMax"/>
        </c:scaling>
        <c:axPos val="l"/>
        <c:majorGridlines/>
        <c:numFmt formatCode="#,##0" sourceLinked="0"/>
        <c:tickLblPos val="nextTo"/>
        <c:txPr>
          <a:bodyPr/>
          <a:lstStyle/>
          <a:p>
            <a:pPr>
              <a:defRPr lang="ro-RO" sz="900">
                <a:latin typeface="Arial" pitchFamily="34" charset="0"/>
                <a:cs typeface="Arial" pitchFamily="34" charset="0"/>
              </a:defRPr>
            </a:pPr>
            <a:endParaRPr lang="ro-RO"/>
          </a:p>
        </c:txPr>
        <c:crossAx val="197876736"/>
        <c:crosses val="autoZero"/>
        <c:crossBetween val="between"/>
      </c:valAx>
    </c:plotArea>
    <c:legend>
      <c:legendPos val="r"/>
      <c:layout>
        <c:manualLayout>
          <c:xMode val="edge"/>
          <c:yMode val="edge"/>
          <c:x val="0.81910031862541965"/>
          <c:y val="0.19685704850120544"/>
          <c:w val="0.18089966856332759"/>
          <c:h val="0.55963254593175737"/>
        </c:manualLayout>
      </c:layout>
      <c:txPr>
        <a:bodyPr/>
        <a:lstStyle/>
        <a:p>
          <a:pPr>
            <a:defRPr lang="en-US" sz="900">
              <a:latin typeface="Arial" pitchFamily="34" charset="0"/>
              <a:cs typeface="Arial" pitchFamily="34" charset="0"/>
            </a:defRPr>
          </a:pPr>
          <a:endParaRPr lang="ro-RO"/>
        </a:p>
      </c:txPr>
    </c:legend>
    <c:plotVisOnly val="1"/>
  </c:chart>
  <c:spPr>
    <a:ln>
      <a:noFill/>
    </a:ln>
  </c:spPr>
  <c:externalData r:id="rId2"/>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ro-RO"/>
  <c:clrMapOvr bg1="lt1" tx1="dk1" bg2="lt2" tx2="dk2" accent1="accent1" accent2="accent2" accent3="accent3" accent4="accent4" accent5="accent5" accent6="accent6" hlink="hlink" folHlink="folHlink"/>
  <c:chart>
    <c:view3D>
      <c:depthPercent val="100"/>
      <c:rAngAx val="1"/>
    </c:view3D>
    <c:sideWall>
      <c:spPr>
        <a:ln>
          <a:solidFill>
            <a:sysClr val="window" lastClr="FFFFFF">
              <a:lumMod val="65000"/>
            </a:sysClr>
          </a:solidFill>
        </a:ln>
      </c:spPr>
    </c:sideWall>
    <c:backWall>
      <c:spPr>
        <a:ln>
          <a:solidFill>
            <a:sysClr val="window" lastClr="FFFFFF">
              <a:lumMod val="65000"/>
            </a:sysClr>
          </a:solidFill>
        </a:ln>
      </c:spPr>
    </c:backWall>
    <c:plotArea>
      <c:layout>
        <c:manualLayout>
          <c:layoutTarget val="inner"/>
          <c:xMode val="edge"/>
          <c:yMode val="edge"/>
          <c:x val="0.12492652834454122"/>
          <c:y val="4.6286010655853693E-2"/>
          <c:w val="0.69236657500761245"/>
          <c:h val="0.81579015197951465"/>
        </c:manualLayout>
      </c:layout>
      <c:bar3DChart>
        <c:barDir val="col"/>
        <c:grouping val="clustered"/>
        <c:ser>
          <c:idx val="0"/>
          <c:order val="0"/>
          <c:tx>
            <c:strRef>
              <c:f>Sheet1!$B$1</c:f>
              <c:strCache>
                <c:ptCount val="1"/>
                <c:pt idx="0">
                  <c:v>PCDD/PCDF, g</c:v>
                </c:pt>
              </c:strCache>
            </c:strRef>
          </c:tx>
          <c:spPr>
            <a:solidFill>
              <a:srgbClr val="F79646"/>
            </a:solidFill>
            <a:scene3d>
              <a:camera prst="orthographicFront"/>
              <a:lightRig rig="threePt" dir="t"/>
            </a:scene3d>
            <a:sp3d>
              <a:bevelT/>
            </a:sp3d>
          </c:spPr>
          <c:cat>
            <c:numRef>
              <c:f>Sheet1!$A$2:$A$6</c:f>
              <c:numCache>
                <c:formatCode>General</c:formatCode>
                <c:ptCount val="5"/>
                <c:pt idx="0">
                  <c:v>2013</c:v>
                </c:pt>
                <c:pt idx="1">
                  <c:v>2014</c:v>
                </c:pt>
                <c:pt idx="2">
                  <c:v>2015</c:v>
                </c:pt>
                <c:pt idx="3">
                  <c:v>2016</c:v>
                </c:pt>
                <c:pt idx="4">
                  <c:v>2017</c:v>
                </c:pt>
              </c:numCache>
            </c:numRef>
          </c:cat>
          <c:val>
            <c:numRef>
              <c:f>Sheet1!$B$2:$B$6</c:f>
              <c:numCache>
                <c:formatCode>#0.00</c:formatCode>
                <c:ptCount val="5"/>
                <c:pt idx="0" formatCode="#0.000">
                  <c:v>4.59</c:v>
                </c:pt>
                <c:pt idx="1">
                  <c:v>5.45</c:v>
                </c:pt>
                <c:pt idx="2">
                  <c:v>6.33</c:v>
                </c:pt>
                <c:pt idx="3">
                  <c:v>6.8599999999999985</c:v>
                </c:pt>
                <c:pt idx="4">
                  <c:v>6.8739999999999997</c:v>
                </c:pt>
              </c:numCache>
            </c:numRef>
          </c:val>
        </c:ser>
        <c:ser>
          <c:idx val="1"/>
          <c:order val="1"/>
          <c:tx>
            <c:strRef>
              <c:f>Sheet1!$C$1</c:f>
              <c:strCache>
                <c:ptCount val="1"/>
                <c:pt idx="0">
                  <c:v>PAH, tone</c:v>
                </c:pt>
              </c:strCache>
            </c:strRef>
          </c:tx>
          <c:spPr>
            <a:solidFill>
              <a:srgbClr val="4BACC6">
                <a:lumMod val="75000"/>
              </a:srgbClr>
            </a:solidFill>
            <a:scene3d>
              <a:camera prst="orthographicFront"/>
              <a:lightRig rig="threePt" dir="t"/>
            </a:scene3d>
            <a:sp3d>
              <a:bevelT/>
            </a:sp3d>
          </c:spPr>
          <c:cat>
            <c:numRef>
              <c:f>Sheet1!$A$2:$A$6</c:f>
              <c:numCache>
                <c:formatCode>General</c:formatCode>
                <c:ptCount val="5"/>
                <c:pt idx="0">
                  <c:v>2013</c:v>
                </c:pt>
                <c:pt idx="1">
                  <c:v>2014</c:v>
                </c:pt>
                <c:pt idx="2">
                  <c:v>2015</c:v>
                </c:pt>
                <c:pt idx="3">
                  <c:v>2016</c:v>
                </c:pt>
                <c:pt idx="4">
                  <c:v>2017</c:v>
                </c:pt>
              </c:numCache>
            </c:numRef>
          </c:cat>
          <c:val>
            <c:numRef>
              <c:f>Sheet1!$C$2:$C$6</c:f>
              <c:numCache>
                <c:formatCode>#0.00</c:formatCode>
                <c:ptCount val="5"/>
                <c:pt idx="0" formatCode="General">
                  <c:v>4.59</c:v>
                </c:pt>
                <c:pt idx="1">
                  <c:v>5.33</c:v>
                </c:pt>
                <c:pt idx="2">
                  <c:v>2.7</c:v>
                </c:pt>
                <c:pt idx="3">
                  <c:v>2.88</c:v>
                </c:pt>
                <c:pt idx="4">
                  <c:v>2.8899999999999997</c:v>
                </c:pt>
              </c:numCache>
            </c:numRef>
          </c:val>
        </c:ser>
        <c:gapWidth val="234"/>
        <c:shape val="box"/>
        <c:axId val="195253376"/>
        <c:axId val="195254912"/>
        <c:axId val="0"/>
      </c:bar3DChart>
      <c:catAx>
        <c:axId val="195253376"/>
        <c:scaling>
          <c:orientation val="minMax"/>
        </c:scaling>
        <c:axPos val="b"/>
        <c:numFmt formatCode="General" sourceLinked="1"/>
        <c:tickLblPos val="nextTo"/>
        <c:txPr>
          <a:bodyPr/>
          <a:lstStyle/>
          <a:p>
            <a:pPr>
              <a:defRPr lang="ro-RO" sz="900">
                <a:latin typeface="Arial" pitchFamily="34" charset="0"/>
                <a:cs typeface="Arial" pitchFamily="34" charset="0"/>
              </a:defRPr>
            </a:pPr>
            <a:endParaRPr lang="ro-RO"/>
          </a:p>
        </c:txPr>
        <c:crossAx val="195254912"/>
        <c:crosses val="autoZero"/>
        <c:auto val="1"/>
        <c:lblAlgn val="ctr"/>
        <c:lblOffset val="100"/>
      </c:catAx>
      <c:valAx>
        <c:axId val="195254912"/>
        <c:scaling>
          <c:orientation val="minMax"/>
        </c:scaling>
        <c:axPos val="l"/>
        <c:majorGridlines/>
        <c:numFmt formatCode="#,##0" sourceLinked="0"/>
        <c:tickLblPos val="nextTo"/>
        <c:txPr>
          <a:bodyPr/>
          <a:lstStyle/>
          <a:p>
            <a:pPr>
              <a:defRPr lang="ro-RO" sz="900">
                <a:latin typeface="Arial" pitchFamily="34" charset="0"/>
                <a:cs typeface="Arial" pitchFamily="34" charset="0"/>
              </a:defRPr>
            </a:pPr>
            <a:endParaRPr lang="ro-RO"/>
          </a:p>
        </c:txPr>
        <c:crossAx val="195253376"/>
        <c:crosses val="autoZero"/>
        <c:crossBetween val="between"/>
      </c:valAx>
    </c:plotArea>
    <c:legend>
      <c:legendPos val="r"/>
      <c:layout>
        <c:manualLayout>
          <c:xMode val="edge"/>
          <c:yMode val="edge"/>
          <c:x val="0.81910031862541965"/>
          <c:y val="0.19685704850120544"/>
          <c:w val="0.18089966856332768"/>
          <c:h val="0.55963254593175715"/>
        </c:manualLayout>
      </c:layout>
      <c:txPr>
        <a:bodyPr/>
        <a:lstStyle/>
        <a:p>
          <a:pPr>
            <a:defRPr lang="en-US" sz="900">
              <a:latin typeface="Arial" pitchFamily="34" charset="0"/>
              <a:cs typeface="Arial" pitchFamily="34" charset="0"/>
            </a:defRPr>
          </a:pPr>
          <a:endParaRPr lang="ro-RO"/>
        </a:p>
      </c:txPr>
    </c:legend>
    <c:plotVisOnly val="1"/>
  </c:chart>
  <c:spPr>
    <a:ln>
      <a:noFill/>
    </a:ln>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sz="900" b="0"/>
            </a:pPr>
            <a:r>
              <a:rPr lang="ro-RO" sz="900" b="0"/>
              <a:t> µg/m³ </a:t>
            </a:r>
          </a:p>
          <a:p>
            <a:pPr algn="ctr" rtl="0">
              <a:defRPr lang="en-GB" sz="900" b="0"/>
            </a:pPr>
            <a:endParaRPr lang="ro-RO" sz="900" b="0"/>
          </a:p>
        </c:rich>
      </c:tx>
      <c:layout>
        <c:manualLayout>
          <c:xMode val="edge"/>
          <c:yMode val="edge"/>
          <c:x val="6.3206693976867193E-2"/>
          <c:y val="7.8402342564322311E-2"/>
        </c:manualLayout>
      </c:layout>
    </c:title>
    <c:plotArea>
      <c:layout>
        <c:manualLayout>
          <c:layoutTarget val="inner"/>
          <c:xMode val="edge"/>
          <c:yMode val="edge"/>
          <c:x val="0.28816073031389738"/>
          <c:y val="8.6871372146688719E-2"/>
          <c:w val="0.60682698446478556"/>
          <c:h val="0.67876971689219634"/>
        </c:manualLayout>
      </c:layout>
      <c:barChart>
        <c:barDir val="col"/>
        <c:grouping val="clustered"/>
        <c:ser>
          <c:idx val="0"/>
          <c:order val="0"/>
          <c:tx>
            <c:strRef>
              <c:f>Sheet1!$A$2</c:f>
              <c:strCache>
                <c:ptCount val="1"/>
                <c:pt idx="0">
                  <c:v>Concentrații medii anuale</c:v>
                </c:pt>
              </c:strCache>
            </c:strRef>
          </c:tx>
          <c:spPr>
            <a:solidFill>
              <a:schemeClr val="accent3">
                <a:lumMod val="75000"/>
              </a:schemeClr>
            </a:solidFill>
            <a:ln w="12700">
              <a:noFill/>
              <a:prstDash val="solid"/>
            </a:ln>
            <a:scene3d>
              <a:camera prst="orthographicFront"/>
              <a:lightRig rig="threePt" dir="t"/>
            </a:scene3d>
            <a:sp3d>
              <a:bevelT/>
            </a:sp3d>
          </c:spPr>
          <c:cat>
            <c:strRef>
              <c:f>Sheet1!$B$1:$C$1</c:f>
              <c:strCache>
                <c:ptCount val="2"/>
                <c:pt idx="1">
                  <c:v>SV1</c:v>
                </c:pt>
              </c:strCache>
            </c:strRef>
          </c:cat>
          <c:val>
            <c:numRef>
              <c:f>Sheet1!$B$2:$C$2</c:f>
              <c:numCache>
                <c:formatCode>General</c:formatCode>
                <c:ptCount val="2"/>
                <c:pt idx="1">
                  <c:v>1.8</c:v>
                </c:pt>
              </c:numCache>
            </c:numRef>
          </c:val>
        </c:ser>
        <c:gapWidth val="401"/>
        <c:axId val="147053184"/>
        <c:axId val="147115392"/>
      </c:barChart>
      <c:lineChart>
        <c:grouping val="standard"/>
        <c:ser>
          <c:idx val="2"/>
          <c:order val="1"/>
          <c:tx>
            <c:strRef>
              <c:f>Sheet1!$A$3</c:f>
              <c:strCache>
                <c:ptCount val="1"/>
                <c:pt idx="0">
                  <c:v>Valoare limită anuală</c:v>
                </c:pt>
              </c:strCache>
            </c:strRef>
          </c:tx>
          <c:spPr>
            <a:ln w="38101">
              <a:solidFill>
                <a:srgbClr val="FF0000"/>
              </a:solidFill>
              <a:prstDash val="solid"/>
            </a:ln>
          </c:spPr>
          <c:marker>
            <c:symbol val="square"/>
            <c:size val="5"/>
            <c:spPr>
              <a:noFill/>
              <a:ln w="9525">
                <a:noFill/>
              </a:ln>
            </c:spPr>
          </c:marker>
          <c:cat>
            <c:strRef>
              <c:f>Sheet1!$B$1:$C$1</c:f>
              <c:strCache>
                <c:ptCount val="2"/>
                <c:pt idx="1">
                  <c:v>SV1</c:v>
                </c:pt>
              </c:strCache>
            </c:strRef>
          </c:cat>
          <c:val>
            <c:numRef>
              <c:f>Sheet1!$B$3:$C$3</c:f>
              <c:numCache>
                <c:formatCode>General</c:formatCode>
                <c:ptCount val="2"/>
                <c:pt idx="0">
                  <c:v>5</c:v>
                </c:pt>
                <c:pt idx="1">
                  <c:v>5</c:v>
                </c:pt>
              </c:numCache>
            </c:numRef>
          </c:val>
        </c:ser>
        <c:marker val="1"/>
        <c:axId val="147053184"/>
        <c:axId val="147115392"/>
      </c:lineChart>
      <c:catAx>
        <c:axId val="14705318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47115392"/>
        <c:crosses val="autoZero"/>
        <c:auto val="1"/>
        <c:lblAlgn val="ctr"/>
        <c:lblOffset val="100"/>
        <c:tickLblSkip val="1"/>
        <c:tickMarkSkip val="1"/>
      </c:catAx>
      <c:valAx>
        <c:axId val="147115392"/>
        <c:scaling>
          <c:orientation val="minMax"/>
          <c:max val="6"/>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47053184"/>
        <c:crosses val="autoZero"/>
        <c:crossBetween val="between"/>
        <c:majorUnit val="1"/>
        <c:minorUnit val="0.1"/>
      </c:valAx>
      <c:spPr>
        <a:noFill/>
        <a:ln w="3175">
          <a:solidFill>
            <a:srgbClr val="000000"/>
          </a:solidFill>
          <a:prstDash val="solid"/>
        </a:ln>
      </c:spPr>
    </c:plotArea>
    <c:plotVisOnly val="1"/>
    <c:dispBlanksAs val="gap"/>
  </c:chart>
  <c:spPr>
    <a:noFill/>
    <a:ln>
      <a:noFill/>
    </a:ln>
  </c:spPr>
  <c:txPr>
    <a:bodyPr/>
    <a:lstStyle/>
    <a:p>
      <a:pPr>
        <a:defRPr sz="900" b="0" i="0" u="none" strike="noStrike" baseline="0">
          <a:solidFill>
            <a:srgbClr val="000000"/>
          </a:solidFill>
          <a:latin typeface="Arial" pitchFamily="34" charset="0"/>
          <a:ea typeface="Arial"/>
          <a:cs typeface="Arial" pitchFamily="34" charset="0"/>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en-GB" sz="900" b="1">
                <a:latin typeface="Arial" pitchFamily="34" charset="0"/>
                <a:cs typeface="Arial" pitchFamily="34" charset="0"/>
              </a:defRPr>
            </a:pPr>
            <a:r>
              <a:rPr lang="ro-RO" sz="900" b="1">
                <a:latin typeface="Arial" pitchFamily="34" charset="0"/>
                <a:cs typeface="Arial" pitchFamily="34" charset="0"/>
              </a:rPr>
              <a:t>µg/m³</a:t>
            </a:r>
          </a:p>
        </c:rich>
      </c:tx>
      <c:layout>
        <c:manualLayout>
          <c:xMode val="edge"/>
          <c:yMode val="edge"/>
          <c:x val="1.8795292097921728E-3"/>
          <c:y val="6.9406392694063929E-2"/>
        </c:manualLayout>
      </c:layout>
    </c:title>
    <c:plotArea>
      <c:layout>
        <c:manualLayout>
          <c:layoutTarget val="inner"/>
          <c:xMode val="edge"/>
          <c:yMode val="edge"/>
          <c:x val="0.10814292081414352"/>
          <c:y val="3.1203794050239406E-2"/>
          <c:w val="0.59174664029862223"/>
          <c:h val="0.83990378724273296"/>
        </c:manualLayout>
      </c:layout>
      <c:barChart>
        <c:barDir val="col"/>
        <c:grouping val="clustered"/>
        <c:ser>
          <c:idx val="0"/>
          <c:order val="0"/>
          <c:tx>
            <c:strRef>
              <c:f>Sheet1!$A$2</c:f>
              <c:strCache>
                <c:ptCount val="1"/>
                <c:pt idx="0">
                  <c:v>medii anuale EM3</c:v>
                </c:pt>
              </c:strCache>
            </c:strRef>
          </c:tx>
          <c:spPr>
            <a:scene3d>
              <a:camera prst="orthographicFront"/>
              <a:lightRig rig="threePt" dir="t"/>
            </a:scene3d>
            <a:sp3d>
              <a:bevelT/>
            </a:sp3d>
          </c:spPr>
          <c:cat>
            <c:strRef>
              <c:f>Sheet1!$B$1:$J$1</c:f>
              <c:strCache>
                <c:ptCount val="9"/>
                <c:pt idx="0">
                  <c:v>2009</c:v>
                </c:pt>
                <c:pt idx="1">
                  <c:v>2010</c:v>
                </c:pt>
                <c:pt idx="2">
                  <c:v>2011</c:v>
                </c:pt>
                <c:pt idx="3">
                  <c:v>2012</c:v>
                </c:pt>
                <c:pt idx="4">
                  <c:v>2013</c:v>
                </c:pt>
                <c:pt idx="5">
                  <c:v>2014</c:v>
                </c:pt>
                <c:pt idx="6">
                  <c:v>2015</c:v>
                </c:pt>
                <c:pt idx="7">
                  <c:v>2016</c:v>
                </c:pt>
                <c:pt idx="8">
                  <c:v>2017</c:v>
                </c:pt>
              </c:strCache>
            </c:strRef>
          </c:cat>
          <c:val>
            <c:numRef>
              <c:f>Sheet1!$B$2:$J$2</c:f>
              <c:numCache>
                <c:formatCode>General</c:formatCode>
                <c:ptCount val="9"/>
                <c:pt idx="1">
                  <c:v>13.850000000000026</c:v>
                </c:pt>
                <c:pt idx="2">
                  <c:v>9.75</c:v>
                </c:pt>
                <c:pt idx="8" formatCode="0.00">
                  <c:v>9.7900000000000009</c:v>
                </c:pt>
              </c:numCache>
            </c:numRef>
          </c:val>
        </c:ser>
        <c:ser>
          <c:idx val="1"/>
          <c:order val="1"/>
          <c:tx>
            <c:strRef>
              <c:f>Sheet1!$A$3</c:f>
              <c:strCache>
                <c:ptCount val="1"/>
                <c:pt idx="0">
                  <c:v>medii anuale SV1</c:v>
                </c:pt>
              </c:strCache>
            </c:strRef>
          </c:tx>
          <c:spPr>
            <a:scene3d>
              <a:camera prst="orthographicFront"/>
              <a:lightRig rig="threePt" dir="t"/>
            </a:scene3d>
            <a:sp3d>
              <a:bevelT/>
            </a:sp3d>
          </c:spPr>
          <c:cat>
            <c:strRef>
              <c:f>Sheet1!$B$1:$J$1</c:f>
              <c:strCache>
                <c:ptCount val="9"/>
                <c:pt idx="0">
                  <c:v>2009</c:v>
                </c:pt>
                <c:pt idx="1">
                  <c:v>2010</c:v>
                </c:pt>
                <c:pt idx="2">
                  <c:v>2011</c:v>
                </c:pt>
                <c:pt idx="3">
                  <c:v>2012</c:v>
                </c:pt>
                <c:pt idx="4">
                  <c:v>2013</c:v>
                </c:pt>
                <c:pt idx="5">
                  <c:v>2014</c:v>
                </c:pt>
                <c:pt idx="6">
                  <c:v>2015</c:v>
                </c:pt>
                <c:pt idx="7">
                  <c:v>2016</c:v>
                </c:pt>
                <c:pt idx="8">
                  <c:v>2017</c:v>
                </c:pt>
              </c:strCache>
            </c:strRef>
          </c:cat>
          <c:val>
            <c:numRef>
              <c:f>Sheet1!$B$3:$J$3</c:f>
              <c:numCache>
                <c:formatCode>General</c:formatCode>
                <c:ptCount val="9"/>
                <c:pt idx="2">
                  <c:v>16.16</c:v>
                </c:pt>
                <c:pt idx="3">
                  <c:v>15.76</c:v>
                </c:pt>
                <c:pt idx="6">
                  <c:v>14.78</c:v>
                </c:pt>
                <c:pt idx="7">
                  <c:v>9.18</c:v>
                </c:pt>
                <c:pt idx="8">
                  <c:v>16.979999999999986</c:v>
                </c:pt>
              </c:numCache>
            </c:numRef>
          </c:val>
        </c:ser>
        <c:ser>
          <c:idx val="2"/>
          <c:order val="2"/>
          <c:tx>
            <c:strRef>
              <c:f>Sheet1!$A$4</c:f>
              <c:strCache>
                <c:ptCount val="1"/>
                <c:pt idx="0">
                  <c:v>medii anuale SV2</c:v>
                </c:pt>
              </c:strCache>
            </c:strRef>
          </c:tx>
          <c:spPr>
            <a:ln>
              <a:noFill/>
            </a:ln>
            <a:scene3d>
              <a:camera prst="orthographicFront"/>
              <a:lightRig rig="threePt" dir="t"/>
            </a:scene3d>
            <a:sp3d>
              <a:bevelT/>
            </a:sp3d>
          </c:spPr>
          <c:cat>
            <c:strRef>
              <c:f>Sheet1!$B$1:$J$1</c:f>
              <c:strCache>
                <c:ptCount val="9"/>
                <c:pt idx="0">
                  <c:v>2009</c:v>
                </c:pt>
                <c:pt idx="1">
                  <c:v>2010</c:v>
                </c:pt>
                <c:pt idx="2">
                  <c:v>2011</c:v>
                </c:pt>
                <c:pt idx="3">
                  <c:v>2012</c:v>
                </c:pt>
                <c:pt idx="4">
                  <c:v>2013</c:v>
                </c:pt>
                <c:pt idx="5">
                  <c:v>2014</c:v>
                </c:pt>
                <c:pt idx="6">
                  <c:v>2015</c:v>
                </c:pt>
                <c:pt idx="7">
                  <c:v>2016</c:v>
                </c:pt>
                <c:pt idx="8">
                  <c:v>2017</c:v>
                </c:pt>
              </c:strCache>
            </c:strRef>
          </c:cat>
          <c:val>
            <c:numRef>
              <c:f>Sheet1!$B$4:$J$4</c:f>
              <c:numCache>
                <c:formatCode>General</c:formatCode>
                <c:ptCount val="9"/>
                <c:pt idx="0">
                  <c:v>20.53</c:v>
                </c:pt>
                <c:pt idx="2">
                  <c:v>20.43</c:v>
                </c:pt>
                <c:pt idx="3">
                  <c:v>18.59</c:v>
                </c:pt>
                <c:pt idx="4" formatCode="0.00">
                  <c:v>18.64</c:v>
                </c:pt>
                <c:pt idx="8">
                  <c:v>19.279999999999987</c:v>
                </c:pt>
              </c:numCache>
            </c:numRef>
          </c:val>
        </c:ser>
        <c:ser>
          <c:idx val="3"/>
          <c:order val="3"/>
          <c:tx>
            <c:strRef>
              <c:f>Sheet1!$A$5</c:f>
              <c:strCache>
                <c:ptCount val="1"/>
                <c:pt idx="0">
                  <c:v>medii anuale SV3</c:v>
                </c:pt>
              </c:strCache>
            </c:strRef>
          </c:tx>
          <c:spPr>
            <a:ln w="38100">
              <a:noFill/>
            </a:ln>
            <a:scene3d>
              <a:camera prst="orthographicFront"/>
              <a:lightRig rig="threePt" dir="t"/>
            </a:scene3d>
            <a:sp3d>
              <a:bevelT/>
            </a:sp3d>
          </c:spPr>
          <c:cat>
            <c:strRef>
              <c:f>Sheet1!$B$1:$J$1</c:f>
              <c:strCache>
                <c:ptCount val="9"/>
                <c:pt idx="0">
                  <c:v>2009</c:v>
                </c:pt>
                <c:pt idx="1">
                  <c:v>2010</c:v>
                </c:pt>
                <c:pt idx="2">
                  <c:v>2011</c:v>
                </c:pt>
                <c:pt idx="3">
                  <c:v>2012</c:v>
                </c:pt>
                <c:pt idx="4">
                  <c:v>2013</c:v>
                </c:pt>
                <c:pt idx="5">
                  <c:v>2014</c:v>
                </c:pt>
                <c:pt idx="6">
                  <c:v>2015</c:v>
                </c:pt>
                <c:pt idx="7">
                  <c:v>2016</c:v>
                </c:pt>
                <c:pt idx="8">
                  <c:v>2017</c:v>
                </c:pt>
              </c:strCache>
            </c:strRef>
          </c:cat>
          <c:val>
            <c:numRef>
              <c:f>Sheet1!$B$5:$J$5</c:f>
              <c:numCache>
                <c:formatCode>General</c:formatCode>
                <c:ptCount val="9"/>
                <c:pt idx="3" formatCode="0.00">
                  <c:v>17.2</c:v>
                </c:pt>
                <c:pt idx="4">
                  <c:v>19.22</c:v>
                </c:pt>
                <c:pt idx="5">
                  <c:v>18.54</c:v>
                </c:pt>
                <c:pt idx="6" formatCode="0.00">
                  <c:v>16.600000000000001</c:v>
                </c:pt>
                <c:pt idx="7" formatCode="0.00">
                  <c:v>16.71</c:v>
                </c:pt>
              </c:numCache>
            </c:numRef>
          </c:val>
        </c:ser>
        <c:axId val="149503360"/>
        <c:axId val="149756544"/>
      </c:barChart>
      <c:lineChart>
        <c:grouping val="standard"/>
        <c:ser>
          <c:idx val="4"/>
          <c:order val="4"/>
          <c:tx>
            <c:strRef>
              <c:f>Sheet1!$A$6</c:f>
              <c:strCache>
                <c:ptCount val="1"/>
                <c:pt idx="0">
                  <c:v>Valoarea limită anuală</c:v>
                </c:pt>
              </c:strCache>
            </c:strRef>
          </c:tx>
          <c:spPr>
            <a:ln>
              <a:solidFill>
                <a:srgbClr val="FF0000"/>
              </a:solidFill>
            </a:ln>
          </c:spPr>
          <c:marker>
            <c:symbol val="none"/>
          </c:marker>
          <c:cat>
            <c:strRef>
              <c:f>Sheet1!$B$1:$J$1</c:f>
              <c:strCache>
                <c:ptCount val="9"/>
                <c:pt idx="0">
                  <c:v>2009</c:v>
                </c:pt>
                <c:pt idx="1">
                  <c:v>2010</c:v>
                </c:pt>
                <c:pt idx="2">
                  <c:v>2011</c:v>
                </c:pt>
                <c:pt idx="3">
                  <c:v>2012</c:v>
                </c:pt>
                <c:pt idx="4">
                  <c:v>2013</c:v>
                </c:pt>
                <c:pt idx="5">
                  <c:v>2014</c:v>
                </c:pt>
                <c:pt idx="6">
                  <c:v>2015</c:v>
                </c:pt>
                <c:pt idx="7">
                  <c:v>2016</c:v>
                </c:pt>
                <c:pt idx="8">
                  <c:v>2017</c:v>
                </c:pt>
              </c:strCache>
            </c:strRef>
          </c:cat>
          <c:val>
            <c:numRef>
              <c:f>Sheet1!$B$6:$J$6</c:f>
              <c:numCache>
                <c:formatCode>General</c:formatCode>
                <c:ptCount val="9"/>
                <c:pt idx="0">
                  <c:v>40</c:v>
                </c:pt>
                <c:pt idx="1">
                  <c:v>40</c:v>
                </c:pt>
                <c:pt idx="2">
                  <c:v>40</c:v>
                </c:pt>
                <c:pt idx="3">
                  <c:v>40</c:v>
                </c:pt>
                <c:pt idx="4">
                  <c:v>40</c:v>
                </c:pt>
                <c:pt idx="5">
                  <c:v>40</c:v>
                </c:pt>
                <c:pt idx="6">
                  <c:v>40</c:v>
                </c:pt>
                <c:pt idx="7">
                  <c:v>40</c:v>
                </c:pt>
                <c:pt idx="8">
                  <c:v>40</c:v>
                </c:pt>
              </c:numCache>
            </c:numRef>
          </c:val>
        </c:ser>
        <c:marker val="1"/>
        <c:axId val="149503360"/>
        <c:axId val="149756544"/>
      </c:lineChart>
      <c:catAx>
        <c:axId val="149503360"/>
        <c:scaling>
          <c:orientation val="minMax"/>
        </c:scaling>
        <c:axPos val="b"/>
        <c:tickLblPos val="nextTo"/>
        <c:spPr>
          <a:ln>
            <a:solidFill>
              <a:sysClr val="windowText" lastClr="000000"/>
            </a:solidFill>
          </a:ln>
        </c:spPr>
        <c:txPr>
          <a:bodyPr/>
          <a:lstStyle/>
          <a:p>
            <a:pPr>
              <a:defRPr lang="en-GB"/>
            </a:pPr>
            <a:endParaRPr lang="ro-RO"/>
          </a:p>
        </c:txPr>
        <c:crossAx val="149756544"/>
        <c:crosses val="autoZero"/>
        <c:auto val="1"/>
        <c:lblAlgn val="ctr"/>
        <c:lblOffset val="100"/>
      </c:catAx>
      <c:valAx>
        <c:axId val="149756544"/>
        <c:scaling>
          <c:orientation val="minMax"/>
          <c:max val="50"/>
        </c:scaling>
        <c:axPos val="l"/>
        <c:majorGridlines/>
        <c:numFmt formatCode="0" sourceLinked="0"/>
        <c:tickLblPos val="nextTo"/>
        <c:spPr>
          <a:ln>
            <a:solidFill>
              <a:sysClr val="windowText" lastClr="000000"/>
            </a:solidFill>
          </a:ln>
        </c:spPr>
        <c:txPr>
          <a:bodyPr/>
          <a:lstStyle/>
          <a:p>
            <a:pPr>
              <a:defRPr lang="en-GB"/>
            </a:pPr>
            <a:endParaRPr lang="ro-RO"/>
          </a:p>
        </c:txPr>
        <c:crossAx val="149503360"/>
        <c:crosses val="autoZero"/>
        <c:crossBetween val="between"/>
        <c:majorUnit val="10"/>
        <c:minorUnit val="10"/>
      </c:valAx>
      <c:spPr>
        <a:ln>
          <a:solidFill>
            <a:schemeClr val="tx1"/>
          </a:solidFill>
        </a:ln>
      </c:spPr>
    </c:plotArea>
    <c:legend>
      <c:legendPos val="r"/>
      <c:layout>
        <c:manualLayout>
          <c:xMode val="edge"/>
          <c:yMode val="edge"/>
          <c:x val="0.73916584772049965"/>
          <c:y val="6.1527728388790087E-2"/>
          <c:w val="0.24458140729327171"/>
          <c:h val="0.78062484124969012"/>
        </c:manualLayout>
      </c:layout>
      <c:txPr>
        <a:bodyPr/>
        <a:lstStyle/>
        <a:p>
          <a:pPr>
            <a:defRPr lang="en-GB"/>
          </a:pPr>
          <a:endParaRPr lang="ro-RO"/>
        </a:p>
      </c:txPr>
    </c:legend>
    <c:plotVisOnly val="1"/>
    <c:dispBlanksAs val="gap"/>
  </c:chart>
  <c:spPr>
    <a:noFill/>
    <a:ln>
      <a:noFill/>
    </a:ln>
  </c:spPr>
  <c:txPr>
    <a:bodyPr/>
    <a:lstStyle/>
    <a:p>
      <a:pPr>
        <a:defRPr sz="900">
          <a:latin typeface="Arial" pitchFamily="34" charset="0"/>
          <a:cs typeface="Arial" pitchFamily="34" charset="0"/>
        </a:defRPr>
      </a:pPr>
      <a:endParaRPr lang="ro-RO"/>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en-GB" sz="900" b="1">
                <a:latin typeface="Arial" pitchFamily="34" charset="0"/>
                <a:cs typeface="Arial" pitchFamily="34" charset="0"/>
              </a:defRPr>
            </a:pPr>
            <a:r>
              <a:rPr lang="ro-RO" sz="900" b="1">
                <a:latin typeface="Arial" pitchFamily="34" charset="0"/>
                <a:cs typeface="Arial" pitchFamily="34" charset="0"/>
              </a:rPr>
              <a:t>µg/m³</a:t>
            </a:r>
          </a:p>
        </c:rich>
      </c:tx>
      <c:layout>
        <c:manualLayout>
          <c:xMode val="edge"/>
          <c:yMode val="edge"/>
          <c:x val="1.8795292097921728E-3"/>
          <c:y val="6.9406392694063929E-2"/>
        </c:manualLayout>
      </c:layout>
    </c:title>
    <c:plotArea>
      <c:layout>
        <c:manualLayout>
          <c:layoutTarget val="inner"/>
          <c:xMode val="edge"/>
          <c:yMode val="edge"/>
          <c:x val="9.9466620300223726E-2"/>
          <c:y val="3.1203794050239406E-2"/>
          <c:w val="0.60960729277925463"/>
          <c:h val="0.83990378724273296"/>
        </c:manualLayout>
      </c:layout>
      <c:barChart>
        <c:barDir val="col"/>
        <c:grouping val="clustered"/>
        <c:ser>
          <c:idx val="0"/>
          <c:order val="0"/>
          <c:tx>
            <c:strRef>
              <c:f>Sheet1!$A$2</c:f>
              <c:strCache>
                <c:ptCount val="1"/>
                <c:pt idx="0">
                  <c:v>medii anuale EM3</c:v>
                </c:pt>
              </c:strCache>
            </c:strRef>
          </c:tx>
          <c:spPr>
            <a:scene3d>
              <a:camera prst="orthographicFront"/>
              <a:lightRig rig="threePt" dir="t"/>
            </a:scene3d>
            <a:sp3d>
              <a:bevelT/>
            </a:sp3d>
          </c:spPr>
          <c:cat>
            <c:strRef>
              <c:f>Sheet1!$B$1:$J$1</c:f>
              <c:strCache>
                <c:ptCount val="9"/>
                <c:pt idx="0">
                  <c:v>2009</c:v>
                </c:pt>
                <c:pt idx="1">
                  <c:v>2010</c:v>
                </c:pt>
                <c:pt idx="2">
                  <c:v>2011</c:v>
                </c:pt>
                <c:pt idx="3">
                  <c:v>2012</c:v>
                </c:pt>
                <c:pt idx="4">
                  <c:v>2013</c:v>
                </c:pt>
                <c:pt idx="5">
                  <c:v>2014</c:v>
                </c:pt>
                <c:pt idx="6">
                  <c:v>2015</c:v>
                </c:pt>
                <c:pt idx="7">
                  <c:v>2016</c:v>
                </c:pt>
                <c:pt idx="8">
                  <c:v>2017</c:v>
                </c:pt>
              </c:strCache>
            </c:strRef>
          </c:cat>
          <c:val>
            <c:numRef>
              <c:f>Sheet1!$B$2:$J$2</c:f>
              <c:numCache>
                <c:formatCode>General</c:formatCode>
                <c:ptCount val="9"/>
                <c:pt idx="1">
                  <c:v>4.59</c:v>
                </c:pt>
                <c:pt idx="3" formatCode="0.00">
                  <c:v>6.07</c:v>
                </c:pt>
              </c:numCache>
            </c:numRef>
          </c:val>
        </c:ser>
        <c:ser>
          <c:idx val="1"/>
          <c:order val="1"/>
          <c:tx>
            <c:strRef>
              <c:f>Sheet1!$A$3</c:f>
              <c:strCache>
                <c:ptCount val="1"/>
                <c:pt idx="0">
                  <c:v>medii anuale SV1</c:v>
                </c:pt>
              </c:strCache>
            </c:strRef>
          </c:tx>
          <c:spPr>
            <a:scene3d>
              <a:camera prst="orthographicFront"/>
              <a:lightRig rig="threePt" dir="t"/>
            </a:scene3d>
            <a:sp3d>
              <a:bevelT/>
            </a:sp3d>
          </c:spPr>
          <c:cat>
            <c:strRef>
              <c:f>Sheet1!$B$1:$J$1</c:f>
              <c:strCache>
                <c:ptCount val="9"/>
                <c:pt idx="0">
                  <c:v>2009</c:v>
                </c:pt>
                <c:pt idx="1">
                  <c:v>2010</c:v>
                </c:pt>
                <c:pt idx="2">
                  <c:v>2011</c:v>
                </c:pt>
                <c:pt idx="3">
                  <c:v>2012</c:v>
                </c:pt>
                <c:pt idx="4">
                  <c:v>2013</c:v>
                </c:pt>
                <c:pt idx="5">
                  <c:v>2014</c:v>
                </c:pt>
                <c:pt idx="6">
                  <c:v>2015</c:v>
                </c:pt>
                <c:pt idx="7">
                  <c:v>2016</c:v>
                </c:pt>
                <c:pt idx="8">
                  <c:v>2017</c:v>
                </c:pt>
              </c:strCache>
            </c:strRef>
          </c:cat>
          <c:val>
            <c:numRef>
              <c:f>Sheet1!$B$3:$J$3</c:f>
              <c:numCache>
                <c:formatCode>General</c:formatCode>
                <c:ptCount val="9"/>
                <c:pt idx="0">
                  <c:v>4.09</c:v>
                </c:pt>
                <c:pt idx="1">
                  <c:v>7.4</c:v>
                </c:pt>
                <c:pt idx="2">
                  <c:v>7.6599999999999975</c:v>
                </c:pt>
                <c:pt idx="5" formatCode="0.00">
                  <c:v>7.5</c:v>
                </c:pt>
                <c:pt idx="6">
                  <c:v>6.42</c:v>
                </c:pt>
                <c:pt idx="7">
                  <c:v>4.99</c:v>
                </c:pt>
                <c:pt idx="8">
                  <c:v>7.42</c:v>
                </c:pt>
              </c:numCache>
            </c:numRef>
          </c:val>
        </c:ser>
        <c:ser>
          <c:idx val="2"/>
          <c:order val="2"/>
          <c:tx>
            <c:strRef>
              <c:f>Sheet1!$A$4</c:f>
              <c:strCache>
                <c:ptCount val="1"/>
                <c:pt idx="0">
                  <c:v>medii anuale SV2</c:v>
                </c:pt>
              </c:strCache>
            </c:strRef>
          </c:tx>
          <c:spPr>
            <a:scene3d>
              <a:camera prst="orthographicFront"/>
              <a:lightRig rig="threePt" dir="t"/>
            </a:scene3d>
            <a:sp3d>
              <a:bevelT/>
            </a:sp3d>
          </c:spPr>
          <c:cat>
            <c:strRef>
              <c:f>Sheet1!$B$1:$J$1</c:f>
              <c:strCache>
                <c:ptCount val="9"/>
                <c:pt idx="0">
                  <c:v>2009</c:v>
                </c:pt>
                <c:pt idx="1">
                  <c:v>2010</c:v>
                </c:pt>
                <c:pt idx="2">
                  <c:v>2011</c:v>
                </c:pt>
                <c:pt idx="3">
                  <c:v>2012</c:v>
                </c:pt>
                <c:pt idx="4">
                  <c:v>2013</c:v>
                </c:pt>
                <c:pt idx="5">
                  <c:v>2014</c:v>
                </c:pt>
                <c:pt idx="6">
                  <c:v>2015</c:v>
                </c:pt>
                <c:pt idx="7">
                  <c:v>2016</c:v>
                </c:pt>
                <c:pt idx="8">
                  <c:v>2017</c:v>
                </c:pt>
              </c:strCache>
            </c:strRef>
          </c:cat>
          <c:val>
            <c:numRef>
              <c:f>Sheet1!$B$4:$J$4</c:f>
              <c:numCache>
                <c:formatCode>General</c:formatCode>
                <c:ptCount val="9"/>
                <c:pt idx="0">
                  <c:v>6.01</c:v>
                </c:pt>
                <c:pt idx="3">
                  <c:v>5.8599999999999985</c:v>
                </c:pt>
                <c:pt idx="4">
                  <c:v>5.96</c:v>
                </c:pt>
                <c:pt idx="8">
                  <c:v>10.55</c:v>
                </c:pt>
              </c:numCache>
            </c:numRef>
          </c:val>
        </c:ser>
        <c:ser>
          <c:idx val="3"/>
          <c:order val="3"/>
          <c:tx>
            <c:strRef>
              <c:f>Sheet1!$A$5</c:f>
              <c:strCache>
                <c:ptCount val="1"/>
                <c:pt idx="0">
                  <c:v>medii anuale SV3</c:v>
                </c:pt>
              </c:strCache>
            </c:strRef>
          </c:tx>
          <c:spPr>
            <a:scene3d>
              <a:camera prst="orthographicFront"/>
              <a:lightRig rig="threePt" dir="t"/>
            </a:scene3d>
            <a:sp3d>
              <a:bevelT/>
            </a:sp3d>
          </c:spPr>
          <c:cat>
            <c:strRef>
              <c:f>Sheet1!$B$1:$J$1</c:f>
              <c:strCache>
                <c:ptCount val="9"/>
                <c:pt idx="0">
                  <c:v>2009</c:v>
                </c:pt>
                <c:pt idx="1">
                  <c:v>2010</c:v>
                </c:pt>
                <c:pt idx="2">
                  <c:v>2011</c:v>
                </c:pt>
                <c:pt idx="3">
                  <c:v>2012</c:v>
                </c:pt>
                <c:pt idx="4">
                  <c:v>2013</c:v>
                </c:pt>
                <c:pt idx="5">
                  <c:v>2014</c:v>
                </c:pt>
                <c:pt idx="6">
                  <c:v>2015</c:v>
                </c:pt>
                <c:pt idx="7">
                  <c:v>2016</c:v>
                </c:pt>
                <c:pt idx="8">
                  <c:v>2017</c:v>
                </c:pt>
              </c:strCache>
            </c:strRef>
          </c:cat>
          <c:val>
            <c:numRef>
              <c:f>Sheet1!$B$5:$J$5</c:f>
              <c:numCache>
                <c:formatCode>General</c:formatCode>
                <c:ptCount val="9"/>
                <c:pt idx="1">
                  <c:v>7.17</c:v>
                </c:pt>
                <c:pt idx="2">
                  <c:v>8.3500000000000068</c:v>
                </c:pt>
                <c:pt idx="3" formatCode="0.00">
                  <c:v>6.72</c:v>
                </c:pt>
              </c:numCache>
            </c:numRef>
          </c:val>
        </c:ser>
        <c:gapWidth val="85"/>
        <c:axId val="167966592"/>
        <c:axId val="167968128"/>
      </c:barChart>
      <c:catAx>
        <c:axId val="167966592"/>
        <c:scaling>
          <c:orientation val="minMax"/>
        </c:scaling>
        <c:axPos val="b"/>
        <c:tickLblPos val="nextTo"/>
        <c:spPr>
          <a:ln>
            <a:solidFill>
              <a:sysClr val="windowText" lastClr="000000"/>
            </a:solidFill>
          </a:ln>
        </c:spPr>
        <c:txPr>
          <a:bodyPr/>
          <a:lstStyle/>
          <a:p>
            <a:pPr>
              <a:defRPr lang="en-GB"/>
            </a:pPr>
            <a:endParaRPr lang="ro-RO"/>
          </a:p>
        </c:txPr>
        <c:crossAx val="167968128"/>
        <c:crosses val="autoZero"/>
        <c:auto val="1"/>
        <c:lblAlgn val="ctr"/>
        <c:lblOffset val="100"/>
      </c:catAx>
      <c:valAx>
        <c:axId val="167968128"/>
        <c:scaling>
          <c:orientation val="minMax"/>
          <c:max val="12"/>
        </c:scaling>
        <c:axPos val="l"/>
        <c:majorGridlines/>
        <c:numFmt formatCode="0" sourceLinked="0"/>
        <c:tickLblPos val="nextTo"/>
        <c:spPr>
          <a:ln>
            <a:solidFill>
              <a:sysClr val="windowText" lastClr="000000"/>
            </a:solidFill>
          </a:ln>
        </c:spPr>
        <c:txPr>
          <a:bodyPr/>
          <a:lstStyle/>
          <a:p>
            <a:pPr>
              <a:defRPr lang="en-GB"/>
            </a:pPr>
            <a:endParaRPr lang="ro-RO"/>
          </a:p>
        </c:txPr>
        <c:crossAx val="167966592"/>
        <c:crosses val="autoZero"/>
        <c:crossBetween val="between"/>
        <c:majorUnit val="2"/>
        <c:minorUnit val="2"/>
      </c:valAx>
      <c:spPr>
        <a:ln>
          <a:solidFill>
            <a:schemeClr val="tx1"/>
          </a:solidFill>
        </a:ln>
      </c:spPr>
    </c:plotArea>
    <c:legend>
      <c:legendPos val="r"/>
      <c:layout>
        <c:manualLayout>
          <c:xMode val="edge"/>
          <c:yMode val="edge"/>
          <c:x val="0.73127002657790863"/>
          <c:y val="0.10699888541329602"/>
          <c:w val="0.22519469766594633"/>
          <c:h val="0.7378822852622875"/>
        </c:manualLayout>
      </c:layout>
      <c:txPr>
        <a:bodyPr/>
        <a:lstStyle/>
        <a:p>
          <a:pPr>
            <a:defRPr lang="en-GB"/>
          </a:pPr>
          <a:endParaRPr lang="ro-RO"/>
        </a:p>
      </c:txPr>
    </c:legend>
    <c:plotVisOnly val="1"/>
    <c:dispBlanksAs val="gap"/>
  </c:chart>
  <c:spPr>
    <a:noFill/>
    <a:ln>
      <a:noFill/>
    </a:ln>
  </c:spPr>
  <c:txPr>
    <a:bodyPr/>
    <a:lstStyle/>
    <a:p>
      <a:pPr>
        <a:defRPr sz="900">
          <a:latin typeface="Arial" pitchFamily="34" charset="0"/>
          <a:cs typeface="Arial" pitchFamily="34" charset="0"/>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en-GB" sz="900" b="1">
                <a:latin typeface="Arial" pitchFamily="34" charset="0"/>
                <a:cs typeface="Arial" pitchFamily="34" charset="0"/>
              </a:defRPr>
            </a:pPr>
            <a:r>
              <a:rPr lang="ro-RO" sz="900" b="1">
                <a:latin typeface="Arial" pitchFamily="34" charset="0"/>
                <a:cs typeface="Arial" pitchFamily="34" charset="0"/>
              </a:rPr>
              <a:t>µg/m³</a:t>
            </a:r>
          </a:p>
        </c:rich>
      </c:tx>
      <c:layout>
        <c:manualLayout>
          <c:xMode val="edge"/>
          <c:yMode val="edge"/>
          <c:x val="1.8795292097921728E-3"/>
          <c:y val="6.9406392694063929E-2"/>
        </c:manualLayout>
      </c:layout>
    </c:title>
    <c:plotArea>
      <c:layout>
        <c:manualLayout>
          <c:layoutTarget val="inner"/>
          <c:xMode val="edge"/>
          <c:yMode val="edge"/>
          <c:x val="0.1039434558869157"/>
          <c:y val="4.5977952755905507E-2"/>
          <c:w val="0.61576998629891755"/>
          <c:h val="0.82469954413593061"/>
        </c:manualLayout>
      </c:layout>
      <c:barChart>
        <c:barDir val="col"/>
        <c:grouping val="clustered"/>
        <c:ser>
          <c:idx val="0"/>
          <c:order val="0"/>
          <c:tx>
            <c:strRef>
              <c:f>Sheet1!$A$2</c:f>
              <c:strCache>
                <c:ptCount val="1"/>
                <c:pt idx="0">
                  <c:v>medii anuale EM3</c:v>
                </c:pt>
              </c:strCache>
            </c:strRef>
          </c:tx>
          <c:spPr>
            <a:scene3d>
              <a:camera prst="orthographicFront"/>
              <a:lightRig rig="threePt" dir="t"/>
            </a:scene3d>
            <a:sp3d>
              <a:bevelT/>
            </a:sp3d>
          </c:spPr>
          <c:cat>
            <c:strRef>
              <c:f>Sheet1!$B$1:$J$1</c:f>
              <c:strCache>
                <c:ptCount val="9"/>
                <c:pt idx="0">
                  <c:v>2009</c:v>
                </c:pt>
                <c:pt idx="1">
                  <c:v>2010</c:v>
                </c:pt>
                <c:pt idx="2">
                  <c:v>2011</c:v>
                </c:pt>
                <c:pt idx="3">
                  <c:v>2012</c:v>
                </c:pt>
                <c:pt idx="4">
                  <c:v>2013</c:v>
                </c:pt>
                <c:pt idx="5">
                  <c:v>2014</c:v>
                </c:pt>
                <c:pt idx="6">
                  <c:v>2015</c:v>
                </c:pt>
                <c:pt idx="7">
                  <c:v>2016</c:v>
                </c:pt>
                <c:pt idx="8">
                  <c:v>2017</c:v>
                </c:pt>
              </c:strCache>
            </c:strRef>
          </c:cat>
          <c:val>
            <c:numRef>
              <c:f>Sheet1!$B$2:$J$2</c:f>
              <c:numCache>
                <c:formatCode>General</c:formatCode>
                <c:ptCount val="9"/>
                <c:pt idx="1">
                  <c:v>17.459999999999987</c:v>
                </c:pt>
                <c:pt idx="2">
                  <c:v>17.850000000000001</c:v>
                </c:pt>
              </c:numCache>
            </c:numRef>
          </c:val>
        </c:ser>
        <c:ser>
          <c:idx val="1"/>
          <c:order val="1"/>
          <c:tx>
            <c:strRef>
              <c:f>Sheet1!$A$3</c:f>
              <c:strCache>
                <c:ptCount val="1"/>
                <c:pt idx="0">
                  <c:v>medii anuale SV1</c:v>
                </c:pt>
              </c:strCache>
            </c:strRef>
          </c:tx>
          <c:spPr>
            <a:scene3d>
              <a:camera prst="orthographicFront"/>
              <a:lightRig rig="threePt" dir="t"/>
            </a:scene3d>
            <a:sp3d>
              <a:bevelT/>
            </a:sp3d>
          </c:spPr>
          <c:cat>
            <c:strRef>
              <c:f>Sheet1!$B$1:$J$1</c:f>
              <c:strCache>
                <c:ptCount val="9"/>
                <c:pt idx="0">
                  <c:v>2009</c:v>
                </c:pt>
                <c:pt idx="1">
                  <c:v>2010</c:v>
                </c:pt>
                <c:pt idx="2">
                  <c:v>2011</c:v>
                </c:pt>
                <c:pt idx="3">
                  <c:v>2012</c:v>
                </c:pt>
                <c:pt idx="4">
                  <c:v>2013</c:v>
                </c:pt>
                <c:pt idx="5">
                  <c:v>2014</c:v>
                </c:pt>
                <c:pt idx="6">
                  <c:v>2015</c:v>
                </c:pt>
                <c:pt idx="7">
                  <c:v>2016</c:v>
                </c:pt>
                <c:pt idx="8">
                  <c:v>2017</c:v>
                </c:pt>
              </c:strCache>
            </c:strRef>
          </c:cat>
          <c:val>
            <c:numRef>
              <c:f>Sheet1!$B$3:$J$3</c:f>
              <c:numCache>
                <c:formatCode>General</c:formatCode>
                <c:ptCount val="9"/>
                <c:pt idx="3">
                  <c:v>27.779999999999987</c:v>
                </c:pt>
                <c:pt idx="4">
                  <c:v>26.45</c:v>
                </c:pt>
                <c:pt idx="5">
                  <c:v>27.23</c:v>
                </c:pt>
                <c:pt idx="6">
                  <c:v>25.59</c:v>
                </c:pt>
                <c:pt idx="7">
                  <c:v>21.21</c:v>
                </c:pt>
                <c:pt idx="8">
                  <c:v>22.23</c:v>
                </c:pt>
              </c:numCache>
            </c:numRef>
          </c:val>
        </c:ser>
        <c:ser>
          <c:idx val="2"/>
          <c:order val="2"/>
          <c:tx>
            <c:strRef>
              <c:f>Sheet1!$A$4</c:f>
              <c:strCache>
                <c:ptCount val="1"/>
                <c:pt idx="0">
                  <c:v>medii anuale SV2</c:v>
                </c:pt>
              </c:strCache>
            </c:strRef>
          </c:tx>
          <c:spPr>
            <a:scene3d>
              <a:camera prst="orthographicFront"/>
              <a:lightRig rig="threePt" dir="t"/>
            </a:scene3d>
            <a:sp3d>
              <a:bevelT/>
            </a:sp3d>
          </c:spPr>
          <c:cat>
            <c:strRef>
              <c:f>Sheet1!$B$1:$J$1</c:f>
              <c:strCache>
                <c:ptCount val="9"/>
                <c:pt idx="0">
                  <c:v>2009</c:v>
                </c:pt>
                <c:pt idx="1">
                  <c:v>2010</c:v>
                </c:pt>
                <c:pt idx="2">
                  <c:v>2011</c:v>
                </c:pt>
                <c:pt idx="3">
                  <c:v>2012</c:v>
                </c:pt>
                <c:pt idx="4">
                  <c:v>2013</c:v>
                </c:pt>
                <c:pt idx="5">
                  <c:v>2014</c:v>
                </c:pt>
                <c:pt idx="6">
                  <c:v>2015</c:v>
                </c:pt>
                <c:pt idx="7">
                  <c:v>2016</c:v>
                </c:pt>
                <c:pt idx="8">
                  <c:v>2017</c:v>
                </c:pt>
              </c:strCache>
            </c:strRef>
          </c:cat>
          <c:val>
            <c:numRef>
              <c:f>Sheet1!$B$4:$J$4</c:f>
              <c:numCache>
                <c:formatCode>General</c:formatCode>
                <c:ptCount val="9"/>
                <c:pt idx="0">
                  <c:v>36.520000000000003</c:v>
                </c:pt>
                <c:pt idx="1">
                  <c:v>33.56</c:v>
                </c:pt>
                <c:pt idx="2" formatCode="0.00">
                  <c:v>37.01</c:v>
                </c:pt>
                <c:pt idx="3">
                  <c:v>30.77</c:v>
                </c:pt>
                <c:pt idx="4" formatCode="0.00">
                  <c:v>29.06</c:v>
                </c:pt>
                <c:pt idx="8">
                  <c:v>28.69</c:v>
                </c:pt>
              </c:numCache>
            </c:numRef>
          </c:val>
        </c:ser>
        <c:ser>
          <c:idx val="3"/>
          <c:order val="3"/>
          <c:tx>
            <c:strRef>
              <c:f>Sheet1!$A$5</c:f>
              <c:strCache>
                <c:ptCount val="1"/>
                <c:pt idx="0">
                  <c:v>medii anuale SV3</c:v>
                </c:pt>
              </c:strCache>
            </c:strRef>
          </c:tx>
          <c:spPr>
            <a:ln w="38100">
              <a:noFill/>
            </a:ln>
            <a:scene3d>
              <a:camera prst="orthographicFront"/>
              <a:lightRig rig="threePt" dir="t"/>
            </a:scene3d>
            <a:sp3d>
              <a:bevelT/>
            </a:sp3d>
          </c:spPr>
          <c:cat>
            <c:strRef>
              <c:f>Sheet1!$B$1:$J$1</c:f>
              <c:strCache>
                <c:ptCount val="9"/>
                <c:pt idx="0">
                  <c:v>2009</c:v>
                </c:pt>
                <c:pt idx="1">
                  <c:v>2010</c:v>
                </c:pt>
                <c:pt idx="2">
                  <c:v>2011</c:v>
                </c:pt>
                <c:pt idx="3">
                  <c:v>2012</c:v>
                </c:pt>
                <c:pt idx="4">
                  <c:v>2013</c:v>
                </c:pt>
                <c:pt idx="5">
                  <c:v>2014</c:v>
                </c:pt>
                <c:pt idx="6">
                  <c:v>2015</c:v>
                </c:pt>
                <c:pt idx="7">
                  <c:v>2016</c:v>
                </c:pt>
                <c:pt idx="8">
                  <c:v>2017</c:v>
                </c:pt>
              </c:strCache>
            </c:strRef>
          </c:cat>
          <c:val>
            <c:numRef>
              <c:f>Sheet1!$B$5:$J$5</c:f>
              <c:numCache>
                <c:formatCode>General</c:formatCode>
                <c:ptCount val="9"/>
                <c:pt idx="1">
                  <c:v>25.57</c:v>
                </c:pt>
                <c:pt idx="2">
                  <c:v>31.27</c:v>
                </c:pt>
                <c:pt idx="3" formatCode="0.00">
                  <c:v>27.3</c:v>
                </c:pt>
                <c:pt idx="4" formatCode="0.00">
                  <c:v>25</c:v>
                </c:pt>
                <c:pt idx="5">
                  <c:v>23.02</c:v>
                </c:pt>
                <c:pt idx="6">
                  <c:v>26.959999999999987</c:v>
                </c:pt>
              </c:numCache>
            </c:numRef>
          </c:val>
        </c:ser>
        <c:axId val="168065664"/>
        <c:axId val="168071552"/>
      </c:barChart>
      <c:lineChart>
        <c:grouping val="standard"/>
        <c:ser>
          <c:idx val="4"/>
          <c:order val="4"/>
          <c:tx>
            <c:strRef>
              <c:f>Sheet1!$A$6</c:f>
              <c:strCache>
                <c:ptCount val="1"/>
                <c:pt idx="0">
                  <c:v>Valoarea limită anuală</c:v>
                </c:pt>
              </c:strCache>
            </c:strRef>
          </c:tx>
          <c:spPr>
            <a:ln>
              <a:solidFill>
                <a:srgbClr val="FF0000"/>
              </a:solidFill>
            </a:ln>
          </c:spPr>
          <c:marker>
            <c:symbol val="none"/>
          </c:marker>
          <c:cat>
            <c:strRef>
              <c:f>Sheet1!$B$1:$J$1</c:f>
              <c:strCache>
                <c:ptCount val="9"/>
                <c:pt idx="0">
                  <c:v>2009</c:v>
                </c:pt>
                <c:pt idx="1">
                  <c:v>2010</c:v>
                </c:pt>
                <c:pt idx="2">
                  <c:v>2011</c:v>
                </c:pt>
                <c:pt idx="3">
                  <c:v>2012</c:v>
                </c:pt>
                <c:pt idx="4">
                  <c:v>2013</c:v>
                </c:pt>
                <c:pt idx="5">
                  <c:v>2014</c:v>
                </c:pt>
                <c:pt idx="6">
                  <c:v>2015</c:v>
                </c:pt>
                <c:pt idx="7">
                  <c:v>2016</c:v>
                </c:pt>
                <c:pt idx="8">
                  <c:v>2017</c:v>
                </c:pt>
              </c:strCache>
            </c:strRef>
          </c:cat>
          <c:val>
            <c:numRef>
              <c:f>Sheet1!$B$6:$J$6</c:f>
              <c:numCache>
                <c:formatCode>General</c:formatCode>
                <c:ptCount val="9"/>
                <c:pt idx="0">
                  <c:v>40</c:v>
                </c:pt>
                <c:pt idx="1">
                  <c:v>40</c:v>
                </c:pt>
                <c:pt idx="2">
                  <c:v>40</c:v>
                </c:pt>
                <c:pt idx="3">
                  <c:v>40</c:v>
                </c:pt>
                <c:pt idx="4">
                  <c:v>40</c:v>
                </c:pt>
                <c:pt idx="5">
                  <c:v>40</c:v>
                </c:pt>
                <c:pt idx="6">
                  <c:v>40</c:v>
                </c:pt>
                <c:pt idx="7">
                  <c:v>40</c:v>
                </c:pt>
                <c:pt idx="8">
                  <c:v>40</c:v>
                </c:pt>
              </c:numCache>
            </c:numRef>
          </c:val>
        </c:ser>
        <c:marker val="1"/>
        <c:axId val="168065664"/>
        <c:axId val="168071552"/>
      </c:lineChart>
      <c:catAx>
        <c:axId val="168065664"/>
        <c:scaling>
          <c:orientation val="minMax"/>
        </c:scaling>
        <c:axPos val="b"/>
        <c:tickLblPos val="nextTo"/>
        <c:spPr>
          <a:ln>
            <a:solidFill>
              <a:sysClr val="windowText" lastClr="000000"/>
            </a:solidFill>
          </a:ln>
        </c:spPr>
        <c:txPr>
          <a:bodyPr/>
          <a:lstStyle/>
          <a:p>
            <a:pPr>
              <a:defRPr lang="en-GB"/>
            </a:pPr>
            <a:endParaRPr lang="ro-RO"/>
          </a:p>
        </c:txPr>
        <c:crossAx val="168071552"/>
        <c:crosses val="autoZero"/>
        <c:auto val="1"/>
        <c:lblAlgn val="ctr"/>
        <c:lblOffset val="100"/>
      </c:catAx>
      <c:valAx>
        <c:axId val="168071552"/>
        <c:scaling>
          <c:orientation val="minMax"/>
        </c:scaling>
        <c:axPos val="l"/>
        <c:majorGridlines/>
        <c:numFmt formatCode="0" sourceLinked="0"/>
        <c:tickLblPos val="nextTo"/>
        <c:spPr>
          <a:ln>
            <a:solidFill>
              <a:schemeClr val="tx1"/>
            </a:solidFill>
          </a:ln>
        </c:spPr>
        <c:txPr>
          <a:bodyPr/>
          <a:lstStyle/>
          <a:p>
            <a:pPr>
              <a:defRPr lang="en-GB"/>
            </a:pPr>
            <a:endParaRPr lang="ro-RO"/>
          </a:p>
        </c:txPr>
        <c:crossAx val="168065664"/>
        <c:crosses val="autoZero"/>
        <c:crossBetween val="between"/>
      </c:valAx>
      <c:spPr>
        <a:ln>
          <a:solidFill>
            <a:schemeClr val="tx1"/>
          </a:solidFill>
        </a:ln>
      </c:spPr>
    </c:plotArea>
    <c:legend>
      <c:legendPos val="r"/>
      <c:layout>
        <c:manualLayout>
          <c:xMode val="edge"/>
          <c:yMode val="edge"/>
          <c:x val="0.73760355340198724"/>
          <c:y val="7.3192386384772781E-2"/>
          <c:w val="0.24420512820512821"/>
          <c:h val="0.82172319011304695"/>
        </c:manualLayout>
      </c:layout>
      <c:txPr>
        <a:bodyPr/>
        <a:lstStyle/>
        <a:p>
          <a:pPr>
            <a:defRPr lang="en-GB"/>
          </a:pPr>
          <a:endParaRPr lang="ro-RO"/>
        </a:p>
      </c:txPr>
    </c:legend>
    <c:plotVisOnly val="1"/>
    <c:dispBlanksAs val="gap"/>
  </c:chart>
  <c:spPr>
    <a:noFill/>
    <a:ln>
      <a:noFill/>
    </a:ln>
  </c:spPr>
  <c:txPr>
    <a:bodyPr/>
    <a:lstStyle/>
    <a:p>
      <a:pPr>
        <a:defRPr sz="900">
          <a:latin typeface="Arial" pitchFamily="34" charset="0"/>
          <a:cs typeface="Arial" pitchFamily="34" charset="0"/>
        </a:defRPr>
      </a:pPr>
      <a:endParaRPr lang="ro-RO"/>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en-GB" sz="900" b="1">
                <a:latin typeface="Arial" pitchFamily="34" charset="0"/>
                <a:cs typeface="Arial" pitchFamily="34" charset="0"/>
              </a:defRPr>
            </a:pPr>
            <a:r>
              <a:rPr lang="ro-RO" sz="900" b="1">
                <a:latin typeface="Arial" pitchFamily="34" charset="0"/>
                <a:cs typeface="Arial" pitchFamily="34" charset="0"/>
              </a:rPr>
              <a:t>µg/m³</a:t>
            </a:r>
          </a:p>
        </c:rich>
      </c:tx>
      <c:layout>
        <c:manualLayout>
          <c:xMode val="edge"/>
          <c:yMode val="edge"/>
          <c:x val="1.8795292097921728E-3"/>
          <c:y val="6.9406392694063929E-2"/>
        </c:manualLayout>
      </c:layout>
    </c:title>
    <c:plotArea>
      <c:layout>
        <c:manualLayout>
          <c:layoutTarget val="inner"/>
          <c:xMode val="edge"/>
          <c:yMode val="edge"/>
          <c:x val="0.12442412626053699"/>
          <c:y val="7.9415772510301533E-2"/>
          <c:w val="0.43990799414715642"/>
          <c:h val="0.66565146337841385"/>
        </c:manualLayout>
      </c:layout>
      <c:barChart>
        <c:barDir val="col"/>
        <c:grouping val="clustered"/>
        <c:ser>
          <c:idx val="0"/>
          <c:order val="0"/>
          <c:tx>
            <c:strRef>
              <c:f>Sheet1!$A$2</c:f>
              <c:strCache>
                <c:ptCount val="1"/>
                <c:pt idx="0">
                  <c:v>medii anuale SV1</c:v>
                </c:pt>
              </c:strCache>
            </c:strRef>
          </c:tx>
          <c:spPr>
            <a:scene3d>
              <a:camera prst="orthographicFront"/>
              <a:lightRig rig="threePt" dir="t"/>
            </a:scene3d>
            <a:sp3d>
              <a:bevelT/>
            </a:sp3d>
          </c:spPr>
          <c:cat>
            <c:strRef>
              <c:f>Sheet1!$B$1:$F$1</c:f>
              <c:strCache>
                <c:ptCount val="5"/>
                <c:pt idx="0">
                  <c:v>2010</c:v>
                </c:pt>
                <c:pt idx="1">
                  <c:v>2011</c:v>
                </c:pt>
                <c:pt idx="2">
                  <c:v>2012</c:v>
                </c:pt>
                <c:pt idx="3">
                  <c:v>2016</c:v>
                </c:pt>
                <c:pt idx="4">
                  <c:v>2017</c:v>
                </c:pt>
              </c:strCache>
            </c:strRef>
          </c:cat>
          <c:val>
            <c:numRef>
              <c:f>Sheet1!$B$2:$F$2</c:f>
              <c:numCache>
                <c:formatCode>General</c:formatCode>
                <c:ptCount val="5"/>
                <c:pt idx="0">
                  <c:v>2.3899999999999997</c:v>
                </c:pt>
                <c:pt idx="2">
                  <c:v>1.9900000000000151</c:v>
                </c:pt>
                <c:pt idx="3">
                  <c:v>2.8299999999999987</c:v>
                </c:pt>
                <c:pt idx="4">
                  <c:v>1.8</c:v>
                </c:pt>
              </c:numCache>
            </c:numRef>
          </c:val>
        </c:ser>
        <c:gapWidth val="335"/>
        <c:overlap val="-10"/>
        <c:axId val="168149760"/>
        <c:axId val="168151296"/>
      </c:barChart>
      <c:lineChart>
        <c:grouping val="standard"/>
        <c:ser>
          <c:idx val="1"/>
          <c:order val="1"/>
          <c:tx>
            <c:strRef>
              <c:f>Sheet1!$A$3</c:f>
              <c:strCache>
                <c:ptCount val="1"/>
                <c:pt idx="0">
                  <c:v>Valoarea limită anuală</c:v>
                </c:pt>
              </c:strCache>
            </c:strRef>
          </c:tx>
          <c:spPr>
            <a:ln w="38100">
              <a:solidFill>
                <a:srgbClr val="FF0000"/>
              </a:solidFill>
            </a:ln>
          </c:spPr>
          <c:marker>
            <c:symbol val="none"/>
          </c:marker>
          <c:cat>
            <c:strRef>
              <c:f>Sheet1!$B$1:$F$1</c:f>
              <c:strCache>
                <c:ptCount val="5"/>
                <c:pt idx="0">
                  <c:v>2010</c:v>
                </c:pt>
                <c:pt idx="1">
                  <c:v>2011</c:v>
                </c:pt>
                <c:pt idx="2">
                  <c:v>2012</c:v>
                </c:pt>
                <c:pt idx="3">
                  <c:v>2016</c:v>
                </c:pt>
                <c:pt idx="4">
                  <c:v>2017</c:v>
                </c:pt>
              </c:strCache>
            </c:strRef>
          </c:cat>
          <c:val>
            <c:numRef>
              <c:f>Sheet1!$B$3:$F$3</c:f>
              <c:numCache>
                <c:formatCode>General</c:formatCode>
                <c:ptCount val="5"/>
                <c:pt idx="0">
                  <c:v>5</c:v>
                </c:pt>
                <c:pt idx="1">
                  <c:v>5</c:v>
                </c:pt>
                <c:pt idx="2">
                  <c:v>5</c:v>
                </c:pt>
                <c:pt idx="3">
                  <c:v>5</c:v>
                </c:pt>
                <c:pt idx="4">
                  <c:v>5</c:v>
                </c:pt>
              </c:numCache>
            </c:numRef>
          </c:val>
        </c:ser>
        <c:marker val="1"/>
        <c:axId val="168149760"/>
        <c:axId val="168151296"/>
      </c:lineChart>
      <c:catAx>
        <c:axId val="168149760"/>
        <c:scaling>
          <c:orientation val="minMax"/>
        </c:scaling>
        <c:axPos val="b"/>
        <c:tickLblPos val="nextTo"/>
        <c:spPr>
          <a:ln>
            <a:solidFill>
              <a:sysClr val="windowText" lastClr="000000"/>
            </a:solidFill>
          </a:ln>
        </c:spPr>
        <c:txPr>
          <a:bodyPr/>
          <a:lstStyle/>
          <a:p>
            <a:pPr>
              <a:defRPr lang="en-GB"/>
            </a:pPr>
            <a:endParaRPr lang="ro-RO"/>
          </a:p>
        </c:txPr>
        <c:crossAx val="168151296"/>
        <c:crosses val="autoZero"/>
        <c:auto val="1"/>
        <c:lblAlgn val="ctr"/>
        <c:lblOffset val="100"/>
      </c:catAx>
      <c:valAx>
        <c:axId val="168151296"/>
        <c:scaling>
          <c:orientation val="minMax"/>
        </c:scaling>
        <c:axPos val="l"/>
        <c:majorGridlines/>
        <c:numFmt formatCode="0" sourceLinked="0"/>
        <c:tickLblPos val="nextTo"/>
        <c:spPr>
          <a:ln>
            <a:solidFill>
              <a:sysClr val="windowText" lastClr="000000"/>
            </a:solidFill>
          </a:ln>
        </c:spPr>
        <c:txPr>
          <a:bodyPr/>
          <a:lstStyle/>
          <a:p>
            <a:pPr>
              <a:defRPr lang="en-GB"/>
            </a:pPr>
            <a:endParaRPr lang="ro-RO"/>
          </a:p>
        </c:txPr>
        <c:crossAx val="168149760"/>
        <c:crosses val="autoZero"/>
        <c:crossBetween val="between"/>
        <c:majorUnit val="1"/>
        <c:minorUnit val="1"/>
      </c:valAx>
      <c:spPr>
        <a:ln>
          <a:solidFill>
            <a:schemeClr val="tx1"/>
          </a:solidFill>
        </a:ln>
      </c:spPr>
    </c:plotArea>
    <c:legend>
      <c:legendPos val="r"/>
      <c:layout>
        <c:manualLayout>
          <c:xMode val="edge"/>
          <c:yMode val="edge"/>
          <c:x val="0.5760752899379985"/>
          <c:y val="0.24316941514386331"/>
          <c:w val="0.42241640619217941"/>
          <c:h val="0.44929629079383926"/>
        </c:manualLayout>
      </c:layout>
      <c:txPr>
        <a:bodyPr/>
        <a:lstStyle/>
        <a:p>
          <a:pPr>
            <a:defRPr lang="en-GB"/>
          </a:pPr>
          <a:endParaRPr lang="ro-RO"/>
        </a:p>
      </c:txPr>
    </c:legend>
    <c:plotVisOnly val="1"/>
    <c:dispBlanksAs val="gap"/>
  </c:chart>
  <c:spPr>
    <a:noFill/>
    <a:ln>
      <a:noFill/>
    </a:ln>
  </c:spPr>
  <c:txPr>
    <a:bodyPr/>
    <a:lstStyle/>
    <a:p>
      <a:pPr>
        <a:defRPr sz="900">
          <a:latin typeface="Arial" pitchFamily="34" charset="0"/>
          <a:cs typeface="Arial" pitchFamily="34" charset="0"/>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52C24-B325-413F-BDFB-10A3124AB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7236</Words>
  <Characters>41975</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49113</CharactersWithSpaces>
  <SharedDoc>false</SharedDoc>
  <HLinks>
    <vt:vector size="6" baseType="variant">
      <vt:variant>
        <vt:i4>917621</vt:i4>
      </vt:variant>
      <vt:variant>
        <vt:i4>0</vt:i4>
      </vt:variant>
      <vt:variant>
        <vt:i4>0</vt:i4>
      </vt:variant>
      <vt:variant>
        <vt:i4>5</vt:i4>
      </vt:variant>
      <vt:variant>
        <vt:lpwstr>mailto:office@apmif.anpm.ro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gina.ursul</cp:lastModifiedBy>
  <cp:revision>2</cp:revision>
  <cp:lastPrinted>2012-07-25T10:01:00Z</cp:lastPrinted>
  <dcterms:created xsi:type="dcterms:W3CDTF">2019-07-25T12:16:00Z</dcterms:created>
  <dcterms:modified xsi:type="dcterms:W3CDTF">2019-07-25T12:16:00Z</dcterms:modified>
</cp:coreProperties>
</file>