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0D" w:rsidRPr="004D5276" w:rsidRDefault="008A100D" w:rsidP="00171588">
      <w:pPr>
        <w:pStyle w:val="BodyTextIndent2"/>
        <w:widowControl w:val="0"/>
        <w:spacing w:before="80" w:line="192" w:lineRule="auto"/>
        <w:ind w:left="284" w:hanging="284"/>
        <w:jc w:val="center"/>
        <w:rPr>
          <w:b/>
          <w:bCs/>
          <w:color w:val="984806" w:themeColor="accent6" w:themeShade="80"/>
        </w:rPr>
      </w:pPr>
    </w:p>
    <w:p w:rsidR="00B15AC6" w:rsidRPr="004D5276" w:rsidRDefault="00B15AC6" w:rsidP="00171588">
      <w:pPr>
        <w:pStyle w:val="BodyTextIndent2"/>
        <w:widowControl w:val="0"/>
        <w:spacing w:before="80" w:line="192" w:lineRule="auto"/>
        <w:ind w:left="284" w:hanging="284"/>
        <w:jc w:val="center"/>
        <w:rPr>
          <w:b/>
          <w:bCs/>
          <w:color w:val="984806" w:themeColor="accent6" w:themeShade="80"/>
        </w:rPr>
      </w:pPr>
    </w:p>
    <w:p w:rsidR="008A100D" w:rsidRPr="004D5276" w:rsidRDefault="008A100D" w:rsidP="00171588">
      <w:pPr>
        <w:pStyle w:val="BodyTextIndent2"/>
        <w:widowControl w:val="0"/>
        <w:spacing w:before="80" w:line="192" w:lineRule="auto"/>
        <w:ind w:left="284" w:hanging="284"/>
        <w:jc w:val="center"/>
        <w:rPr>
          <w:b/>
          <w:bCs/>
          <w:color w:val="984806" w:themeColor="accent6" w:themeShade="80"/>
        </w:rPr>
      </w:pPr>
    </w:p>
    <w:p w:rsidR="005727B4" w:rsidRPr="00FE61E5" w:rsidRDefault="005727B4" w:rsidP="00171588">
      <w:pPr>
        <w:pStyle w:val="BodyTextIndent2"/>
        <w:widowControl w:val="0"/>
        <w:spacing w:before="80" w:line="192" w:lineRule="auto"/>
        <w:ind w:left="284" w:hanging="284"/>
        <w:jc w:val="center"/>
        <w:rPr>
          <w:b/>
          <w:bCs/>
        </w:rPr>
      </w:pPr>
      <w:r w:rsidRPr="00FE61E5">
        <w:rPr>
          <w:b/>
          <w:bCs/>
        </w:rPr>
        <w:t>III.</w:t>
      </w:r>
      <w:r w:rsidR="004B1AF7" w:rsidRPr="00FE61E5">
        <w:rPr>
          <w:b/>
          <w:bCs/>
        </w:rPr>
        <w:t xml:space="preserve"> </w:t>
      </w:r>
      <w:r w:rsidRPr="00FE61E5">
        <w:rPr>
          <w:b/>
          <w:bCs/>
        </w:rPr>
        <w:t>SOLUL</w:t>
      </w:r>
    </w:p>
    <w:p w:rsidR="005727B4" w:rsidRPr="00FE61E5" w:rsidRDefault="005727B4" w:rsidP="00171588">
      <w:pPr>
        <w:pStyle w:val="BodyTextIndent2"/>
        <w:widowControl w:val="0"/>
        <w:spacing w:before="80" w:line="192" w:lineRule="auto"/>
        <w:ind w:left="284" w:hanging="284"/>
        <w:rPr>
          <w:b/>
          <w:bCs/>
        </w:rPr>
      </w:pPr>
    </w:p>
    <w:p w:rsidR="007B719F" w:rsidRPr="00FE61E5" w:rsidRDefault="007B719F" w:rsidP="00171588">
      <w:pPr>
        <w:pStyle w:val="BodyTextIndent2"/>
        <w:widowControl w:val="0"/>
        <w:spacing w:before="80" w:line="192" w:lineRule="auto"/>
        <w:ind w:left="284" w:hanging="284"/>
        <w:rPr>
          <w:b/>
          <w:bCs/>
        </w:rPr>
      </w:pPr>
    </w:p>
    <w:p w:rsidR="005727B4" w:rsidRPr="00FE61E5" w:rsidRDefault="005727B4" w:rsidP="00171588">
      <w:pPr>
        <w:pStyle w:val="BodyTextIndent2"/>
        <w:widowControl w:val="0"/>
        <w:spacing w:before="80" w:line="192" w:lineRule="auto"/>
        <w:ind w:left="284" w:hanging="284"/>
        <w:jc w:val="both"/>
        <w:rPr>
          <w:b/>
          <w:bCs/>
        </w:rPr>
      </w:pPr>
      <w:r w:rsidRPr="00FE61E5">
        <w:rPr>
          <w:b/>
          <w:bCs/>
        </w:rPr>
        <w:t>III.1. Calitatea solurilor: stare şi tendinţe</w:t>
      </w:r>
    </w:p>
    <w:p w:rsidR="007B719F" w:rsidRPr="00FE61E5" w:rsidRDefault="007B719F" w:rsidP="00171588">
      <w:pPr>
        <w:pStyle w:val="BodyTextIndent2"/>
        <w:widowControl w:val="0"/>
        <w:spacing w:before="80" w:line="192" w:lineRule="auto"/>
        <w:ind w:left="284" w:hanging="284"/>
        <w:jc w:val="both"/>
        <w:rPr>
          <w:b/>
          <w:bCs/>
          <w:sz w:val="20"/>
          <w:szCs w:val="20"/>
        </w:rPr>
      </w:pPr>
    </w:p>
    <w:p w:rsidR="005727B4" w:rsidRPr="00FE61E5" w:rsidRDefault="005727B4" w:rsidP="00171588">
      <w:pPr>
        <w:pStyle w:val="BodyTextIndent2"/>
        <w:widowControl w:val="0"/>
        <w:spacing w:before="80" w:line="192" w:lineRule="auto"/>
        <w:ind w:left="284" w:hanging="284"/>
        <w:jc w:val="both"/>
        <w:rPr>
          <w:b/>
          <w:bCs/>
          <w:i/>
        </w:rPr>
      </w:pPr>
      <w:r w:rsidRPr="00FE61E5">
        <w:rPr>
          <w:b/>
          <w:bCs/>
          <w:i/>
        </w:rPr>
        <w:t>III.1.1. Repartiţia terenurilor pe clase de calitate</w:t>
      </w:r>
    </w:p>
    <w:p w:rsidR="007B719F" w:rsidRPr="00FE61E5" w:rsidRDefault="007B719F" w:rsidP="00171588">
      <w:pPr>
        <w:pStyle w:val="BodyTextIndent2"/>
        <w:widowControl w:val="0"/>
        <w:ind w:left="284" w:hanging="284"/>
        <w:jc w:val="both"/>
        <w:rPr>
          <w:bCs/>
          <w:i/>
          <w:sz w:val="20"/>
          <w:szCs w:val="20"/>
        </w:rPr>
      </w:pPr>
    </w:p>
    <w:p w:rsidR="007B719F" w:rsidRPr="00FE61E5" w:rsidRDefault="007B719F" w:rsidP="00171588">
      <w:pPr>
        <w:widowControl w:val="0"/>
        <w:autoSpaceDE w:val="0"/>
        <w:autoSpaceDN w:val="0"/>
        <w:adjustRightInd w:val="0"/>
        <w:ind w:firstLine="706"/>
        <w:jc w:val="both"/>
        <w:rPr>
          <w:rFonts w:ascii="Arial" w:hAnsi="Arial" w:cs="Arial"/>
          <w:lang w:val="ro-RO"/>
        </w:rPr>
      </w:pPr>
      <w:r w:rsidRPr="00FE61E5">
        <w:rPr>
          <w:rFonts w:ascii="Arial" w:hAnsi="Arial" w:cs="Arial"/>
          <w:lang w:val="ro-RO"/>
        </w:rPr>
        <w:t>Solul, prin poziţia, nat</w:t>
      </w:r>
      <w:r w:rsidR="00A76EB4" w:rsidRPr="00FE61E5">
        <w:rPr>
          <w:rFonts w:ascii="Arial" w:hAnsi="Arial" w:cs="Arial"/>
          <w:lang w:val="ro-RO"/>
        </w:rPr>
        <w:t>ura şi rolul său, este un rezultat</w:t>
      </w:r>
      <w:r w:rsidRPr="00FE61E5">
        <w:rPr>
          <w:rFonts w:ascii="Arial" w:hAnsi="Arial" w:cs="Arial"/>
          <w:lang w:val="ro-RO"/>
        </w:rPr>
        <w:t xml:space="preserve"> al interacţiunii dintre mediul biotic şi abiotic, reprezentând un organism viu, în care se desfăşoară o viaţă intensă şi în care s-a stabilit un anumit echilibru ecologic.</w:t>
      </w:r>
    </w:p>
    <w:p w:rsidR="007B719F" w:rsidRPr="00FE61E5" w:rsidRDefault="007B719F" w:rsidP="00171588">
      <w:pPr>
        <w:widowControl w:val="0"/>
        <w:autoSpaceDE w:val="0"/>
        <w:autoSpaceDN w:val="0"/>
        <w:adjustRightInd w:val="0"/>
        <w:ind w:firstLine="706"/>
        <w:jc w:val="both"/>
        <w:rPr>
          <w:rFonts w:ascii="Arial" w:hAnsi="Arial" w:cs="Arial"/>
          <w:lang w:val="ro-RO"/>
        </w:rPr>
      </w:pPr>
      <w:r w:rsidRPr="00FE61E5">
        <w:rPr>
          <w:rFonts w:ascii="Arial" w:hAnsi="Arial" w:cs="Arial"/>
          <w:lang w:val="ro-RO"/>
        </w:rPr>
        <w:t>Solurile determină producţia agricolă şi starea pădurilor, condiţionează învelişul vegetal, ca şi calitatea apei râurilor, lacurilor şi apelor subterane, reglează scurgerea lichidă şi solidă în bazinele hidrografice şi acţionează ca o geomembrană pentru diminuarea poluării aerului şi a apei, prin reţinerea, reciclarea şi neutralizarea poluanţilor, cum sunt substanţele chimice folosite în agricultură, deşeurile şi reziduurile organice şi alte substanţe chimice. Solurile, prin proprietăţile lor de a întreţine şi a dezvolta viaţa, de a se regenera, filtrează poluanţii, îi absorb şi îi transformă.</w:t>
      </w:r>
    </w:p>
    <w:p w:rsidR="007B719F" w:rsidRPr="00FE61E5" w:rsidRDefault="007B719F" w:rsidP="00171588">
      <w:pPr>
        <w:widowControl w:val="0"/>
        <w:autoSpaceDE w:val="0"/>
        <w:autoSpaceDN w:val="0"/>
        <w:adjustRightInd w:val="0"/>
        <w:ind w:firstLine="706"/>
        <w:jc w:val="both"/>
        <w:rPr>
          <w:rFonts w:ascii="Arial" w:hAnsi="Arial" w:cs="Arial"/>
          <w:lang w:val="ro-RO"/>
        </w:rPr>
      </w:pPr>
      <w:r w:rsidRPr="00FE61E5">
        <w:rPr>
          <w:rFonts w:ascii="Arial" w:hAnsi="Arial" w:cs="Arial"/>
          <w:lang w:val="ro-RO"/>
        </w:rPr>
        <w:t xml:space="preserve">Dacă aerul şi apa reprezintă vectorii de transmitere a poluanţilor, solul reprezintă mediul de bioacumulare </w:t>
      </w:r>
      <w:r w:rsidR="00B15AC6" w:rsidRPr="00FE61E5">
        <w:rPr>
          <w:rFonts w:ascii="Arial" w:hAnsi="Arial" w:cs="Arial"/>
          <w:lang w:val="ro-RO"/>
        </w:rPr>
        <w:t>ş</w:t>
      </w:r>
      <w:r w:rsidRPr="00FE61E5">
        <w:rPr>
          <w:rFonts w:ascii="Arial" w:hAnsi="Arial" w:cs="Arial"/>
          <w:lang w:val="ro-RO"/>
        </w:rPr>
        <w:t>i transformare a acestora. Prin depozitarea şi impregnarea cu pulberile şi gazele toxice din atmosferă antrenate de apa precipitaţiilor spre sol, folosirea excesivă a erbicidelor şi insecticidelor în culturile agricole, depozitarea necorespunzătoare a deşeurilor, solul devine contaminat, conducând astfel la apariţia unor dezechilibre ecologice. Pentru rădăcinile plantelor sunt accesibili toţi ionii aflaţi în apa solului, inclusiv cei toxici, iar plantele respective contaminate pot constitui hrană pentru animale şi om.</w:t>
      </w:r>
    </w:p>
    <w:p w:rsidR="00C53062" w:rsidRPr="00413ED4" w:rsidRDefault="0024737D" w:rsidP="00171588">
      <w:pPr>
        <w:pStyle w:val="BodyTextIndent2"/>
        <w:widowControl w:val="0"/>
        <w:ind w:firstLine="0"/>
        <w:jc w:val="both"/>
      </w:pPr>
      <w:r w:rsidRPr="00FE61E5">
        <w:tab/>
        <w:t>Calitatea terenurilor agricole cuprinde atât fertilitatea solului, cât şi modul de manifestare a celorlaţi factori de mediu faţă de plante. Din acest punct de vedere, terenurile agricole se grupează în 5 clase de calitate, diferenţiate după nota de bonitate medie, pe ţară (clasa I</w:t>
      </w:r>
      <w:r w:rsidR="00E30E17" w:rsidRPr="00FE61E5">
        <w:t xml:space="preserve"> – 81-100 puncte – clasa a V-a – 1-20 puncte). Clasele de calitate ale terenurilor dau </w:t>
      </w:r>
      <w:r w:rsidR="00E30E17" w:rsidRPr="00413ED4">
        <w:t xml:space="preserve">pretabilitatea acestora pentru folosinţele agricole. </w:t>
      </w:r>
    </w:p>
    <w:p w:rsidR="007B719F" w:rsidRPr="00413ED4" w:rsidRDefault="00C53062" w:rsidP="00171588">
      <w:pPr>
        <w:pStyle w:val="BodyTextIndent2"/>
        <w:widowControl w:val="0"/>
        <w:ind w:firstLine="0"/>
        <w:jc w:val="both"/>
      </w:pPr>
      <w:r w:rsidRPr="00413ED4">
        <w:tab/>
      </w:r>
      <w:r w:rsidR="00E30E17" w:rsidRPr="00413ED4">
        <w:t>Numărul de puncte de bonitate se obţine printr-o operaţiune</w:t>
      </w:r>
      <w:r w:rsidR="0023730F" w:rsidRPr="00413ED4">
        <w:t xml:space="preserve"> complexă de cunoaştere aprofundată a unui teren, exprimând favorabilitatea acestuia pentru cerinţele de existenţă ale unor plante de cultură date, în condiţii climatice normale şi în cadrul folosirii raţionale</w:t>
      </w:r>
      <w:r w:rsidR="00B75D5F" w:rsidRPr="00413ED4">
        <w:rPr>
          <w:rStyle w:val="FootnoteReference"/>
        </w:rPr>
        <w:footnoteReference w:id="1"/>
      </w:r>
      <w:r w:rsidR="0023730F" w:rsidRPr="00413ED4">
        <w:t>.</w:t>
      </w:r>
    </w:p>
    <w:p w:rsidR="00967B1C" w:rsidRPr="004D5276" w:rsidRDefault="00967B1C" w:rsidP="00171588">
      <w:pPr>
        <w:pStyle w:val="BodyTextIndent2"/>
        <w:widowControl w:val="0"/>
        <w:ind w:firstLine="0"/>
        <w:jc w:val="both"/>
        <w:rPr>
          <w:color w:val="984806" w:themeColor="accent6" w:themeShade="80"/>
          <w:sz w:val="10"/>
          <w:szCs w:val="10"/>
        </w:rPr>
      </w:pPr>
    </w:p>
    <w:p w:rsidR="00967B1C" w:rsidRPr="002168EE" w:rsidRDefault="00967B1C" w:rsidP="00967B1C">
      <w:pPr>
        <w:pStyle w:val="Footer"/>
        <w:widowControl w:val="0"/>
        <w:tabs>
          <w:tab w:val="left" w:pos="708"/>
        </w:tabs>
        <w:jc w:val="center"/>
        <w:rPr>
          <w:rFonts w:ascii="Arial" w:hAnsi="Arial" w:cs="Arial"/>
          <w:sz w:val="22"/>
          <w:szCs w:val="22"/>
          <w:lang w:val="ro-RO"/>
        </w:rPr>
      </w:pPr>
      <w:r w:rsidRPr="002168EE">
        <w:rPr>
          <w:rFonts w:ascii="Arial" w:hAnsi="Arial" w:cs="Arial"/>
          <w:sz w:val="22"/>
          <w:szCs w:val="22"/>
          <w:lang w:val="ro-RO"/>
        </w:rPr>
        <w:t xml:space="preserve">Fig. III.1.1.1. </w:t>
      </w:r>
      <w:r w:rsidR="009D4980" w:rsidRPr="002168EE">
        <w:rPr>
          <w:rFonts w:ascii="Arial" w:hAnsi="Arial" w:cs="Arial"/>
          <w:sz w:val="22"/>
          <w:szCs w:val="22"/>
          <w:lang w:val="ro-RO"/>
        </w:rPr>
        <w:t>Suprafaţa</w:t>
      </w:r>
      <w:r w:rsidRPr="002168EE">
        <w:rPr>
          <w:rFonts w:ascii="Arial" w:hAnsi="Arial" w:cs="Arial"/>
          <w:sz w:val="22"/>
          <w:szCs w:val="22"/>
          <w:lang w:val="ro-RO"/>
        </w:rPr>
        <w:t xml:space="preserve"> terenurilor agricole pe clase de calitate după nota de bonitate,</w:t>
      </w:r>
    </w:p>
    <w:p w:rsidR="00967B1C" w:rsidRPr="002168EE" w:rsidRDefault="00967B1C" w:rsidP="003B4177">
      <w:pPr>
        <w:widowControl w:val="0"/>
        <w:autoSpaceDE w:val="0"/>
        <w:autoSpaceDN w:val="0"/>
        <w:adjustRightInd w:val="0"/>
        <w:ind w:firstLine="706"/>
        <w:jc w:val="center"/>
        <w:rPr>
          <w:i/>
          <w:sz w:val="22"/>
          <w:szCs w:val="22"/>
        </w:rPr>
      </w:pPr>
      <w:r w:rsidRPr="002168EE">
        <w:rPr>
          <w:rFonts w:ascii="Arial" w:hAnsi="Arial" w:cs="Arial"/>
          <w:sz w:val="22"/>
          <w:szCs w:val="22"/>
          <w:lang w:val="ro-RO"/>
        </w:rPr>
        <w:t>la nivelul anului 201</w:t>
      </w:r>
      <w:r w:rsidR="002168EE" w:rsidRPr="002168EE">
        <w:rPr>
          <w:rFonts w:ascii="Arial" w:hAnsi="Arial" w:cs="Arial"/>
          <w:sz w:val="22"/>
          <w:szCs w:val="22"/>
          <w:lang w:val="ro-RO"/>
        </w:rPr>
        <w:t>7</w:t>
      </w:r>
      <w:r w:rsidR="00FC1F8B" w:rsidRPr="002168EE">
        <w:rPr>
          <w:rFonts w:ascii="Arial" w:hAnsi="Arial" w:cs="Arial"/>
          <w:sz w:val="22"/>
          <w:szCs w:val="22"/>
          <w:lang w:val="ro-RO"/>
        </w:rPr>
        <w:t xml:space="preserve"> </w:t>
      </w:r>
      <w:r w:rsidR="00243DCE" w:rsidRPr="002168EE">
        <w:rPr>
          <w:rFonts w:ascii="Arial" w:hAnsi="Arial" w:cs="Arial"/>
          <w:sz w:val="22"/>
          <w:szCs w:val="22"/>
          <w:lang w:val="ro-RO"/>
        </w:rPr>
        <w:t>(ha)</w:t>
      </w:r>
      <w:r w:rsidR="003B4177">
        <w:rPr>
          <w:rFonts w:ascii="Arial" w:hAnsi="Arial" w:cs="Arial"/>
          <w:sz w:val="22"/>
          <w:szCs w:val="22"/>
          <w:lang w:val="ro-RO"/>
        </w:rPr>
        <w:t xml:space="preserve"> </w:t>
      </w:r>
      <w:r w:rsidRPr="002168EE">
        <w:rPr>
          <w:sz w:val="22"/>
          <w:szCs w:val="22"/>
        </w:rPr>
        <w:t>(</w:t>
      </w:r>
      <w:r w:rsidRPr="002168EE">
        <w:rPr>
          <w:i/>
          <w:sz w:val="22"/>
          <w:szCs w:val="22"/>
        </w:rPr>
        <w:t>Surs</w:t>
      </w:r>
      <w:r w:rsidR="003B4177">
        <w:rPr>
          <w:i/>
          <w:sz w:val="22"/>
          <w:szCs w:val="22"/>
        </w:rPr>
        <w:t>a</w:t>
      </w:r>
      <w:r w:rsidRPr="002168EE">
        <w:rPr>
          <w:i/>
          <w:sz w:val="22"/>
          <w:szCs w:val="22"/>
        </w:rPr>
        <w:t xml:space="preserve">: </w:t>
      </w:r>
      <w:r w:rsidR="00FC1F8B" w:rsidRPr="002168EE">
        <w:rPr>
          <w:i/>
          <w:sz w:val="22"/>
          <w:szCs w:val="22"/>
        </w:rPr>
        <w:t>Oficiul Judeţean pentru Studii Pedologice şi Agrochimice</w:t>
      </w:r>
      <w:r w:rsidRPr="002168EE">
        <w:rPr>
          <w:i/>
          <w:sz w:val="22"/>
          <w:szCs w:val="22"/>
        </w:rPr>
        <w:t>)</w:t>
      </w:r>
    </w:p>
    <w:p w:rsidR="00344F43" w:rsidRPr="004D5276" w:rsidRDefault="00344F43" w:rsidP="00967B1C">
      <w:pPr>
        <w:pStyle w:val="BodyTextIndent2"/>
        <w:widowControl w:val="0"/>
        <w:ind w:firstLine="0"/>
        <w:jc w:val="center"/>
        <w:rPr>
          <w:color w:val="984806" w:themeColor="accent6" w:themeShade="80"/>
          <w:sz w:val="10"/>
          <w:szCs w:val="10"/>
        </w:rPr>
      </w:pPr>
    </w:p>
    <w:p w:rsidR="00344F43" w:rsidRPr="004D5276" w:rsidRDefault="009D4980" w:rsidP="003B4177">
      <w:pPr>
        <w:widowControl w:val="0"/>
        <w:autoSpaceDE w:val="0"/>
        <w:autoSpaceDN w:val="0"/>
        <w:adjustRightInd w:val="0"/>
        <w:spacing w:after="120"/>
        <w:ind w:firstLine="709"/>
        <w:jc w:val="center"/>
        <w:rPr>
          <w:rFonts w:ascii="Arial" w:hAnsi="Arial" w:cs="Arial"/>
          <w:color w:val="984806" w:themeColor="accent6" w:themeShade="80"/>
          <w:sz w:val="10"/>
          <w:szCs w:val="10"/>
          <w:lang w:val="ro-RO"/>
        </w:rPr>
      </w:pPr>
      <w:r w:rsidRPr="004D5276">
        <w:rPr>
          <w:rFonts w:ascii="Arial" w:hAnsi="Arial" w:cs="Arial"/>
          <w:noProof/>
          <w:color w:val="984806" w:themeColor="accent6" w:themeShade="80"/>
          <w:sz w:val="10"/>
          <w:szCs w:val="10"/>
          <w:lang w:val="ro-RO" w:eastAsia="ro-RO"/>
        </w:rPr>
        <w:drawing>
          <wp:inline distT="0" distB="0" distL="0" distR="0">
            <wp:extent cx="3800475" cy="20764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4980" w:rsidRPr="003B4177" w:rsidRDefault="009D4980" w:rsidP="00171588">
      <w:pPr>
        <w:widowControl w:val="0"/>
        <w:autoSpaceDE w:val="0"/>
        <w:autoSpaceDN w:val="0"/>
        <w:adjustRightInd w:val="0"/>
        <w:ind w:firstLine="706"/>
        <w:jc w:val="center"/>
        <w:rPr>
          <w:rFonts w:ascii="Arial" w:hAnsi="Arial" w:cs="Arial"/>
          <w:color w:val="984806" w:themeColor="accent6" w:themeShade="80"/>
          <w:sz w:val="10"/>
          <w:szCs w:val="10"/>
          <w:lang w:val="ro-RO"/>
        </w:rPr>
      </w:pPr>
    </w:p>
    <w:p w:rsidR="00402300" w:rsidRDefault="00CF13EB" w:rsidP="00402300">
      <w:pPr>
        <w:widowControl w:val="0"/>
        <w:autoSpaceDE w:val="0"/>
        <w:autoSpaceDN w:val="0"/>
        <w:adjustRightInd w:val="0"/>
        <w:jc w:val="center"/>
        <w:rPr>
          <w:rFonts w:ascii="Arial" w:hAnsi="Arial" w:cs="Arial"/>
          <w:sz w:val="22"/>
          <w:szCs w:val="22"/>
          <w:lang w:val="ro-RO"/>
        </w:rPr>
      </w:pPr>
      <w:r w:rsidRPr="0036575D">
        <w:rPr>
          <w:rFonts w:ascii="Arial" w:hAnsi="Arial" w:cs="Arial"/>
          <w:sz w:val="22"/>
          <w:szCs w:val="22"/>
          <w:lang w:val="ro-RO"/>
        </w:rPr>
        <w:lastRenderedPageBreak/>
        <w:t>Fig. III.1.</w:t>
      </w:r>
      <w:r w:rsidR="00967B1C" w:rsidRPr="0036575D">
        <w:rPr>
          <w:rFonts w:ascii="Arial" w:hAnsi="Arial" w:cs="Arial"/>
          <w:sz w:val="22"/>
          <w:szCs w:val="22"/>
          <w:lang w:val="ro-RO"/>
        </w:rPr>
        <w:t>1.2</w:t>
      </w:r>
      <w:r w:rsidRPr="0036575D">
        <w:rPr>
          <w:rFonts w:ascii="Arial" w:hAnsi="Arial" w:cs="Arial"/>
          <w:sz w:val="22"/>
          <w:szCs w:val="22"/>
          <w:lang w:val="ro-RO"/>
        </w:rPr>
        <w:t xml:space="preserve">. </w:t>
      </w:r>
      <w:r w:rsidR="0064030D" w:rsidRPr="0036575D">
        <w:rPr>
          <w:rFonts w:ascii="Arial" w:hAnsi="Arial" w:cs="Arial"/>
          <w:sz w:val="22"/>
          <w:szCs w:val="22"/>
          <w:lang w:val="ro-RO"/>
        </w:rPr>
        <w:t xml:space="preserve">Ponderea tipurilor de folosinţe din totalul agricol </w:t>
      </w:r>
      <w:r w:rsidR="00E464B9" w:rsidRPr="0036575D">
        <w:rPr>
          <w:rFonts w:ascii="Arial" w:hAnsi="Arial" w:cs="Arial"/>
          <w:sz w:val="22"/>
          <w:szCs w:val="22"/>
          <w:lang w:val="ro-RO"/>
        </w:rPr>
        <w:t xml:space="preserve">în judeţul Suceava </w:t>
      </w:r>
      <w:r w:rsidR="0064030D" w:rsidRPr="0036575D">
        <w:rPr>
          <w:rFonts w:ascii="Arial" w:hAnsi="Arial" w:cs="Arial"/>
          <w:sz w:val="22"/>
          <w:szCs w:val="22"/>
          <w:lang w:val="ro-RO"/>
        </w:rPr>
        <w:t xml:space="preserve">la nivelul </w:t>
      </w:r>
    </w:p>
    <w:p w:rsidR="005624A2" w:rsidRPr="00AF58C5" w:rsidRDefault="0064030D" w:rsidP="00402300">
      <w:pPr>
        <w:widowControl w:val="0"/>
        <w:autoSpaceDE w:val="0"/>
        <w:autoSpaceDN w:val="0"/>
        <w:adjustRightInd w:val="0"/>
        <w:jc w:val="center"/>
        <w:rPr>
          <w:rFonts w:ascii="Arial" w:hAnsi="Arial" w:cs="Arial"/>
          <w:i/>
          <w:sz w:val="22"/>
          <w:szCs w:val="22"/>
        </w:rPr>
      </w:pPr>
      <w:r w:rsidRPr="001C3FAB">
        <w:rPr>
          <w:rFonts w:ascii="Arial" w:hAnsi="Arial" w:cs="Arial"/>
          <w:sz w:val="22"/>
          <w:szCs w:val="22"/>
          <w:lang w:val="ro-RO"/>
        </w:rPr>
        <w:t xml:space="preserve">anului </w:t>
      </w:r>
      <w:r w:rsidR="00612E48" w:rsidRPr="001C3FAB">
        <w:rPr>
          <w:rFonts w:ascii="Arial" w:hAnsi="Arial" w:cs="Arial"/>
          <w:sz w:val="22"/>
          <w:szCs w:val="22"/>
          <w:lang w:val="ro-RO"/>
        </w:rPr>
        <w:t>201</w:t>
      </w:r>
      <w:r w:rsidR="00402300">
        <w:rPr>
          <w:rFonts w:ascii="Arial" w:hAnsi="Arial" w:cs="Arial"/>
          <w:sz w:val="22"/>
          <w:szCs w:val="22"/>
          <w:lang w:val="ro-RO"/>
        </w:rPr>
        <w:t>6</w:t>
      </w:r>
      <w:r w:rsidR="00E464B9" w:rsidRPr="001C3FAB">
        <w:rPr>
          <w:rFonts w:ascii="Arial" w:hAnsi="Arial" w:cs="Arial"/>
          <w:sz w:val="22"/>
          <w:szCs w:val="22"/>
          <w:lang w:val="ro-RO"/>
        </w:rPr>
        <w:t>,</w:t>
      </w:r>
      <w:r w:rsidR="00E464B9" w:rsidRPr="0036575D">
        <w:rPr>
          <w:rFonts w:ascii="Arial" w:hAnsi="Arial" w:cs="Arial"/>
          <w:sz w:val="22"/>
          <w:szCs w:val="22"/>
          <w:lang w:val="ro-RO"/>
        </w:rPr>
        <w:t xml:space="preserve"> comparativ cu anul </w:t>
      </w:r>
      <w:r w:rsidR="00612E48" w:rsidRPr="00AF58C5">
        <w:rPr>
          <w:rFonts w:ascii="Arial" w:hAnsi="Arial" w:cs="Arial"/>
          <w:sz w:val="22"/>
          <w:szCs w:val="22"/>
          <w:lang w:val="ro-RO"/>
        </w:rPr>
        <w:t>201</w:t>
      </w:r>
      <w:r w:rsidR="00AF58C5" w:rsidRPr="00AF58C5">
        <w:rPr>
          <w:rFonts w:ascii="Arial" w:hAnsi="Arial" w:cs="Arial"/>
          <w:sz w:val="22"/>
          <w:szCs w:val="22"/>
          <w:lang w:val="ro-RO"/>
        </w:rPr>
        <w:t>2</w:t>
      </w:r>
      <w:r w:rsidR="00CF13EB" w:rsidRPr="00AF58C5">
        <w:rPr>
          <w:rFonts w:ascii="Arial" w:hAnsi="Arial" w:cs="Arial"/>
          <w:sz w:val="22"/>
          <w:szCs w:val="22"/>
          <w:lang w:val="ro-RO"/>
        </w:rPr>
        <w:t xml:space="preserve"> </w:t>
      </w:r>
      <w:r w:rsidR="003B4177" w:rsidRPr="00AF58C5">
        <w:rPr>
          <w:rFonts w:ascii="Arial" w:hAnsi="Arial" w:cs="Arial"/>
          <w:sz w:val="22"/>
          <w:szCs w:val="22"/>
          <w:lang w:val="ro-RO"/>
        </w:rPr>
        <w:t xml:space="preserve"> </w:t>
      </w:r>
      <w:r w:rsidR="00254E7A" w:rsidRPr="00AF58C5">
        <w:rPr>
          <w:rFonts w:ascii="Arial" w:hAnsi="Arial" w:cs="Arial"/>
          <w:sz w:val="22"/>
          <w:szCs w:val="22"/>
        </w:rPr>
        <w:t>(</w:t>
      </w:r>
      <w:r w:rsidR="003B4177" w:rsidRPr="00AF58C5">
        <w:rPr>
          <w:rFonts w:ascii="Arial" w:hAnsi="Arial" w:cs="Arial"/>
          <w:i/>
          <w:sz w:val="22"/>
          <w:szCs w:val="22"/>
        </w:rPr>
        <w:t>Sursa</w:t>
      </w:r>
      <w:r w:rsidR="00254E7A" w:rsidRPr="00AF58C5">
        <w:rPr>
          <w:rFonts w:ascii="Arial" w:hAnsi="Arial" w:cs="Arial"/>
          <w:i/>
          <w:sz w:val="22"/>
          <w:szCs w:val="22"/>
        </w:rPr>
        <w:t xml:space="preserve">: </w:t>
      </w:r>
      <w:r w:rsidR="00402300" w:rsidRPr="00AF58C5">
        <w:rPr>
          <w:rFonts w:ascii="Arial" w:hAnsi="Arial" w:cs="Arial"/>
          <w:i/>
          <w:sz w:val="22"/>
          <w:szCs w:val="22"/>
        </w:rPr>
        <w:t>Anuarul Statistic al jud.</w:t>
      </w:r>
      <w:r w:rsidR="001D702E" w:rsidRPr="00AF58C5">
        <w:rPr>
          <w:rFonts w:ascii="Arial" w:hAnsi="Arial" w:cs="Arial"/>
          <w:i/>
          <w:sz w:val="22"/>
          <w:szCs w:val="22"/>
        </w:rPr>
        <w:t xml:space="preserve"> </w:t>
      </w:r>
      <w:r w:rsidR="00254E7A" w:rsidRPr="00AF58C5">
        <w:rPr>
          <w:rFonts w:ascii="Arial" w:hAnsi="Arial" w:cs="Arial"/>
          <w:i/>
          <w:sz w:val="22"/>
          <w:szCs w:val="22"/>
        </w:rPr>
        <w:t>Suceava)</w:t>
      </w:r>
    </w:p>
    <w:p w:rsidR="00D52CBB" w:rsidRPr="0036575D" w:rsidRDefault="00D52CBB" w:rsidP="005624A2">
      <w:pPr>
        <w:pStyle w:val="BodyTextIndent2"/>
        <w:widowControl w:val="0"/>
        <w:ind w:firstLine="0"/>
        <w:jc w:val="center"/>
        <w:rPr>
          <w:i/>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4"/>
        <w:gridCol w:w="4961"/>
      </w:tblGrid>
      <w:tr w:rsidR="00E464B9" w:rsidRPr="0036575D" w:rsidTr="00AF58C5">
        <w:trPr>
          <w:trHeight w:val="2237"/>
        </w:trPr>
        <w:tc>
          <w:tcPr>
            <w:tcW w:w="5034" w:type="dxa"/>
            <w:vAlign w:val="center"/>
          </w:tcPr>
          <w:p w:rsidR="00E464B9" w:rsidRPr="0036575D" w:rsidRDefault="00E464B9" w:rsidP="00171588">
            <w:pPr>
              <w:widowControl w:val="0"/>
              <w:autoSpaceDE w:val="0"/>
              <w:autoSpaceDN w:val="0"/>
              <w:adjustRightInd w:val="0"/>
              <w:jc w:val="center"/>
              <w:rPr>
                <w:rFonts w:ascii="Arial" w:hAnsi="Arial" w:cs="Arial"/>
                <w:sz w:val="22"/>
                <w:szCs w:val="22"/>
                <w:lang w:val="ro-RO"/>
              </w:rPr>
            </w:pPr>
            <w:r w:rsidRPr="0036575D">
              <w:rPr>
                <w:rFonts w:ascii="Arial" w:hAnsi="Arial" w:cs="Arial"/>
                <w:noProof/>
                <w:lang w:val="ro-RO"/>
              </w:rPr>
              <w:drawing>
                <wp:inline distT="0" distB="0" distL="0" distR="0">
                  <wp:extent cx="3095625" cy="1438275"/>
                  <wp:effectExtent l="19050" t="0" r="0" b="0"/>
                  <wp:docPr id="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61" w:type="dxa"/>
            <w:vAlign w:val="center"/>
          </w:tcPr>
          <w:p w:rsidR="00E464B9" w:rsidRPr="0036575D" w:rsidRDefault="00E464B9" w:rsidP="00171588">
            <w:pPr>
              <w:widowControl w:val="0"/>
              <w:autoSpaceDE w:val="0"/>
              <w:autoSpaceDN w:val="0"/>
              <w:adjustRightInd w:val="0"/>
              <w:jc w:val="center"/>
              <w:rPr>
                <w:rFonts w:ascii="Arial" w:hAnsi="Arial" w:cs="Arial"/>
                <w:color w:val="F79646" w:themeColor="accent6"/>
                <w:sz w:val="22"/>
                <w:szCs w:val="22"/>
                <w:lang w:val="ro-RO"/>
              </w:rPr>
            </w:pPr>
            <w:r w:rsidRPr="0036575D">
              <w:rPr>
                <w:rFonts w:ascii="Arial" w:hAnsi="Arial" w:cs="Arial"/>
                <w:noProof/>
                <w:color w:val="F79646" w:themeColor="accent6"/>
                <w:lang w:val="ro-RO"/>
              </w:rPr>
              <w:drawing>
                <wp:inline distT="0" distB="0" distL="0" distR="0">
                  <wp:extent cx="3048000" cy="1438275"/>
                  <wp:effectExtent l="19050" t="0" r="0" b="0"/>
                  <wp:docPr id="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464B9" w:rsidRPr="00FC07E4" w:rsidTr="00AF58C5">
        <w:trPr>
          <w:trHeight w:val="417"/>
        </w:trPr>
        <w:tc>
          <w:tcPr>
            <w:tcW w:w="5034" w:type="dxa"/>
            <w:vAlign w:val="center"/>
          </w:tcPr>
          <w:p w:rsidR="00D52CBB" w:rsidRPr="0036575D" w:rsidRDefault="00D52CBB" w:rsidP="00D52CBB">
            <w:pPr>
              <w:widowControl w:val="0"/>
              <w:autoSpaceDE w:val="0"/>
              <w:autoSpaceDN w:val="0"/>
              <w:adjustRightInd w:val="0"/>
              <w:rPr>
                <w:rFonts w:ascii="Arial" w:hAnsi="Arial" w:cs="Arial"/>
                <w:b/>
                <w:noProof/>
                <w:sz w:val="16"/>
                <w:szCs w:val="16"/>
                <w:lang w:val="ro-RO"/>
              </w:rPr>
            </w:pPr>
          </w:p>
          <w:p w:rsidR="00E464B9" w:rsidRPr="00FC07E4" w:rsidRDefault="00050ED9" w:rsidP="00AF58C5">
            <w:pPr>
              <w:widowControl w:val="0"/>
              <w:autoSpaceDE w:val="0"/>
              <w:autoSpaceDN w:val="0"/>
              <w:adjustRightInd w:val="0"/>
              <w:jc w:val="center"/>
              <w:rPr>
                <w:rFonts w:ascii="Arial" w:hAnsi="Arial" w:cs="Arial"/>
                <w:b/>
                <w:noProof/>
                <w:sz w:val="22"/>
                <w:szCs w:val="22"/>
                <w:lang w:val="ro-RO"/>
              </w:rPr>
            </w:pPr>
            <w:r w:rsidRPr="00FC07E4">
              <w:rPr>
                <w:rFonts w:ascii="Arial" w:hAnsi="Arial" w:cs="Arial"/>
                <w:b/>
                <w:noProof/>
                <w:sz w:val="22"/>
                <w:szCs w:val="22"/>
                <w:lang w:val="ro-RO"/>
              </w:rPr>
              <w:t xml:space="preserve">anul </w:t>
            </w:r>
            <w:r w:rsidR="00E464B9" w:rsidRPr="00FC07E4">
              <w:rPr>
                <w:rFonts w:ascii="Arial" w:hAnsi="Arial" w:cs="Arial"/>
                <w:b/>
                <w:noProof/>
                <w:sz w:val="22"/>
                <w:szCs w:val="22"/>
                <w:lang w:val="ro-RO"/>
              </w:rPr>
              <w:t>201</w:t>
            </w:r>
            <w:r w:rsidR="00AF58C5" w:rsidRPr="00FC07E4">
              <w:rPr>
                <w:rFonts w:ascii="Arial" w:hAnsi="Arial" w:cs="Arial"/>
                <w:b/>
                <w:noProof/>
                <w:sz w:val="22"/>
                <w:szCs w:val="22"/>
                <w:lang w:val="ro-RO"/>
              </w:rPr>
              <w:t>2</w:t>
            </w:r>
          </w:p>
        </w:tc>
        <w:tc>
          <w:tcPr>
            <w:tcW w:w="4961" w:type="dxa"/>
            <w:vAlign w:val="center"/>
          </w:tcPr>
          <w:p w:rsidR="007536C9" w:rsidRPr="00FC07E4" w:rsidRDefault="007536C9" w:rsidP="007E1B18">
            <w:pPr>
              <w:widowControl w:val="0"/>
              <w:autoSpaceDE w:val="0"/>
              <w:autoSpaceDN w:val="0"/>
              <w:adjustRightInd w:val="0"/>
              <w:jc w:val="center"/>
              <w:rPr>
                <w:rFonts w:ascii="Arial" w:hAnsi="Arial" w:cs="Arial"/>
                <w:b/>
                <w:noProof/>
                <w:color w:val="F79646" w:themeColor="accent6"/>
                <w:sz w:val="16"/>
                <w:szCs w:val="16"/>
                <w:lang w:val="ro-RO"/>
              </w:rPr>
            </w:pPr>
          </w:p>
          <w:p w:rsidR="00D52CBB" w:rsidRPr="00FC07E4" w:rsidRDefault="00050ED9" w:rsidP="00402300">
            <w:pPr>
              <w:widowControl w:val="0"/>
              <w:autoSpaceDE w:val="0"/>
              <w:autoSpaceDN w:val="0"/>
              <w:adjustRightInd w:val="0"/>
              <w:jc w:val="center"/>
              <w:rPr>
                <w:rFonts w:ascii="Arial" w:hAnsi="Arial" w:cs="Arial"/>
                <w:b/>
                <w:noProof/>
                <w:sz w:val="22"/>
                <w:szCs w:val="22"/>
                <w:lang w:val="ro-RO"/>
              </w:rPr>
            </w:pPr>
            <w:r w:rsidRPr="00FC07E4">
              <w:rPr>
                <w:rFonts w:ascii="Arial" w:hAnsi="Arial" w:cs="Arial"/>
                <w:b/>
                <w:noProof/>
                <w:sz w:val="22"/>
                <w:szCs w:val="22"/>
                <w:lang w:val="ro-RO"/>
              </w:rPr>
              <w:t xml:space="preserve">anul </w:t>
            </w:r>
            <w:r w:rsidR="00E464B9" w:rsidRPr="00FC07E4">
              <w:rPr>
                <w:rFonts w:ascii="Arial" w:hAnsi="Arial" w:cs="Arial"/>
                <w:b/>
                <w:noProof/>
                <w:sz w:val="22"/>
                <w:szCs w:val="22"/>
                <w:lang w:val="ro-RO"/>
              </w:rPr>
              <w:t>201</w:t>
            </w:r>
            <w:r w:rsidR="00402300" w:rsidRPr="00FC07E4">
              <w:rPr>
                <w:rFonts w:ascii="Arial" w:hAnsi="Arial" w:cs="Arial"/>
                <w:b/>
                <w:noProof/>
                <w:sz w:val="22"/>
                <w:szCs w:val="22"/>
                <w:lang w:val="ro-RO"/>
              </w:rPr>
              <w:t>6</w:t>
            </w:r>
          </w:p>
        </w:tc>
      </w:tr>
    </w:tbl>
    <w:p w:rsidR="00E464B9" w:rsidRPr="00FC07E4" w:rsidRDefault="00E464B9" w:rsidP="00171588">
      <w:pPr>
        <w:widowControl w:val="0"/>
        <w:autoSpaceDE w:val="0"/>
        <w:autoSpaceDN w:val="0"/>
        <w:adjustRightInd w:val="0"/>
        <w:ind w:firstLine="706"/>
        <w:jc w:val="center"/>
        <w:rPr>
          <w:rFonts w:ascii="Arial" w:hAnsi="Arial" w:cs="Arial"/>
          <w:color w:val="984806" w:themeColor="accent6" w:themeShade="80"/>
          <w:sz w:val="10"/>
          <w:szCs w:val="10"/>
          <w:lang w:val="ro-RO"/>
        </w:rPr>
      </w:pPr>
    </w:p>
    <w:p w:rsidR="00402300" w:rsidRPr="00FC07E4" w:rsidRDefault="00402300" w:rsidP="00402300">
      <w:pPr>
        <w:widowControl w:val="0"/>
        <w:jc w:val="both"/>
        <w:rPr>
          <w:rFonts w:ascii="Arial" w:eastAsia="Calibri" w:hAnsi="Arial" w:cs="Arial"/>
          <w:i/>
          <w:sz w:val="22"/>
          <w:szCs w:val="22"/>
          <w:lang w:val="ro-RO"/>
        </w:rPr>
      </w:pPr>
      <w:r w:rsidRPr="00FC07E4">
        <w:rPr>
          <w:rFonts w:ascii="Arial" w:eastAsia="Calibri" w:hAnsi="Arial" w:cs="Arial"/>
          <w:i/>
          <w:sz w:val="22"/>
          <w:szCs w:val="22"/>
          <w:lang w:val="ro-RO"/>
        </w:rPr>
        <w:t>Notă: pentru anii 2015 și 2016 datele sunt provizorii. Indicatorii sunt conform datelor de la Direcția pentru Agricultură Județeană Suceava.</w:t>
      </w:r>
      <w:r w:rsidR="00CD0543" w:rsidRPr="00FC07E4">
        <w:rPr>
          <w:rFonts w:ascii="Arial" w:eastAsia="Calibri" w:hAnsi="Arial" w:cs="Arial"/>
          <w:i/>
          <w:sz w:val="22"/>
          <w:szCs w:val="22"/>
          <w:lang w:val="ro-RO"/>
        </w:rPr>
        <w:t xml:space="preserve"> </w:t>
      </w:r>
    </w:p>
    <w:p w:rsidR="00402300" w:rsidRPr="00FC07E4" w:rsidRDefault="00402300" w:rsidP="00171588">
      <w:pPr>
        <w:widowControl w:val="0"/>
        <w:ind w:firstLine="720"/>
        <w:jc w:val="both"/>
        <w:rPr>
          <w:rFonts w:ascii="Arial" w:eastAsia="Calibri" w:hAnsi="Arial" w:cs="Arial"/>
          <w:sz w:val="10"/>
          <w:szCs w:val="10"/>
          <w:lang w:val="ro-RO"/>
        </w:rPr>
      </w:pPr>
    </w:p>
    <w:p w:rsidR="00C94205" w:rsidRPr="00FC07E4" w:rsidRDefault="00E464B9" w:rsidP="00171588">
      <w:pPr>
        <w:widowControl w:val="0"/>
        <w:ind w:firstLine="720"/>
        <w:jc w:val="both"/>
        <w:rPr>
          <w:rFonts w:ascii="Arial" w:eastAsia="Calibri" w:hAnsi="Arial" w:cs="Arial"/>
          <w:lang w:val="ro-RO"/>
        </w:rPr>
      </w:pPr>
      <w:r w:rsidRPr="00FC07E4">
        <w:rPr>
          <w:rFonts w:ascii="Arial" w:eastAsia="Calibri" w:hAnsi="Arial" w:cs="Arial"/>
          <w:lang w:val="ro-RO"/>
        </w:rPr>
        <w:t>Analizând</w:t>
      </w:r>
      <w:r w:rsidR="001732A2" w:rsidRPr="00FC07E4">
        <w:rPr>
          <w:rFonts w:ascii="Arial" w:eastAsia="Calibri" w:hAnsi="Arial" w:cs="Arial"/>
          <w:lang w:val="ro-RO"/>
        </w:rPr>
        <w:t xml:space="preserve"> situaţia din anul 201</w:t>
      </w:r>
      <w:r w:rsidR="00402300" w:rsidRPr="00FC07E4">
        <w:rPr>
          <w:rFonts w:ascii="Arial" w:eastAsia="Calibri" w:hAnsi="Arial" w:cs="Arial"/>
          <w:lang w:val="ro-RO"/>
        </w:rPr>
        <w:t>6</w:t>
      </w:r>
      <w:r w:rsidR="001732A2" w:rsidRPr="00FC07E4">
        <w:rPr>
          <w:rFonts w:ascii="Arial" w:eastAsia="Calibri" w:hAnsi="Arial" w:cs="Arial"/>
          <w:lang w:val="ro-RO"/>
        </w:rPr>
        <w:t xml:space="preserve"> comparativ cu anul 201</w:t>
      </w:r>
      <w:r w:rsidR="00AF58C5" w:rsidRPr="00FC07E4">
        <w:rPr>
          <w:rFonts w:ascii="Arial" w:eastAsia="Calibri" w:hAnsi="Arial" w:cs="Arial"/>
          <w:lang w:val="ro-RO"/>
        </w:rPr>
        <w:t>2,</w:t>
      </w:r>
      <w:r w:rsidR="001732A2" w:rsidRPr="00FC07E4">
        <w:rPr>
          <w:rFonts w:ascii="Arial" w:eastAsia="Calibri" w:hAnsi="Arial" w:cs="Arial"/>
          <w:lang w:val="ro-RO"/>
        </w:rPr>
        <w:t xml:space="preserve"> din</w:t>
      </w:r>
      <w:r w:rsidRPr="00FC07E4">
        <w:rPr>
          <w:rFonts w:ascii="Arial" w:eastAsia="Calibri" w:hAnsi="Arial" w:cs="Arial"/>
          <w:lang w:val="ro-RO"/>
        </w:rPr>
        <w:t xml:space="preserve"> fig. III.1.1.</w:t>
      </w:r>
      <w:r w:rsidR="00967B1C" w:rsidRPr="00FC07E4">
        <w:rPr>
          <w:rFonts w:ascii="Arial" w:eastAsia="Calibri" w:hAnsi="Arial" w:cs="Arial"/>
          <w:lang w:val="ro-RO"/>
        </w:rPr>
        <w:t>2</w:t>
      </w:r>
      <w:r w:rsidR="001732A2" w:rsidRPr="00FC07E4">
        <w:rPr>
          <w:rFonts w:ascii="Arial" w:eastAsia="Calibri" w:hAnsi="Arial" w:cs="Arial"/>
          <w:lang w:val="ro-RO"/>
        </w:rPr>
        <w:t>,</w:t>
      </w:r>
      <w:r w:rsidRPr="00FC07E4">
        <w:rPr>
          <w:rFonts w:ascii="Arial" w:eastAsia="Calibri" w:hAnsi="Arial" w:cs="Arial"/>
          <w:lang w:val="ro-RO"/>
        </w:rPr>
        <w:t xml:space="preserve"> se constată o </w:t>
      </w:r>
      <w:r w:rsidR="00AF58C5" w:rsidRPr="00FC07E4">
        <w:rPr>
          <w:rFonts w:ascii="Arial" w:eastAsia="Calibri" w:hAnsi="Arial" w:cs="Arial"/>
          <w:lang w:val="ro-RO"/>
        </w:rPr>
        <w:t>reducere</w:t>
      </w:r>
      <w:r w:rsidRPr="00FC07E4">
        <w:rPr>
          <w:rFonts w:ascii="Arial" w:eastAsia="Calibri" w:hAnsi="Arial" w:cs="Arial"/>
          <w:lang w:val="ro-RO"/>
        </w:rPr>
        <w:t xml:space="preserve"> </w:t>
      </w:r>
      <w:r w:rsidR="00AF58C5" w:rsidRPr="00FC07E4">
        <w:rPr>
          <w:rFonts w:ascii="Arial" w:eastAsia="Calibri" w:hAnsi="Arial" w:cs="Arial"/>
          <w:lang w:val="ro-RO"/>
        </w:rPr>
        <w:t xml:space="preserve">cu 1% </w:t>
      </w:r>
      <w:r w:rsidRPr="00FC07E4">
        <w:rPr>
          <w:rFonts w:ascii="Arial" w:eastAsia="Calibri" w:hAnsi="Arial" w:cs="Arial"/>
          <w:lang w:val="ro-RO"/>
        </w:rPr>
        <w:t xml:space="preserve">a </w:t>
      </w:r>
      <w:r w:rsidR="00AF58C5" w:rsidRPr="00FC07E4">
        <w:rPr>
          <w:rFonts w:ascii="Arial" w:eastAsia="Calibri" w:hAnsi="Arial" w:cs="Arial"/>
          <w:lang w:val="ro-RO"/>
        </w:rPr>
        <w:t xml:space="preserve">ponderii suprafeţelor de </w:t>
      </w:r>
      <w:r w:rsidRPr="00FC07E4">
        <w:rPr>
          <w:rFonts w:ascii="Arial" w:eastAsia="Calibri" w:hAnsi="Arial" w:cs="Arial"/>
          <w:lang w:val="ro-RO"/>
        </w:rPr>
        <w:t xml:space="preserve">terenuri arabile </w:t>
      </w:r>
      <w:r w:rsidR="001C3FAB" w:rsidRPr="00FC07E4">
        <w:rPr>
          <w:rFonts w:ascii="Arial" w:eastAsia="Calibri" w:hAnsi="Arial" w:cs="Arial"/>
          <w:lang w:val="ro-RO"/>
        </w:rPr>
        <w:t>și</w:t>
      </w:r>
      <w:r w:rsidR="00AF58C5" w:rsidRPr="00FC07E4">
        <w:rPr>
          <w:rFonts w:ascii="Arial" w:eastAsia="Calibri" w:hAnsi="Arial" w:cs="Arial"/>
          <w:lang w:val="ro-RO"/>
        </w:rPr>
        <w:t xml:space="preserve"> creșteri </w:t>
      </w:r>
      <w:r w:rsidR="00CD0543" w:rsidRPr="00FC07E4">
        <w:rPr>
          <w:rFonts w:ascii="Arial" w:eastAsia="Calibri" w:hAnsi="Arial" w:cs="Arial"/>
          <w:lang w:val="ro-RO"/>
        </w:rPr>
        <w:t xml:space="preserve">ușoare </w:t>
      </w:r>
      <w:r w:rsidR="00AF58C5" w:rsidRPr="00FC07E4">
        <w:rPr>
          <w:rFonts w:ascii="Arial" w:eastAsia="Calibri" w:hAnsi="Arial" w:cs="Arial"/>
          <w:lang w:val="ro-RO"/>
        </w:rPr>
        <w:t>ale ponderii celorlalte tipuri de suprafețe agricole, în special a celor de fâneţe</w:t>
      </w:r>
      <w:r w:rsidR="001C3FAB" w:rsidRPr="00FC07E4">
        <w:rPr>
          <w:rFonts w:ascii="Arial" w:eastAsia="Calibri" w:hAnsi="Arial" w:cs="Arial"/>
          <w:lang w:val="ro-RO"/>
        </w:rPr>
        <w:t>.</w:t>
      </w:r>
    </w:p>
    <w:p w:rsidR="00E464B9" w:rsidRPr="00FC07E4" w:rsidRDefault="00E464B9" w:rsidP="00171588">
      <w:pPr>
        <w:widowControl w:val="0"/>
        <w:ind w:firstLine="720"/>
        <w:jc w:val="both"/>
        <w:rPr>
          <w:rFonts w:ascii="Arial" w:eastAsia="Calibri" w:hAnsi="Arial" w:cs="Arial"/>
          <w:color w:val="984806" w:themeColor="accent6" w:themeShade="80"/>
          <w:sz w:val="20"/>
          <w:szCs w:val="20"/>
          <w:lang w:val="ro-RO"/>
        </w:rPr>
      </w:pPr>
    </w:p>
    <w:p w:rsidR="005727B4" w:rsidRPr="00EB63AD" w:rsidRDefault="005727B4" w:rsidP="00171588">
      <w:pPr>
        <w:pStyle w:val="BodyTextIndent2"/>
        <w:widowControl w:val="0"/>
        <w:ind w:left="284" w:hanging="284"/>
        <w:jc w:val="both"/>
        <w:rPr>
          <w:b/>
          <w:bCs/>
          <w:i/>
        </w:rPr>
      </w:pPr>
      <w:r w:rsidRPr="00FC07E4">
        <w:rPr>
          <w:b/>
          <w:bCs/>
          <w:i/>
        </w:rPr>
        <w:t>III.1.2. Terenuri afectate de diverşi factori limitativi</w:t>
      </w:r>
    </w:p>
    <w:p w:rsidR="00863C9D" w:rsidRPr="00AF58C5" w:rsidRDefault="00863C9D" w:rsidP="00171588">
      <w:pPr>
        <w:pStyle w:val="BodyTextIndent2"/>
        <w:widowControl w:val="0"/>
        <w:ind w:left="284" w:hanging="284"/>
        <w:jc w:val="both"/>
        <w:rPr>
          <w:b/>
          <w:bCs/>
          <w:i/>
          <w:sz w:val="16"/>
          <w:szCs w:val="16"/>
        </w:rPr>
      </w:pPr>
    </w:p>
    <w:p w:rsidR="002E3147" w:rsidRPr="00EB63AD" w:rsidRDefault="002E3147" w:rsidP="00171588">
      <w:pPr>
        <w:widowControl w:val="0"/>
        <w:autoSpaceDE w:val="0"/>
        <w:autoSpaceDN w:val="0"/>
        <w:adjustRightInd w:val="0"/>
        <w:ind w:firstLine="706"/>
        <w:jc w:val="both"/>
        <w:rPr>
          <w:rFonts w:ascii="Arial" w:hAnsi="Arial" w:cs="Arial"/>
          <w:lang w:val="ro-RO"/>
        </w:rPr>
      </w:pPr>
      <w:r w:rsidRPr="00EB63AD">
        <w:rPr>
          <w:rFonts w:ascii="Arial" w:hAnsi="Arial" w:cs="Arial"/>
          <w:lang w:val="ro-RO"/>
        </w:rPr>
        <w:t>Degradarea solului este o preocupare majoră de mediu, cu multe dimensiuni, incluzând:</w:t>
      </w:r>
    </w:p>
    <w:p w:rsidR="002E3147" w:rsidRPr="00EB63AD" w:rsidRDefault="002E3147" w:rsidP="00171588">
      <w:pPr>
        <w:widowControl w:val="0"/>
        <w:autoSpaceDE w:val="0"/>
        <w:autoSpaceDN w:val="0"/>
        <w:adjustRightInd w:val="0"/>
        <w:ind w:firstLine="706"/>
        <w:jc w:val="both"/>
        <w:rPr>
          <w:rFonts w:ascii="Arial" w:hAnsi="Arial" w:cs="Arial"/>
          <w:lang w:val="ro-RO"/>
        </w:rPr>
      </w:pPr>
      <w:r w:rsidRPr="00EB63AD">
        <w:rPr>
          <w:rFonts w:ascii="Arial" w:hAnsi="Arial" w:cs="Arial"/>
          <w:lang w:val="ro-RO"/>
        </w:rPr>
        <w:t xml:space="preserve">• </w:t>
      </w:r>
      <w:r w:rsidRPr="00EB63AD">
        <w:rPr>
          <w:rFonts w:ascii="Arial" w:hAnsi="Arial" w:cs="Arial"/>
          <w:i/>
          <w:lang w:val="ro-RO"/>
        </w:rPr>
        <w:t>Eroziunea solului</w:t>
      </w:r>
      <w:r w:rsidRPr="00EB63AD">
        <w:rPr>
          <w:rFonts w:ascii="Arial" w:hAnsi="Arial" w:cs="Arial"/>
          <w:lang w:val="ro-RO"/>
        </w:rPr>
        <w:t xml:space="preserve"> este</w:t>
      </w:r>
      <w:r w:rsidR="00D125AF" w:rsidRPr="00EB63AD">
        <w:rPr>
          <w:rFonts w:ascii="Arial" w:hAnsi="Arial" w:cs="Arial"/>
          <w:lang w:val="ro-RO"/>
        </w:rPr>
        <w:t xml:space="preserve"> fenomenul prin care</w:t>
      </w:r>
      <w:r w:rsidRPr="00EB63AD">
        <w:rPr>
          <w:rFonts w:ascii="Arial" w:hAnsi="Arial" w:cs="Arial"/>
          <w:lang w:val="ro-RO"/>
        </w:rPr>
        <w:t xml:space="preserve"> suprafaţa solului</w:t>
      </w:r>
      <w:r w:rsidR="00D125AF" w:rsidRPr="00EB63AD">
        <w:rPr>
          <w:rFonts w:ascii="Arial" w:hAnsi="Arial" w:cs="Arial"/>
          <w:lang w:val="ro-RO"/>
        </w:rPr>
        <w:t xml:space="preserve"> este </w:t>
      </w:r>
      <w:r w:rsidRPr="00EB63AD">
        <w:rPr>
          <w:rFonts w:ascii="Arial" w:hAnsi="Arial" w:cs="Arial"/>
          <w:lang w:val="ro-RO"/>
        </w:rPr>
        <w:t xml:space="preserve"> îndepărtată de apă şi de vânt. Principalele cauze ale eroziunii solului sunt practicile neadecvate de gestionare a terenurilor, despădurirea, păşunatul excesiv, incendiile forestiere şi activităţi</w:t>
      </w:r>
      <w:r w:rsidR="00D125AF" w:rsidRPr="00EB63AD">
        <w:rPr>
          <w:rFonts w:ascii="Arial" w:hAnsi="Arial" w:cs="Arial"/>
          <w:lang w:val="ro-RO"/>
        </w:rPr>
        <w:t>le</w:t>
      </w:r>
      <w:r w:rsidRPr="00EB63AD">
        <w:rPr>
          <w:rFonts w:ascii="Arial" w:hAnsi="Arial" w:cs="Arial"/>
          <w:lang w:val="ro-RO"/>
        </w:rPr>
        <w:t xml:space="preserve"> din construcţii. Ratele de eroziune sunt foarte sensibile, atât la climă, cât şi la utilizarea terenurilor, precum şi în urma practicii de conservare detaliată la nivelul solului. Având în vedere rata foarte lentă de formare a solului, orice pierdere de sol mai mare de 1 tonă pe hectar pe an poate fi considerată ca ireversibilă, pentru o perioadă de 50 - 100 ani. Eroziunea solului poate fi datorată apei sau vântului (eroziunea eoliană). </w:t>
      </w:r>
    </w:p>
    <w:p w:rsidR="002E3147" w:rsidRPr="00EB63AD" w:rsidRDefault="002E3147" w:rsidP="00171588">
      <w:pPr>
        <w:widowControl w:val="0"/>
        <w:autoSpaceDE w:val="0"/>
        <w:autoSpaceDN w:val="0"/>
        <w:adjustRightInd w:val="0"/>
        <w:ind w:firstLine="706"/>
        <w:jc w:val="both"/>
        <w:rPr>
          <w:rFonts w:ascii="Arial" w:hAnsi="Arial" w:cs="Arial"/>
          <w:lang w:val="ro-RO"/>
        </w:rPr>
      </w:pPr>
      <w:r w:rsidRPr="00EB63AD">
        <w:rPr>
          <w:rFonts w:ascii="Arial" w:hAnsi="Arial" w:cs="Arial"/>
          <w:lang w:val="ro-RO"/>
        </w:rPr>
        <w:t xml:space="preserve">• </w:t>
      </w:r>
      <w:r w:rsidRPr="00EB63AD">
        <w:rPr>
          <w:rFonts w:ascii="Arial" w:hAnsi="Arial" w:cs="Arial"/>
          <w:i/>
          <w:lang w:val="ro-RO"/>
        </w:rPr>
        <w:t>Impermeabilizarea</w:t>
      </w:r>
      <w:r w:rsidR="00C94205" w:rsidRPr="00EB63AD">
        <w:rPr>
          <w:rFonts w:ascii="Arial" w:hAnsi="Arial" w:cs="Arial"/>
          <w:i/>
          <w:lang w:val="ro-RO"/>
        </w:rPr>
        <w:t xml:space="preserve"> </w:t>
      </w:r>
      <w:r w:rsidR="00D2235E" w:rsidRPr="00EB63AD">
        <w:rPr>
          <w:rFonts w:ascii="Arial" w:hAnsi="Arial" w:cs="Arial"/>
          <w:i/>
          <w:lang w:val="ro-RO"/>
        </w:rPr>
        <w:t>(compactarea)</w:t>
      </w:r>
      <w:r w:rsidRPr="00EB63AD">
        <w:rPr>
          <w:rFonts w:ascii="Arial" w:hAnsi="Arial" w:cs="Arial"/>
          <w:i/>
          <w:lang w:val="ro-RO"/>
        </w:rPr>
        <w:t xml:space="preserve"> solurilor</w:t>
      </w:r>
      <w:r w:rsidRPr="00EB63AD">
        <w:rPr>
          <w:rFonts w:ascii="Arial" w:hAnsi="Arial" w:cs="Arial"/>
          <w:lang w:val="ro-RO"/>
        </w:rPr>
        <w:t xml:space="preserve"> apare atunci când terenurile agricole sau alte </w:t>
      </w:r>
      <w:r w:rsidR="006402C0" w:rsidRPr="00EB63AD">
        <w:rPr>
          <w:rFonts w:ascii="Arial" w:hAnsi="Arial" w:cs="Arial"/>
          <w:lang w:val="ro-RO"/>
        </w:rPr>
        <w:t xml:space="preserve">terenuri </w:t>
      </w:r>
      <w:r w:rsidRPr="00EB63AD">
        <w:rPr>
          <w:rFonts w:ascii="Arial" w:hAnsi="Arial" w:cs="Arial"/>
          <w:lang w:val="ro-RO"/>
        </w:rPr>
        <w:t xml:space="preserve"> sunt folosite în construcţii (pentru extinderea aşezărilor urbane şi pentru infrastructura de transport) şi toate funcţiile solului sunt pierdute. </w:t>
      </w:r>
    </w:p>
    <w:p w:rsidR="002E3147" w:rsidRPr="00EB63AD" w:rsidRDefault="002E3147" w:rsidP="00171588">
      <w:pPr>
        <w:widowControl w:val="0"/>
        <w:autoSpaceDE w:val="0"/>
        <w:autoSpaceDN w:val="0"/>
        <w:adjustRightInd w:val="0"/>
        <w:ind w:firstLine="706"/>
        <w:jc w:val="both"/>
        <w:rPr>
          <w:rFonts w:ascii="Arial" w:hAnsi="Arial" w:cs="Arial"/>
          <w:lang w:val="ro-RO"/>
        </w:rPr>
      </w:pPr>
      <w:r w:rsidRPr="00EB63AD">
        <w:rPr>
          <w:rFonts w:ascii="Arial" w:hAnsi="Arial" w:cs="Arial"/>
          <w:lang w:val="ro-RO"/>
        </w:rPr>
        <w:t xml:space="preserve">• </w:t>
      </w:r>
      <w:r w:rsidRPr="00EB63AD">
        <w:rPr>
          <w:rFonts w:ascii="Arial" w:hAnsi="Arial" w:cs="Arial"/>
          <w:i/>
          <w:lang w:val="ro-RO"/>
        </w:rPr>
        <w:t>Salinizarea</w:t>
      </w:r>
      <w:r w:rsidR="00C94205" w:rsidRPr="00EB63AD">
        <w:rPr>
          <w:rFonts w:ascii="Arial" w:hAnsi="Arial" w:cs="Arial"/>
          <w:i/>
          <w:lang w:val="ro-RO"/>
        </w:rPr>
        <w:t xml:space="preserve"> </w:t>
      </w:r>
      <w:r w:rsidR="000C3C35" w:rsidRPr="00EB63AD">
        <w:rPr>
          <w:rFonts w:ascii="Arial" w:hAnsi="Arial" w:cs="Arial"/>
          <w:i/>
          <w:lang w:val="ro-RO"/>
        </w:rPr>
        <w:t>(s</w:t>
      </w:r>
      <w:r w:rsidR="00C94205" w:rsidRPr="00EB63AD">
        <w:rPr>
          <w:rFonts w:ascii="Arial" w:hAnsi="Arial" w:cs="Arial"/>
          <w:i/>
          <w:lang w:val="ro-RO"/>
        </w:rPr>
        <w:t>ă</w:t>
      </w:r>
      <w:r w:rsidR="000C3C35" w:rsidRPr="00EB63AD">
        <w:rPr>
          <w:rFonts w:ascii="Arial" w:hAnsi="Arial" w:cs="Arial"/>
          <w:i/>
          <w:lang w:val="ro-RO"/>
        </w:rPr>
        <w:t>r</w:t>
      </w:r>
      <w:r w:rsidR="00C94205" w:rsidRPr="00EB63AD">
        <w:rPr>
          <w:rFonts w:ascii="Arial" w:hAnsi="Arial" w:cs="Arial"/>
          <w:i/>
          <w:lang w:val="ro-RO"/>
        </w:rPr>
        <w:t>ă</w:t>
      </w:r>
      <w:r w:rsidR="000C3C35" w:rsidRPr="00EB63AD">
        <w:rPr>
          <w:rFonts w:ascii="Arial" w:hAnsi="Arial" w:cs="Arial"/>
          <w:i/>
          <w:lang w:val="ro-RO"/>
        </w:rPr>
        <w:t>turarea)</w:t>
      </w:r>
      <w:r w:rsidRPr="00EB63AD">
        <w:rPr>
          <w:rFonts w:ascii="Arial" w:hAnsi="Arial" w:cs="Arial"/>
          <w:i/>
          <w:lang w:val="ro-RO"/>
        </w:rPr>
        <w:t xml:space="preserve"> </w:t>
      </w:r>
      <w:r w:rsidRPr="00DF40FA">
        <w:rPr>
          <w:rFonts w:ascii="Arial" w:hAnsi="Arial" w:cs="Arial"/>
          <w:i/>
          <w:lang w:val="ro-RO"/>
        </w:rPr>
        <w:t>solurilor</w:t>
      </w:r>
      <w:r w:rsidRPr="00DF40FA">
        <w:rPr>
          <w:rFonts w:ascii="Arial" w:hAnsi="Arial" w:cs="Arial"/>
          <w:lang w:val="ro-RO"/>
        </w:rPr>
        <w:t xml:space="preserve"> rezultă în urma intervenţiilor umane, cum ar fi practicile necorespunzătoare de irigare</w:t>
      </w:r>
      <w:r w:rsidR="000C3C35" w:rsidRPr="00DF40FA">
        <w:rPr>
          <w:rFonts w:ascii="Arial" w:hAnsi="Arial" w:cs="Arial"/>
          <w:lang w:val="ro-RO"/>
        </w:rPr>
        <w:t xml:space="preserve">, </w:t>
      </w:r>
      <w:r w:rsidR="00DF40FA" w:rsidRPr="00DF40FA">
        <w:rPr>
          <w:rFonts w:ascii="Arial" w:hAnsi="Arial" w:cs="Arial"/>
          <w:lang w:val="ro-RO"/>
        </w:rPr>
        <w:t>utilizarea apei bogate în să</w:t>
      </w:r>
      <w:r w:rsidR="000C3C35" w:rsidRPr="00DF40FA">
        <w:rPr>
          <w:rFonts w:ascii="Arial" w:hAnsi="Arial" w:cs="Arial"/>
          <w:lang w:val="ro-RO"/>
        </w:rPr>
        <w:t>ruri</w:t>
      </w:r>
      <w:r w:rsidRPr="00DF40FA">
        <w:rPr>
          <w:rFonts w:ascii="Arial" w:hAnsi="Arial" w:cs="Arial"/>
          <w:lang w:val="ro-RO"/>
        </w:rPr>
        <w:t xml:space="preserve"> pentru irigaţii şi / sau a condiţiilor precare de drenaj. Valori crescute </w:t>
      </w:r>
      <w:r w:rsidR="006F3C86" w:rsidRPr="00DF40FA">
        <w:rPr>
          <w:rFonts w:ascii="Arial" w:hAnsi="Arial" w:cs="Arial"/>
          <w:lang w:val="ro-RO"/>
        </w:rPr>
        <w:t>ale concentraţiei de s</w:t>
      </w:r>
      <w:r w:rsidR="00DF40FA" w:rsidRPr="00DF40FA">
        <w:rPr>
          <w:rFonts w:ascii="Arial" w:hAnsi="Arial" w:cs="Arial"/>
          <w:lang w:val="ro-RO"/>
        </w:rPr>
        <w:t>ă</w:t>
      </w:r>
      <w:r w:rsidR="00231B2B" w:rsidRPr="00DF40FA">
        <w:rPr>
          <w:rFonts w:ascii="Arial" w:hAnsi="Arial" w:cs="Arial"/>
          <w:lang w:val="ro-RO"/>
        </w:rPr>
        <w:t>ruri</w:t>
      </w:r>
      <w:r w:rsidRPr="00DF40FA">
        <w:rPr>
          <w:rFonts w:ascii="Arial" w:hAnsi="Arial" w:cs="Arial"/>
          <w:lang w:val="ro-RO"/>
        </w:rPr>
        <w:t xml:space="preserve"> în sol limitează</w:t>
      </w:r>
      <w:r w:rsidRPr="00EB63AD">
        <w:rPr>
          <w:rFonts w:ascii="Arial" w:hAnsi="Arial" w:cs="Arial"/>
          <w:lang w:val="ro-RO"/>
        </w:rPr>
        <w:t xml:space="preserve"> potenţialul său agro-ecologic şi reprezintă o ameninţare ecologică şi socio-economică considerabilă pentru</w:t>
      </w:r>
      <w:r w:rsidR="003572A6" w:rsidRPr="00EB63AD">
        <w:rPr>
          <w:rFonts w:ascii="Arial" w:hAnsi="Arial" w:cs="Arial"/>
          <w:lang w:val="ro-RO"/>
        </w:rPr>
        <w:t xml:space="preserve"> </w:t>
      </w:r>
      <w:r w:rsidRPr="00EB63AD">
        <w:rPr>
          <w:rFonts w:ascii="Arial" w:hAnsi="Arial" w:cs="Arial"/>
          <w:lang w:val="ro-RO"/>
        </w:rPr>
        <w:t xml:space="preserve">dezvoltarea durabilă. </w:t>
      </w:r>
    </w:p>
    <w:p w:rsidR="002E3147" w:rsidRPr="00EB63AD" w:rsidRDefault="002E3147" w:rsidP="00171588">
      <w:pPr>
        <w:widowControl w:val="0"/>
        <w:autoSpaceDE w:val="0"/>
        <w:autoSpaceDN w:val="0"/>
        <w:adjustRightInd w:val="0"/>
        <w:ind w:firstLine="706"/>
        <w:jc w:val="both"/>
        <w:rPr>
          <w:rFonts w:ascii="Arial" w:hAnsi="Arial" w:cs="Arial"/>
          <w:lang w:val="ro-RO"/>
        </w:rPr>
      </w:pPr>
      <w:r w:rsidRPr="00EB63AD">
        <w:rPr>
          <w:rFonts w:ascii="Arial" w:hAnsi="Arial" w:cs="Arial"/>
          <w:lang w:val="ro-RO"/>
        </w:rPr>
        <w:t xml:space="preserve">• </w:t>
      </w:r>
      <w:r w:rsidRPr="00EB63AD">
        <w:rPr>
          <w:rFonts w:ascii="Arial" w:hAnsi="Arial" w:cs="Arial"/>
          <w:i/>
          <w:lang w:val="ro-RO"/>
        </w:rPr>
        <w:t>Deşertificarea</w:t>
      </w:r>
      <w:r w:rsidRPr="00EB63AD">
        <w:rPr>
          <w:rFonts w:ascii="Arial" w:hAnsi="Arial" w:cs="Arial"/>
          <w:lang w:val="ro-RO"/>
        </w:rPr>
        <w:t xml:space="preserve"> înseamnă degradarea solului în zonele aride, semiaride şi uscat-subumede</w:t>
      </w:r>
      <w:r w:rsidRPr="00910A2B">
        <w:rPr>
          <w:rFonts w:ascii="Arial" w:hAnsi="Arial" w:cs="Arial"/>
          <w:lang w:val="ro-RO"/>
        </w:rPr>
        <w:t xml:space="preserve">, determinate </w:t>
      </w:r>
      <w:r w:rsidR="00E6126D" w:rsidRPr="00910A2B">
        <w:rPr>
          <w:rFonts w:ascii="Arial" w:hAnsi="Arial" w:cs="Arial"/>
          <w:lang w:val="ro-RO"/>
        </w:rPr>
        <w:t xml:space="preserve">de </w:t>
      </w:r>
      <w:r w:rsidR="0079780B" w:rsidRPr="00910A2B">
        <w:rPr>
          <w:rFonts w:ascii="Arial" w:hAnsi="Arial" w:cs="Arial"/>
          <w:lang w:val="ro-RO"/>
        </w:rPr>
        <w:t xml:space="preserve">diverşi </w:t>
      </w:r>
      <w:r w:rsidRPr="00910A2B">
        <w:rPr>
          <w:rFonts w:ascii="Arial" w:hAnsi="Arial" w:cs="Arial"/>
          <w:lang w:val="ro-RO"/>
        </w:rPr>
        <w:t>factori, incluzând</w:t>
      </w:r>
      <w:r w:rsidRPr="00EB63AD">
        <w:rPr>
          <w:rFonts w:ascii="Arial" w:hAnsi="Arial" w:cs="Arial"/>
          <w:lang w:val="ro-RO"/>
        </w:rPr>
        <w:t xml:space="preserve"> variaţiile climatice şi activităţile umane. Seceta este, de asemenea, asociată sau conduce la un risc crescut de eroziune a solului. </w:t>
      </w:r>
      <w:r w:rsidRPr="00364DD9">
        <w:rPr>
          <w:rFonts w:ascii="Arial" w:hAnsi="Arial" w:cs="Arial"/>
          <w:lang w:val="ro-RO"/>
        </w:rPr>
        <w:t>Deşertificarea este o problemă în unele părţi din Marea Mediterană şi din Europa Centrală şi</w:t>
      </w:r>
      <w:r w:rsidR="003572A6" w:rsidRPr="00364DD9">
        <w:rPr>
          <w:rFonts w:ascii="Arial" w:hAnsi="Arial" w:cs="Arial"/>
          <w:lang w:val="ro-RO"/>
        </w:rPr>
        <w:t xml:space="preserve"> </w:t>
      </w:r>
      <w:r w:rsidRPr="00364DD9">
        <w:rPr>
          <w:rFonts w:ascii="Arial" w:hAnsi="Arial" w:cs="Arial"/>
          <w:lang w:val="ro-RO"/>
        </w:rPr>
        <w:t>de Est.</w:t>
      </w:r>
    </w:p>
    <w:p w:rsidR="002E3147" w:rsidRPr="00EB63AD" w:rsidRDefault="002E3147" w:rsidP="00171588">
      <w:pPr>
        <w:widowControl w:val="0"/>
        <w:autoSpaceDE w:val="0"/>
        <w:autoSpaceDN w:val="0"/>
        <w:adjustRightInd w:val="0"/>
        <w:ind w:firstLine="706"/>
        <w:jc w:val="both"/>
        <w:rPr>
          <w:rFonts w:ascii="Arial" w:hAnsi="Arial" w:cs="Arial"/>
          <w:lang w:val="ro-RO"/>
        </w:rPr>
      </w:pPr>
      <w:r w:rsidRPr="008F2E2A">
        <w:rPr>
          <w:rFonts w:ascii="Arial" w:hAnsi="Arial" w:cs="Arial"/>
          <w:lang w:val="ro-RO"/>
        </w:rPr>
        <w:t xml:space="preserve">• </w:t>
      </w:r>
      <w:r w:rsidRPr="008F2E2A">
        <w:rPr>
          <w:rFonts w:ascii="Arial" w:hAnsi="Arial" w:cs="Arial"/>
          <w:i/>
          <w:lang w:val="ro-RO"/>
        </w:rPr>
        <w:t>Contaminarea solului</w:t>
      </w:r>
      <w:r w:rsidRPr="008F2E2A">
        <w:rPr>
          <w:rFonts w:ascii="Arial" w:hAnsi="Arial" w:cs="Arial"/>
          <w:lang w:val="ro-RO"/>
        </w:rPr>
        <w:t xml:space="preserve"> cu diverşi contaminanţi chimici este o problemă larg răspândită în Europa. Cei mai frecvenţi agenţi de contaminare în Europa sunt metalele grele şi uleiul mineral</w:t>
      </w:r>
      <w:r w:rsidRPr="008F2E2A">
        <w:rPr>
          <w:rStyle w:val="FootnoteReference"/>
          <w:rFonts w:ascii="Arial" w:hAnsi="Arial" w:cs="Arial"/>
          <w:lang w:val="ro-RO"/>
        </w:rPr>
        <w:footnoteReference w:id="2"/>
      </w:r>
      <w:r w:rsidRPr="008F2E2A">
        <w:rPr>
          <w:rFonts w:ascii="Arial" w:hAnsi="Arial" w:cs="Arial"/>
          <w:lang w:val="ro-RO"/>
        </w:rPr>
        <w:t>.</w:t>
      </w:r>
      <w:r w:rsidRPr="00EB63AD">
        <w:rPr>
          <w:rFonts w:ascii="Arial" w:hAnsi="Arial" w:cs="Arial"/>
          <w:lang w:val="ro-RO"/>
        </w:rPr>
        <w:t xml:space="preserve"> </w:t>
      </w:r>
    </w:p>
    <w:p w:rsidR="00254E7A" w:rsidRPr="00EB63AD" w:rsidRDefault="00254E7A" w:rsidP="00254E7A">
      <w:pPr>
        <w:widowControl w:val="0"/>
        <w:ind w:firstLine="706"/>
        <w:jc w:val="both"/>
        <w:rPr>
          <w:rFonts w:ascii="Arial" w:hAnsi="Arial" w:cs="Arial"/>
          <w:sz w:val="10"/>
          <w:szCs w:val="10"/>
          <w:lang w:val="ro-RO"/>
        </w:rPr>
      </w:pPr>
    </w:p>
    <w:p w:rsidR="002E3147" w:rsidRPr="00EB63AD" w:rsidRDefault="002E3147" w:rsidP="00171588">
      <w:pPr>
        <w:widowControl w:val="0"/>
        <w:autoSpaceDE w:val="0"/>
        <w:autoSpaceDN w:val="0"/>
        <w:adjustRightInd w:val="0"/>
        <w:ind w:firstLine="706"/>
        <w:jc w:val="both"/>
        <w:rPr>
          <w:rFonts w:ascii="Arial" w:hAnsi="Arial" w:cs="Arial"/>
          <w:lang w:val="ro-RO"/>
        </w:rPr>
      </w:pPr>
      <w:r w:rsidRPr="00EB63AD">
        <w:rPr>
          <w:rFonts w:ascii="Arial" w:hAnsi="Arial" w:cs="Arial"/>
          <w:lang w:val="ro-RO"/>
        </w:rPr>
        <w:t xml:space="preserve">Poziţia geografică a judeţului Suceava, condiţiile climatice specifice, geomorfologia acestuia sunt factori decisivi în afectarea solurilor ca urmare a fenomenelor meteorologice periculoase (ploi şi furtuni, viscol, îngheţ, căderi masive de zăpadă). La acestea se </w:t>
      </w:r>
      <w:r w:rsidR="005816E9" w:rsidRPr="00EB63AD">
        <w:rPr>
          <w:rFonts w:ascii="Arial" w:hAnsi="Arial" w:cs="Arial"/>
          <w:lang w:val="ro-RO"/>
        </w:rPr>
        <w:t xml:space="preserve">adaugă factorii </w:t>
      </w:r>
      <w:r w:rsidRPr="00EB63AD">
        <w:rPr>
          <w:rFonts w:ascii="Arial" w:hAnsi="Arial" w:cs="Arial"/>
          <w:lang w:val="ro-RO"/>
        </w:rPr>
        <w:t xml:space="preserve"> antropic</w:t>
      </w:r>
      <w:r w:rsidR="005816E9" w:rsidRPr="00EB63AD">
        <w:rPr>
          <w:rFonts w:ascii="Arial" w:hAnsi="Arial" w:cs="Arial"/>
          <w:lang w:val="ro-RO"/>
        </w:rPr>
        <w:t>i</w:t>
      </w:r>
      <w:r w:rsidRPr="00EB63AD">
        <w:rPr>
          <w:rFonts w:ascii="Arial" w:hAnsi="Arial" w:cs="Arial"/>
          <w:lang w:val="ro-RO"/>
        </w:rPr>
        <w:t>.</w:t>
      </w:r>
    </w:p>
    <w:p w:rsidR="002E3147" w:rsidRPr="00EB63AD" w:rsidRDefault="002E3147" w:rsidP="00171588">
      <w:pPr>
        <w:widowControl w:val="0"/>
        <w:autoSpaceDE w:val="0"/>
        <w:autoSpaceDN w:val="0"/>
        <w:adjustRightInd w:val="0"/>
        <w:ind w:firstLine="706"/>
        <w:jc w:val="both"/>
        <w:rPr>
          <w:rFonts w:ascii="Arial" w:hAnsi="Arial" w:cs="Arial"/>
          <w:lang w:val="ro-RO"/>
        </w:rPr>
      </w:pPr>
      <w:r w:rsidRPr="00EB63AD">
        <w:rPr>
          <w:rFonts w:ascii="Arial" w:hAnsi="Arial" w:cs="Arial"/>
          <w:lang w:val="ro-RO"/>
        </w:rPr>
        <w:lastRenderedPageBreak/>
        <w:t>Judeţul Suceava ocupă un loc distinct în economia românească dator</w:t>
      </w:r>
      <w:r w:rsidR="0096339D" w:rsidRPr="00EB63AD">
        <w:rPr>
          <w:rFonts w:ascii="Arial" w:hAnsi="Arial" w:cs="Arial"/>
          <w:lang w:val="ro-RO"/>
        </w:rPr>
        <w:t>i</w:t>
      </w:r>
      <w:r w:rsidRPr="00EB63AD">
        <w:rPr>
          <w:rFonts w:ascii="Arial" w:hAnsi="Arial" w:cs="Arial"/>
          <w:lang w:val="ro-RO"/>
        </w:rPr>
        <w:t>t</w:t>
      </w:r>
      <w:r w:rsidR="00D44602" w:rsidRPr="00EB63AD">
        <w:rPr>
          <w:rFonts w:ascii="Arial" w:hAnsi="Arial" w:cs="Arial"/>
          <w:lang w:val="ro-RO"/>
        </w:rPr>
        <w:t>ă</w:t>
      </w:r>
      <w:r w:rsidRPr="00EB63AD">
        <w:rPr>
          <w:rFonts w:ascii="Arial" w:hAnsi="Arial" w:cs="Arial"/>
          <w:lang w:val="ro-RO"/>
        </w:rPr>
        <w:t xml:space="preserve"> diversităţii</w:t>
      </w:r>
      <w:r w:rsidR="0096339D" w:rsidRPr="00EB63AD">
        <w:rPr>
          <w:rFonts w:ascii="Arial" w:hAnsi="Arial" w:cs="Arial"/>
          <w:lang w:val="ro-RO"/>
        </w:rPr>
        <w:t xml:space="preserve"> şi, în unele cazuri, </w:t>
      </w:r>
      <w:r w:rsidRPr="00EB63AD">
        <w:rPr>
          <w:rFonts w:ascii="Arial" w:hAnsi="Arial" w:cs="Arial"/>
          <w:lang w:val="ro-RO"/>
        </w:rPr>
        <w:t xml:space="preserve">bogăţiei resurselor sale naturale. </w:t>
      </w:r>
    </w:p>
    <w:p w:rsidR="002E3147" w:rsidRPr="00EB63AD" w:rsidRDefault="00FD17F3" w:rsidP="00171588">
      <w:pPr>
        <w:widowControl w:val="0"/>
        <w:autoSpaceDE w:val="0"/>
        <w:autoSpaceDN w:val="0"/>
        <w:adjustRightInd w:val="0"/>
        <w:ind w:firstLine="706"/>
        <w:jc w:val="both"/>
        <w:rPr>
          <w:rFonts w:ascii="Arial" w:hAnsi="Arial" w:cs="Arial"/>
          <w:lang w:val="ro-RO"/>
        </w:rPr>
      </w:pPr>
      <w:r w:rsidRPr="00EB63AD">
        <w:rPr>
          <w:rFonts w:ascii="Arial" w:hAnsi="Arial" w:cs="Arial"/>
          <w:lang w:val="ro-RO"/>
        </w:rPr>
        <w:t xml:space="preserve">Cca. </w:t>
      </w:r>
      <w:r w:rsidR="002E3147" w:rsidRPr="00EB63AD">
        <w:rPr>
          <w:rFonts w:ascii="Arial" w:hAnsi="Arial" w:cs="Arial"/>
          <w:lang w:val="ro-RO"/>
        </w:rPr>
        <w:t>5</w:t>
      </w:r>
      <w:r w:rsidRPr="00EB63AD">
        <w:rPr>
          <w:rFonts w:ascii="Arial" w:hAnsi="Arial" w:cs="Arial"/>
          <w:lang w:val="ro-RO"/>
        </w:rPr>
        <w:t>3</w:t>
      </w:r>
      <w:r w:rsidR="002E3147" w:rsidRPr="00EB63AD">
        <w:rPr>
          <w:rFonts w:ascii="Arial" w:hAnsi="Arial" w:cs="Arial"/>
          <w:lang w:val="ro-RO"/>
        </w:rPr>
        <w:t xml:space="preserve">% din suprafaţa judeţului aparţine fondului forestier, respectiv cca. 7% din suprafaţa ţării. </w:t>
      </w:r>
    </w:p>
    <w:p w:rsidR="002E3147" w:rsidRPr="00EB63AD" w:rsidRDefault="002E3147" w:rsidP="00171588">
      <w:pPr>
        <w:widowControl w:val="0"/>
        <w:autoSpaceDE w:val="0"/>
        <w:autoSpaceDN w:val="0"/>
        <w:adjustRightInd w:val="0"/>
        <w:ind w:firstLine="706"/>
        <w:jc w:val="both"/>
        <w:rPr>
          <w:rFonts w:ascii="Arial" w:hAnsi="Arial" w:cs="Arial"/>
          <w:lang w:val="ro-RO"/>
        </w:rPr>
      </w:pPr>
      <w:r w:rsidRPr="00EB63AD">
        <w:rPr>
          <w:rFonts w:ascii="Arial" w:hAnsi="Arial" w:cs="Arial"/>
          <w:lang w:val="ro-RO"/>
        </w:rPr>
        <w:t>În subsol se găsesc zăcăminte de mangan, minereuri cuprifere, sulf, barită, sare, gaze naturale, ape minerale, minereu uranifer, etc. iar cca. 42% din suprafaţă este reprezentată de terenuri arabile, majoritatea fiind situate de-a lungul văilor Siretului, Moldovei şi Sucevei.</w:t>
      </w:r>
    </w:p>
    <w:p w:rsidR="002E3147" w:rsidRPr="00EB63AD" w:rsidRDefault="002E3147" w:rsidP="00171588">
      <w:pPr>
        <w:widowControl w:val="0"/>
        <w:autoSpaceDE w:val="0"/>
        <w:autoSpaceDN w:val="0"/>
        <w:adjustRightInd w:val="0"/>
        <w:ind w:firstLine="706"/>
        <w:jc w:val="both"/>
        <w:rPr>
          <w:rFonts w:ascii="Arial" w:hAnsi="Arial" w:cs="Arial"/>
          <w:lang w:val="ro-RO"/>
        </w:rPr>
      </w:pPr>
      <w:r w:rsidRPr="00EB63AD">
        <w:rPr>
          <w:rFonts w:ascii="Arial" w:hAnsi="Arial" w:cs="Arial"/>
          <w:lang w:val="ro-RO"/>
        </w:rPr>
        <w:t>Ramurile industriale reprezentative din judeţ sunt:</w:t>
      </w:r>
    </w:p>
    <w:p w:rsidR="002E3147" w:rsidRPr="00EB63AD" w:rsidRDefault="002E3147" w:rsidP="00171588">
      <w:pPr>
        <w:widowControl w:val="0"/>
        <w:ind w:firstLine="706"/>
        <w:jc w:val="both"/>
        <w:rPr>
          <w:rFonts w:ascii="Arial" w:hAnsi="Arial" w:cs="Arial"/>
          <w:lang w:val="ro-RO"/>
        </w:rPr>
      </w:pPr>
      <w:r w:rsidRPr="00EB63AD">
        <w:rPr>
          <w:rFonts w:ascii="Arial" w:hAnsi="Arial" w:cs="Arial"/>
          <w:lang w:val="ro-RO"/>
        </w:rPr>
        <w:t>-  industria lemnului, dezvoltată în corelaţie directă cu  suprafaţa fondului forestier;</w:t>
      </w:r>
    </w:p>
    <w:p w:rsidR="002E3147" w:rsidRPr="00EB63AD" w:rsidRDefault="002E3147" w:rsidP="00171588">
      <w:pPr>
        <w:widowControl w:val="0"/>
        <w:ind w:firstLine="706"/>
        <w:jc w:val="both"/>
        <w:rPr>
          <w:rFonts w:ascii="Arial" w:hAnsi="Arial" w:cs="Arial"/>
          <w:lang w:val="ro-RO"/>
        </w:rPr>
      </w:pPr>
      <w:r w:rsidRPr="00EB63AD">
        <w:rPr>
          <w:rFonts w:ascii="Arial" w:hAnsi="Arial" w:cs="Arial"/>
          <w:lang w:val="ro-RO"/>
        </w:rPr>
        <w:t>- industria alimentară, care se dezvoltă în corelaţie directă cu agricultura judeţului, pentru că se bazează în principal pe prelucrarea produselor animaliere (lapte, carne);</w:t>
      </w:r>
    </w:p>
    <w:p w:rsidR="002E3147" w:rsidRPr="00EB63AD" w:rsidRDefault="002E3147" w:rsidP="00171588">
      <w:pPr>
        <w:widowControl w:val="0"/>
        <w:ind w:firstLine="706"/>
        <w:jc w:val="both"/>
        <w:rPr>
          <w:rFonts w:ascii="Arial" w:hAnsi="Arial" w:cs="Arial"/>
          <w:lang w:val="ro-RO"/>
        </w:rPr>
      </w:pPr>
      <w:r w:rsidRPr="00EB63AD">
        <w:rPr>
          <w:rFonts w:ascii="Arial" w:hAnsi="Arial" w:cs="Arial"/>
          <w:lang w:val="ro-RO"/>
        </w:rPr>
        <w:t>- industrie uşoară, reprezentată prin societăţi de confecţii şi tricotaje, pielărie şi încălţăminte;</w:t>
      </w:r>
    </w:p>
    <w:p w:rsidR="002E3147" w:rsidRPr="00EB63AD" w:rsidRDefault="002E3147" w:rsidP="00171588">
      <w:pPr>
        <w:widowControl w:val="0"/>
        <w:ind w:firstLine="706"/>
        <w:jc w:val="both"/>
        <w:rPr>
          <w:rFonts w:ascii="Arial" w:hAnsi="Arial" w:cs="Arial"/>
          <w:lang w:val="ro-RO"/>
        </w:rPr>
      </w:pPr>
      <w:r w:rsidRPr="00EB63AD">
        <w:rPr>
          <w:rFonts w:ascii="Arial" w:hAnsi="Arial" w:cs="Arial"/>
          <w:lang w:val="ro-RO"/>
        </w:rPr>
        <w:t>- industria construcţiilor de maşini, reprezentată prin societăţile comerciale care produc  scule şi rulmenţi;</w:t>
      </w:r>
    </w:p>
    <w:p w:rsidR="002E3147" w:rsidRPr="00EB63AD" w:rsidRDefault="002E3147" w:rsidP="00171588">
      <w:pPr>
        <w:widowControl w:val="0"/>
        <w:ind w:firstLine="706"/>
        <w:jc w:val="both"/>
        <w:rPr>
          <w:rFonts w:ascii="Arial" w:hAnsi="Arial" w:cs="Arial"/>
          <w:lang w:val="ro-RO"/>
        </w:rPr>
      </w:pPr>
      <w:r w:rsidRPr="00EB63AD">
        <w:rPr>
          <w:rFonts w:ascii="Arial" w:hAnsi="Arial" w:cs="Arial"/>
          <w:lang w:val="ro-RO"/>
        </w:rPr>
        <w:t>- industria minieră, reprezentată în judeţ prin exploatarea şi prelucrarea minereurilor (minereuri cuprifere, polimetalice, de mangan, uranifere, sare), industrie aflată în declin în ultimele două decenii.</w:t>
      </w:r>
    </w:p>
    <w:p w:rsidR="002E3147" w:rsidRPr="00D316E7" w:rsidRDefault="002E3147" w:rsidP="00171588">
      <w:pPr>
        <w:pStyle w:val="Footer"/>
        <w:widowControl w:val="0"/>
        <w:tabs>
          <w:tab w:val="clear" w:pos="4536"/>
          <w:tab w:val="clear" w:pos="9072"/>
        </w:tabs>
        <w:ind w:firstLine="706"/>
        <w:jc w:val="both"/>
        <w:rPr>
          <w:rFonts w:ascii="Arial" w:hAnsi="Arial" w:cs="Arial"/>
          <w:lang w:val="ro-RO"/>
        </w:rPr>
      </w:pPr>
      <w:r w:rsidRPr="00D316E7">
        <w:rPr>
          <w:rFonts w:ascii="Arial" w:hAnsi="Arial" w:cs="Arial"/>
          <w:lang w:val="ro-RO"/>
        </w:rPr>
        <w:t>Toate aceste activităţi au condus la afectarea calităţii solului prin:</w:t>
      </w:r>
    </w:p>
    <w:p w:rsidR="002E3147" w:rsidRPr="00D316E7" w:rsidRDefault="002E3147" w:rsidP="00171588">
      <w:pPr>
        <w:widowControl w:val="0"/>
        <w:ind w:firstLine="706"/>
        <w:jc w:val="both"/>
        <w:rPr>
          <w:rFonts w:ascii="Arial" w:hAnsi="Arial" w:cs="Arial"/>
          <w:lang w:val="ro-RO"/>
        </w:rPr>
      </w:pPr>
      <w:r w:rsidRPr="00D316E7">
        <w:rPr>
          <w:rFonts w:ascii="Arial" w:hAnsi="Arial" w:cs="Arial"/>
          <w:lang w:val="ro-RO"/>
        </w:rPr>
        <w:t>-  depozitarea de deşeuri lemnoase, deşeuri din industria minieră, menajere;</w:t>
      </w:r>
    </w:p>
    <w:p w:rsidR="002E3147" w:rsidRPr="00D316E7" w:rsidRDefault="002E3147" w:rsidP="00171588">
      <w:pPr>
        <w:widowControl w:val="0"/>
        <w:ind w:firstLine="706"/>
        <w:jc w:val="both"/>
        <w:rPr>
          <w:rFonts w:ascii="Arial" w:hAnsi="Arial" w:cs="Arial"/>
          <w:lang w:val="ro-RO"/>
        </w:rPr>
      </w:pPr>
      <w:r w:rsidRPr="00D316E7">
        <w:rPr>
          <w:rFonts w:ascii="Arial" w:hAnsi="Arial" w:cs="Arial"/>
          <w:lang w:val="ro-RO"/>
        </w:rPr>
        <w:t xml:space="preserve">-  poluarea solului cu reziduuri şi deşeuri din industria alimentară şi uşoară; </w:t>
      </w:r>
    </w:p>
    <w:p w:rsidR="002E3147" w:rsidRPr="00D316E7" w:rsidRDefault="002E3147" w:rsidP="00171588">
      <w:pPr>
        <w:widowControl w:val="0"/>
        <w:ind w:firstLine="706"/>
        <w:jc w:val="both"/>
        <w:rPr>
          <w:rFonts w:ascii="Arial" w:hAnsi="Arial" w:cs="Arial"/>
          <w:lang w:val="ro-RO"/>
        </w:rPr>
      </w:pPr>
      <w:r w:rsidRPr="00D316E7">
        <w:rPr>
          <w:rFonts w:ascii="Arial" w:hAnsi="Arial" w:cs="Arial"/>
          <w:lang w:val="ro-RO"/>
        </w:rPr>
        <w:t>-  poluarea cu scurgeri accidentale de produse petroliere, substanţe chimice utilizate în fluxurile tehnologice;</w:t>
      </w:r>
    </w:p>
    <w:p w:rsidR="00127940" w:rsidRPr="00D316E7" w:rsidRDefault="002E3147" w:rsidP="00171588">
      <w:pPr>
        <w:widowControl w:val="0"/>
        <w:ind w:firstLine="706"/>
        <w:jc w:val="both"/>
        <w:rPr>
          <w:rFonts w:ascii="Arial" w:hAnsi="Arial" w:cs="Arial"/>
          <w:lang w:val="ro-RO"/>
        </w:rPr>
      </w:pPr>
      <w:r w:rsidRPr="00D316E7">
        <w:rPr>
          <w:rFonts w:ascii="Arial" w:hAnsi="Arial" w:cs="Arial"/>
          <w:lang w:val="ro-RO"/>
        </w:rPr>
        <w:t xml:space="preserve">- defrişări masive care au condus la apariţia - sau accentuarea - fenomenelor de alunecare, eroziune, acidifiere etc.  </w:t>
      </w:r>
    </w:p>
    <w:p w:rsidR="00254E7A" w:rsidRPr="00D316E7" w:rsidRDefault="00254E7A" w:rsidP="00171588">
      <w:pPr>
        <w:widowControl w:val="0"/>
        <w:ind w:firstLine="706"/>
        <w:jc w:val="both"/>
        <w:rPr>
          <w:rFonts w:ascii="Arial" w:hAnsi="Arial" w:cs="Arial"/>
          <w:sz w:val="10"/>
          <w:szCs w:val="10"/>
          <w:lang w:val="ro-RO"/>
        </w:rPr>
      </w:pPr>
    </w:p>
    <w:p w:rsidR="00127940" w:rsidRPr="00D316E7" w:rsidRDefault="00127940" w:rsidP="00171588">
      <w:pPr>
        <w:widowControl w:val="0"/>
        <w:ind w:firstLine="706"/>
        <w:jc w:val="both"/>
        <w:rPr>
          <w:rFonts w:ascii="Arial" w:hAnsi="Arial" w:cs="Arial"/>
          <w:lang w:val="ro-RO"/>
        </w:rPr>
      </w:pPr>
      <w:r w:rsidRPr="00D316E7">
        <w:rPr>
          <w:rFonts w:ascii="Arial" w:hAnsi="Arial" w:cs="Arial"/>
          <w:lang w:val="ro-RO"/>
        </w:rPr>
        <w:t>Principalele presiuni asupra stării de calitate a solurilor sunt:</w:t>
      </w:r>
    </w:p>
    <w:p w:rsidR="00254E7A" w:rsidRPr="00D316E7" w:rsidRDefault="00254E7A" w:rsidP="00254E7A">
      <w:pPr>
        <w:widowControl w:val="0"/>
        <w:ind w:firstLine="706"/>
        <w:jc w:val="both"/>
        <w:rPr>
          <w:rFonts w:ascii="Arial" w:hAnsi="Arial" w:cs="Arial"/>
          <w:sz w:val="6"/>
          <w:szCs w:val="6"/>
          <w:lang w:val="ro-RO"/>
        </w:rPr>
      </w:pPr>
    </w:p>
    <w:p w:rsidR="00127940" w:rsidRPr="00D316E7" w:rsidRDefault="00127940" w:rsidP="00171588">
      <w:pPr>
        <w:pStyle w:val="BodyTextIndent2"/>
        <w:widowControl w:val="0"/>
        <w:jc w:val="both"/>
        <w:rPr>
          <w:bCs/>
        </w:rPr>
      </w:pPr>
      <w:r w:rsidRPr="00D316E7">
        <w:rPr>
          <w:bCs/>
        </w:rPr>
        <w:t xml:space="preserve">a) </w:t>
      </w:r>
      <w:r w:rsidRPr="00D316E7">
        <w:rPr>
          <w:bCs/>
          <w:i/>
        </w:rPr>
        <w:t>Exces de umiditate în sol</w:t>
      </w:r>
      <w:r w:rsidR="00D44602" w:rsidRPr="00D316E7">
        <w:rPr>
          <w:bCs/>
        </w:rPr>
        <w:t>:</w:t>
      </w:r>
      <w:r w:rsidRPr="00D316E7">
        <w:rPr>
          <w:bCs/>
        </w:rPr>
        <w:t xml:space="preserve"> </w:t>
      </w:r>
      <w:r w:rsidR="00D44602" w:rsidRPr="00D316E7">
        <w:rPr>
          <w:bCs/>
        </w:rPr>
        <w:t>î</w:t>
      </w:r>
      <w:r w:rsidRPr="00D316E7">
        <w:rPr>
          <w:bCs/>
        </w:rPr>
        <w:t>n această categorie intră excesul de umiditate permanent (gleizarea) şi temporar (stagnogleizarea) cu o intensitate a procesului de la freatic umede şi stagnogleizare în adâncime până la gleizate submers şi stagnogleizate excesiv. Dintre arealele cu exces de umiditate permanent remarcăm partea coborâ</w:t>
      </w:r>
      <w:r w:rsidR="00DB4974" w:rsidRPr="00D316E7">
        <w:rPr>
          <w:bCs/>
        </w:rPr>
        <w:t>tă a depresiunii Rădăuţi (Volova</w:t>
      </w:r>
      <w:r w:rsidRPr="00D316E7">
        <w:rPr>
          <w:bCs/>
        </w:rPr>
        <w:t xml:space="preserve">ţ, Rădăuţi, Horodnic, Frătăuţii Vechi, parţial Vicovu de Sus, Grăniceşti), zona Baia – Sasca – Cornu Luncii, iar din cele cu exces de umiditate temporar bordura piemontană a Obcinei Mari ca şi cea a Subcarpaţilor Moldovei (Boroaia – Mălini – Bogdăneşti) cu luvosoluri tipice şi albice: Horodnic, Solca, Cacica, Baia, Boroaia, Marginea, Botoşana, </w:t>
      </w:r>
      <w:r w:rsidR="007623AB" w:rsidRPr="00D316E7">
        <w:rPr>
          <w:bCs/>
        </w:rPr>
        <w:t>Arbore, Cajvana; apoi în Podişul Dragomirnei</w:t>
      </w:r>
      <w:r w:rsidR="00674282" w:rsidRPr="00D316E7">
        <w:rPr>
          <w:bCs/>
        </w:rPr>
        <w:t>: Siret, Muşeniţa, C</w:t>
      </w:r>
      <w:r w:rsidR="00260880" w:rsidRPr="00D316E7">
        <w:rPr>
          <w:bCs/>
        </w:rPr>
        <w:t>alafindeşti, Bălcăuţi, Grămeşti, etc. Dar şi în Podişul Fălticenilor.</w:t>
      </w:r>
    </w:p>
    <w:p w:rsidR="00254E7A" w:rsidRPr="00D316E7" w:rsidRDefault="00254E7A" w:rsidP="00254E7A">
      <w:pPr>
        <w:widowControl w:val="0"/>
        <w:ind w:firstLine="706"/>
        <w:jc w:val="both"/>
        <w:rPr>
          <w:rFonts w:ascii="Arial" w:hAnsi="Arial" w:cs="Arial"/>
          <w:sz w:val="6"/>
          <w:szCs w:val="6"/>
          <w:lang w:val="ro-RO"/>
        </w:rPr>
      </w:pPr>
    </w:p>
    <w:p w:rsidR="00260880" w:rsidRPr="00D316E7" w:rsidRDefault="00260880" w:rsidP="00171588">
      <w:pPr>
        <w:pStyle w:val="BodyTextIndent2"/>
        <w:widowControl w:val="0"/>
        <w:jc w:val="both"/>
        <w:rPr>
          <w:bCs/>
        </w:rPr>
      </w:pPr>
      <w:r w:rsidRPr="00D316E7">
        <w:rPr>
          <w:bCs/>
        </w:rPr>
        <w:t xml:space="preserve">b) </w:t>
      </w:r>
      <w:r w:rsidR="00114A28" w:rsidRPr="00D316E7">
        <w:rPr>
          <w:bCs/>
          <w:i/>
        </w:rPr>
        <w:t>E</w:t>
      </w:r>
      <w:r w:rsidRPr="00D316E7">
        <w:rPr>
          <w:bCs/>
          <w:i/>
        </w:rPr>
        <w:t>roziunea prin apă</w:t>
      </w:r>
      <w:r w:rsidRPr="00D316E7">
        <w:rPr>
          <w:bCs/>
        </w:rPr>
        <w:t>:</w:t>
      </w:r>
    </w:p>
    <w:p w:rsidR="00260880" w:rsidRPr="00D316E7" w:rsidRDefault="00260880" w:rsidP="00171588">
      <w:pPr>
        <w:pStyle w:val="BodyTextIndent2"/>
        <w:widowControl w:val="0"/>
        <w:ind w:firstLine="0"/>
        <w:jc w:val="both"/>
        <w:rPr>
          <w:bCs/>
        </w:rPr>
      </w:pPr>
      <w:r w:rsidRPr="00D316E7">
        <w:rPr>
          <w:bCs/>
        </w:rPr>
        <w:t>b</w:t>
      </w:r>
      <w:r w:rsidRPr="00D316E7">
        <w:rPr>
          <w:bCs/>
          <w:vertAlign w:val="subscript"/>
        </w:rPr>
        <w:t>1</w:t>
      </w:r>
      <w:r w:rsidRPr="00D316E7">
        <w:rPr>
          <w:bCs/>
        </w:rPr>
        <w:t xml:space="preserve">) </w:t>
      </w:r>
      <w:r w:rsidRPr="00D316E7">
        <w:rPr>
          <w:bCs/>
          <w:i/>
        </w:rPr>
        <w:t>eroziunea de suprafaţă</w:t>
      </w:r>
      <w:r w:rsidR="00C94205" w:rsidRPr="00D316E7">
        <w:rPr>
          <w:bCs/>
          <w:i/>
        </w:rPr>
        <w:t>:</w:t>
      </w:r>
      <w:r w:rsidRPr="00D316E7">
        <w:rPr>
          <w:bCs/>
        </w:rPr>
        <w:t xml:space="preserve"> </w:t>
      </w:r>
      <w:r w:rsidR="00D44602" w:rsidRPr="00D316E7">
        <w:rPr>
          <w:bCs/>
        </w:rPr>
        <w:t>i</w:t>
      </w:r>
      <w:r w:rsidRPr="00D316E7">
        <w:rPr>
          <w:bCs/>
        </w:rPr>
        <w:t>nclude mai ales zone din Podişul Fălticenilor: Dolhasca, Vultureşti, Forăşti, Preuteşti, Dolheşti dar şi în Podişul Dragomirnei: Adâncata, Suceava, Bosanci, Salcea. În aceste suprafeţe sunt incluse şi areale încadrate la eroziune  slabă până la foarte puternică.</w:t>
      </w:r>
    </w:p>
    <w:p w:rsidR="00260880" w:rsidRPr="00D316E7" w:rsidRDefault="00260880" w:rsidP="00171588">
      <w:pPr>
        <w:pStyle w:val="BodyTextIndent2"/>
        <w:widowControl w:val="0"/>
        <w:ind w:firstLine="0"/>
        <w:jc w:val="both"/>
        <w:rPr>
          <w:bCs/>
        </w:rPr>
      </w:pPr>
      <w:r w:rsidRPr="00D316E7">
        <w:rPr>
          <w:bCs/>
        </w:rPr>
        <w:t>b</w:t>
      </w:r>
      <w:r w:rsidRPr="00D316E7">
        <w:rPr>
          <w:bCs/>
          <w:vertAlign w:val="subscript"/>
        </w:rPr>
        <w:t>2</w:t>
      </w:r>
      <w:r w:rsidRPr="00D316E7">
        <w:rPr>
          <w:bCs/>
        </w:rPr>
        <w:t xml:space="preserve">) </w:t>
      </w:r>
      <w:r w:rsidRPr="00D316E7">
        <w:rPr>
          <w:bCs/>
          <w:i/>
        </w:rPr>
        <w:t>eroziune de adâncime</w:t>
      </w:r>
      <w:r w:rsidR="00C94205" w:rsidRPr="00D316E7">
        <w:rPr>
          <w:bCs/>
          <w:i/>
        </w:rPr>
        <w:t>:</w:t>
      </w:r>
      <w:r w:rsidRPr="00D316E7">
        <w:rPr>
          <w:bCs/>
        </w:rPr>
        <w:t xml:space="preserve"> se întinde în zona de podiş a judeţului Suceava, mai ales la Todireşti, Udeşti, Vultureşti, Preuteşti, Liteni, Gălăneşti, Cornu Luncii. Se remarcă o predominare a terenurilor afectate de eroziune în adâncime (ca şi cazul eroziunii în suprafaţă) în Podişul Fălticenilor.</w:t>
      </w:r>
    </w:p>
    <w:p w:rsidR="00254E7A" w:rsidRPr="00D316E7" w:rsidRDefault="00254E7A" w:rsidP="00254E7A">
      <w:pPr>
        <w:widowControl w:val="0"/>
        <w:ind w:firstLine="706"/>
        <w:jc w:val="both"/>
        <w:rPr>
          <w:rFonts w:ascii="Arial" w:hAnsi="Arial" w:cs="Arial"/>
          <w:sz w:val="6"/>
          <w:szCs w:val="6"/>
          <w:lang w:val="ro-RO"/>
        </w:rPr>
      </w:pPr>
    </w:p>
    <w:p w:rsidR="00260880" w:rsidRPr="00D316E7" w:rsidRDefault="00260880" w:rsidP="00254E7A">
      <w:pPr>
        <w:pStyle w:val="BodyTextIndent2"/>
        <w:widowControl w:val="0"/>
        <w:ind w:firstLine="708"/>
        <w:jc w:val="both"/>
        <w:rPr>
          <w:bCs/>
        </w:rPr>
      </w:pPr>
      <w:r w:rsidRPr="00D316E7">
        <w:rPr>
          <w:bCs/>
        </w:rPr>
        <w:t>c)</w:t>
      </w:r>
      <w:r w:rsidR="00114A28" w:rsidRPr="00D316E7">
        <w:rPr>
          <w:bCs/>
        </w:rPr>
        <w:t xml:space="preserve"> </w:t>
      </w:r>
      <w:r w:rsidRPr="00D316E7">
        <w:rPr>
          <w:bCs/>
          <w:i/>
        </w:rPr>
        <w:t>Alunecările de teren</w:t>
      </w:r>
      <w:r w:rsidR="00C94205" w:rsidRPr="00D316E7">
        <w:rPr>
          <w:bCs/>
          <w:i/>
        </w:rPr>
        <w:t>:</w:t>
      </w:r>
      <w:r w:rsidRPr="00D316E7">
        <w:rPr>
          <w:bCs/>
        </w:rPr>
        <w:t xml:space="preserve"> </w:t>
      </w:r>
      <w:r w:rsidR="00D44602" w:rsidRPr="00D316E7">
        <w:rPr>
          <w:bCs/>
        </w:rPr>
        <w:t>î</w:t>
      </w:r>
      <w:r w:rsidRPr="00D316E7">
        <w:rPr>
          <w:bCs/>
        </w:rPr>
        <w:t xml:space="preserve">n cadrul lor predomină alunecările stabilizate (20.139ha), mai ales în Cacica, Botoşana, Cajvana, Todireşti şi în partea vestică a Podişului Dragomirnei spre valea Sucevei la Dărmăneşti şi în Podişul Fălticeni </w:t>
      </w:r>
      <w:r w:rsidR="00114A28" w:rsidRPr="00D316E7">
        <w:rPr>
          <w:bCs/>
        </w:rPr>
        <w:t>la Udeşti şi Fălticeni. Alunecările active (3.284 ha) sunt predominante în Po</w:t>
      </w:r>
      <w:r w:rsidR="003A6629">
        <w:rPr>
          <w:bCs/>
        </w:rPr>
        <w:t>dişul Fălticenilor (Preuteşti, R</w:t>
      </w:r>
      <w:r w:rsidR="00114A28" w:rsidRPr="00D316E7">
        <w:rPr>
          <w:bCs/>
        </w:rPr>
        <w:t>ădăşeni, Fălticeni, Forăşti) şi în Podişul Dragomirnei (Adâncata).</w:t>
      </w:r>
    </w:p>
    <w:p w:rsidR="00254E7A" w:rsidRPr="00D316E7" w:rsidRDefault="00254E7A" w:rsidP="00254E7A">
      <w:pPr>
        <w:widowControl w:val="0"/>
        <w:ind w:firstLine="706"/>
        <w:jc w:val="both"/>
        <w:rPr>
          <w:rFonts w:ascii="Arial" w:hAnsi="Arial" w:cs="Arial"/>
          <w:sz w:val="6"/>
          <w:szCs w:val="6"/>
          <w:lang w:val="ro-RO"/>
        </w:rPr>
      </w:pPr>
    </w:p>
    <w:p w:rsidR="00114A28" w:rsidRPr="00D316E7" w:rsidRDefault="00114A28" w:rsidP="00254E7A">
      <w:pPr>
        <w:pStyle w:val="BodyTextIndent2"/>
        <w:widowControl w:val="0"/>
        <w:ind w:firstLine="708"/>
        <w:jc w:val="both"/>
        <w:rPr>
          <w:bCs/>
        </w:rPr>
      </w:pPr>
      <w:r w:rsidRPr="00D316E7">
        <w:rPr>
          <w:bCs/>
        </w:rPr>
        <w:lastRenderedPageBreak/>
        <w:t xml:space="preserve">d) </w:t>
      </w:r>
      <w:r w:rsidR="00C94205" w:rsidRPr="00D316E7">
        <w:rPr>
          <w:bCs/>
          <w:i/>
        </w:rPr>
        <w:t>Compactarea solurilor:</w:t>
      </w:r>
      <w:r w:rsidRPr="00D316E7">
        <w:rPr>
          <w:bCs/>
          <w:i/>
        </w:rPr>
        <w:t xml:space="preserve"> </w:t>
      </w:r>
      <w:r w:rsidR="00D44602" w:rsidRPr="00D316E7">
        <w:rPr>
          <w:bCs/>
        </w:rPr>
        <w:t>a</w:t>
      </w:r>
      <w:r w:rsidRPr="00D316E7">
        <w:rPr>
          <w:bCs/>
        </w:rPr>
        <w:t>cest fenomen este prezent în toate teritoriile comunale situate în zona de podiş colectivizată. Fenomenul de tasare contribuie la reducerea producţiei prin micşorarea volumului util al porilor prezenţi în masa solului, implicit reducându-se volumul de apă util plantelor şi accesibilitatea ei pentru consum. Fenomenul se întâlneşte mai ales în Rădăuţi, Siret, Dorneşti, Drăguşeni, Grămeşti, Volovăţ, Vereşti, Grăniceşti, dar şi în alte zone ale judeţului, în proporţii variabile.</w:t>
      </w:r>
    </w:p>
    <w:p w:rsidR="00254E7A" w:rsidRPr="00D316E7" w:rsidRDefault="00254E7A" w:rsidP="00254E7A">
      <w:pPr>
        <w:widowControl w:val="0"/>
        <w:ind w:firstLine="706"/>
        <w:jc w:val="both"/>
        <w:rPr>
          <w:rFonts w:ascii="Arial" w:hAnsi="Arial" w:cs="Arial"/>
          <w:sz w:val="6"/>
          <w:szCs w:val="6"/>
          <w:lang w:val="ro-RO"/>
        </w:rPr>
      </w:pPr>
    </w:p>
    <w:p w:rsidR="00C60BD3" w:rsidRPr="00D316E7" w:rsidRDefault="00114A28" w:rsidP="00254E7A">
      <w:pPr>
        <w:pStyle w:val="BodyTextIndent2"/>
        <w:widowControl w:val="0"/>
        <w:ind w:firstLine="708"/>
        <w:jc w:val="both"/>
        <w:rPr>
          <w:bCs/>
        </w:rPr>
      </w:pPr>
      <w:r w:rsidRPr="00D316E7">
        <w:rPr>
          <w:bCs/>
        </w:rPr>
        <w:t xml:space="preserve">e) </w:t>
      </w:r>
      <w:r w:rsidRPr="00D316E7">
        <w:rPr>
          <w:bCs/>
          <w:i/>
        </w:rPr>
        <w:t>Aciditate puternică şi moderată</w:t>
      </w:r>
      <w:r w:rsidR="00C94205" w:rsidRPr="00D316E7">
        <w:rPr>
          <w:bCs/>
        </w:rPr>
        <w:t>:</w:t>
      </w:r>
      <w:r w:rsidRPr="00D316E7">
        <w:rPr>
          <w:bCs/>
        </w:rPr>
        <w:t xml:space="preserve"> </w:t>
      </w:r>
      <w:r w:rsidR="00D44602" w:rsidRPr="00D316E7">
        <w:rPr>
          <w:bCs/>
        </w:rPr>
        <w:t>s</w:t>
      </w:r>
      <w:r w:rsidRPr="00D316E7">
        <w:rPr>
          <w:bCs/>
        </w:rPr>
        <w:t>e întâlneşte răspândită în toate zonele judeţului. Predomină aciditatea moderată (163.468 ha) şi cea puternică (77.526 ha). Se remarcă aici zona montană, cu teritorii ce au peste 80 – 90% din suprafaţa afectată de acid</w:t>
      </w:r>
      <w:r w:rsidR="00D02F53" w:rsidRPr="00D316E7">
        <w:rPr>
          <w:bCs/>
        </w:rPr>
        <w:t>ifiere (Câmpulung Moldovenesc, V</w:t>
      </w:r>
      <w:r w:rsidRPr="00D316E7">
        <w:rPr>
          <w:bCs/>
        </w:rPr>
        <w:t>atra Dornei, Gura Humorului, Breaza, Brodina, Broşteni, Cârlibaba, Dorna Arini, Frumosu, Izvoarele Sucevei, Iacobeni, Moldoviţa, Ostra</w:t>
      </w:r>
      <w:r w:rsidR="007650A7" w:rsidRPr="00D316E7">
        <w:rPr>
          <w:bCs/>
        </w:rPr>
        <w:t xml:space="preserve">, Panaci, Pojorâta, etc.), dar </w:t>
      </w:r>
      <w:r w:rsidRPr="00D316E7">
        <w:rPr>
          <w:bCs/>
        </w:rPr>
        <w:t>şi în zonele piemontane</w:t>
      </w:r>
      <w:r w:rsidR="00AF5E1D" w:rsidRPr="00D316E7">
        <w:rPr>
          <w:bCs/>
        </w:rPr>
        <w:t xml:space="preserve"> (Solca, B</w:t>
      </w:r>
      <w:r w:rsidR="00C661FF" w:rsidRPr="00D316E7">
        <w:rPr>
          <w:bCs/>
        </w:rPr>
        <w:t>aia, Horodnic, Cipr</w:t>
      </w:r>
      <w:r w:rsidR="00AF5E1D" w:rsidRPr="00D316E7">
        <w:rPr>
          <w:bCs/>
        </w:rPr>
        <w:t>ian Porumbescu, Vicovu de Jos, V</w:t>
      </w:r>
      <w:r w:rsidR="00C661FF" w:rsidRPr="00D316E7">
        <w:rPr>
          <w:bCs/>
        </w:rPr>
        <w:t>alea Moldovei) ca şi în cele de podiş (Preuteşti, Rădăşeni, etc.). Fenomenele de acidifiere pot fi combătute prin administrarea de amendamente calcaroase. Este demn de semnalat faptul că deficitul de fosfor poate fi parţial remediat prin administrarea de amendamente calcaroase, la pH-uri scăzute fosforul din sol prezentându-se în forme inaccesibile plantelor.</w:t>
      </w:r>
      <w:r w:rsidR="00C60BD3" w:rsidRPr="00D316E7">
        <w:rPr>
          <w:bCs/>
        </w:rPr>
        <w:t xml:space="preserve"> </w:t>
      </w:r>
    </w:p>
    <w:p w:rsidR="00DF2684" w:rsidRPr="00D316E7" w:rsidRDefault="00DF2684" w:rsidP="00171588">
      <w:pPr>
        <w:pStyle w:val="BodyTextIndent2"/>
        <w:widowControl w:val="0"/>
        <w:ind w:firstLine="708"/>
        <w:jc w:val="both"/>
        <w:rPr>
          <w:bCs/>
        </w:rPr>
      </w:pPr>
      <w:r w:rsidRPr="00D316E7">
        <w:rPr>
          <w:bCs/>
        </w:rPr>
        <w:t>În ceea ce priveşte ponderea suprafeţelor acide şi slab sau foarte slab aprovizionate în fosfor, de aprox. 70% din total judeţ, se explică prin prezenţa unor soluri acide în zona de munte dar şi prin absenţa răspândirii de amendamente calcice pe toate terenurile pretabile. În acest sens trebuie menţionat faptul că în ultimii 5 ani, OSPA Suceava nu a avut nici o solicitare de studii pentru amendarea terenurilor. În teritoriile acoperite cu păşuni se mai impune îndepărtarea speciilor acidofile, ca şi măsuri agrotehnice de îndepărtare a excesului de umiditate (amenajare de şanţuri şi rigole sistematice şi nesistematice de scurgere, nivelare de exploatare, mo</w:t>
      </w:r>
      <w:r w:rsidR="00EE69C7" w:rsidRPr="00D316E7">
        <w:rPr>
          <w:bCs/>
        </w:rPr>
        <w:t xml:space="preserve">delare în benzi cu coame), dat </w:t>
      </w:r>
      <w:r w:rsidRPr="00D316E7">
        <w:rPr>
          <w:bCs/>
        </w:rPr>
        <w:t>fiind că în zona de podiş şi piemont a judeţului Suceava fenomenele de acidifiere şi de sărăcire în elemente nutritive merg mână în mână cu procesele de stagnare a apei.</w:t>
      </w:r>
    </w:p>
    <w:p w:rsidR="00254E7A" w:rsidRPr="00D316E7" w:rsidRDefault="00254E7A" w:rsidP="00254E7A">
      <w:pPr>
        <w:widowControl w:val="0"/>
        <w:ind w:firstLine="706"/>
        <w:jc w:val="both"/>
        <w:rPr>
          <w:rFonts w:ascii="Arial" w:hAnsi="Arial" w:cs="Arial"/>
          <w:sz w:val="6"/>
          <w:szCs w:val="6"/>
          <w:lang w:val="ro-RO"/>
        </w:rPr>
      </w:pPr>
    </w:p>
    <w:p w:rsidR="0014666A" w:rsidRPr="00D316E7" w:rsidRDefault="0014666A" w:rsidP="00254E7A">
      <w:pPr>
        <w:pStyle w:val="BodyTextIndent2"/>
        <w:widowControl w:val="0"/>
        <w:ind w:firstLine="708"/>
        <w:jc w:val="both"/>
        <w:rPr>
          <w:bCs/>
        </w:rPr>
      </w:pPr>
      <w:r w:rsidRPr="00D316E7">
        <w:rPr>
          <w:bCs/>
        </w:rPr>
        <w:t xml:space="preserve">f) </w:t>
      </w:r>
      <w:r w:rsidRPr="00D316E7">
        <w:rPr>
          <w:bCs/>
          <w:i/>
        </w:rPr>
        <w:t>Inundabilitatea</w:t>
      </w:r>
      <w:r w:rsidR="00C94205" w:rsidRPr="00D316E7">
        <w:rPr>
          <w:bCs/>
          <w:i/>
        </w:rPr>
        <w:t>:</w:t>
      </w:r>
      <w:r w:rsidRPr="00D316E7">
        <w:rPr>
          <w:bCs/>
        </w:rPr>
        <w:t xml:space="preserve"> </w:t>
      </w:r>
      <w:r w:rsidR="00D44602" w:rsidRPr="00D316E7">
        <w:rPr>
          <w:bCs/>
        </w:rPr>
        <w:t>s</w:t>
      </w:r>
      <w:r w:rsidRPr="00D316E7">
        <w:rPr>
          <w:bCs/>
        </w:rPr>
        <w:t xml:space="preserve">e pot deosebi două situaţii şi anume inundabilitatea cauzată de râurile mari ale judeţului </w:t>
      </w:r>
      <w:r w:rsidR="001065F2" w:rsidRPr="00D316E7">
        <w:rPr>
          <w:bCs/>
        </w:rPr>
        <w:t>Suceava (Siret,</w:t>
      </w:r>
      <w:r w:rsidR="007C19EB">
        <w:rPr>
          <w:bCs/>
        </w:rPr>
        <w:t xml:space="preserve"> </w:t>
      </w:r>
      <w:r w:rsidR="001065F2" w:rsidRPr="00D316E7">
        <w:rPr>
          <w:bCs/>
        </w:rPr>
        <w:t>Suceava, Moldova, Bistrita</w:t>
      </w:r>
      <w:r w:rsidRPr="00D316E7">
        <w:rPr>
          <w:bCs/>
        </w:rPr>
        <w:t>) în luncile proprii, inundabilitate ce afectează de obicei soluri cu un grad redus de fertilitate (litosoluri eutrice – prundice;</w:t>
      </w:r>
      <w:r w:rsidR="00D44602" w:rsidRPr="00D316E7">
        <w:rPr>
          <w:bCs/>
        </w:rPr>
        <w:t xml:space="preserve"> </w:t>
      </w:r>
      <w:r w:rsidRPr="00D316E7">
        <w:rPr>
          <w:bCs/>
        </w:rPr>
        <w:t xml:space="preserve">aluvisoluri eutrice şi litice). Aceasta se poate reduce parţial prin creşterea numărului de baraje pe râurile mari cu scopul de a regulariza debitul cursurilor de apă precum şi acolo unde se impune execuţia de diguri de protecţie pentru apărarea construcţiilor. </w:t>
      </w:r>
      <w:r w:rsidR="00282560" w:rsidRPr="00D316E7">
        <w:rPr>
          <w:bCs/>
        </w:rPr>
        <w:t xml:space="preserve">În cea de a doua situaţie se află râurile mici din zona piemontană de contact dintre Podişul Dragomirnei şi Obcina Mare, râuri tributare mai ales Sucevei, responsabile pentru calamităţile petrecute în ultimii ani pe raza comunelor </w:t>
      </w:r>
      <w:r w:rsidR="00120D39">
        <w:rPr>
          <w:bCs/>
        </w:rPr>
        <w:t>Arbore, Gura Humorului Voroneţ</w:t>
      </w:r>
      <w:r w:rsidR="00282560" w:rsidRPr="00D316E7">
        <w:rPr>
          <w:bCs/>
        </w:rPr>
        <w:t xml:space="preserve"> şi Solca.</w:t>
      </w:r>
      <w:r w:rsidRPr="00D316E7">
        <w:rPr>
          <w:bCs/>
        </w:rPr>
        <w:t xml:space="preserve"> </w:t>
      </w:r>
      <w:r w:rsidR="00282560" w:rsidRPr="00D316E7">
        <w:rPr>
          <w:bCs/>
        </w:rPr>
        <w:t>Aici condiţiile de relief sunt cele care permit pe de o parte precipitaţii abundente într-un timp foart</w:t>
      </w:r>
      <w:r w:rsidR="00E6124D" w:rsidRPr="00D316E7">
        <w:rPr>
          <w:bCs/>
        </w:rPr>
        <w:t>e scurt, dar şi o scurgere foar</w:t>
      </w:r>
      <w:r w:rsidR="00282560" w:rsidRPr="00D316E7">
        <w:rPr>
          <w:bCs/>
        </w:rPr>
        <w:t>t</w:t>
      </w:r>
      <w:r w:rsidR="00E6124D" w:rsidRPr="00D316E7">
        <w:rPr>
          <w:bCs/>
        </w:rPr>
        <w:t>e</w:t>
      </w:r>
      <w:r w:rsidR="00282560" w:rsidRPr="00D316E7">
        <w:rPr>
          <w:bCs/>
        </w:rPr>
        <w:t xml:space="preserve"> rapidă a apei din cauza pantei mari a terenului. Viiturile sunt mai bruşte şi mai violente, impunându-se redimensionarea podeţelor precum şi evitarea locuirii în zonele afectate.</w:t>
      </w:r>
    </w:p>
    <w:p w:rsidR="00254E7A" w:rsidRPr="00D316E7" w:rsidRDefault="00254E7A" w:rsidP="00254E7A">
      <w:pPr>
        <w:widowControl w:val="0"/>
        <w:ind w:firstLine="706"/>
        <w:jc w:val="both"/>
        <w:rPr>
          <w:rFonts w:ascii="Arial" w:hAnsi="Arial" w:cs="Arial"/>
          <w:sz w:val="6"/>
          <w:szCs w:val="6"/>
          <w:lang w:val="ro-RO"/>
        </w:rPr>
      </w:pPr>
    </w:p>
    <w:p w:rsidR="00282560" w:rsidRPr="00D316E7" w:rsidRDefault="00282560" w:rsidP="00254E7A">
      <w:pPr>
        <w:pStyle w:val="BodyTextIndent2"/>
        <w:widowControl w:val="0"/>
        <w:ind w:firstLine="708"/>
        <w:jc w:val="both"/>
        <w:rPr>
          <w:bCs/>
        </w:rPr>
      </w:pPr>
      <w:r w:rsidRPr="00D316E7">
        <w:rPr>
          <w:bCs/>
        </w:rPr>
        <w:t xml:space="preserve">g) </w:t>
      </w:r>
      <w:r w:rsidRPr="00D316E7">
        <w:rPr>
          <w:bCs/>
          <w:i/>
        </w:rPr>
        <w:t>Volum edafic redus</w:t>
      </w:r>
      <w:r w:rsidR="00C94205" w:rsidRPr="00D316E7">
        <w:rPr>
          <w:bCs/>
        </w:rPr>
        <w:t>:</w:t>
      </w:r>
      <w:r w:rsidRPr="00D316E7">
        <w:rPr>
          <w:bCs/>
        </w:rPr>
        <w:t xml:space="preserve"> </w:t>
      </w:r>
      <w:r w:rsidR="00D44602" w:rsidRPr="00D316E7">
        <w:rPr>
          <w:bCs/>
        </w:rPr>
        <w:t>s</w:t>
      </w:r>
      <w:r w:rsidRPr="00D316E7">
        <w:rPr>
          <w:bCs/>
        </w:rPr>
        <w:t>unt solurile cu mult schelet din zona montană şi din luncile râurilor. Nu se poate acţiona asupra lor, singura măsură fiind folosirea lor ca păşuni şi fâneţe.</w:t>
      </w:r>
    </w:p>
    <w:p w:rsidR="00254E7A" w:rsidRPr="00D316E7" w:rsidRDefault="00254E7A" w:rsidP="00254E7A">
      <w:pPr>
        <w:widowControl w:val="0"/>
        <w:ind w:firstLine="706"/>
        <w:jc w:val="both"/>
        <w:rPr>
          <w:rFonts w:ascii="Arial" w:hAnsi="Arial" w:cs="Arial"/>
          <w:sz w:val="6"/>
          <w:szCs w:val="6"/>
          <w:lang w:val="ro-RO"/>
        </w:rPr>
      </w:pPr>
    </w:p>
    <w:p w:rsidR="00282560" w:rsidRPr="00D316E7" w:rsidRDefault="00282560" w:rsidP="00254E7A">
      <w:pPr>
        <w:pStyle w:val="BodyTextIndent2"/>
        <w:widowControl w:val="0"/>
        <w:ind w:firstLine="708"/>
        <w:jc w:val="both"/>
        <w:rPr>
          <w:bCs/>
        </w:rPr>
      </w:pPr>
      <w:r w:rsidRPr="00D316E7">
        <w:rPr>
          <w:bCs/>
        </w:rPr>
        <w:t xml:space="preserve">h) </w:t>
      </w:r>
      <w:r w:rsidRPr="00D316E7">
        <w:rPr>
          <w:bCs/>
          <w:i/>
        </w:rPr>
        <w:t>Deficit de elemente nutritive</w:t>
      </w:r>
      <w:r w:rsidR="00C94205" w:rsidRPr="00D316E7">
        <w:rPr>
          <w:bCs/>
          <w:i/>
        </w:rPr>
        <w:t>:</w:t>
      </w:r>
      <w:r w:rsidRPr="00D316E7">
        <w:rPr>
          <w:bCs/>
        </w:rPr>
        <w:t xml:space="preserve"> </w:t>
      </w:r>
      <w:r w:rsidR="00D44602" w:rsidRPr="00D316E7">
        <w:rPr>
          <w:bCs/>
        </w:rPr>
        <w:t>e</w:t>
      </w:r>
      <w:r w:rsidRPr="00D316E7">
        <w:rPr>
          <w:bCs/>
        </w:rPr>
        <w:t xml:space="preserve">ste una </w:t>
      </w:r>
      <w:r w:rsidR="00452BF4" w:rsidRPr="00D316E7">
        <w:rPr>
          <w:bCs/>
        </w:rPr>
        <w:t xml:space="preserve">din marile probleme cu care se confruntă agricultura suceveană atât în zona de munte dar şi în cea de deal. Dacă problemele legate de aprovizionarea cu potasiu nu sunt chiar atât de mari, legat de faptul că rocile mamă ale solului sunt bogate în potasiu, în schimb pentru azot şi mai ales fosfor situaţia este mai gravă, </w:t>
      </w:r>
      <w:r w:rsidR="005008D6" w:rsidRPr="00D316E7">
        <w:rPr>
          <w:bCs/>
        </w:rPr>
        <w:t>din cauza lipsei de fertilizanţi</w:t>
      </w:r>
      <w:r w:rsidR="00452BF4" w:rsidRPr="00D316E7">
        <w:rPr>
          <w:bCs/>
        </w:rPr>
        <w:t xml:space="preserve"> naturali şi artificiali, şi de amendamente. Se impune utilizarea de</w:t>
      </w:r>
      <w:r w:rsidR="00B82B71" w:rsidRPr="00D316E7">
        <w:rPr>
          <w:bCs/>
        </w:rPr>
        <w:t xml:space="preserve"> îngrăşăminte chimice complexe.</w:t>
      </w:r>
      <w:r w:rsidR="00452BF4" w:rsidRPr="00D316E7">
        <w:rPr>
          <w:rStyle w:val="FootnoteReference"/>
          <w:bCs/>
        </w:rPr>
        <w:footnoteReference w:id="3"/>
      </w:r>
      <w:r w:rsidR="00452BF4" w:rsidRPr="00D316E7">
        <w:rPr>
          <w:bCs/>
        </w:rPr>
        <w:t xml:space="preserve"> </w:t>
      </w:r>
    </w:p>
    <w:p w:rsidR="002E3147" w:rsidRPr="004D5276" w:rsidRDefault="002E3147" w:rsidP="00171588">
      <w:pPr>
        <w:widowControl w:val="0"/>
        <w:ind w:firstLine="706"/>
        <w:jc w:val="both"/>
        <w:rPr>
          <w:rFonts w:ascii="Arial" w:hAnsi="Arial" w:cs="Arial"/>
          <w:color w:val="984806" w:themeColor="accent6" w:themeShade="80"/>
          <w:sz w:val="16"/>
          <w:szCs w:val="16"/>
          <w:lang w:val="ro-RO"/>
        </w:rPr>
      </w:pPr>
      <w:r w:rsidRPr="004D5276">
        <w:rPr>
          <w:rFonts w:ascii="Arial" w:hAnsi="Arial" w:cs="Arial"/>
          <w:color w:val="984806" w:themeColor="accent6" w:themeShade="80"/>
          <w:lang w:val="ro-RO"/>
        </w:rPr>
        <w:t xml:space="preserve">     </w:t>
      </w:r>
    </w:p>
    <w:p w:rsidR="00E877EE" w:rsidRPr="00D316E7" w:rsidRDefault="00AF529F" w:rsidP="00171588">
      <w:pPr>
        <w:widowControl w:val="0"/>
        <w:ind w:firstLine="720"/>
        <w:jc w:val="center"/>
        <w:rPr>
          <w:rFonts w:ascii="Arial" w:hAnsi="Arial" w:cs="Arial"/>
          <w:sz w:val="22"/>
          <w:szCs w:val="22"/>
          <w:lang w:val="ro-RO"/>
        </w:rPr>
      </w:pPr>
      <w:r w:rsidRPr="00D316E7">
        <w:rPr>
          <w:rFonts w:ascii="Arial" w:hAnsi="Arial" w:cs="Arial"/>
          <w:bCs/>
          <w:sz w:val="22"/>
          <w:szCs w:val="22"/>
        </w:rPr>
        <w:lastRenderedPageBreak/>
        <w:t>Tabel III.</w:t>
      </w:r>
      <w:r w:rsidR="00C60BD3" w:rsidRPr="00D316E7">
        <w:rPr>
          <w:rFonts w:ascii="Arial" w:hAnsi="Arial" w:cs="Arial"/>
          <w:bCs/>
          <w:sz w:val="22"/>
          <w:szCs w:val="22"/>
        </w:rPr>
        <w:t>1.2.1</w:t>
      </w:r>
      <w:r w:rsidRPr="00D316E7">
        <w:rPr>
          <w:rFonts w:ascii="Arial" w:hAnsi="Arial" w:cs="Arial"/>
          <w:bCs/>
          <w:sz w:val="22"/>
          <w:szCs w:val="22"/>
        </w:rPr>
        <w:t xml:space="preserve">. </w:t>
      </w:r>
      <w:r w:rsidR="00E877EE" w:rsidRPr="00D316E7">
        <w:rPr>
          <w:rFonts w:ascii="Arial" w:hAnsi="Arial" w:cs="Arial"/>
          <w:sz w:val="22"/>
          <w:szCs w:val="22"/>
          <w:lang w:val="ro-RO"/>
        </w:rPr>
        <w:t xml:space="preserve">Repartiţia solurilor afectate de factori de degradare în </w:t>
      </w:r>
      <w:r w:rsidR="00074A83" w:rsidRPr="00D316E7">
        <w:rPr>
          <w:rFonts w:ascii="Arial" w:hAnsi="Arial" w:cs="Arial"/>
          <w:sz w:val="22"/>
          <w:szCs w:val="22"/>
          <w:lang w:val="ro-RO"/>
        </w:rPr>
        <w:t>anul 201</w:t>
      </w:r>
      <w:r w:rsidR="00C5307B" w:rsidRPr="00D316E7">
        <w:rPr>
          <w:rFonts w:ascii="Arial" w:hAnsi="Arial" w:cs="Arial"/>
          <w:sz w:val="22"/>
          <w:szCs w:val="22"/>
          <w:lang w:val="ro-RO"/>
        </w:rPr>
        <w:t>7</w:t>
      </w:r>
    </w:p>
    <w:p w:rsidR="00863C9D" w:rsidRPr="00D316E7" w:rsidRDefault="00E877EE" w:rsidP="00171588">
      <w:pPr>
        <w:widowControl w:val="0"/>
        <w:ind w:firstLine="720"/>
        <w:jc w:val="center"/>
        <w:rPr>
          <w:rFonts w:ascii="Arial" w:hAnsi="Arial" w:cs="Arial"/>
          <w:sz w:val="22"/>
          <w:szCs w:val="22"/>
          <w:lang w:val="ro-RO"/>
        </w:rPr>
      </w:pPr>
      <w:r w:rsidRPr="00D316E7">
        <w:rPr>
          <w:rFonts w:ascii="Arial" w:hAnsi="Arial" w:cs="Arial"/>
          <w:sz w:val="22"/>
          <w:szCs w:val="22"/>
          <w:lang w:val="ro-RO"/>
        </w:rPr>
        <w:t>în judeţul Suceava (</w:t>
      </w:r>
      <w:r w:rsidR="00074A83" w:rsidRPr="00D316E7">
        <w:rPr>
          <w:rFonts w:ascii="Arial" w:hAnsi="Arial" w:cs="Arial"/>
          <w:i/>
          <w:sz w:val="22"/>
          <w:szCs w:val="22"/>
          <w:lang w:val="ro-RO"/>
        </w:rPr>
        <w:t>Sursa: O</w:t>
      </w:r>
      <w:r w:rsidR="008516EA" w:rsidRPr="00D316E7">
        <w:rPr>
          <w:rFonts w:ascii="Arial" w:hAnsi="Arial" w:cs="Arial"/>
          <w:i/>
          <w:sz w:val="22"/>
          <w:szCs w:val="22"/>
          <w:lang w:val="ro-RO"/>
        </w:rPr>
        <w:t>.</w:t>
      </w:r>
      <w:r w:rsidR="00074A83" w:rsidRPr="00D316E7">
        <w:rPr>
          <w:rFonts w:ascii="Arial" w:hAnsi="Arial" w:cs="Arial"/>
          <w:i/>
          <w:sz w:val="22"/>
          <w:szCs w:val="22"/>
          <w:lang w:val="ro-RO"/>
        </w:rPr>
        <w:t>S</w:t>
      </w:r>
      <w:r w:rsidR="008516EA" w:rsidRPr="00D316E7">
        <w:rPr>
          <w:rFonts w:ascii="Arial" w:hAnsi="Arial" w:cs="Arial"/>
          <w:i/>
          <w:sz w:val="22"/>
          <w:szCs w:val="22"/>
          <w:lang w:val="ro-RO"/>
        </w:rPr>
        <w:t>.</w:t>
      </w:r>
      <w:r w:rsidR="00074A83" w:rsidRPr="00D316E7">
        <w:rPr>
          <w:rFonts w:ascii="Arial" w:hAnsi="Arial" w:cs="Arial"/>
          <w:i/>
          <w:sz w:val="22"/>
          <w:szCs w:val="22"/>
          <w:lang w:val="ro-RO"/>
        </w:rPr>
        <w:t>P</w:t>
      </w:r>
      <w:r w:rsidR="008516EA" w:rsidRPr="00D316E7">
        <w:rPr>
          <w:rFonts w:ascii="Arial" w:hAnsi="Arial" w:cs="Arial"/>
          <w:i/>
          <w:sz w:val="22"/>
          <w:szCs w:val="22"/>
          <w:lang w:val="ro-RO"/>
        </w:rPr>
        <w:t>.</w:t>
      </w:r>
      <w:r w:rsidR="00074A83" w:rsidRPr="00D316E7">
        <w:rPr>
          <w:rFonts w:ascii="Arial" w:hAnsi="Arial" w:cs="Arial"/>
          <w:i/>
          <w:sz w:val="22"/>
          <w:szCs w:val="22"/>
          <w:lang w:val="ro-RO"/>
        </w:rPr>
        <w:t>A</w:t>
      </w:r>
      <w:r w:rsidR="008516EA" w:rsidRPr="00D316E7">
        <w:rPr>
          <w:rFonts w:ascii="Arial" w:hAnsi="Arial" w:cs="Arial"/>
          <w:i/>
          <w:sz w:val="22"/>
          <w:szCs w:val="22"/>
          <w:lang w:val="ro-RO"/>
        </w:rPr>
        <w:t>.</w:t>
      </w:r>
      <w:r w:rsidR="00074A83" w:rsidRPr="00D316E7">
        <w:rPr>
          <w:rFonts w:ascii="Arial" w:hAnsi="Arial" w:cs="Arial"/>
          <w:i/>
          <w:sz w:val="22"/>
          <w:szCs w:val="22"/>
          <w:lang w:val="ro-RO"/>
        </w:rPr>
        <w:t xml:space="preserve"> Suceava</w:t>
      </w:r>
      <w:r w:rsidRPr="00D316E7">
        <w:rPr>
          <w:rFonts w:ascii="Arial" w:hAnsi="Arial" w:cs="Arial"/>
          <w:sz w:val="22"/>
          <w:szCs w:val="22"/>
          <w:lang w:val="ro-RO"/>
        </w:rPr>
        <w:t>)</w:t>
      </w:r>
    </w:p>
    <w:p w:rsidR="00074A83" w:rsidRPr="00D316E7" w:rsidRDefault="00074A83" w:rsidP="00171588">
      <w:pPr>
        <w:widowControl w:val="0"/>
        <w:ind w:left="720" w:right="-1008"/>
        <w:jc w:val="both"/>
        <w:rPr>
          <w:b/>
          <w:sz w:val="6"/>
          <w:szCs w:val="6"/>
          <w:lang w:val="ro-RO"/>
        </w:rPr>
      </w:pPr>
    </w:p>
    <w:tbl>
      <w:tblPr>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368"/>
        <w:gridCol w:w="133"/>
        <w:gridCol w:w="1412"/>
        <w:gridCol w:w="2773"/>
      </w:tblGrid>
      <w:tr w:rsidR="00F84C70" w:rsidRPr="00D316E7" w:rsidTr="00C94205">
        <w:trPr>
          <w:cantSplit/>
          <w:trHeight w:val="403"/>
          <w:tblHeader/>
          <w:jc w:val="center"/>
        </w:trPr>
        <w:tc>
          <w:tcPr>
            <w:tcW w:w="2913" w:type="dxa"/>
            <w:gridSpan w:val="3"/>
            <w:shd w:val="clear" w:color="auto" w:fill="FFFF99"/>
            <w:vAlign w:val="center"/>
          </w:tcPr>
          <w:p w:rsidR="00F84C70" w:rsidRPr="00D316E7" w:rsidRDefault="00F84C70" w:rsidP="00A30FB3">
            <w:pPr>
              <w:widowControl w:val="0"/>
              <w:spacing w:beforeLines="20" w:afterLines="20"/>
              <w:jc w:val="center"/>
              <w:rPr>
                <w:rFonts w:ascii="Arial" w:hAnsi="Arial" w:cs="Arial"/>
                <w:b/>
                <w:lang w:val="ro-RO"/>
              </w:rPr>
            </w:pPr>
            <w:r w:rsidRPr="00D316E7">
              <w:rPr>
                <w:rFonts w:ascii="Arial" w:hAnsi="Arial" w:cs="Arial"/>
                <w:b/>
                <w:sz w:val="22"/>
                <w:szCs w:val="22"/>
                <w:lang w:val="ro-RO"/>
              </w:rPr>
              <w:t>Factori de degradare</w:t>
            </w:r>
          </w:p>
        </w:tc>
        <w:tc>
          <w:tcPr>
            <w:tcW w:w="2773" w:type="dxa"/>
            <w:shd w:val="clear" w:color="auto" w:fill="FFFF99"/>
            <w:vAlign w:val="center"/>
          </w:tcPr>
          <w:p w:rsidR="00F84C70" w:rsidRPr="00D316E7" w:rsidRDefault="00F84C70" w:rsidP="00A30FB3">
            <w:pPr>
              <w:widowControl w:val="0"/>
              <w:spacing w:beforeLines="20" w:afterLines="20"/>
              <w:jc w:val="center"/>
              <w:rPr>
                <w:rFonts w:ascii="Arial" w:hAnsi="Arial" w:cs="Arial"/>
                <w:b/>
                <w:lang w:val="ro-RO"/>
              </w:rPr>
            </w:pPr>
            <w:r w:rsidRPr="00D316E7">
              <w:rPr>
                <w:rFonts w:ascii="Arial" w:hAnsi="Arial" w:cs="Arial"/>
                <w:b/>
                <w:sz w:val="22"/>
                <w:szCs w:val="22"/>
                <w:lang w:val="ro-RO"/>
              </w:rPr>
              <w:t>Suprafaţa (ha)</w:t>
            </w:r>
          </w:p>
        </w:tc>
      </w:tr>
      <w:tr w:rsidR="00F84C70" w:rsidRPr="00533331" w:rsidTr="00C94205">
        <w:trPr>
          <w:cantSplit/>
          <w:trHeight w:val="122"/>
          <w:tblHeader/>
          <w:jc w:val="center"/>
        </w:trPr>
        <w:tc>
          <w:tcPr>
            <w:tcW w:w="1368" w:type="dxa"/>
            <w:vMerge w:val="restart"/>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Eroziune</w:t>
            </w:r>
          </w:p>
          <w:p w:rsidR="001732A2" w:rsidRPr="00D316E7" w:rsidRDefault="001732A2" w:rsidP="00A30FB3">
            <w:pPr>
              <w:widowControl w:val="0"/>
              <w:spacing w:beforeLines="20" w:afterLines="20"/>
              <w:jc w:val="both"/>
              <w:rPr>
                <w:rFonts w:ascii="Arial" w:hAnsi="Arial" w:cs="Arial"/>
                <w:lang w:val="ro-RO"/>
              </w:rPr>
            </w:pPr>
          </w:p>
        </w:tc>
        <w:tc>
          <w:tcPr>
            <w:tcW w:w="1545" w:type="dxa"/>
            <w:gridSpan w:val="2"/>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Suprafaţă</w:t>
            </w:r>
          </w:p>
        </w:tc>
        <w:tc>
          <w:tcPr>
            <w:tcW w:w="2773" w:type="dxa"/>
            <w:vAlign w:val="center"/>
          </w:tcPr>
          <w:p w:rsidR="00F84C70" w:rsidRPr="00533331" w:rsidRDefault="00F84C70" w:rsidP="00A30FB3">
            <w:pPr>
              <w:widowControl w:val="0"/>
              <w:spacing w:beforeLines="20" w:afterLines="20"/>
              <w:jc w:val="right"/>
              <w:rPr>
                <w:rFonts w:ascii="Arial" w:hAnsi="Arial" w:cs="Arial"/>
                <w:lang w:val="ro-RO"/>
              </w:rPr>
            </w:pPr>
            <w:r w:rsidRPr="00533331">
              <w:rPr>
                <w:rFonts w:ascii="Arial" w:hAnsi="Arial" w:cs="Arial"/>
                <w:sz w:val="22"/>
                <w:szCs w:val="22"/>
                <w:lang w:val="ro-RO"/>
              </w:rPr>
              <w:t>59.</w:t>
            </w:r>
            <w:r w:rsidR="00C5307B" w:rsidRPr="00533331">
              <w:rPr>
                <w:rFonts w:ascii="Arial" w:hAnsi="Arial" w:cs="Arial"/>
                <w:sz w:val="22"/>
                <w:szCs w:val="22"/>
                <w:lang w:val="ro-RO"/>
              </w:rPr>
              <w:t>526</w:t>
            </w:r>
          </w:p>
        </w:tc>
      </w:tr>
      <w:tr w:rsidR="00F84C70" w:rsidRPr="00533331" w:rsidTr="00C94205">
        <w:trPr>
          <w:cantSplit/>
          <w:trHeight w:val="122"/>
          <w:tblHeader/>
          <w:jc w:val="center"/>
        </w:trPr>
        <w:tc>
          <w:tcPr>
            <w:tcW w:w="1368" w:type="dxa"/>
            <w:vMerge/>
            <w:vAlign w:val="center"/>
          </w:tcPr>
          <w:p w:rsidR="00F84C70" w:rsidRPr="00D316E7" w:rsidRDefault="00F84C70" w:rsidP="00A30FB3">
            <w:pPr>
              <w:widowControl w:val="0"/>
              <w:spacing w:beforeLines="20" w:afterLines="20"/>
              <w:jc w:val="both"/>
              <w:rPr>
                <w:rFonts w:ascii="Arial" w:hAnsi="Arial" w:cs="Arial"/>
                <w:lang w:val="ro-RO"/>
              </w:rPr>
            </w:pPr>
          </w:p>
        </w:tc>
        <w:tc>
          <w:tcPr>
            <w:tcW w:w="1545" w:type="dxa"/>
            <w:gridSpan w:val="2"/>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 xml:space="preserve">Adâncime </w:t>
            </w:r>
          </w:p>
        </w:tc>
        <w:tc>
          <w:tcPr>
            <w:tcW w:w="2773" w:type="dxa"/>
            <w:vAlign w:val="center"/>
          </w:tcPr>
          <w:p w:rsidR="00F84C70" w:rsidRPr="00533331" w:rsidRDefault="00F84C70" w:rsidP="00A30FB3">
            <w:pPr>
              <w:widowControl w:val="0"/>
              <w:spacing w:beforeLines="20" w:afterLines="20"/>
              <w:jc w:val="right"/>
              <w:rPr>
                <w:rFonts w:ascii="Arial" w:hAnsi="Arial" w:cs="Arial"/>
                <w:lang w:val="ro-RO"/>
              </w:rPr>
            </w:pPr>
            <w:r w:rsidRPr="00533331">
              <w:rPr>
                <w:rFonts w:ascii="Arial" w:hAnsi="Arial" w:cs="Arial"/>
                <w:sz w:val="22"/>
                <w:szCs w:val="22"/>
                <w:lang w:val="ro-RO"/>
              </w:rPr>
              <w:t>1.652</w:t>
            </w:r>
          </w:p>
        </w:tc>
      </w:tr>
      <w:tr w:rsidR="00F84C70" w:rsidRPr="00D316E7" w:rsidTr="00C94205">
        <w:trPr>
          <w:cantSplit/>
          <w:trHeight w:val="122"/>
          <w:tblHeader/>
          <w:jc w:val="center"/>
        </w:trPr>
        <w:tc>
          <w:tcPr>
            <w:tcW w:w="2913" w:type="dxa"/>
            <w:gridSpan w:val="3"/>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Alunecări de teren</w:t>
            </w:r>
          </w:p>
        </w:tc>
        <w:tc>
          <w:tcPr>
            <w:tcW w:w="2773" w:type="dxa"/>
            <w:vAlign w:val="center"/>
          </w:tcPr>
          <w:p w:rsidR="00F84C70" w:rsidRPr="00D316E7" w:rsidRDefault="00F84C70" w:rsidP="00A30FB3">
            <w:pPr>
              <w:widowControl w:val="0"/>
              <w:spacing w:beforeLines="20" w:afterLines="20"/>
              <w:jc w:val="right"/>
              <w:rPr>
                <w:rFonts w:ascii="Arial" w:hAnsi="Arial" w:cs="Arial"/>
                <w:lang w:val="ro-RO"/>
              </w:rPr>
            </w:pPr>
            <w:r w:rsidRPr="00D316E7">
              <w:rPr>
                <w:rFonts w:ascii="Arial" w:hAnsi="Arial" w:cs="Arial"/>
                <w:sz w:val="22"/>
                <w:szCs w:val="22"/>
                <w:lang w:val="ro-RO"/>
              </w:rPr>
              <w:t>23.</w:t>
            </w:r>
            <w:r w:rsidR="00243DCE" w:rsidRPr="00D316E7">
              <w:rPr>
                <w:rFonts w:ascii="Arial" w:hAnsi="Arial" w:cs="Arial"/>
                <w:sz w:val="22"/>
                <w:szCs w:val="22"/>
                <w:lang w:val="ro-RO"/>
              </w:rPr>
              <w:t>278</w:t>
            </w:r>
          </w:p>
        </w:tc>
      </w:tr>
      <w:tr w:rsidR="00F84C70" w:rsidRPr="00D316E7" w:rsidTr="00C94205">
        <w:trPr>
          <w:cantSplit/>
          <w:trHeight w:val="122"/>
          <w:tblHeader/>
          <w:jc w:val="center"/>
        </w:trPr>
        <w:tc>
          <w:tcPr>
            <w:tcW w:w="2913" w:type="dxa"/>
            <w:gridSpan w:val="3"/>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 xml:space="preserve">Inundabilitate </w:t>
            </w:r>
          </w:p>
        </w:tc>
        <w:tc>
          <w:tcPr>
            <w:tcW w:w="2773" w:type="dxa"/>
            <w:vAlign w:val="center"/>
          </w:tcPr>
          <w:p w:rsidR="00F84C70" w:rsidRPr="00D316E7" w:rsidRDefault="00243DCE" w:rsidP="00A30FB3">
            <w:pPr>
              <w:widowControl w:val="0"/>
              <w:spacing w:beforeLines="20" w:afterLines="20"/>
              <w:jc w:val="right"/>
              <w:rPr>
                <w:rFonts w:ascii="Arial" w:hAnsi="Arial" w:cs="Arial"/>
                <w:lang w:val="ro-RO"/>
              </w:rPr>
            </w:pPr>
            <w:r w:rsidRPr="00D316E7">
              <w:rPr>
                <w:rFonts w:ascii="Arial" w:hAnsi="Arial" w:cs="Arial"/>
                <w:sz w:val="22"/>
                <w:szCs w:val="22"/>
                <w:lang w:val="ro-RO"/>
              </w:rPr>
              <w:t>5</w:t>
            </w:r>
            <w:r w:rsidR="00C5307B" w:rsidRPr="00D316E7">
              <w:rPr>
                <w:rFonts w:ascii="Arial" w:hAnsi="Arial" w:cs="Arial"/>
                <w:sz w:val="22"/>
                <w:szCs w:val="22"/>
                <w:lang w:val="ro-RO"/>
              </w:rPr>
              <w:t>2</w:t>
            </w:r>
            <w:r w:rsidRPr="00D316E7">
              <w:rPr>
                <w:rFonts w:ascii="Arial" w:hAnsi="Arial" w:cs="Arial"/>
                <w:sz w:val="22"/>
                <w:szCs w:val="22"/>
                <w:lang w:val="ro-RO"/>
              </w:rPr>
              <w:t>.</w:t>
            </w:r>
            <w:r w:rsidR="00C5307B" w:rsidRPr="00D316E7">
              <w:rPr>
                <w:rFonts w:ascii="Arial" w:hAnsi="Arial" w:cs="Arial"/>
                <w:sz w:val="22"/>
                <w:szCs w:val="22"/>
                <w:lang w:val="ro-RO"/>
              </w:rPr>
              <w:t>427</w:t>
            </w:r>
          </w:p>
        </w:tc>
      </w:tr>
      <w:tr w:rsidR="00F84C70" w:rsidRPr="00D316E7" w:rsidTr="00C94205">
        <w:trPr>
          <w:cantSplit/>
          <w:trHeight w:val="122"/>
          <w:tblHeader/>
          <w:jc w:val="center"/>
        </w:trPr>
        <w:tc>
          <w:tcPr>
            <w:tcW w:w="2913" w:type="dxa"/>
            <w:gridSpan w:val="3"/>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 xml:space="preserve">Acidifiere </w:t>
            </w:r>
          </w:p>
        </w:tc>
        <w:tc>
          <w:tcPr>
            <w:tcW w:w="2773" w:type="dxa"/>
            <w:vAlign w:val="center"/>
          </w:tcPr>
          <w:p w:rsidR="00F84C70" w:rsidRPr="00D316E7" w:rsidRDefault="00F84C70" w:rsidP="00A30FB3">
            <w:pPr>
              <w:widowControl w:val="0"/>
              <w:spacing w:beforeLines="20" w:afterLines="20"/>
              <w:jc w:val="right"/>
              <w:rPr>
                <w:rFonts w:ascii="Arial" w:hAnsi="Arial" w:cs="Arial"/>
                <w:lang w:val="ro-RO"/>
              </w:rPr>
            </w:pPr>
            <w:r w:rsidRPr="00D316E7">
              <w:rPr>
                <w:rFonts w:ascii="Arial" w:hAnsi="Arial" w:cs="Arial"/>
                <w:sz w:val="22"/>
                <w:szCs w:val="22"/>
                <w:lang w:val="ro-RO"/>
              </w:rPr>
              <w:t>240.</w:t>
            </w:r>
            <w:r w:rsidR="007E7571" w:rsidRPr="00D316E7">
              <w:rPr>
                <w:rFonts w:ascii="Arial" w:hAnsi="Arial" w:cs="Arial"/>
                <w:sz w:val="22"/>
                <w:szCs w:val="22"/>
                <w:lang w:val="ro-RO"/>
              </w:rPr>
              <w:t>690</w:t>
            </w:r>
          </w:p>
        </w:tc>
      </w:tr>
      <w:tr w:rsidR="00F84C70" w:rsidRPr="00D316E7" w:rsidTr="00C94205">
        <w:trPr>
          <w:cantSplit/>
          <w:trHeight w:val="122"/>
          <w:tblHeader/>
          <w:jc w:val="center"/>
        </w:trPr>
        <w:tc>
          <w:tcPr>
            <w:tcW w:w="2913" w:type="dxa"/>
            <w:gridSpan w:val="3"/>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 xml:space="preserve">Compactare </w:t>
            </w:r>
          </w:p>
        </w:tc>
        <w:tc>
          <w:tcPr>
            <w:tcW w:w="2773" w:type="dxa"/>
            <w:vAlign w:val="center"/>
          </w:tcPr>
          <w:p w:rsidR="00F84C70" w:rsidRPr="00D316E7" w:rsidRDefault="00F84C70" w:rsidP="00A30FB3">
            <w:pPr>
              <w:widowControl w:val="0"/>
              <w:spacing w:beforeLines="20" w:afterLines="20"/>
              <w:jc w:val="right"/>
              <w:rPr>
                <w:rFonts w:ascii="Arial" w:hAnsi="Arial" w:cs="Arial"/>
                <w:lang w:val="ro-RO"/>
              </w:rPr>
            </w:pPr>
            <w:r w:rsidRPr="00D316E7">
              <w:rPr>
                <w:rFonts w:ascii="Arial" w:hAnsi="Arial" w:cs="Arial"/>
                <w:sz w:val="22"/>
                <w:szCs w:val="22"/>
                <w:lang w:val="ro-RO"/>
              </w:rPr>
              <w:t>31.455</w:t>
            </w:r>
          </w:p>
        </w:tc>
      </w:tr>
      <w:tr w:rsidR="00F84C70" w:rsidRPr="00D316E7" w:rsidTr="00C94205">
        <w:trPr>
          <w:cantSplit/>
          <w:trHeight w:val="122"/>
          <w:tblHeader/>
          <w:jc w:val="center"/>
        </w:trPr>
        <w:tc>
          <w:tcPr>
            <w:tcW w:w="1501" w:type="dxa"/>
            <w:gridSpan w:val="2"/>
            <w:vMerge w:val="restart"/>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Deficit  de</w:t>
            </w:r>
          </w:p>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 xml:space="preserve">elemente </w:t>
            </w:r>
          </w:p>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 xml:space="preserve">nutritive </w:t>
            </w:r>
          </w:p>
        </w:tc>
        <w:tc>
          <w:tcPr>
            <w:tcW w:w="1412" w:type="dxa"/>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 xml:space="preserve">Azot </w:t>
            </w:r>
          </w:p>
        </w:tc>
        <w:tc>
          <w:tcPr>
            <w:tcW w:w="2773" w:type="dxa"/>
            <w:vAlign w:val="center"/>
          </w:tcPr>
          <w:p w:rsidR="00F84C70" w:rsidRPr="00D316E7" w:rsidRDefault="007E7571" w:rsidP="00A30FB3">
            <w:pPr>
              <w:widowControl w:val="0"/>
              <w:spacing w:beforeLines="20" w:afterLines="20"/>
              <w:jc w:val="right"/>
              <w:rPr>
                <w:rFonts w:ascii="Arial" w:hAnsi="Arial" w:cs="Arial"/>
                <w:lang w:val="ro-RO"/>
              </w:rPr>
            </w:pPr>
            <w:r w:rsidRPr="00D316E7">
              <w:rPr>
                <w:rFonts w:ascii="Arial" w:hAnsi="Arial" w:cs="Arial"/>
                <w:sz w:val="22"/>
                <w:szCs w:val="22"/>
                <w:lang w:val="ro-RO"/>
              </w:rPr>
              <w:t>188.281</w:t>
            </w:r>
          </w:p>
        </w:tc>
      </w:tr>
      <w:tr w:rsidR="00F84C70" w:rsidRPr="00D316E7" w:rsidTr="00C94205">
        <w:trPr>
          <w:cantSplit/>
          <w:trHeight w:val="229"/>
          <w:tblHeader/>
          <w:jc w:val="center"/>
        </w:trPr>
        <w:tc>
          <w:tcPr>
            <w:tcW w:w="1501" w:type="dxa"/>
            <w:gridSpan w:val="2"/>
            <w:vMerge/>
            <w:vAlign w:val="center"/>
          </w:tcPr>
          <w:p w:rsidR="00F84C70" w:rsidRPr="00D316E7" w:rsidRDefault="00F84C70" w:rsidP="00A30FB3">
            <w:pPr>
              <w:widowControl w:val="0"/>
              <w:spacing w:beforeLines="20" w:afterLines="20"/>
              <w:jc w:val="both"/>
              <w:rPr>
                <w:rFonts w:ascii="Arial" w:hAnsi="Arial" w:cs="Arial"/>
                <w:lang w:val="ro-RO"/>
              </w:rPr>
            </w:pPr>
          </w:p>
        </w:tc>
        <w:tc>
          <w:tcPr>
            <w:tcW w:w="1412" w:type="dxa"/>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 xml:space="preserve">Fosfor </w:t>
            </w:r>
          </w:p>
        </w:tc>
        <w:tc>
          <w:tcPr>
            <w:tcW w:w="2773" w:type="dxa"/>
            <w:vAlign w:val="center"/>
          </w:tcPr>
          <w:p w:rsidR="00F84C70" w:rsidRPr="00D316E7" w:rsidRDefault="00F84C70" w:rsidP="00A30FB3">
            <w:pPr>
              <w:widowControl w:val="0"/>
              <w:spacing w:beforeLines="20" w:afterLines="20"/>
              <w:jc w:val="right"/>
              <w:rPr>
                <w:rFonts w:ascii="Arial" w:hAnsi="Arial" w:cs="Arial"/>
                <w:lang w:val="ro-RO"/>
              </w:rPr>
            </w:pPr>
            <w:r w:rsidRPr="00D316E7">
              <w:rPr>
                <w:rFonts w:ascii="Arial" w:hAnsi="Arial" w:cs="Arial"/>
                <w:sz w:val="22"/>
                <w:szCs w:val="22"/>
                <w:lang w:val="ro-RO"/>
              </w:rPr>
              <w:t>243.</w:t>
            </w:r>
            <w:r w:rsidR="007E7571" w:rsidRPr="00D316E7">
              <w:rPr>
                <w:rFonts w:ascii="Arial" w:hAnsi="Arial" w:cs="Arial"/>
                <w:sz w:val="22"/>
                <w:szCs w:val="22"/>
                <w:lang w:val="ro-RO"/>
              </w:rPr>
              <w:t>885</w:t>
            </w:r>
          </w:p>
        </w:tc>
      </w:tr>
      <w:tr w:rsidR="00F84C70" w:rsidRPr="00D316E7" w:rsidTr="00C94205">
        <w:trPr>
          <w:cantSplit/>
          <w:trHeight w:val="229"/>
          <w:tblHeader/>
          <w:jc w:val="center"/>
        </w:trPr>
        <w:tc>
          <w:tcPr>
            <w:tcW w:w="1501" w:type="dxa"/>
            <w:gridSpan w:val="2"/>
            <w:vMerge/>
            <w:vAlign w:val="center"/>
          </w:tcPr>
          <w:p w:rsidR="00F84C70" w:rsidRPr="00D316E7" w:rsidRDefault="00F84C70" w:rsidP="00A30FB3">
            <w:pPr>
              <w:widowControl w:val="0"/>
              <w:spacing w:beforeLines="20" w:afterLines="20"/>
              <w:jc w:val="both"/>
              <w:rPr>
                <w:rFonts w:ascii="Arial" w:hAnsi="Arial" w:cs="Arial"/>
                <w:lang w:val="ro-RO"/>
              </w:rPr>
            </w:pPr>
          </w:p>
        </w:tc>
        <w:tc>
          <w:tcPr>
            <w:tcW w:w="1412" w:type="dxa"/>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 xml:space="preserve">Potasiu </w:t>
            </w:r>
          </w:p>
        </w:tc>
        <w:tc>
          <w:tcPr>
            <w:tcW w:w="2773" w:type="dxa"/>
            <w:vAlign w:val="center"/>
          </w:tcPr>
          <w:p w:rsidR="00F84C70" w:rsidRPr="00D316E7" w:rsidRDefault="007E7571" w:rsidP="00A30FB3">
            <w:pPr>
              <w:widowControl w:val="0"/>
              <w:spacing w:beforeLines="20" w:afterLines="20"/>
              <w:jc w:val="right"/>
              <w:rPr>
                <w:rFonts w:ascii="Arial" w:hAnsi="Arial" w:cs="Arial"/>
                <w:lang w:val="ro-RO"/>
              </w:rPr>
            </w:pPr>
            <w:r w:rsidRPr="00D316E7">
              <w:rPr>
                <w:rFonts w:ascii="Arial" w:hAnsi="Arial" w:cs="Arial"/>
                <w:sz w:val="22"/>
                <w:szCs w:val="22"/>
                <w:lang w:val="ro-RO"/>
              </w:rPr>
              <w:t>47.767</w:t>
            </w:r>
          </w:p>
        </w:tc>
      </w:tr>
      <w:tr w:rsidR="00F84C70" w:rsidRPr="00D316E7" w:rsidTr="00C94205">
        <w:trPr>
          <w:cantSplit/>
          <w:trHeight w:val="242"/>
          <w:tblHeader/>
          <w:jc w:val="center"/>
        </w:trPr>
        <w:tc>
          <w:tcPr>
            <w:tcW w:w="2913" w:type="dxa"/>
            <w:gridSpan w:val="3"/>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Volum edafic redus</w:t>
            </w:r>
          </w:p>
        </w:tc>
        <w:tc>
          <w:tcPr>
            <w:tcW w:w="2773" w:type="dxa"/>
            <w:vAlign w:val="center"/>
          </w:tcPr>
          <w:p w:rsidR="00F84C70" w:rsidRPr="00D316E7" w:rsidRDefault="00F84C70" w:rsidP="00A30FB3">
            <w:pPr>
              <w:widowControl w:val="0"/>
              <w:spacing w:beforeLines="20" w:afterLines="20"/>
              <w:jc w:val="right"/>
              <w:rPr>
                <w:rFonts w:ascii="Arial" w:hAnsi="Arial" w:cs="Arial"/>
                <w:lang w:val="ro-RO"/>
              </w:rPr>
            </w:pPr>
            <w:r w:rsidRPr="00D316E7">
              <w:rPr>
                <w:rFonts w:ascii="Arial" w:hAnsi="Arial" w:cs="Arial"/>
                <w:sz w:val="22"/>
                <w:szCs w:val="22"/>
                <w:lang w:val="ro-RO"/>
              </w:rPr>
              <w:t>19.142</w:t>
            </w:r>
          </w:p>
        </w:tc>
      </w:tr>
      <w:tr w:rsidR="00F84C70" w:rsidRPr="00D316E7" w:rsidTr="00C94205">
        <w:trPr>
          <w:cantSplit/>
          <w:trHeight w:val="60"/>
          <w:tblHeader/>
          <w:jc w:val="center"/>
        </w:trPr>
        <w:tc>
          <w:tcPr>
            <w:tcW w:w="2913" w:type="dxa"/>
            <w:gridSpan w:val="3"/>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 xml:space="preserve">Sărăturare </w:t>
            </w:r>
          </w:p>
        </w:tc>
        <w:tc>
          <w:tcPr>
            <w:tcW w:w="2773" w:type="dxa"/>
            <w:vAlign w:val="center"/>
          </w:tcPr>
          <w:p w:rsidR="00F84C70" w:rsidRPr="00D316E7" w:rsidRDefault="00F84C70" w:rsidP="00A30FB3">
            <w:pPr>
              <w:widowControl w:val="0"/>
              <w:spacing w:beforeLines="20" w:afterLines="20"/>
              <w:jc w:val="right"/>
              <w:rPr>
                <w:rFonts w:ascii="Arial" w:hAnsi="Arial" w:cs="Arial"/>
                <w:lang w:val="ro-RO"/>
              </w:rPr>
            </w:pPr>
            <w:r w:rsidRPr="00D316E7">
              <w:rPr>
                <w:rFonts w:ascii="Arial" w:hAnsi="Arial" w:cs="Arial"/>
                <w:sz w:val="22"/>
                <w:szCs w:val="22"/>
                <w:lang w:val="ro-RO"/>
              </w:rPr>
              <w:t>-</w:t>
            </w:r>
          </w:p>
        </w:tc>
      </w:tr>
      <w:tr w:rsidR="00F84C70" w:rsidRPr="00D316E7" w:rsidTr="00C94205">
        <w:trPr>
          <w:cantSplit/>
          <w:trHeight w:val="60"/>
          <w:tblHeader/>
          <w:jc w:val="center"/>
        </w:trPr>
        <w:tc>
          <w:tcPr>
            <w:tcW w:w="2913" w:type="dxa"/>
            <w:gridSpan w:val="3"/>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Exces de umiditate în sol</w:t>
            </w:r>
          </w:p>
        </w:tc>
        <w:tc>
          <w:tcPr>
            <w:tcW w:w="2773" w:type="dxa"/>
            <w:vAlign w:val="center"/>
          </w:tcPr>
          <w:p w:rsidR="00F84C70" w:rsidRPr="00D316E7" w:rsidRDefault="00F84C70" w:rsidP="00A30FB3">
            <w:pPr>
              <w:widowControl w:val="0"/>
              <w:spacing w:beforeLines="20" w:afterLines="20"/>
              <w:jc w:val="right"/>
              <w:rPr>
                <w:rFonts w:ascii="Arial" w:hAnsi="Arial" w:cs="Arial"/>
                <w:lang w:val="ro-RO"/>
              </w:rPr>
            </w:pPr>
            <w:r w:rsidRPr="00D316E7">
              <w:rPr>
                <w:rFonts w:ascii="Arial" w:hAnsi="Arial" w:cs="Arial"/>
                <w:sz w:val="22"/>
                <w:szCs w:val="22"/>
                <w:lang w:val="ro-RO"/>
              </w:rPr>
              <w:t>184.156</w:t>
            </w:r>
          </w:p>
        </w:tc>
      </w:tr>
      <w:tr w:rsidR="00F84C70" w:rsidRPr="00D316E7" w:rsidTr="00C94205">
        <w:trPr>
          <w:cantSplit/>
          <w:trHeight w:val="60"/>
          <w:tblHeader/>
          <w:jc w:val="center"/>
        </w:trPr>
        <w:tc>
          <w:tcPr>
            <w:tcW w:w="2913" w:type="dxa"/>
            <w:gridSpan w:val="3"/>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 xml:space="preserve">Gleizare </w:t>
            </w:r>
          </w:p>
        </w:tc>
        <w:tc>
          <w:tcPr>
            <w:tcW w:w="2773" w:type="dxa"/>
            <w:vAlign w:val="center"/>
          </w:tcPr>
          <w:p w:rsidR="00F84C70" w:rsidRPr="00D316E7" w:rsidRDefault="00F84C70" w:rsidP="00A30FB3">
            <w:pPr>
              <w:widowControl w:val="0"/>
              <w:spacing w:beforeLines="20" w:afterLines="20"/>
              <w:jc w:val="right"/>
              <w:rPr>
                <w:rFonts w:ascii="Arial" w:hAnsi="Arial" w:cs="Arial"/>
                <w:lang w:val="ro-RO"/>
              </w:rPr>
            </w:pPr>
            <w:r w:rsidRPr="00D316E7">
              <w:rPr>
                <w:rFonts w:ascii="Arial" w:hAnsi="Arial" w:cs="Arial"/>
                <w:sz w:val="22"/>
                <w:szCs w:val="22"/>
                <w:lang w:val="ro-RO"/>
              </w:rPr>
              <w:t>43.9</w:t>
            </w:r>
            <w:r w:rsidR="007E7571" w:rsidRPr="00D316E7">
              <w:rPr>
                <w:rFonts w:ascii="Arial" w:hAnsi="Arial" w:cs="Arial"/>
                <w:sz w:val="22"/>
                <w:szCs w:val="22"/>
                <w:lang w:val="ro-RO"/>
              </w:rPr>
              <w:t>03</w:t>
            </w:r>
          </w:p>
        </w:tc>
      </w:tr>
      <w:tr w:rsidR="00F84C70" w:rsidRPr="00D316E7" w:rsidTr="00C94205">
        <w:trPr>
          <w:cantSplit/>
          <w:trHeight w:val="60"/>
          <w:tblHeader/>
          <w:jc w:val="center"/>
        </w:trPr>
        <w:tc>
          <w:tcPr>
            <w:tcW w:w="2913" w:type="dxa"/>
            <w:gridSpan w:val="3"/>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Pseudogleizare</w:t>
            </w:r>
          </w:p>
        </w:tc>
        <w:tc>
          <w:tcPr>
            <w:tcW w:w="2773" w:type="dxa"/>
            <w:vAlign w:val="center"/>
          </w:tcPr>
          <w:p w:rsidR="00F84C70" w:rsidRPr="00D316E7" w:rsidRDefault="00F84C70" w:rsidP="00A30FB3">
            <w:pPr>
              <w:widowControl w:val="0"/>
              <w:spacing w:beforeLines="20" w:afterLines="20"/>
              <w:jc w:val="right"/>
              <w:rPr>
                <w:rFonts w:ascii="Arial" w:hAnsi="Arial" w:cs="Arial"/>
                <w:lang w:val="ro-RO"/>
              </w:rPr>
            </w:pPr>
            <w:r w:rsidRPr="00D316E7">
              <w:rPr>
                <w:rFonts w:ascii="Arial" w:hAnsi="Arial" w:cs="Arial"/>
                <w:sz w:val="22"/>
                <w:szCs w:val="22"/>
                <w:lang w:val="ro-RO"/>
              </w:rPr>
              <w:t>91.</w:t>
            </w:r>
            <w:r w:rsidR="0072065F" w:rsidRPr="00D316E7">
              <w:rPr>
                <w:rFonts w:ascii="Arial" w:hAnsi="Arial" w:cs="Arial"/>
                <w:sz w:val="22"/>
                <w:szCs w:val="22"/>
                <w:lang w:val="ro-RO"/>
              </w:rPr>
              <w:t>755</w:t>
            </w:r>
          </w:p>
        </w:tc>
      </w:tr>
      <w:tr w:rsidR="00F84C70" w:rsidRPr="00D316E7" w:rsidTr="00C94205">
        <w:trPr>
          <w:cantSplit/>
          <w:trHeight w:val="60"/>
          <w:tblHeader/>
          <w:jc w:val="center"/>
        </w:trPr>
        <w:tc>
          <w:tcPr>
            <w:tcW w:w="2913" w:type="dxa"/>
            <w:gridSpan w:val="3"/>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Secetă periodică</w:t>
            </w:r>
          </w:p>
        </w:tc>
        <w:tc>
          <w:tcPr>
            <w:tcW w:w="2773" w:type="dxa"/>
            <w:vAlign w:val="center"/>
          </w:tcPr>
          <w:p w:rsidR="00F84C70" w:rsidRPr="00D316E7" w:rsidRDefault="00F84C70" w:rsidP="00A30FB3">
            <w:pPr>
              <w:widowControl w:val="0"/>
              <w:spacing w:beforeLines="20" w:afterLines="20"/>
              <w:jc w:val="right"/>
              <w:rPr>
                <w:rFonts w:ascii="Arial" w:hAnsi="Arial" w:cs="Arial"/>
                <w:lang w:val="ro-RO"/>
              </w:rPr>
            </w:pPr>
            <w:r w:rsidRPr="00D316E7">
              <w:rPr>
                <w:rFonts w:ascii="Arial" w:hAnsi="Arial" w:cs="Arial"/>
                <w:sz w:val="22"/>
                <w:szCs w:val="22"/>
                <w:lang w:val="ro-RO"/>
              </w:rPr>
              <w:t>-</w:t>
            </w:r>
          </w:p>
        </w:tc>
      </w:tr>
      <w:tr w:rsidR="00F84C70" w:rsidRPr="00D316E7" w:rsidTr="00C94205">
        <w:trPr>
          <w:cantSplit/>
          <w:trHeight w:val="60"/>
          <w:tblHeader/>
          <w:jc w:val="center"/>
        </w:trPr>
        <w:tc>
          <w:tcPr>
            <w:tcW w:w="2913" w:type="dxa"/>
            <w:gridSpan w:val="3"/>
            <w:vAlign w:val="center"/>
          </w:tcPr>
          <w:p w:rsidR="00F84C70" w:rsidRPr="00D316E7" w:rsidRDefault="00F84C70" w:rsidP="00A30FB3">
            <w:pPr>
              <w:widowControl w:val="0"/>
              <w:spacing w:beforeLines="20" w:afterLines="20"/>
              <w:jc w:val="both"/>
              <w:rPr>
                <w:rFonts w:ascii="Arial" w:hAnsi="Arial" w:cs="Arial"/>
                <w:lang w:val="ro-RO"/>
              </w:rPr>
            </w:pPr>
            <w:r w:rsidRPr="00D316E7">
              <w:rPr>
                <w:rFonts w:ascii="Arial" w:hAnsi="Arial" w:cs="Arial"/>
                <w:sz w:val="22"/>
                <w:szCs w:val="22"/>
                <w:lang w:val="ro-RO"/>
              </w:rPr>
              <w:t>Terenuri nisipoase</w:t>
            </w:r>
          </w:p>
        </w:tc>
        <w:tc>
          <w:tcPr>
            <w:tcW w:w="2773" w:type="dxa"/>
            <w:vAlign w:val="center"/>
          </w:tcPr>
          <w:p w:rsidR="00F84C70" w:rsidRPr="00D316E7" w:rsidRDefault="00F84C70" w:rsidP="00A30FB3">
            <w:pPr>
              <w:widowControl w:val="0"/>
              <w:spacing w:beforeLines="20" w:afterLines="20"/>
              <w:jc w:val="right"/>
              <w:rPr>
                <w:rFonts w:ascii="Arial" w:hAnsi="Arial" w:cs="Arial"/>
                <w:lang w:val="ro-RO"/>
              </w:rPr>
            </w:pPr>
            <w:r w:rsidRPr="00D316E7">
              <w:rPr>
                <w:rFonts w:ascii="Arial" w:hAnsi="Arial" w:cs="Arial"/>
                <w:sz w:val="22"/>
                <w:szCs w:val="22"/>
                <w:lang w:val="ro-RO"/>
              </w:rPr>
              <w:t>175</w:t>
            </w:r>
          </w:p>
        </w:tc>
      </w:tr>
    </w:tbl>
    <w:p w:rsidR="00F17BB5" w:rsidRPr="00D316E7" w:rsidRDefault="00F17BB5" w:rsidP="00171588">
      <w:pPr>
        <w:pStyle w:val="BodyTextIndent2"/>
        <w:widowControl w:val="0"/>
        <w:ind w:left="284" w:hanging="284"/>
        <w:jc w:val="center"/>
        <w:rPr>
          <w:bCs/>
        </w:rPr>
      </w:pPr>
    </w:p>
    <w:p w:rsidR="005727B4" w:rsidRPr="00D316E7" w:rsidRDefault="005727B4" w:rsidP="00171588">
      <w:pPr>
        <w:pStyle w:val="BodyTextIndent2"/>
        <w:widowControl w:val="0"/>
        <w:ind w:left="284" w:hanging="284"/>
        <w:jc w:val="both"/>
        <w:rPr>
          <w:b/>
          <w:bCs/>
        </w:rPr>
      </w:pPr>
      <w:r w:rsidRPr="00D316E7">
        <w:rPr>
          <w:b/>
          <w:bCs/>
        </w:rPr>
        <w:t>III.2. Zone critice sub aspectul deteriorării solurilor</w:t>
      </w:r>
    </w:p>
    <w:p w:rsidR="00863C9D" w:rsidRPr="00D316E7" w:rsidRDefault="00863C9D" w:rsidP="00171588">
      <w:pPr>
        <w:pStyle w:val="BodyTextIndent2"/>
        <w:widowControl w:val="0"/>
        <w:ind w:left="284" w:hanging="284"/>
        <w:jc w:val="both"/>
        <w:rPr>
          <w:b/>
          <w:bCs/>
          <w:sz w:val="20"/>
          <w:szCs w:val="20"/>
        </w:rPr>
      </w:pPr>
    </w:p>
    <w:p w:rsidR="005727B4" w:rsidRPr="00D316E7" w:rsidRDefault="005727B4" w:rsidP="00171588">
      <w:pPr>
        <w:pStyle w:val="BodyTextIndent2"/>
        <w:widowControl w:val="0"/>
        <w:ind w:firstLine="0"/>
        <w:jc w:val="both"/>
        <w:rPr>
          <w:b/>
          <w:bCs/>
          <w:i/>
        </w:rPr>
      </w:pPr>
      <w:r w:rsidRPr="00D316E7">
        <w:rPr>
          <w:b/>
          <w:bCs/>
          <w:i/>
        </w:rPr>
        <w:t>III.2.1. Zone afectate de</w:t>
      </w:r>
      <w:r w:rsidR="004734DB" w:rsidRPr="00D316E7">
        <w:rPr>
          <w:b/>
          <w:bCs/>
          <w:i/>
        </w:rPr>
        <w:t xml:space="preserve"> procese</w:t>
      </w:r>
      <w:r w:rsidRPr="00D316E7">
        <w:rPr>
          <w:b/>
          <w:bCs/>
          <w:i/>
        </w:rPr>
        <w:t xml:space="preserve"> naturale</w:t>
      </w:r>
    </w:p>
    <w:p w:rsidR="00127940" w:rsidRPr="00D316E7" w:rsidRDefault="00127940" w:rsidP="00171588">
      <w:pPr>
        <w:pStyle w:val="BodyTextIndent2"/>
        <w:widowControl w:val="0"/>
        <w:ind w:firstLine="0"/>
        <w:jc w:val="both"/>
        <w:rPr>
          <w:bCs/>
          <w:sz w:val="16"/>
          <w:szCs w:val="16"/>
        </w:rPr>
      </w:pPr>
    </w:p>
    <w:p w:rsidR="001732A2" w:rsidRPr="00D316E7" w:rsidRDefault="006C334C" w:rsidP="00171588">
      <w:pPr>
        <w:pStyle w:val="BodyTextIndent2"/>
        <w:widowControl w:val="0"/>
        <w:ind w:firstLine="0"/>
        <w:jc w:val="both"/>
        <w:rPr>
          <w:bCs/>
        </w:rPr>
      </w:pPr>
      <w:r w:rsidRPr="00D316E7">
        <w:rPr>
          <w:bCs/>
        </w:rPr>
        <w:tab/>
        <w:t xml:space="preserve">Sub aspectul deteriorării solurilor determinate de procese naturale, zonele critice sunt cele afectate de eroziune în adâncime şi alunecări active din zona Todireşti – Dealul Osoi, ca face parte din monitoringul de ordinul II. </w:t>
      </w:r>
    </w:p>
    <w:p w:rsidR="00863C9D" w:rsidRPr="00D316E7" w:rsidRDefault="006C334C" w:rsidP="00171588">
      <w:pPr>
        <w:pStyle w:val="BodyTextIndent2"/>
        <w:widowControl w:val="0"/>
        <w:ind w:firstLine="708"/>
        <w:jc w:val="both"/>
        <w:rPr>
          <w:bCs/>
        </w:rPr>
      </w:pPr>
      <w:r w:rsidRPr="00D316E7">
        <w:rPr>
          <w:bCs/>
        </w:rPr>
        <w:t>În perioada 201</w:t>
      </w:r>
      <w:r w:rsidR="00751253" w:rsidRPr="00D316E7">
        <w:rPr>
          <w:bCs/>
        </w:rPr>
        <w:t>2</w:t>
      </w:r>
      <w:r w:rsidRPr="00D316E7">
        <w:rPr>
          <w:bCs/>
        </w:rPr>
        <w:t xml:space="preserve"> – 201</w:t>
      </w:r>
      <w:r w:rsidR="00751253" w:rsidRPr="00D316E7">
        <w:rPr>
          <w:bCs/>
        </w:rPr>
        <w:t>4</w:t>
      </w:r>
      <w:r w:rsidRPr="00D316E7">
        <w:rPr>
          <w:bCs/>
        </w:rPr>
        <w:t xml:space="preserve">, pe terenurile cartate de către O.S.P.A. Suceava nu au fost </w:t>
      </w:r>
      <w:r w:rsidR="00A35A3A" w:rsidRPr="00D316E7">
        <w:rPr>
          <w:bCs/>
        </w:rPr>
        <w:t xml:space="preserve">întâlnite alte zone critice, cartările din zona montană </w:t>
      </w:r>
      <w:r w:rsidR="008B4BC7" w:rsidRPr="00D316E7">
        <w:rPr>
          <w:bCs/>
        </w:rPr>
        <w:t>punând în evidenţă doar mici areale cu eroziune slabă şi alunecări stabilizate şi semistabilizate</w:t>
      </w:r>
      <w:r w:rsidR="00E877EE" w:rsidRPr="00D316E7">
        <w:rPr>
          <w:bCs/>
        </w:rPr>
        <w:t>.</w:t>
      </w:r>
      <w:r w:rsidR="001822F0" w:rsidRPr="00D316E7">
        <w:rPr>
          <w:bCs/>
        </w:rPr>
        <w:t xml:space="preserve"> După anul 2014, nu au fost alte suprafeţe de teren cartate.</w:t>
      </w:r>
    </w:p>
    <w:p w:rsidR="00863C9D" w:rsidRPr="00D316E7" w:rsidRDefault="00C60BD3" w:rsidP="00171588">
      <w:pPr>
        <w:pStyle w:val="BodyTextIndent2"/>
        <w:widowControl w:val="0"/>
        <w:ind w:firstLine="0"/>
        <w:jc w:val="both"/>
        <w:rPr>
          <w:bCs/>
        </w:rPr>
      </w:pPr>
      <w:r w:rsidRPr="00D316E7">
        <w:rPr>
          <w:bCs/>
        </w:rPr>
        <w:tab/>
      </w:r>
      <w:r w:rsidR="00E5222B" w:rsidRPr="00D316E7">
        <w:rPr>
          <w:bCs/>
        </w:rPr>
        <w:t>Problemele generale cu care se confruntă judeţul Suceava legat de deteriorarea calităţii solului sunt:</w:t>
      </w:r>
    </w:p>
    <w:p w:rsidR="004420C8" w:rsidRPr="00D316E7" w:rsidRDefault="00E5222B" w:rsidP="00B478BF">
      <w:pPr>
        <w:pStyle w:val="BodyTextIndent2"/>
        <w:widowControl w:val="0"/>
        <w:numPr>
          <w:ilvl w:val="0"/>
          <w:numId w:val="2"/>
        </w:numPr>
        <w:ind w:left="284" w:hanging="284"/>
        <w:jc w:val="both"/>
        <w:rPr>
          <w:bCs/>
        </w:rPr>
      </w:pPr>
      <w:r w:rsidRPr="00D316E7">
        <w:rPr>
          <w:bCs/>
        </w:rPr>
        <w:t>Invadarea păşunilor din zona montană cu vegetaţie forestieră, având ca efect degradarea compoziţiei floristice şi acidifierea solului</w:t>
      </w:r>
      <w:r w:rsidR="009737AA" w:rsidRPr="00D316E7">
        <w:rPr>
          <w:bCs/>
        </w:rPr>
        <w:t xml:space="preserve"> </w:t>
      </w:r>
    </w:p>
    <w:p w:rsidR="00E5222B" w:rsidRPr="00D316E7" w:rsidRDefault="00E5222B" w:rsidP="00B478BF">
      <w:pPr>
        <w:pStyle w:val="BodyTextIndent2"/>
        <w:widowControl w:val="0"/>
        <w:numPr>
          <w:ilvl w:val="0"/>
          <w:numId w:val="2"/>
        </w:numPr>
        <w:ind w:left="284" w:hanging="284"/>
        <w:jc w:val="both"/>
        <w:rPr>
          <w:bCs/>
        </w:rPr>
      </w:pPr>
      <w:r w:rsidRPr="00D316E7">
        <w:rPr>
          <w:bCs/>
        </w:rPr>
        <w:t>Reactivarea alunecărilor semi</w:t>
      </w:r>
      <w:r w:rsidR="009737AA" w:rsidRPr="00D316E7">
        <w:rPr>
          <w:bCs/>
        </w:rPr>
        <w:t>-</w:t>
      </w:r>
      <w:r w:rsidRPr="00D316E7">
        <w:rPr>
          <w:bCs/>
        </w:rPr>
        <w:t>stabilizate şi extinderea zonelor cu ravene, după perioade ploioase.</w:t>
      </w:r>
    </w:p>
    <w:p w:rsidR="00F17BB5" w:rsidRPr="004D5276" w:rsidRDefault="00F17BB5" w:rsidP="00171588">
      <w:pPr>
        <w:pStyle w:val="BodyTextIndent2"/>
        <w:widowControl w:val="0"/>
        <w:ind w:left="284" w:hanging="284"/>
        <w:jc w:val="both"/>
        <w:rPr>
          <w:bCs/>
          <w:i/>
          <w:color w:val="984806" w:themeColor="accent6" w:themeShade="80"/>
          <w:sz w:val="20"/>
          <w:szCs w:val="20"/>
        </w:rPr>
      </w:pPr>
    </w:p>
    <w:p w:rsidR="005727B4" w:rsidRPr="00AD2D12" w:rsidRDefault="005727B4" w:rsidP="00171588">
      <w:pPr>
        <w:pStyle w:val="BodyTextIndent2"/>
        <w:widowControl w:val="0"/>
        <w:ind w:left="284" w:hanging="284"/>
        <w:jc w:val="both"/>
        <w:rPr>
          <w:b/>
          <w:bCs/>
        </w:rPr>
      </w:pPr>
      <w:r w:rsidRPr="00AD2D12">
        <w:rPr>
          <w:b/>
          <w:bCs/>
        </w:rPr>
        <w:t>III.3. Presiuni asupra stării de calitate a solurilor</w:t>
      </w:r>
    </w:p>
    <w:p w:rsidR="00F8166F" w:rsidRPr="00AD2D12" w:rsidRDefault="00F8166F" w:rsidP="00171588">
      <w:pPr>
        <w:pStyle w:val="BodyTextIndent2"/>
        <w:widowControl w:val="0"/>
        <w:ind w:left="284" w:hanging="284"/>
        <w:jc w:val="both"/>
        <w:rPr>
          <w:b/>
          <w:bCs/>
          <w:sz w:val="20"/>
          <w:szCs w:val="20"/>
        </w:rPr>
      </w:pPr>
    </w:p>
    <w:p w:rsidR="005727B4" w:rsidRPr="00AD2D12" w:rsidRDefault="005727B4" w:rsidP="00171588">
      <w:pPr>
        <w:pStyle w:val="BodyTextIndent2"/>
        <w:widowControl w:val="0"/>
        <w:ind w:left="284" w:hanging="284"/>
        <w:jc w:val="both"/>
        <w:rPr>
          <w:b/>
          <w:bCs/>
          <w:i/>
        </w:rPr>
      </w:pPr>
      <w:r w:rsidRPr="00AD2D12">
        <w:rPr>
          <w:b/>
          <w:bCs/>
          <w:i/>
        </w:rPr>
        <w:t>III.3.1. Utilizare şi consumul de îngrăşăminte</w:t>
      </w:r>
    </w:p>
    <w:p w:rsidR="00F8166F" w:rsidRPr="00AD2D12" w:rsidRDefault="00F8166F" w:rsidP="00171588">
      <w:pPr>
        <w:pStyle w:val="BodyTextIndent2"/>
        <w:widowControl w:val="0"/>
        <w:ind w:left="284" w:hanging="284"/>
        <w:jc w:val="both"/>
        <w:rPr>
          <w:b/>
          <w:bCs/>
          <w:i/>
          <w:sz w:val="16"/>
          <w:szCs w:val="16"/>
        </w:rPr>
      </w:pPr>
    </w:p>
    <w:p w:rsidR="00F8166F" w:rsidRPr="00AD2D12" w:rsidRDefault="00F8166F" w:rsidP="00171588">
      <w:pPr>
        <w:pStyle w:val="Default"/>
        <w:widowControl w:val="0"/>
        <w:ind w:firstLine="708"/>
        <w:jc w:val="both"/>
        <w:rPr>
          <w:color w:val="auto"/>
        </w:rPr>
      </w:pPr>
      <w:r w:rsidRPr="00AD2D12">
        <w:rPr>
          <w:color w:val="auto"/>
        </w:rPr>
        <w:t>Îngrăşămintele</w:t>
      </w:r>
      <w:r w:rsidRPr="00AD2D12">
        <w:rPr>
          <w:b/>
          <w:bCs/>
          <w:color w:val="auto"/>
        </w:rPr>
        <w:t xml:space="preserve"> </w:t>
      </w:r>
      <w:r w:rsidR="009737AA" w:rsidRPr="00AD2D12">
        <w:rPr>
          <w:color w:val="auto"/>
        </w:rPr>
        <w:t>reprezintă</w:t>
      </w:r>
      <w:r w:rsidRPr="00AD2D12">
        <w:rPr>
          <w:color w:val="auto"/>
        </w:rPr>
        <w:t xml:space="preserve"> hrana</w:t>
      </w:r>
      <w:r w:rsidR="009737AA" w:rsidRPr="00AD2D12">
        <w:rPr>
          <w:color w:val="auto"/>
        </w:rPr>
        <w:t xml:space="preserve"> plantelor şi au rolul de a preî</w:t>
      </w:r>
      <w:r w:rsidRPr="00AD2D12">
        <w:rPr>
          <w:color w:val="auto"/>
        </w:rPr>
        <w:t>nt</w:t>
      </w:r>
      <w:r w:rsidR="009737AA" w:rsidRPr="00AD2D12">
        <w:rPr>
          <w:color w:val="auto"/>
        </w:rPr>
        <w:t>â</w:t>
      </w:r>
      <w:r w:rsidRPr="00AD2D12">
        <w:rPr>
          <w:color w:val="auto"/>
        </w:rPr>
        <w:t>mpina sc</w:t>
      </w:r>
      <w:r w:rsidR="009737AA" w:rsidRPr="00AD2D12">
        <w:rPr>
          <w:color w:val="auto"/>
        </w:rPr>
        <w:t>ăderea conţ</w:t>
      </w:r>
      <w:r w:rsidRPr="00AD2D12">
        <w:rPr>
          <w:color w:val="auto"/>
        </w:rPr>
        <w:t>inutului de substan</w:t>
      </w:r>
      <w:r w:rsidR="009737AA" w:rsidRPr="00AD2D12">
        <w:rPr>
          <w:color w:val="auto"/>
        </w:rPr>
        <w:t>ţ</w:t>
      </w:r>
      <w:r w:rsidRPr="00AD2D12">
        <w:rPr>
          <w:color w:val="auto"/>
        </w:rPr>
        <w:t xml:space="preserve">e nutritive </w:t>
      </w:r>
      <w:r w:rsidR="009737AA" w:rsidRPr="00AD2D12">
        <w:rPr>
          <w:color w:val="auto"/>
        </w:rPr>
        <w:t>î</w:t>
      </w:r>
      <w:r w:rsidRPr="00AD2D12">
        <w:rPr>
          <w:color w:val="auto"/>
        </w:rPr>
        <w:t>n sol. Pentru a cre</w:t>
      </w:r>
      <w:r w:rsidR="009737AA" w:rsidRPr="00AD2D12">
        <w:rPr>
          <w:color w:val="auto"/>
        </w:rPr>
        <w:t>ş</w:t>
      </w:r>
      <w:r w:rsidRPr="00AD2D12">
        <w:rPr>
          <w:color w:val="auto"/>
        </w:rPr>
        <w:t xml:space="preserve">te </w:t>
      </w:r>
      <w:r w:rsidR="009737AA" w:rsidRPr="00AD2D12">
        <w:rPr>
          <w:color w:val="auto"/>
        </w:rPr>
        <w:t>ş</w:t>
      </w:r>
      <w:r w:rsidRPr="00AD2D12">
        <w:rPr>
          <w:color w:val="auto"/>
        </w:rPr>
        <w:t>i a se dezvolta normal plantele au nevoie de carbon,</w:t>
      </w:r>
      <w:r w:rsidR="009737AA" w:rsidRPr="00AD2D12">
        <w:rPr>
          <w:color w:val="auto"/>
        </w:rPr>
        <w:t xml:space="preserve"> </w:t>
      </w:r>
      <w:r w:rsidRPr="00AD2D12">
        <w:rPr>
          <w:color w:val="auto"/>
        </w:rPr>
        <w:t>hidrogen,</w:t>
      </w:r>
      <w:r w:rsidR="009737AA" w:rsidRPr="00AD2D12">
        <w:rPr>
          <w:color w:val="auto"/>
        </w:rPr>
        <w:t xml:space="preserve"> </w:t>
      </w:r>
      <w:r w:rsidRPr="00AD2D12">
        <w:rPr>
          <w:color w:val="auto"/>
        </w:rPr>
        <w:t>oxigen</w:t>
      </w:r>
      <w:r w:rsidR="009737AA" w:rsidRPr="00AD2D12">
        <w:rPr>
          <w:color w:val="auto"/>
        </w:rPr>
        <w:t>,</w:t>
      </w:r>
      <w:r w:rsidRPr="00AD2D12">
        <w:rPr>
          <w:color w:val="auto"/>
        </w:rPr>
        <w:t xml:space="preserve"> pe care le iau din aer </w:t>
      </w:r>
      <w:r w:rsidR="009737AA" w:rsidRPr="00AD2D12">
        <w:rPr>
          <w:color w:val="auto"/>
        </w:rPr>
        <w:t>ş</w:t>
      </w:r>
      <w:r w:rsidRPr="00AD2D12">
        <w:rPr>
          <w:color w:val="auto"/>
        </w:rPr>
        <w:t>i ap</w:t>
      </w:r>
      <w:r w:rsidR="009737AA" w:rsidRPr="00AD2D12">
        <w:rPr>
          <w:color w:val="auto"/>
        </w:rPr>
        <w:t>ă</w:t>
      </w:r>
      <w:r w:rsidR="00FE690C" w:rsidRPr="00AD2D12">
        <w:rPr>
          <w:color w:val="auto"/>
        </w:rPr>
        <w:t>,</w:t>
      </w:r>
      <w:r w:rsidRPr="00AD2D12">
        <w:rPr>
          <w:color w:val="auto"/>
        </w:rPr>
        <w:t xml:space="preserve"> plus 13 elemente minerale esen</w:t>
      </w:r>
      <w:r w:rsidR="009737AA" w:rsidRPr="00AD2D12">
        <w:rPr>
          <w:color w:val="auto"/>
        </w:rPr>
        <w:t>ţ</w:t>
      </w:r>
      <w:r w:rsidRPr="00AD2D12">
        <w:rPr>
          <w:color w:val="auto"/>
        </w:rPr>
        <w:t>iale numite substan</w:t>
      </w:r>
      <w:r w:rsidR="009737AA" w:rsidRPr="00AD2D12">
        <w:rPr>
          <w:color w:val="auto"/>
        </w:rPr>
        <w:t>ţ</w:t>
      </w:r>
      <w:r w:rsidRPr="00AD2D12">
        <w:rPr>
          <w:color w:val="auto"/>
        </w:rPr>
        <w:t>e nutritive sau fertilizatori</w:t>
      </w:r>
      <w:r w:rsidR="00AC2ECF" w:rsidRPr="00AD2D12">
        <w:rPr>
          <w:color w:val="auto"/>
        </w:rPr>
        <w:t>,</w:t>
      </w:r>
      <w:r w:rsidR="009737AA" w:rsidRPr="00AD2D12">
        <w:rPr>
          <w:color w:val="auto"/>
        </w:rPr>
        <w:t xml:space="preserve"> pe care le iau </w:t>
      </w:r>
      <w:r w:rsidR="001732A2" w:rsidRPr="00AD2D12">
        <w:rPr>
          <w:color w:val="auto"/>
        </w:rPr>
        <w:t>î</w:t>
      </w:r>
      <w:r w:rsidRPr="00AD2D12">
        <w:rPr>
          <w:color w:val="auto"/>
        </w:rPr>
        <w:t xml:space="preserve">n mod normal din sol. </w:t>
      </w:r>
    </w:p>
    <w:p w:rsidR="00F8166F" w:rsidRPr="00AD2D12" w:rsidRDefault="00F8166F" w:rsidP="00171588">
      <w:pPr>
        <w:pStyle w:val="Default"/>
        <w:widowControl w:val="0"/>
        <w:ind w:firstLine="708"/>
        <w:jc w:val="both"/>
        <w:rPr>
          <w:color w:val="auto"/>
        </w:rPr>
      </w:pPr>
      <w:r w:rsidRPr="00AD2D12">
        <w:rPr>
          <w:color w:val="auto"/>
        </w:rPr>
        <w:t xml:space="preserve">Cele mai solicitate </w:t>
      </w:r>
      <w:r w:rsidR="001B129D" w:rsidRPr="00AD2D12">
        <w:rPr>
          <w:color w:val="auto"/>
        </w:rPr>
        <w:t>îngrăşăminte</w:t>
      </w:r>
      <w:r w:rsidRPr="00AD2D12">
        <w:rPr>
          <w:color w:val="auto"/>
        </w:rPr>
        <w:t xml:space="preserve"> sunt: </w:t>
      </w:r>
    </w:p>
    <w:p w:rsidR="00F8166F" w:rsidRPr="00AD2D12" w:rsidRDefault="00A7083C" w:rsidP="00171588">
      <w:pPr>
        <w:pStyle w:val="Default"/>
        <w:widowControl w:val="0"/>
        <w:jc w:val="both"/>
        <w:rPr>
          <w:color w:val="auto"/>
        </w:rPr>
      </w:pPr>
      <w:r w:rsidRPr="00AD2D12">
        <w:rPr>
          <w:color w:val="auto"/>
        </w:rPr>
        <w:lastRenderedPageBreak/>
        <w:t>a)</w:t>
      </w:r>
      <w:r w:rsidR="001913F2" w:rsidRPr="00AD2D12">
        <w:rPr>
          <w:color w:val="auto"/>
        </w:rPr>
        <w:t xml:space="preserve"> </w:t>
      </w:r>
      <w:r w:rsidR="001B129D" w:rsidRPr="00AD2D12">
        <w:rPr>
          <w:color w:val="auto"/>
        </w:rPr>
        <w:t>îngrăşăminte</w:t>
      </w:r>
      <w:r w:rsidR="00C60BD3" w:rsidRPr="00AD2D12">
        <w:rPr>
          <w:color w:val="auto"/>
        </w:rPr>
        <w:t xml:space="preserve"> azotoase: </w:t>
      </w:r>
      <w:r w:rsidR="001913F2" w:rsidRPr="00AD2D12">
        <w:rPr>
          <w:color w:val="auto"/>
        </w:rPr>
        <w:t>a</w:t>
      </w:r>
      <w:r w:rsidR="00F8166F" w:rsidRPr="00AD2D12">
        <w:rPr>
          <w:color w:val="auto"/>
        </w:rPr>
        <w:t>zotat de amoniu</w:t>
      </w:r>
      <w:r w:rsidR="00C60BD3" w:rsidRPr="00AD2D12">
        <w:rPr>
          <w:color w:val="auto"/>
        </w:rPr>
        <w:t xml:space="preserve">, </w:t>
      </w:r>
      <w:r w:rsidR="001913F2" w:rsidRPr="00AD2D12">
        <w:rPr>
          <w:color w:val="auto"/>
        </w:rPr>
        <w:t>n</w:t>
      </w:r>
      <w:r w:rsidR="00F8166F" w:rsidRPr="00AD2D12">
        <w:rPr>
          <w:color w:val="auto"/>
        </w:rPr>
        <w:t>itrocalcar</w:t>
      </w:r>
      <w:r w:rsidR="00C60BD3" w:rsidRPr="00AD2D12">
        <w:rPr>
          <w:color w:val="auto"/>
        </w:rPr>
        <w:t xml:space="preserve">, </w:t>
      </w:r>
      <w:r w:rsidR="001913F2" w:rsidRPr="00AD2D12">
        <w:rPr>
          <w:color w:val="auto"/>
        </w:rPr>
        <w:t>u</w:t>
      </w:r>
      <w:r w:rsidR="00F8166F" w:rsidRPr="00AD2D12">
        <w:rPr>
          <w:color w:val="auto"/>
        </w:rPr>
        <w:t>ree</w:t>
      </w:r>
      <w:r w:rsidR="009C6C3B" w:rsidRPr="00AD2D12">
        <w:rPr>
          <w:color w:val="auto"/>
        </w:rPr>
        <w:t>,</w:t>
      </w:r>
      <w:r w:rsidRPr="00AD2D12">
        <w:rPr>
          <w:color w:val="auto"/>
        </w:rPr>
        <w:t xml:space="preserve"> </w:t>
      </w:r>
      <w:r w:rsidR="001913F2" w:rsidRPr="00AD2D12">
        <w:rPr>
          <w:color w:val="auto"/>
        </w:rPr>
        <w:t>s</w:t>
      </w:r>
      <w:r w:rsidR="00F8166F" w:rsidRPr="00AD2D12">
        <w:rPr>
          <w:color w:val="auto"/>
        </w:rPr>
        <w:t xml:space="preserve">ulfat de amoniu </w:t>
      </w:r>
    </w:p>
    <w:p w:rsidR="00F8166F" w:rsidRPr="00AD2D12" w:rsidRDefault="00A7083C" w:rsidP="00171588">
      <w:pPr>
        <w:pStyle w:val="Default"/>
        <w:widowControl w:val="0"/>
        <w:jc w:val="both"/>
        <w:rPr>
          <w:color w:val="auto"/>
        </w:rPr>
      </w:pPr>
      <w:r w:rsidRPr="00AD2D12">
        <w:rPr>
          <w:color w:val="auto"/>
        </w:rPr>
        <w:t>b)</w:t>
      </w:r>
      <w:r w:rsidR="009C6C3B" w:rsidRPr="00AD2D12">
        <w:rPr>
          <w:color w:val="auto"/>
        </w:rPr>
        <w:t xml:space="preserve"> îngrăşăminte fosfatice:</w:t>
      </w:r>
      <w:r w:rsidRPr="00AD2D12">
        <w:rPr>
          <w:color w:val="auto"/>
        </w:rPr>
        <w:t xml:space="preserve"> </w:t>
      </w:r>
      <w:r w:rsidR="001913F2" w:rsidRPr="00AD2D12">
        <w:rPr>
          <w:color w:val="auto"/>
        </w:rPr>
        <w:t>t</w:t>
      </w:r>
      <w:r w:rsidR="00F8166F" w:rsidRPr="00AD2D12">
        <w:rPr>
          <w:color w:val="auto"/>
        </w:rPr>
        <w:t>riplu superfosfat</w:t>
      </w:r>
      <w:r w:rsidR="009C6C3B" w:rsidRPr="00AD2D12">
        <w:rPr>
          <w:color w:val="auto"/>
        </w:rPr>
        <w:t xml:space="preserve">, </w:t>
      </w:r>
      <w:r w:rsidRPr="00AD2D12">
        <w:rPr>
          <w:color w:val="auto"/>
        </w:rPr>
        <w:t xml:space="preserve"> </w:t>
      </w:r>
      <w:r w:rsidR="001913F2" w:rsidRPr="00AD2D12">
        <w:rPr>
          <w:color w:val="auto"/>
        </w:rPr>
        <w:t>s</w:t>
      </w:r>
      <w:r w:rsidR="00F8166F" w:rsidRPr="00AD2D12">
        <w:rPr>
          <w:color w:val="auto"/>
        </w:rPr>
        <w:t xml:space="preserve">uperfosfat </w:t>
      </w:r>
    </w:p>
    <w:p w:rsidR="00F8166F" w:rsidRPr="00AD2D12" w:rsidRDefault="00A7083C" w:rsidP="00171588">
      <w:pPr>
        <w:widowControl w:val="0"/>
        <w:autoSpaceDE w:val="0"/>
        <w:autoSpaceDN w:val="0"/>
        <w:adjustRightInd w:val="0"/>
        <w:jc w:val="both"/>
        <w:rPr>
          <w:rFonts w:ascii="Arial" w:hAnsi="Arial" w:cs="Arial"/>
        </w:rPr>
      </w:pPr>
      <w:r w:rsidRPr="00AD2D12">
        <w:rPr>
          <w:rFonts w:ascii="Arial" w:hAnsi="Arial" w:cs="Arial"/>
        </w:rPr>
        <w:t>c)</w:t>
      </w:r>
      <w:r w:rsidR="009737AA" w:rsidRPr="00AD2D12">
        <w:rPr>
          <w:rFonts w:ascii="Arial" w:hAnsi="Arial" w:cs="Arial"/>
        </w:rPr>
        <w:t xml:space="preserve"> </w:t>
      </w:r>
      <w:r w:rsidR="00F8166F" w:rsidRPr="00AD2D12">
        <w:rPr>
          <w:rFonts w:ascii="Arial" w:hAnsi="Arial" w:cs="Arial"/>
        </w:rPr>
        <w:t xml:space="preserve">îngrăşăminte complexe (NPK) </w:t>
      </w:r>
    </w:p>
    <w:p w:rsidR="009737AA" w:rsidRPr="00AD2D12" w:rsidRDefault="00F8166F" w:rsidP="00171588">
      <w:pPr>
        <w:pStyle w:val="Default"/>
        <w:widowControl w:val="0"/>
        <w:ind w:firstLine="708"/>
        <w:jc w:val="both"/>
        <w:rPr>
          <w:color w:val="auto"/>
        </w:rPr>
      </w:pPr>
      <w:r w:rsidRPr="00AD2D12">
        <w:rPr>
          <w:color w:val="auto"/>
        </w:rPr>
        <w:t>Fertilizanţii (îngrăşăminte chimice) sunt substanţe ce conţin cel puţin un element nutritiv de bază pentru sol: azot, fosfor, potasiu (N:P:K). Fertilizanţii trebuie aplicaţi după analiza chimică a solului</w:t>
      </w:r>
      <w:r w:rsidR="00AC2ECF" w:rsidRPr="00AD2D12">
        <w:rPr>
          <w:color w:val="auto"/>
        </w:rPr>
        <w:t>,</w:t>
      </w:r>
      <w:r w:rsidRPr="00AD2D12">
        <w:rPr>
          <w:color w:val="auto"/>
        </w:rPr>
        <w:t xml:space="preserve"> care arată carenţa în elemente şi microelemente. În caz contrar, dozele mari de azotat de amoniu produc acidifierea solului. </w:t>
      </w:r>
    </w:p>
    <w:p w:rsidR="009737AA" w:rsidRPr="00C939CF" w:rsidRDefault="00F8166F" w:rsidP="00171588">
      <w:pPr>
        <w:pStyle w:val="Default"/>
        <w:widowControl w:val="0"/>
        <w:ind w:firstLine="708"/>
        <w:jc w:val="both"/>
        <w:rPr>
          <w:color w:val="auto"/>
        </w:rPr>
      </w:pPr>
      <w:r w:rsidRPr="00037FD2">
        <w:rPr>
          <w:color w:val="auto"/>
        </w:rPr>
        <w:t>Azotatul trece din sol în plante şi de aici la om şi</w:t>
      </w:r>
      <w:r w:rsidR="00037FD2" w:rsidRPr="00037FD2">
        <w:rPr>
          <w:color w:val="auto"/>
        </w:rPr>
        <w:t xml:space="preserve"> animale, producând methemoglobi</w:t>
      </w:r>
      <w:r w:rsidRPr="00037FD2">
        <w:rPr>
          <w:color w:val="auto"/>
        </w:rPr>
        <w:t>nemia (maladia albastra) c</w:t>
      </w:r>
      <w:r w:rsidRPr="00C939CF">
        <w:rPr>
          <w:color w:val="auto"/>
        </w:rPr>
        <w:t xml:space="preserve">e provoacă creşterea mortalităţii infantile cu 2-5%. </w:t>
      </w:r>
    </w:p>
    <w:p w:rsidR="00F8166F" w:rsidRPr="00AD2D12" w:rsidRDefault="00F8166F" w:rsidP="00344F43">
      <w:pPr>
        <w:pStyle w:val="Default"/>
        <w:widowControl w:val="0"/>
        <w:ind w:firstLine="708"/>
        <w:jc w:val="both"/>
        <w:rPr>
          <w:color w:val="auto"/>
        </w:rPr>
      </w:pPr>
      <w:r w:rsidRPr="00C939CF">
        <w:rPr>
          <w:color w:val="auto"/>
        </w:rPr>
        <w:t>Folosirea fertilizanţilor provoacă şi carenţe de microelemente în so</w:t>
      </w:r>
      <w:r w:rsidR="0044378E" w:rsidRPr="00C939CF">
        <w:rPr>
          <w:color w:val="auto"/>
        </w:rPr>
        <w:t>l cum sunt: zinc, fier, cupru, bor</w:t>
      </w:r>
      <w:r w:rsidRPr="00C939CF">
        <w:rPr>
          <w:color w:val="auto"/>
        </w:rPr>
        <w:t>, magneziu, mangan. Efectele apărute la plante sunt legate de scăderea rezistenţei la factorii climatici, apariţia unor maladii, iar la animale prin unel</w:t>
      </w:r>
      <w:r w:rsidR="00344F43" w:rsidRPr="00C939CF">
        <w:rPr>
          <w:color w:val="auto"/>
        </w:rPr>
        <w:t xml:space="preserve">e modificări în organismul lor. </w:t>
      </w:r>
      <w:r w:rsidR="000C54FB" w:rsidRPr="00C939CF">
        <w:rPr>
          <w:color w:val="auto"/>
        </w:rPr>
        <w:t>Balanţa brută a substanţelor nutritive din agricultură, indică echilibrul sau dezechilibrul substanţelor nutritive pe hectarul de teren agricol.</w:t>
      </w:r>
    </w:p>
    <w:p w:rsidR="00DF1C88" w:rsidRPr="00A72704" w:rsidRDefault="00DF1C88" w:rsidP="00344F43">
      <w:pPr>
        <w:pStyle w:val="Default"/>
        <w:widowControl w:val="0"/>
        <w:ind w:firstLine="708"/>
        <w:jc w:val="both"/>
        <w:rPr>
          <w:color w:val="auto"/>
        </w:rPr>
      </w:pPr>
      <w:r w:rsidRPr="00A72704">
        <w:rPr>
          <w:color w:val="auto"/>
        </w:rPr>
        <w:t>Utilizarea îngrăşămintelor chimice în judeţul Suceava în perioada 201</w:t>
      </w:r>
      <w:r w:rsidR="005C14AC" w:rsidRPr="00A72704">
        <w:rPr>
          <w:color w:val="auto"/>
        </w:rPr>
        <w:t>2</w:t>
      </w:r>
      <w:r w:rsidRPr="00A72704">
        <w:rPr>
          <w:color w:val="auto"/>
        </w:rPr>
        <w:t>-201</w:t>
      </w:r>
      <w:r w:rsidR="005C14AC" w:rsidRPr="00A72704">
        <w:rPr>
          <w:color w:val="auto"/>
        </w:rPr>
        <w:t>6</w:t>
      </w:r>
      <w:r w:rsidRPr="00A72704">
        <w:rPr>
          <w:color w:val="auto"/>
        </w:rPr>
        <w:t xml:space="preserve"> este prezentată în Tabel III.3.1.1 şi Fig. III.3.1.1</w:t>
      </w:r>
      <w:r w:rsidR="00A72704">
        <w:rPr>
          <w:color w:val="auto"/>
        </w:rPr>
        <w:t>(nu sunt date pentru 2017)</w:t>
      </w:r>
      <w:r w:rsidR="007C12CF">
        <w:rPr>
          <w:color w:val="auto"/>
        </w:rPr>
        <w:t>:</w:t>
      </w:r>
    </w:p>
    <w:p w:rsidR="00971125" w:rsidRPr="004D5276" w:rsidRDefault="00971125" w:rsidP="00171588">
      <w:pPr>
        <w:pStyle w:val="BodyTextIndent2"/>
        <w:widowControl w:val="0"/>
        <w:ind w:firstLine="708"/>
        <w:jc w:val="both"/>
        <w:rPr>
          <w:color w:val="984806" w:themeColor="accent6" w:themeShade="80"/>
          <w:sz w:val="16"/>
          <w:szCs w:val="16"/>
        </w:rPr>
      </w:pPr>
    </w:p>
    <w:p w:rsidR="000C54FB" w:rsidRPr="00A72704" w:rsidRDefault="000C54FB" w:rsidP="00171588">
      <w:pPr>
        <w:widowControl w:val="0"/>
        <w:jc w:val="center"/>
        <w:rPr>
          <w:rFonts w:ascii="Arial" w:hAnsi="Arial" w:cs="Arial"/>
          <w:sz w:val="22"/>
          <w:szCs w:val="22"/>
        </w:rPr>
      </w:pPr>
      <w:r w:rsidRPr="00A72704">
        <w:rPr>
          <w:rFonts w:ascii="Arial" w:hAnsi="Arial" w:cs="Arial"/>
          <w:sz w:val="22"/>
          <w:szCs w:val="22"/>
        </w:rPr>
        <w:t>Tabel III.</w:t>
      </w:r>
      <w:r w:rsidR="009C6C3B" w:rsidRPr="00A72704">
        <w:rPr>
          <w:rFonts w:ascii="Arial" w:hAnsi="Arial" w:cs="Arial"/>
          <w:sz w:val="22"/>
          <w:szCs w:val="22"/>
        </w:rPr>
        <w:t>3.1.1</w:t>
      </w:r>
      <w:r w:rsidRPr="00A72704">
        <w:rPr>
          <w:rFonts w:ascii="Arial" w:hAnsi="Arial" w:cs="Arial"/>
          <w:sz w:val="22"/>
          <w:szCs w:val="22"/>
        </w:rPr>
        <w:t xml:space="preserve">. Îngrăşăminte chimice şi naturale folosite în agricultură </w:t>
      </w:r>
    </w:p>
    <w:p w:rsidR="009C6C3B" w:rsidRPr="00A72704" w:rsidRDefault="001C4EE1" w:rsidP="00171588">
      <w:pPr>
        <w:widowControl w:val="0"/>
        <w:jc w:val="center"/>
        <w:rPr>
          <w:rFonts w:ascii="Arial" w:hAnsi="Arial" w:cs="Arial"/>
          <w:sz w:val="22"/>
          <w:szCs w:val="22"/>
        </w:rPr>
      </w:pPr>
      <w:r w:rsidRPr="00A72704">
        <w:rPr>
          <w:rFonts w:ascii="Arial" w:hAnsi="Arial" w:cs="Arial"/>
          <w:sz w:val="22"/>
          <w:szCs w:val="22"/>
        </w:rPr>
        <w:t>(</w:t>
      </w:r>
      <w:r w:rsidRPr="00A72704">
        <w:rPr>
          <w:rFonts w:ascii="Arial" w:hAnsi="Arial" w:cs="Arial"/>
          <w:i/>
          <w:sz w:val="22"/>
          <w:szCs w:val="22"/>
        </w:rPr>
        <w:t>sursa: Anuarul Statistic al judeţului Suceava, 2017</w:t>
      </w:r>
      <w:r w:rsidRPr="00A72704">
        <w:rPr>
          <w:rFonts w:ascii="Arial" w:hAnsi="Arial" w:cs="Arial"/>
          <w:sz w:val="22"/>
          <w:szCs w:val="22"/>
        </w:rPr>
        <w:t>)</w:t>
      </w:r>
    </w:p>
    <w:p w:rsidR="002D5B92" w:rsidRPr="00A72704" w:rsidRDefault="002D5B92" w:rsidP="00171588">
      <w:pPr>
        <w:widowControl w:val="0"/>
        <w:jc w:val="center"/>
        <w:rPr>
          <w:rFonts w:ascii="Arial" w:hAnsi="Arial" w:cs="Arial"/>
          <w:sz w:val="10"/>
          <w:szCs w:val="10"/>
        </w:rPr>
      </w:pPr>
    </w:p>
    <w:tbl>
      <w:tblPr>
        <w:tblStyle w:val="TableGrid"/>
        <w:tblW w:w="0" w:type="auto"/>
        <w:jc w:val="center"/>
        <w:tblLook w:val="04A0"/>
      </w:tblPr>
      <w:tblGrid>
        <w:gridCol w:w="1265"/>
        <w:gridCol w:w="1819"/>
        <w:gridCol w:w="1234"/>
        <w:gridCol w:w="1234"/>
        <w:gridCol w:w="1234"/>
        <w:gridCol w:w="1234"/>
        <w:gridCol w:w="1234"/>
      </w:tblGrid>
      <w:tr w:rsidR="005C14AC" w:rsidRPr="00A72704" w:rsidTr="00E8560B">
        <w:trPr>
          <w:trHeight w:val="176"/>
          <w:jc w:val="center"/>
        </w:trPr>
        <w:tc>
          <w:tcPr>
            <w:tcW w:w="1265" w:type="dxa"/>
            <w:tcBorders>
              <w:bottom w:val="single" w:sz="4" w:space="0" w:color="auto"/>
            </w:tcBorders>
            <w:shd w:val="clear" w:color="auto" w:fill="FFFF99"/>
          </w:tcPr>
          <w:p w:rsidR="005C14AC" w:rsidRPr="00A72704" w:rsidRDefault="005C14AC" w:rsidP="00171588">
            <w:pPr>
              <w:widowControl w:val="0"/>
              <w:spacing w:before="60" w:after="60"/>
              <w:jc w:val="center"/>
              <w:rPr>
                <w:rFonts w:ascii="Arial" w:hAnsi="Arial" w:cs="Arial"/>
                <w:b/>
                <w:sz w:val="22"/>
                <w:szCs w:val="22"/>
              </w:rPr>
            </w:pPr>
          </w:p>
        </w:tc>
        <w:tc>
          <w:tcPr>
            <w:tcW w:w="1819" w:type="dxa"/>
            <w:shd w:val="clear" w:color="auto" w:fill="FFFF99"/>
          </w:tcPr>
          <w:p w:rsidR="005C14AC" w:rsidRPr="00A72704" w:rsidRDefault="005C14AC" w:rsidP="009F69E4">
            <w:pPr>
              <w:widowControl w:val="0"/>
              <w:spacing w:before="60" w:after="60"/>
              <w:jc w:val="center"/>
              <w:rPr>
                <w:rFonts w:ascii="Arial" w:hAnsi="Arial" w:cs="Arial"/>
                <w:b/>
                <w:sz w:val="22"/>
                <w:szCs w:val="22"/>
              </w:rPr>
            </w:pPr>
            <w:r w:rsidRPr="00A72704">
              <w:rPr>
                <w:rFonts w:ascii="Arial" w:hAnsi="Arial" w:cs="Arial"/>
                <w:b/>
                <w:sz w:val="22"/>
                <w:szCs w:val="22"/>
              </w:rPr>
              <w:t>U.M</w:t>
            </w:r>
          </w:p>
        </w:tc>
        <w:tc>
          <w:tcPr>
            <w:tcW w:w="1234" w:type="dxa"/>
            <w:shd w:val="clear" w:color="auto" w:fill="FFFF99"/>
          </w:tcPr>
          <w:p w:rsidR="005C14AC" w:rsidRPr="00A72704" w:rsidRDefault="005C14AC" w:rsidP="000D6751">
            <w:pPr>
              <w:widowControl w:val="0"/>
              <w:spacing w:before="60" w:after="60"/>
              <w:jc w:val="center"/>
              <w:rPr>
                <w:rFonts w:ascii="Arial" w:hAnsi="Arial" w:cs="Arial"/>
                <w:b/>
                <w:sz w:val="22"/>
                <w:szCs w:val="22"/>
              </w:rPr>
            </w:pPr>
            <w:r w:rsidRPr="00A72704">
              <w:rPr>
                <w:rFonts w:ascii="Arial" w:hAnsi="Arial" w:cs="Arial"/>
                <w:b/>
                <w:sz w:val="22"/>
                <w:szCs w:val="22"/>
              </w:rPr>
              <w:t>2012</w:t>
            </w:r>
          </w:p>
        </w:tc>
        <w:tc>
          <w:tcPr>
            <w:tcW w:w="1234" w:type="dxa"/>
            <w:shd w:val="clear" w:color="auto" w:fill="FFFF99"/>
          </w:tcPr>
          <w:p w:rsidR="005C14AC" w:rsidRPr="00A72704" w:rsidRDefault="005C14AC" w:rsidP="000D6751">
            <w:pPr>
              <w:widowControl w:val="0"/>
              <w:spacing w:before="60" w:after="60"/>
              <w:jc w:val="center"/>
              <w:rPr>
                <w:rFonts w:ascii="Arial" w:hAnsi="Arial" w:cs="Arial"/>
                <w:b/>
                <w:sz w:val="22"/>
                <w:szCs w:val="22"/>
              </w:rPr>
            </w:pPr>
            <w:r w:rsidRPr="00A72704">
              <w:rPr>
                <w:rFonts w:ascii="Arial" w:hAnsi="Arial" w:cs="Arial"/>
                <w:b/>
                <w:sz w:val="22"/>
                <w:szCs w:val="22"/>
              </w:rPr>
              <w:t>2013</w:t>
            </w:r>
          </w:p>
        </w:tc>
        <w:tc>
          <w:tcPr>
            <w:tcW w:w="1234" w:type="dxa"/>
            <w:shd w:val="clear" w:color="auto" w:fill="FFFF99"/>
          </w:tcPr>
          <w:p w:rsidR="005C14AC" w:rsidRPr="00A72704" w:rsidRDefault="005C14AC" w:rsidP="000D6751">
            <w:pPr>
              <w:widowControl w:val="0"/>
              <w:spacing w:before="60" w:after="60"/>
              <w:jc w:val="center"/>
              <w:rPr>
                <w:rFonts w:ascii="Arial" w:hAnsi="Arial" w:cs="Arial"/>
                <w:b/>
                <w:sz w:val="22"/>
                <w:szCs w:val="22"/>
              </w:rPr>
            </w:pPr>
            <w:r w:rsidRPr="00A72704">
              <w:rPr>
                <w:rFonts w:ascii="Arial" w:hAnsi="Arial" w:cs="Arial"/>
                <w:b/>
                <w:sz w:val="22"/>
                <w:szCs w:val="22"/>
              </w:rPr>
              <w:t>2014</w:t>
            </w:r>
          </w:p>
        </w:tc>
        <w:tc>
          <w:tcPr>
            <w:tcW w:w="1234" w:type="dxa"/>
            <w:shd w:val="clear" w:color="auto" w:fill="FFFF99"/>
          </w:tcPr>
          <w:p w:rsidR="005C14AC" w:rsidRPr="00A72704" w:rsidRDefault="005C14AC" w:rsidP="000D6751">
            <w:pPr>
              <w:widowControl w:val="0"/>
              <w:spacing w:before="60" w:after="60"/>
              <w:jc w:val="center"/>
              <w:rPr>
                <w:rFonts w:ascii="Arial" w:hAnsi="Arial" w:cs="Arial"/>
                <w:b/>
                <w:sz w:val="22"/>
                <w:szCs w:val="22"/>
              </w:rPr>
            </w:pPr>
            <w:r w:rsidRPr="00A72704">
              <w:rPr>
                <w:rFonts w:ascii="Arial" w:hAnsi="Arial" w:cs="Arial"/>
                <w:b/>
                <w:sz w:val="22"/>
                <w:szCs w:val="22"/>
              </w:rPr>
              <w:t>2015</w:t>
            </w:r>
          </w:p>
        </w:tc>
        <w:tc>
          <w:tcPr>
            <w:tcW w:w="1234" w:type="dxa"/>
            <w:shd w:val="clear" w:color="auto" w:fill="FFFF99"/>
          </w:tcPr>
          <w:p w:rsidR="005C14AC" w:rsidRPr="00A72704" w:rsidRDefault="005C14AC" w:rsidP="00171588">
            <w:pPr>
              <w:widowControl w:val="0"/>
              <w:spacing w:before="60" w:after="60"/>
              <w:jc w:val="center"/>
              <w:rPr>
                <w:rFonts w:ascii="Arial" w:hAnsi="Arial" w:cs="Arial"/>
                <w:b/>
                <w:sz w:val="22"/>
                <w:szCs w:val="22"/>
              </w:rPr>
            </w:pPr>
            <w:r w:rsidRPr="00A72704">
              <w:rPr>
                <w:rFonts w:ascii="Arial" w:hAnsi="Arial" w:cs="Arial"/>
                <w:b/>
                <w:sz w:val="22"/>
                <w:szCs w:val="22"/>
              </w:rPr>
              <w:t>2016</w:t>
            </w:r>
          </w:p>
        </w:tc>
      </w:tr>
      <w:tr w:rsidR="005C14AC" w:rsidRPr="00A72704" w:rsidTr="008229FE">
        <w:trPr>
          <w:trHeight w:val="330"/>
          <w:jc w:val="center"/>
        </w:trPr>
        <w:tc>
          <w:tcPr>
            <w:tcW w:w="1265" w:type="dxa"/>
            <w:shd w:val="clear" w:color="auto" w:fill="auto"/>
          </w:tcPr>
          <w:p w:rsidR="005C14AC" w:rsidRPr="00A72704" w:rsidRDefault="005C14AC" w:rsidP="00171588">
            <w:pPr>
              <w:widowControl w:val="0"/>
              <w:spacing w:before="60" w:after="60"/>
              <w:rPr>
                <w:rFonts w:ascii="Arial" w:hAnsi="Arial" w:cs="Arial"/>
                <w:sz w:val="22"/>
                <w:szCs w:val="22"/>
              </w:rPr>
            </w:pPr>
            <w:r w:rsidRPr="00A72704">
              <w:rPr>
                <w:rFonts w:ascii="Arial" w:hAnsi="Arial" w:cs="Arial"/>
                <w:sz w:val="22"/>
                <w:szCs w:val="22"/>
              </w:rPr>
              <w:t xml:space="preserve">Azotoase </w:t>
            </w:r>
          </w:p>
        </w:tc>
        <w:tc>
          <w:tcPr>
            <w:tcW w:w="1819" w:type="dxa"/>
            <w:vMerge w:val="restart"/>
          </w:tcPr>
          <w:p w:rsidR="005C14AC" w:rsidRPr="00A72704" w:rsidRDefault="005C14AC" w:rsidP="00171588">
            <w:pPr>
              <w:widowControl w:val="0"/>
              <w:spacing w:before="60" w:after="60"/>
              <w:jc w:val="center"/>
              <w:rPr>
                <w:rFonts w:ascii="Arial" w:hAnsi="Arial" w:cs="Arial"/>
                <w:sz w:val="22"/>
                <w:szCs w:val="22"/>
              </w:rPr>
            </w:pPr>
          </w:p>
          <w:p w:rsidR="005C14AC" w:rsidRPr="00A72704" w:rsidRDefault="005C14AC" w:rsidP="00171588">
            <w:pPr>
              <w:widowControl w:val="0"/>
              <w:spacing w:before="60" w:after="60"/>
              <w:jc w:val="center"/>
              <w:rPr>
                <w:rFonts w:ascii="Arial" w:hAnsi="Arial" w:cs="Arial"/>
                <w:sz w:val="22"/>
                <w:szCs w:val="22"/>
              </w:rPr>
            </w:pPr>
            <w:r w:rsidRPr="00A72704">
              <w:rPr>
                <w:rFonts w:ascii="Arial" w:hAnsi="Arial" w:cs="Arial"/>
                <w:sz w:val="22"/>
                <w:szCs w:val="22"/>
              </w:rPr>
              <w:t>tone  subst. activă</w:t>
            </w:r>
          </w:p>
        </w:tc>
        <w:tc>
          <w:tcPr>
            <w:tcW w:w="1234" w:type="dxa"/>
            <w:vAlign w:val="center"/>
          </w:tcPr>
          <w:p w:rsidR="005C14AC" w:rsidRPr="00A72704" w:rsidRDefault="005C14AC" w:rsidP="000D6751">
            <w:pPr>
              <w:widowControl w:val="0"/>
              <w:spacing w:before="60" w:after="60"/>
              <w:jc w:val="center"/>
              <w:rPr>
                <w:rFonts w:ascii="Arial" w:hAnsi="Arial" w:cs="Arial"/>
                <w:sz w:val="22"/>
                <w:szCs w:val="22"/>
              </w:rPr>
            </w:pPr>
            <w:r w:rsidRPr="00A72704">
              <w:rPr>
                <w:rFonts w:ascii="Arial" w:hAnsi="Arial" w:cs="Arial"/>
                <w:sz w:val="22"/>
                <w:szCs w:val="22"/>
              </w:rPr>
              <w:t>3957</w:t>
            </w:r>
          </w:p>
        </w:tc>
        <w:tc>
          <w:tcPr>
            <w:tcW w:w="1234" w:type="dxa"/>
            <w:vAlign w:val="center"/>
          </w:tcPr>
          <w:p w:rsidR="005C14AC" w:rsidRPr="00A72704" w:rsidRDefault="005C14AC" w:rsidP="000D6751">
            <w:pPr>
              <w:widowControl w:val="0"/>
              <w:spacing w:before="60" w:after="60"/>
              <w:jc w:val="center"/>
              <w:rPr>
                <w:rFonts w:ascii="Arial" w:hAnsi="Arial" w:cs="Arial"/>
                <w:sz w:val="22"/>
                <w:szCs w:val="22"/>
              </w:rPr>
            </w:pPr>
            <w:r w:rsidRPr="00A72704">
              <w:rPr>
                <w:rFonts w:ascii="Arial" w:hAnsi="Arial" w:cs="Arial"/>
                <w:sz w:val="22"/>
                <w:szCs w:val="22"/>
              </w:rPr>
              <w:t>4645</w:t>
            </w:r>
          </w:p>
        </w:tc>
        <w:tc>
          <w:tcPr>
            <w:tcW w:w="1234" w:type="dxa"/>
            <w:vAlign w:val="center"/>
          </w:tcPr>
          <w:p w:rsidR="005C14AC" w:rsidRPr="00A72704" w:rsidRDefault="005C14AC" w:rsidP="000D6751">
            <w:pPr>
              <w:widowControl w:val="0"/>
              <w:spacing w:before="60" w:after="60"/>
              <w:jc w:val="center"/>
              <w:rPr>
                <w:rFonts w:ascii="Arial" w:hAnsi="Arial" w:cs="Arial"/>
                <w:sz w:val="22"/>
                <w:szCs w:val="22"/>
              </w:rPr>
            </w:pPr>
            <w:r w:rsidRPr="00A72704">
              <w:rPr>
                <w:rFonts w:ascii="Arial" w:hAnsi="Arial" w:cs="Arial"/>
                <w:sz w:val="22"/>
                <w:szCs w:val="22"/>
              </w:rPr>
              <w:t>2340</w:t>
            </w:r>
          </w:p>
        </w:tc>
        <w:tc>
          <w:tcPr>
            <w:tcW w:w="1234" w:type="dxa"/>
          </w:tcPr>
          <w:p w:rsidR="005C14AC" w:rsidRPr="00A72704" w:rsidRDefault="005C14AC" w:rsidP="000D6751">
            <w:pPr>
              <w:widowControl w:val="0"/>
              <w:spacing w:before="60" w:after="60"/>
              <w:jc w:val="center"/>
              <w:rPr>
                <w:rFonts w:ascii="Arial" w:hAnsi="Arial" w:cs="Arial"/>
                <w:sz w:val="22"/>
                <w:szCs w:val="22"/>
              </w:rPr>
            </w:pPr>
            <w:r w:rsidRPr="00A72704">
              <w:rPr>
                <w:rFonts w:ascii="Arial" w:hAnsi="Arial" w:cs="Arial"/>
                <w:sz w:val="22"/>
                <w:szCs w:val="22"/>
              </w:rPr>
              <w:t>4482</w:t>
            </w:r>
          </w:p>
        </w:tc>
        <w:tc>
          <w:tcPr>
            <w:tcW w:w="1234" w:type="dxa"/>
          </w:tcPr>
          <w:p w:rsidR="005C14AC" w:rsidRPr="00A72704" w:rsidRDefault="005C14AC" w:rsidP="00171588">
            <w:pPr>
              <w:widowControl w:val="0"/>
              <w:spacing w:before="60" w:after="60"/>
              <w:jc w:val="center"/>
              <w:rPr>
                <w:rFonts w:ascii="Arial" w:hAnsi="Arial" w:cs="Arial"/>
                <w:sz w:val="22"/>
                <w:szCs w:val="22"/>
              </w:rPr>
            </w:pPr>
            <w:r w:rsidRPr="00A72704">
              <w:rPr>
                <w:rFonts w:ascii="Arial" w:hAnsi="Arial" w:cs="Arial"/>
                <w:sz w:val="22"/>
                <w:szCs w:val="22"/>
              </w:rPr>
              <w:t>1640</w:t>
            </w:r>
          </w:p>
        </w:tc>
      </w:tr>
      <w:tr w:rsidR="005C14AC" w:rsidRPr="00A72704" w:rsidTr="00276BC5">
        <w:trPr>
          <w:trHeight w:val="196"/>
          <w:jc w:val="center"/>
        </w:trPr>
        <w:tc>
          <w:tcPr>
            <w:tcW w:w="1265" w:type="dxa"/>
            <w:shd w:val="clear" w:color="auto" w:fill="auto"/>
          </w:tcPr>
          <w:p w:rsidR="005C14AC" w:rsidRPr="00A72704" w:rsidRDefault="005C14AC" w:rsidP="00171588">
            <w:pPr>
              <w:widowControl w:val="0"/>
              <w:spacing w:before="60" w:after="60"/>
              <w:rPr>
                <w:rFonts w:ascii="Arial" w:hAnsi="Arial" w:cs="Arial"/>
                <w:sz w:val="22"/>
                <w:szCs w:val="22"/>
              </w:rPr>
            </w:pPr>
            <w:r w:rsidRPr="00A72704">
              <w:rPr>
                <w:rFonts w:ascii="Arial" w:hAnsi="Arial" w:cs="Arial"/>
                <w:sz w:val="22"/>
                <w:szCs w:val="22"/>
              </w:rPr>
              <w:t>Fosfatice</w:t>
            </w:r>
          </w:p>
        </w:tc>
        <w:tc>
          <w:tcPr>
            <w:tcW w:w="1819" w:type="dxa"/>
            <w:vMerge/>
          </w:tcPr>
          <w:p w:rsidR="005C14AC" w:rsidRPr="00A72704" w:rsidRDefault="005C14AC" w:rsidP="00171588">
            <w:pPr>
              <w:widowControl w:val="0"/>
              <w:spacing w:before="60" w:after="60"/>
              <w:rPr>
                <w:rFonts w:ascii="Arial" w:hAnsi="Arial" w:cs="Arial"/>
                <w:sz w:val="22"/>
                <w:szCs w:val="22"/>
              </w:rPr>
            </w:pPr>
          </w:p>
        </w:tc>
        <w:tc>
          <w:tcPr>
            <w:tcW w:w="1234" w:type="dxa"/>
            <w:vAlign w:val="center"/>
          </w:tcPr>
          <w:p w:rsidR="005C14AC" w:rsidRPr="00A72704" w:rsidRDefault="005C14AC" w:rsidP="000D6751">
            <w:pPr>
              <w:widowControl w:val="0"/>
              <w:spacing w:before="60" w:after="60"/>
              <w:jc w:val="center"/>
              <w:rPr>
                <w:rFonts w:ascii="Arial" w:hAnsi="Arial" w:cs="Arial"/>
                <w:sz w:val="22"/>
                <w:szCs w:val="22"/>
              </w:rPr>
            </w:pPr>
            <w:r w:rsidRPr="00A72704">
              <w:rPr>
                <w:rFonts w:ascii="Arial" w:hAnsi="Arial" w:cs="Arial"/>
                <w:sz w:val="22"/>
                <w:szCs w:val="22"/>
              </w:rPr>
              <w:t>1486</w:t>
            </w:r>
          </w:p>
        </w:tc>
        <w:tc>
          <w:tcPr>
            <w:tcW w:w="1234" w:type="dxa"/>
            <w:vAlign w:val="center"/>
          </w:tcPr>
          <w:p w:rsidR="005C14AC" w:rsidRPr="00A72704" w:rsidRDefault="005C14AC" w:rsidP="000D6751">
            <w:pPr>
              <w:widowControl w:val="0"/>
              <w:spacing w:before="60" w:after="60"/>
              <w:jc w:val="center"/>
              <w:rPr>
                <w:rFonts w:ascii="Arial" w:hAnsi="Arial" w:cs="Arial"/>
                <w:sz w:val="22"/>
                <w:szCs w:val="22"/>
              </w:rPr>
            </w:pPr>
            <w:r w:rsidRPr="00A72704">
              <w:rPr>
                <w:rFonts w:ascii="Arial" w:hAnsi="Arial" w:cs="Arial"/>
                <w:sz w:val="22"/>
                <w:szCs w:val="22"/>
              </w:rPr>
              <w:t>1731</w:t>
            </w:r>
          </w:p>
        </w:tc>
        <w:tc>
          <w:tcPr>
            <w:tcW w:w="1234" w:type="dxa"/>
            <w:vAlign w:val="center"/>
          </w:tcPr>
          <w:p w:rsidR="005C14AC" w:rsidRPr="00A72704" w:rsidRDefault="005C14AC" w:rsidP="000D6751">
            <w:pPr>
              <w:widowControl w:val="0"/>
              <w:spacing w:before="60" w:after="60"/>
              <w:jc w:val="center"/>
              <w:rPr>
                <w:rFonts w:ascii="Arial" w:hAnsi="Arial" w:cs="Arial"/>
                <w:sz w:val="22"/>
                <w:szCs w:val="22"/>
              </w:rPr>
            </w:pPr>
            <w:r w:rsidRPr="00A72704">
              <w:rPr>
                <w:rFonts w:ascii="Arial" w:hAnsi="Arial" w:cs="Arial"/>
                <w:sz w:val="22"/>
                <w:szCs w:val="22"/>
              </w:rPr>
              <w:t>680</w:t>
            </w:r>
          </w:p>
        </w:tc>
        <w:tc>
          <w:tcPr>
            <w:tcW w:w="1234" w:type="dxa"/>
          </w:tcPr>
          <w:p w:rsidR="005C14AC" w:rsidRPr="00A72704" w:rsidRDefault="005C14AC" w:rsidP="000D6751">
            <w:pPr>
              <w:widowControl w:val="0"/>
              <w:spacing w:before="60" w:after="60"/>
              <w:jc w:val="center"/>
              <w:rPr>
                <w:rFonts w:ascii="Arial" w:hAnsi="Arial" w:cs="Arial"/>
                <w:sz w:val="22"/>
                <w:szCs w:val="22"/>
              </w:rPr>
            </w:pPr>
            <w:r w:rsidRPr="00A72704">
              <w:rPr>
                <w:rFonts w:ascii="Arial" w:hAnsi="Arial" w:cs="Arial"/>
                <w:sz w:val="22"/>
                <w:szCs w:val="22"/>
              </w:rPr>
              <w:t>1578</w:t>
            </w:r>
          </w:p>
        </w:tc>
        <w:tc>
          <w:tcPr>
            <w:tcW w:w="1234" w:type="dxa"/>
          </w:tcPr>
          <w:p w:rsidR="005C14AC" w:rsidRPr="00FB63CD" w:rsidRDefault="005C14AC" w:rsidP="00171588">
            <w:pPr>
              <w:widowControl w:val="0"/>
              <w:spacing w:before="60" w:after="60"/>
              <w:jc w:val="center"/>
              <w:rPr>
                <w:rFonts w:ascii="Arial" w:hAnsi="Arial" w:cs="Arial"/>
                <w:sz w:val="22"/>
                <w:szCs w:val="22"/>
              </w:rPr>
            </w:pPr>
            <w:r w:rsidRPr="00FB63CD">
              <w:rPr>
                <w:rFonts w:ascii="Arial" w:hAnsi="Arial" w:cs="Arial"/>
                <w:sz w:val="22"/>
                <w:szCs w:val="22"/>
              </w:rPr>
              <w:t>497</w:t>
            </w:r>
          </w:p>
        </w:tc>
      </w:tr>
      <w:tr w:rsidR="005C14AC" w:rsidRPr="00A72704" w:rsidTr="00E81BDA">
        <w:trPr>
          <w:trHeight w:val="191"/>
          <w:jc w:val="center"/>
        </w:trPr>
        <w:tc>
          <w:tcPr>
            <w:tcW w:w="1265" w:type="dxa"/>
            <w:shd w:val="clear" w:color="auto" w:fill="auto"/>
          </w:tcPr>
          <w:p w:rsidR="005C14AC" w:rsidRPr="00A72704" w:rsidRDefault="005C14AC" w:rsidP="00171588">
            <w:pPr>
              <w:widowControl w:val="0"/>
              <w:spacing w:before="60" w:after="60"/>
              <w:rPr>
                <w:rFonts w:ascii="Arial" w:hAnsi="Arial" w:cs="Arial"/>
                <w:sz w:val="22"/>
                <w:szCs w:val="22"/>
              </w:rPr>
            </w:pPr>
            <w:r w:rsidRPr="00A72704">
              <w:rPr>
                <w:rFonts w:ascii="Arial" w:hAnsi="Arial" w:cs="Arial"/>
                <w:sz w:val="22"/>
                <w:szCs w:val="22"/>
              </w:rPr>
              <w:t xml:space="preserve">Potasice </w:t>
            </w:r>
          </w:p>
        </w:tc>
        <w:tc>
          <w:tcPr>
            <w:tcW w:w="1819" w:type="dxa"/>
            <w:vMerge/>
          </w:tcPr>
          <w:p w:rsidR="005C14AC" w:rsidRPr="00A72704" w:rsidRDefault="005C14AC" w:rsidP="00171588">
            <w:pPr>
              <w:widowControl w:val="0"/>
              <w:spacing w:before="60" w:after="60"/>
              <w:rPr>
                <w:rFonts w:ascii="Arial" w:hAnsi="Arial" w:cs="Arial"/>
                <w:sz w:val="22"/>
                <w:szCs w:val="22"/>
              </w:rPr>
            </w:pPr>
          </w:p>
        </w:tc>
        <w:tc>
          <w:tcPr>
            <w:tcW w:w="1234" w:type="dxa"/>
            <w:vAlign w:val="center"/>
          </w:tcPr>
          <w:p w:rsidR="005C14AC" w:rsidRPr="00A72704" w:rsidRDefault="005C14AC" w:rsidP="000D6751">
            <w:pPr>
              <w:widowControl w:val="0"/>
              <w:spacing w:before="60" w:after="60"/>
              <w:jc w:val="center"/>
              <w:rPr>
                <w:rFonts w:ascii="Arial" w:hAnsi="Arial" w:cs="Arial"/>
                <w:sz w:val="22"/>
                <w:szCs w:val="22"/>
              </w:rPr>
            </w:pPr>
            <w:r w:rsidRPr="00A72704">
              <w:rPr>
                <w:rFonts w:ascii="Arial" w:hAnsi="Arial" w:cs="Arial"/>
                <w:sz w:val="22"/>
                <w:szCs w:val="22"/>
              </w:rPr>
              <w:t>1040</w:t>
            </w:r>
          </w:p>
        </w:tc>
        <w:tc>
          <w:tcPr>
            <w:tcW w:w="1234" w:type="dxa"/>
            <w:vAlign w:val="center"/>
          </w:tcPr>
          <w:p w:rsidR="005C14AC" w:rsidRPr="00A72704" w:rsidRDefault="005C14AC" w:rsidP="000D6751">
            <w:pPr>
              <w:widowControl w:val="0"/>
              <w:spacing w:before="60" w:after="60"/>
              <w:jc w:val="center"/>
              <w:rPr>
                <w:rFonts w:ascii="Arial" w:hAnsi="Arial" w:cs="Arial"/>
                <w:sz w:val="22"/>
                <w:szCs w:val="22"/>
              </w:rPr>
            </w:pPr>
            <w:r w:rsidRPr="00A72704">
              <w:rPr>
                <w:rFonts w:ascii="Arial" w:hAnsi="Arial" w:cs="Arial"/>
                <w:sz w:val="22"/>
                <w:szCs w:val="22"/>
              </w:rPr>
              <w:t>1648</w:t>
            </w:r>
          </w:p>
        </w:tc>
        <w:tc>
          <w:tcPr>
            <w:tcW w:w="1234" w:type="dxa"/>
            <w:vAlign w:val="center"/>
          </w:tcPr>
          <w:p w:rsidR="005C14AC" w:rsidRPr="00A72704" w:rsidRDefault="005C14AC" w:rsidP="000D6751">
            <w:pPr>
              <w:widowControl w:val="0"/>
              <w:spacing w:before="60" w:after="60"/>
              <w:jc w:val="center"/>
              <w:rPr>
                <w:rFonts w:ascii="Arial" w:hAnsi="Arial" w:cs="Arial"/>
                <w:sz w:val="22"/>
                <w:szCs w:val="22"/>
              </w:rPr>
            </w:pPr>
            <w:r w:rsidRPr="00A72704">
              <w:rPr>
                <w:rFonts w:ascii="Arial" w:hAnsi="Arial" w:cs="Arial"/>
                <w:sz w:val="22"/>
                <w:szCs w:val="22"/>
              </w:rPr>
              <w:t>466</w:t>
            </w:r>
          </w:p>
        </w:tc>
        <w:tc>
          <w:tcPr>
            <w:tcW w:w="1234" w:type="dxa"/>
          </w:tcPr>
          <w:p w:rsidR="005C14AC" w:rsidRPr="00A72704" w:rsidRDefault="005C14AC" w:rsidP="000D6751">
            <w:pPr>
              <w:widowControl w:val="0"/>
              <w:spacing w:before="60" w:after="60"/>
              <w:jc w:val="center"/>
              <w:rPr>
                <w:rFonts w:ascii="Arial" w:hAnsi="Arial" w:cs="Arial"/>
                <w:sz w:val="22"/>
                <w:szCs w:val="22"/>
              </w:rPr>
            </w:pPr>
            <w:r w:rsidRPr="00A72704">
              <w:rPr>
                <w:rFonts w:ascii="Arial" w:hAnsi="Arial" w:cs="Arial"/>
                <w:sz w:val="22"/>
                <w:szCs w:val="22"/>
              </w:rPr>
              <w:t>1227</w:t>
            </w:r>
          </w:p>
        </w:tc>
        <w:tc>
          <w:tcPr>
            <w:tcW w:w="1234" w:type="dxa"/>
          </w:tcPr>
          <w:p w:rsidR="005C14AC" w:rsidRPr="00FB63CD" w:rsidRDefault="005C14AC" w:rsidP="00171588">
            <w:pPr>
              <w:widowControl w:val="0"/>
              <w:spacing w:before="60" w:after="60"/>
              <w:jc w:val="center"/>
              <w:rPr>
                <w:rFonts w:ascii="Arial" w:hAnsi="Arial" w:cs="Arial"/>
                <w:sz w:val="22"/>
                <w:szCs w:val="22"/>
              </w:rPr>
            </w:pPr>
            <w:r w:rsidRPr="00FB63CD">
              <w:rPr>
                <w:rFonts w:ascii="Arial" w:hAnsi="Arial" w:cs="Arial"/>
                <w:sz w:val="22"/>
                <w:szCs w:val="22"/>
              </w:rPr>
              <w:t>487</w:t>
            </w:r>
          </w:p>
        </w:tc>
      </w:tr>
    </w:tbl>
    <w:p w:rsidR="000C54FB" w:rsidRPr="00A72704" w:rsidRDefault="000C54FB" w:rsidP="00171588">
      <w:pPr>
        <w:widowControl w:val="0"/>
        <w:ind w:firstLine="708"/>
        <w:rPr>
          <w:rFonts w:ascii="Arial" w:hAnsi="Arial" w:cs="Arial"/>
          <w:sz w:val="10"/>
          <w:szCs w:val="10"/>
        </w:rPr>
      </w:pPr>
    </w:p>
    <w:p w:rsidR="00DF1C88" w:rsidRPr="004D5276" w:rsidRDefault="00DF1C88" w:rsidP="00171588">
      <w:pPr>
        <w:widowControl w:val="0"/>
        <w:ind w:firstLine="708"/>
        <w:rPr>
          <w:rFonts w:ascii="Arial" w:hAnsi="Arial" w:cs="Arial"/>
          <w:color w:val="984806" w:themeColor="accent6" w:themeShade="80"/>
          <w:sz w:val="10"/>
          <w:szCs w:val="10"/>
        </w:rPr>
      </w:pPr>
    </w:p>
    <w:p w:rsidR="00DF1C88" w:rsidRPr="00A72704" w:rsidRDefault="000C54FB" w:rsidP="00171588">
      <w:pPr>
        <w:widowControl w:val="0"/>
        <w:jc w:val="center"/>
        <w:rPr>
          <w:rFonts w:ascii="Arial" w:hAnsi="Arial" w:cs="Arial"/>
          <w:sz w:val="22"/>
          <w:szCs w:val="22"/>
        </w:rPr>
      </w:pPr>
      <w:r w:rsidRPr="00A72704">
        <w:rPr>
          <w:rFonts w:ascii="Arial" w:hAnsi="Arial" w:cs="Arial"/>
          <w:sz w:val="22"/>
          <w:szCs w:val="22"/>
        </w:rPr>
        <w:t xml:space="preserve">Fig. </w:t>
      </w:r>
      <w:r w:rsidR="00BB473C" w:rsidRPr="00A72704">
        <w:rPr>
          <w:rFonts w:ascii="Arial" w:hAnsi="Arial" w:cs="Arial"/>
          <w:sz w:val="22"/>
          <w:szCs w:val="22"/>
        </w:rPr>
        <w:t xml:space="preserve">III.3.1.1. </w:t>
      </w:r>
      <w:r w:rsidRPr="00A72704">
        <w:rPr>
          <w:rFonts w:ascii="Arial" w:hAnsi="Arial" w:cs="Arial"/>
          <w:sz w:val="22"/>
          <w:szCs w:val="22"/>
        </w:rPr>
        <w:t xml:space="preserve">Evoluţia cantităţilor de îngrăşăminte chimice şi naturale folosite în agricultură </w:t>
      </w:r>
    </w:p>
    <w:p w:rsidR="00E67215" w:rsidRPr="00A72704" w:rsidRDefault="00BB473C" w:rsidP="00E67215">
      <w:pPr>
        <w:widowControl w:val="0"/>
        <w:jc w:val="center"/>
        <w:rPr>
          <w:rFonts w:ascii="Arial" w:hAnsi="Arial" w:cs="Arial"/>
          <w:sz w:val="22"/>
          <w:szCs w:val="22"/>
        </w:rPr>
      </w:pPr>
      <w:r w:rsidRPr="00A72704">
        <w:rPr>
          <w:rFonts w:ascii="Arial" w:hAnsi="Arial" w:cs="Arial"/>
          <w:sz w:val="22"/>
          <w:szCs w:val="22"/>
        </w:rPr>
        <w:t xml:space="preserve"> </w:t>
      </w:r>
      <w:r w:rsidR="00E67215" w:rsidRPr="00A72704">
        <w:rPr>
          <w:rFonts w:ascii="Arial" w:hAnsi="Arial" w:cs="Arial"/>
          <w:sz w:val="22"/>
          <w:szCs w:val="22"/>
        </w:rPr>
        <w:t>(</w:t>
      </w:r>
      <w:r w:rsidR="00E67215" w:rsidRPr="00A72704">
        <w:rPr>
          <w:rFonts w:ascii="Arial" w:hAnsi="Arial" w:cs="Arial"/>
          <w:i/>
          <w:sz w:val="22"/>
          <w:szCs w:val="22"/>
        </w:rPr>
        <w:t>sursa: Anuarul Statistic al judeţului Suceava, 2017</w:t>
      </w:r>
      <w:r w:rsidR="00E67215" w:rsidRPr="00A72704">
        <w:rPr>
          <w:rFonts w:ascii="Arial" w:hAnsi="Arial" w:cs="Arial"/>
          <w:sz w:val="22"/>
          <w:szCs w:val="22"/>
        </w:rPr>
        <w:t>)</w:t>
      </w:r>
    </w:p>
    <w:p w:rsidR="00D44602" w:rsidRPr="00A72704" w:rsidRDefault="00D44602" w:rsidP="00171588">
      <w:pPr>
        <w:widowControl w:val="0"/>
        <w:jc w:val="center"/>
        <w:rPr>
          <w:rFonts w:ascii="Arial" w:hAnsi="Arial" w:cs="Arial"/>
          <w:sz w:val="10"/>
          <w:szCs w:val="10"/>
        </w:rPr>
      </w:pPr>
    </w:p>
    <w:p w:rsidR="000C54FB" w:rsidRPr="00A72704" w:rsidRDefault="000C54FB" w:rsidP="00171588">
      <w:pPr>
        <w:widowControl w:val="0"/>
        <w:spacing w:after="120"/>
        <w:jc w:val="center"/>
      </w:pPr>
      <w:r w:rsidRPr="00A72704">
        <w:rPr>
          <w:noProof/>
          <w:lang w:val="ro-RO" w:eastAsia="ro-RO"/>
        </w:rPr>
        <w:drawing>
          <wp:inline distT="0" distB="0" distL="0" distR="0">
            <wp:extent cx="5381625" cy="14573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27B4" w:rsidRPr="00A27F89" w:rsidRDefault="005727B4" w:rsidP="00171588">
      <w:pPr>
        <w:pStyle w:val="BodyTextIndent2"/>
        <w:widowControl w:val="0"/>
        <w:ind w:left="284" w:hanging="284"/>
        <w:jc w:val="both"/>
        <w:rPr>
          <w:b/>
          <w:bCs/>
          <w:i/>
        </w:rPr>
      </w:pPr>
      <w:r w:rsidRPr="00A27F89">
        <w:rPr>
          <w:b/>
          <w:bCs/>
          <w:i/>
        </w:rPr>
        <w:t>III.3.2. Consumul de produse de protecţia plantelor</w:t>
      </w:r>
    </w:p>
    <w:p w:rsidR="00A21592" w:rsidRPr="00A27F89" w:rsidRDefault="005727B4" w:rsidP="00171588">
      <w:pPr>
        <w:pStyle w:val="BodyTextIndent2"/>
        <w:widowControl w:val="0"/>
        <w:ind w:left="284" w:hanging="284"/>
        <w:jc w:val="both"/>
        <w:rPr>
          <w:bCs/>
          <w:sz w:val="16"/>
          <w:szCs w:val="16"/>
        </w:rPr>
      </w:pPr>
      <w:r w:rsidRPr="00A27F89">
        <w:rPr>
          <w:bCs/>
          <w:sz w:val="16"/>
          <w:szCs w:val="16"/>
        </w:rPr>
        <w:t xml:space="preserve"> </w:t>
      </w:r>
    </w:p>
    <w:p w:rsidR="00B478BF" w:rsidRPr="00A27F89" w:rsidRDefault="000C54FB" w:rsidP="00171588">
      <w:pPr>
        <w:pStyle w:val="Default"/>
        <w:widowControl w:val="0"/>
        <w:ind w:firstLine="708"/>
        <w:jc w:val="both"/>
        <w:rPr>
          <w:color w:val="auto"/>
        </w:rPr>
      </w:pPr>
      <w:r w:rsidRPr="00A27F89">
        <w:rPr>
          <w:bCs/>
          <w:color w:val="auto"/>
        </w:rPr>
        <w:t xml:space="preserve">Pesticidele </w:t>
      </w:r>
      <w:r w:rsidRPr="00A27F89">
        <w:rPr>
          <w:color w:val="auto"/>
        </w:rPr>
        <w:t xml:space="preserve">sunt substanţe chimice folosite în agricultură pentru distrugerea dăunătorilor sau sunt regulatori de creştere. Au conţinuturi diferite de substanţă activă şi impurificatori, în funcţie de procesul tehnologic de obţinere. Acţiunea lor poluantă cuprinde toate mediile: aer, apă, sol, circulaţia lor efectuându-se prin intermediul vieţuitoarelor, apei şi aerului. </w:t>
      </w:r>
    </w:p>
    <w:p w:rsidR="00344F43" w:rsidRPr="00A27F89" w:rsidRDefault="000C54FB" w:rsidP="00171588">
      <w:pPr>
        <w:pStyle w:val="Default"/>
        <w:widowControl w:val="0"/>
        <w:ind w:firstLine="708"/>
        <w:jc w:val="both"/>
        <w:rPr>
          <w:color w:val="auto"/>
        </w:rPr>
      </w:pPr>
      <w:r w:rsidRPr="00A27F89">
        <w:rPr>
          <w:color w:val="auto"/>
        </w:rPr>
        <w:t xml:space="preserve">Din cantitatea aplicată de pesticid, doar o mică parte acţionează, restul pierzându-se în sol, aer sau pe plante. De exemplu la fungicide, acţionează doar 3% din cantitatea împrăştiată, la ierbicide doar 5-40%. </w:t>
      </w:r>
    </w:p>
    <w:p w:rsidR="000C54FB" w:rsidRPr="00A27F89" w:rsidRDefault="000C54FB" w:rsidP="00171588">
      <w:pPr>
        <w:pStyle w:val="Default"/>
        <w:widowControl w:val="0"/>
        <w:ind w:firstLine="708"/>
        <w:jc w:val="both"/>
        <w:rPr>
          <w:color w:val="auto"/>
        </w:rPr>
      </w:pPr>
      <w:r w:rsidRPr="00A27F89">
        <w:rPr>
          <w:color w:val="auto"/>
        </w:rPr>
        <w:t xml:space="preserve">Pesticidele acţionează în sol asupra microorganismelor, prin inhibarea unor enzime, scăderea populaţiei de micromicete (microciuperci parazite), diminuarea capacităţii de reţinere a azotului prin influenţarea microorganismelor nitri- şi denitrificatoare. Toxicitatea lor se exprimă prin doza letală DL50. </w:t>
      </w:r>
      <w:r w:rsidRPr="00A27F89">
        <w:rPr>
          <w:bCs/>
          <w:color w:val="auto"/>
        </w:rPr>
        <w:t xml:space="preserve">Pesticidele </w:t>
      </w:r>
      <w:r w:rsidRPr="00A27F89">
        <w:rPr>
          <w:color w:val="auto"/>
        </w:rPr>
        <w:t>sunt mijloace chimice de protecţie a plantelor şi sunt clasi</w:t>
      </w:r>
      <w:r w:rsidR="001732A2" w:rsidRPr="00A27F89">
        <w:rPr>
          <w:color w:val="auto"/>
        </w:rPr>
        <w:t>ficate în funcţie de organismul</w:t>
      </w:r>
      <w:r w:rsidRPr="00A27F89">
        <w:rPr>
          <w:color w:val="auto"/>
        </w:rPr>
        <w:t xml:space="preserve">-ţintă combătut, ca: erbicide, insecticide, fungicide, acaricide, nematocide, moluscocide, raticide şi cu acţiune mixtă. </w:t>
      </w:r>
    </w:p>
    <w:p w:rsidR="001732A2" w:rsidRPr="00A27F89" w:rsidRDefault="000C54FB" w:rsidP="00171588">
      <w:pPr>
        <w:pStyle w:val="Default"/>
        <w:widowControl w:val="0"/>
        <w:ind w:firstLine="708"/>
        <w:jc w:val="both"/>
        <w:rPr>
          <w:color w:val="auto"/>
        </w:rPr>
      </w:pPr>
      <w:r w:rsidRPr="00A27F89">
        <w:rPr>
          <w:color w:val="auto"/>
        </w:rPr>
        <w:lastRenderedPageBreak/>
        <w:t xml:space="preserve">Produsele utilizate în protecţia plantelor se clasifică în două categorii: produsele din grupa de </w:t>
      </w:r>
      <w:r w:rsidRPr="00A27F89">
        <w:rPr>
          <w:bCs/>
          <w:color w:val="auto"/>
        </w:rPr>
        <w:t xml:space="preserve">toxicitate III şi IV </w:t>
      </w:r>
      <w:r w:rsidRPr="00A27F89">
        <w:rPr>
          <w:color w:val="auto"/>
        </w:rPr>
        <w:t xml:space="preserve">(slab toxice) şi produsele din </w:t>
      </w:r>
      <w:r w:rsidRPr="00A27F89">
        <w:rPr>
          <w:bCs/>
          <w:color w:val="auto"/>
        </w:rPr>
        <w:t xml:space="preserve">grupa I şi II </w:t>
      </w:r>
      <w:r w:rsidRPr="00A27F89">
        <w:rPr>
          <w:color w:val="auto"/>
        </w:rPr>
        <w:t>de toxicitate (înalt toxice şi foarte toxice)</w:t>
      </w:r>
      <w:r w:rsidR="001732A2" w:rsidRPr="00A27F89">
        <w:rPr>
          <w:color w:val="auto"/>
        </w:rPr>
        <w:t xml:space="preserve">, ultimele fiind </w:t>
      </w:r>
      <w:r w:rsidRPr="00A27F89">
        <w:rPr>
          <w:color w:val="auto"/>
        </w:rPr>
        <w:t xml:space="preserve">utilizate numai de către personalul specializat, autorizat de autorităţile competente. </w:t>
      </w:r>
      <w:r w:rsidR="0069062B">
        <w:rPr>
          <w:color w:val="auto"/>
        </w:rPr>
        <w:t>Pentru anul 2017 nu sunt date.</w:t>
      </w:r>
    </w:p>
    <w:p w:rsidR="00220D0B" w:rsidRPr="004D5276" w:rsidRDefault="00220D0B" w:rsidP="00171588">
      <w:pPr>
        <w:pStyle w:val="Default"/>
        <w:widowControl w:val="0"/>
        <w:ind w:firstLine="708"/>
        <w:jc w:val="both"/>
        <w:rPr>
          <w:color w:val="984806" w:themeColor="accent6" w:themeShade="80"/>
          <w:sz w:val="16"/>
          <w:szCs w:val="16"/>
        </w:rPr>
      </w:pPr>
    </w:p>
    <w:p w:rsidR="000C54FB" w:rsidRPr="0069062B" w:rsidRDefault="005B01FF" w:rsidP="00171588">
      <w:pPr>
        <w:widowControl w:val="0"/>
        <w:jc w:val="center"/>
        <w:rPr>
          <w:rFonts w:ascii="Arial" w:hAnsi="Arial" w:cs="Arial"/>
          <w:sz w:val="22"/>
          <w:szCs w:val="22"/>
        </w:rPr>
      </w:pPr>
      <w:r w:rsidRPr="0069062B">
        <w:rPr>
          <w:rFonts w:ascii="Arial" w:hAnsi="Arial" w:cs="Arial"/>
          <w:sz w:val="22"/>
          <w:szCs w:val="22"/>
        </w:rPr>
        <w:t>Tabel III.</w:t>
      </w:r>
      <w:r w:rsidR="00BB473C" w:rsidRPr="0069062B">
        <w:rPr>
          <w:rFonts w:ascii="Arial" w:hAnsi="Arial" w:cs="Arial"/>
          <w:sz w:val="22"/>
          <w:szCs w:val="22"/>
        </w:rPr>
        <w:t>3.2.1</w:t>
      </w:r>
      <w:r w:rsidR="001732A2" w:rsidRPr="0069062B">
        <w:rPr>
          <w:rFonts w:ascii="Arial" w:hAnsi="Arial" w:cs="Arial"/>
          <w:sz w:val="22"/>
          <w:szCs w:val="22"/>
        </w:rPr>
        <w:t>.</w:t>
      </w:r>
      <w:r w:rsidRPr="0069062B">
        <w:rPr>
          <w:rFonts w:ascii="Arial" w:hAnsi="Arial" w:cs="Arial"/>
          <w:sz w:val="22"/>
          <w:szCs w:val="22"/>
        </w:rPr>
        <w:t xml:space="preserve"> </w:t>
      </w:r>
      <w:r w:rsidR="000C54FB" w:rsidRPr="0069062B">
        <w:rPr>
          <w:rFonts w:ascii="Arial" w:hAnsi="Arial" w:cs="Arial"/>
          <w:sz w:val="22"/>
          <w:szCs w:val="22"/>
        </w:rPr>
        <w:t>P</w:t>
      </w:r>
      <w:r w:rsidRPr="0069062B">
        <w:rPr>
          <w:rFonts w:ascii="Arial" w:hAnsi="Arial" w:cs="Arial"/>
          <w:sz w:val="22"/>
          <w:szCs w:val="22"/>
        </w:rPr>
        <w:t>esticide folosite în agricultură în perioada</w:t>
      </w:r>
      <w:r w:rsidR="000C54FB" w:rsidRPr="0069062B">
        <w:rPr>
          <w:rFonts w:ascii="Arial" w:hAnsi="Arial" w:cs="Arial"/>
          <w:sz w:val="22"/>
          <w:szCs w:val="22"/>
        </w:rPr>
        <w:t xml:space="preserve"> </w:t>
      </w:r>
      <w:r w:rsidR="00DF1C88" w:rsidRPr="0069062B">
        <w:rPr>
          <w:rFonts w:ascii="Arial" w:hAnsi="Arial" w:cs="Arial"/>
          <w:sz w:val="22"/>
          <w:szCs w:val="22"/>
        </w:rPr>
        <w:t>201</w:t>
      </w:r>
      <w:r w:rsidR="00182837" w:rsidRPr="0069062B">
        <w:rPr>
          <w:rFonts w:ascii="Arial" w:hAnsi="Arial" w:cs="Arial"/>
          <w:sz w:val="22"/>
          <w:szCs w:val="22"/>
        </w:rPr>
        <w:t>2</w:t>
      </w:r>
      <w:r w:rsidR="00DF1C88" w:rsidRPr="0069062B">
        <w:rPr>
          <w:rFonts w:ascii="Arial" w:hAnsi="Arial" w:cs="Arial"/>
          <w:sz w:val="22"/>
          <w:szCs w:val="22"/>
        </w:rPr>
        <w:t>-201</w:t>
      </w:r>
      <w:r w:rsidR="00182837" w:rsidRPr="0069062B">
        <w:rPr>
          <w:rFonts w:ascii="Arial" w:hAnsi="Arial" w:cs="Arial"/>
          <w:sz w:val="22"/>
          <w:szCs w:val="22"/>
        </w:rPr>
        <w:t>6</w:t>
      </w:r>
      <w:r w:rsidR="00BB473C" w:rsidRPr="0069062B">
        <w:rPr>
          <w:rFonts w:ascii="Arial" w:hAnsi="Arial" w:cs="Arial"/>
          <w:sz w:val="22"/>
          <w:szCs w:val="22"/>
        </w:rPr>
        <w:t xml:space="preserve"> </w:t>
      </w:r>
    </w:p>
    <w:p w:rsidR="00A27F89" w:rsidRPr="0069062B" w:rsidRDefault="00A27F89" w:rsidP="00A27F89">
      <w:pPr>
        <w:widowControl w:val="0"/>
        <w:jc w:val="center"/>
        <w:rPr>
          <w:rFonts w:ascii="Arial" w:hAnsi="Arial" w:cs="Arial"/>
          <w:sz w:val="22"/>
          <w:szCs w:val="22"/>
        </w:rPr>
      </w:pPr>
      <w:r w:rsidRPr="0069062B">
        <w:rPr>
          <w:rFonts w:ascii="Arial" w:hAnsi="Arial" w:cs="Arial"/>
          <w:sz w:val="22"/>
          <w:szCs w:val="22"/>
        </w:rPr>
        <w:t>(</w:t>
      </w:r>
      <w:r w:rsidRPr="0069062B">
        <w:rPr>
          <w:rFonts w:ascii="Arial" w:hAnsi="Arial" w:cs="Arial"/>
          <w:i/>
          <w:sz w:val="22"/>
          <w:szCs w:val="22"/>
        </w:rPr>
        <w:t>sursa: Anuarul Statistic al judeţului Suceava, 2017</w:t>
      </w:r>
      <w:r w:rsidRPr="0069062B">
        <w:rPr>
          <w:rFonts w:ascii="Arial" w:hAnsi="Arial" w:cs="Arial"/>
          <w:sz w:val="22"/>
          <w:szCs w:val="22"/>
        </w:rPr>
        <w:t>)</w:t>
      </w:r>
    </w:p>
    <w:p w:rsidR="00731BAD" w:rsidRPr="0069062B" w:rsidRDefault="00731BAD" w:rsidP="00171588">
      <w:pPr>
        <w:widowControl w:val="0"/>
        <w:jc w:val="center"/>
        <w:rPr>
          <w:rFonts w:ascii="Arial" w:hAnsi="Arial" w:cs="Arial"/>
          <w:sz w:val="10"/>
          <w:szCs w:val="10"/>
        </w:rPr>
      </w:pPr>
    </w:p>
    <w:p w:rsidR="005B01FF" w:rsidRPr="0069062B" w:rsidRDefault="005B01FF" w:rsidP="00171588">
      <w:pPr>
        <w:widowControl w:val="0"/>
        <w:jc w:val="center"/>
        <w:rPr>
          <w:rFonts w:ascii="Arial" w:hAnsi="Arial" w:cs="Arial"/>
          <w:sz w:val="6"/>
          <w:szCs w:val="6"/>
        </w:rPr>
      </w:pPr>
    </w:p>
    <w:tbl>
      <w:tblPr>
        <w:tblStyle w:val="TableGrid"/>
        <w:tblW w:w="0" w:type="auto"/>
        <w:jc w:val="center"/>
        <w:tblLook w:val="04A0"/>
      </w:tblPr>
      <w:tblGrid>
        <w:gridCol w:w="1231"/>
        <w:gridCol w:w="1019"/>
        <w:gridCol w:w="1008"/>
        <w:gridCol w:w="1008"/>
        <w:gridCol w:w="1008"/>
        <w:gridCol w:w="1008"/>
        <w:gridCol w:w="1008"/>
      </w:tblGrid>
      <w:tr w:rsidR="00182837" w:rsidRPr="0069062B" w:rsidTr="00F40970">
        <w:trPr>
          <w:jc w:val="center"/>
        </w:trPr>
        <w:tc>
          <w:tcPr>
            <w:tcW w:w="1231" w:type="dxa"/>
            <w:tcBorders>
              <w:bottom w:val="single" w:sz="4" w:space="0" w:color="auto"/>
            </w:tcBorders>
            <w:shd w:val="clear" w:color="auto" w:fill="FFFF99"/>
            <w:vAlign w:val="center"/>
          </w:tcPr>
          <w:p w:rsidR="00182837" w:rsidRPr="0069062B" w:rsidRDefault="00182837" w:rsidP="00171588">
            <w:pPr>
              <w:widowControl w:val="0"/>
              <w:spacing w:before="40" w:after="40"/>
              <w:jc w:val="center"/>
              <w:rPr>
                <w:rFonts w:ascii="Arial" w:hAnsi="Arial" w:cs="Arial"/>
                <w:b/>
                <w:sz w:val="22"/>
                <w:szCs w:val="22"/>
              </w:rPr>
            </w:pPr>
            <w:r w:rsidRPr="0069062B">
              <w:rPr>
                <w:rFonts w:ascii="Arial" w:hAnsi="Arial" w:cs="Arial"/>
                <w:b/>
                <w:sz w:val="22"/>
                <w:szCs w:val="22"/>
              </w:rPr>
              <w:t xml:space="preserve">Tip </w:t>
            </w:r>
          </w:p>
        </w:tc>
        <w:tc>
          <w:tcPr>
            <w:tcW w:w="1019" w:type="dxa"/>
            <w:shd w:val="clear" w:color="auto" w:fill="FFFF99"/>
            <w:vAlign w:val="center"/>
          </w:tcPr>
          <w:p w:rsidR="00182837" w:rsidRPr="0069062B" w:rsidRDefault="00182837" w:rsidP="00171588">
            <w:pPr>
              <w:widowControl w:val="0"/>
              <w:spacing w:before="40" w:after="40"/>
              <w:jc w:val="center"/>
              <w:rPr>
                <w:rFonts w:ascii="Arial" w:hAnsi="Arial" w:cs="Arial"/>
                <w:b/>
                <w:sz w:val="22"/>
                <w:szCs w:val="22"/>
              </w:rPr>
            </w:pPr>
            <w:r w:rsidRPr="0069062B">
              <w:rPr>
                <w:rFonts w:ascii="Arial" w:hAnsi="Arial" w:cs="Arial"/>
                <w:b/>
                <w:sz w:val="22"/>
                <w:szCs w:val="22"/>
              </w:rPr>
              <w:t>U.M</w:t>
            </w:r>
          </w:p>
        </w:tc>
        <w:tc>
          <w:tcPr>
            <w:tcW w:w="1008" w:type="dxa"/>
            <w:shd w:val="clear" w:color="auto" w:fill="FFFF99"/>
            <w:vAlign w:val="center"/>
          </w:tcPr>
          <w:p w:rsidR="00182837" w:rsidRPr="0069062B" w:rsidRDefault="00182837" w:rsidP="00100889">
            <w:pPr>
              <w:widowControl w:val="0"/>
              <w:spacing w:before="40" w:after="40"/>
              <w:jc w:val="center"/>
              <w:rPr>
                <w:rFonts w:ascii="Arial" w:hAnsi="Arial" w:cs="Arial"/>
                <w:b/>
                <w:sz w:val="22"/>
                <w:szCs w:val="22"/>
              </w:rPr>
            </w:pPr>
            <w:r w:rsidRPr="0069062B">
              <w:rPr>
                <w:rFonts w:ascii="Arial" w:hAnsi="Arial" w:cs="Arial"/>
                <w:b/>
                <w:sz w:val="22"/>
                <w:szCs w:val="22"/>
              </w:rPr>
              <w:t>2012</w:t>
            </w:r>
          </w:p>
        </w:tc>
        <w:tc>
          <w:tcPr>
            <w:tcW w:w="1008" w:type="dxa"/>
            <w:shd w:val="clear" w:color="auto" w:fill="FFFF99"/>
            <w:vAlign w:val="center"/>
          </w:tcPr>
          <w:p w:rsidR="00182837" w:rsidRPr="0069062B" w:rsidRDefault="00182837" w:rsidP="00100889">
            <w:pPr>
              <w:widowControl w:val="0"/>
              <w:spacing w:before="40" w:after="40"/>
              <w:jc w:val="center"/>
              <w:rPr>
                <w:rFonts w:ascii="Arial" w:hAnsi="Arial" w:cs="Arial"/>
                <w:b/>
                <w:sz w:val="22"/>
                <w:szCs w:val="22"/>
              </w:rPr>
            </w:pPr>
            <w:r w:rsidRPr="0069062B">
              <w:rPr>
                <w:rFonts w:ascii="Arial" w:hAnsi="Arial" w:cs="Arial"/>
                <w:b/>
                <w:sz w:val="22"/>
                <w:szCs w:val="22"/>
              </w:rPr>
              <w:t>2013</w:t>
            </w:r>
          </w:p>
        </w:tc>
        <w:tc>
          <w:tcPr>
            <w:tcW w:w="1008" w:type="dxa"/>
            <w:shd w:val="clear" w:color="auto" w:fill="FFFF99"/>
            <w:vAlign w:val="center"/>
          </w:tcPr>
          <w:p w:rsidR="00182837" w:rsidRPr="0069062B" w:rsidRDefault="00182837" w:rsidP="00100889">
            <w:pPr>
              <w:widowControl w:val="0"/>
              <w:spacing w:before="40" w:after="40"/>
              <w:jc w:val="center"/>
              <w:rPr>
                <w:rFonts w:ascii="Arial" w:hAnsi="Arial" w:cs="Arial"/>
                <w:b/>
                <w:sz w:val="22"/>
                <w:szCs w:val="22"/>
              </w:rPr>
            </w:pPr>
            <w:r w:rsidRPr="0069062B">
              <w:rPr>
                <w:rFonts w:ascii="Arial" w:hAnsi="Arial" w:cs="Arial"/>
                <w:b/>
                <w:sz w:val="22"/>
                <w:szCs w:val="22"/>
              </w:rPr>
              <w:t>2014</w:t>
            </w:r>
          </w:p>
        </w:tc>
        <w:tc>
          <w:tcPr>
            <w:tcW w:w="1008" w:type="dxa"/>
            <w:shd w:val="clear" w:color="auto" w:fill="FFFF99"/>
            <w:vAlign w:val="center"/>
          </w:tcPr>
          <w:p w:rsidR="00182837" w:rsidRPr="0069062B" w:rsidRDefault="00182837" w:rsidP="00100889">
            <w:pPr>
              <w:widowControl w:val="0"/>
              <w:spacing w:before="40" w:after="40"/>
              <w:jc w:val="center"/>
              <w:rPr>
                <w:rFonts w:ascii="Arial" w:hAnsi="Arial" w:cs="Arial"/>
                <w:b/>
                <w:sz w:val="22"/>
                <w:szCs w:val="22"/>
              </w:rPr>
            </w:pPr>
            <w:r w:rsidRPr="0069062B">
              <w:rPr>
                <w:rFonts w:ascii="Arial" w:hAnsi="Arial" w:cs="Arial"/>
                <w:b/>
                <w:sz w:val="22"/>
                <w:szCs w:val="22"/>
              </w:rPr>
              <w:t>2015</w:t>
            </w:r>
          </w:p>
        </w:tc>
        <w:tc>
          <w:tcPr>
            <w:tcW w:w="1008" w:type="dxa"/>
            <w:shd w:val="clear" w:color="auto" w:fill="FFFF99"/>
            <w:vAlign w:val="center"/>
          </w:tcPr>
          <w:p w:rsidR="00182837" w:rsidRPr="0069062B" w:rsidRDefault="00182837" w:rsidP="00171588">
            <w:pPr>
              <w:widowControl w:val="0"/>
              <w:spacing w:before="40" w:after="40"/>
              <w:jc w:val="center"/>
              <w:rPr>
                <w:rFonts w:ascii="Arial" w:hAnsi="Arial" w:cs="Arial"/>
                <w:b/>
                <w:sz w:val="22"/>
                <w:szCs w:val="22"/>
              </w:rPr>
            </w:pPr>
            <w:r w:rsidRPr="0069062B">
              <w:rPr>
                <w:rFonts w:ascii="Arial" w:hAnsi="Arial" w:cs="Arial"/>
                <w:b/>
                <w:sz w:val="22"/>
                <w:szCs w:val="22"/>
              </w:rPr>
              <w:t>2016</w:t>
            </w:r>
          </w:p>
        </w:tc>
      </w:tr>
      <w:tr w:rsidR="00182837" w:rsidRPr="0069062B" w:rsidTr="00F40970">
        <w:trPr>
          <w:jc w:val="center"/>
        </w:trPr>
        <w:tc>
          <w:tcPr>
            <w:tcW w:w="1231" w:type="dxa"/>
            <w:shd w:val="clear" w:color="auto" w:fill="auto"/>
            <w:vAlign w:val="center"/>
          </w:tcPr>
          <w:p w:rsidR="00182837" w:rsidRPr="0069062B" w:rsidRDefault="00182837" w:rsidP="00171588">
            <w:pPr>
              <w:widowControl w:val="0"/>
              <w:spacing w:before="40" w:after="40"/>
              <w:rPr>
                <w:rFonts w:ascii="Arial" w:hAnsi="Arial" w:cs="Arial"/>
                <w:sz w:val="22"/>
                <w:szCs w:val="22"/>
              </w:rPr>
            </w:pPr>
            <w:r w:rsidRPr="0069062B">
              <w:rPr>
                <w:rFonts w:ascii="Arial" w:hAnsi="Arial" w:cs="Arial"/>
                <w:sz w:val="22"/>
                <w:szCs w:val="22"/>
              </w:rPr>
              <w:t>Insecticid</w:t>
            </w:r>
          </w:p>
        </w:tc>
        <w:tc>
          <w:tcPr>
            <w:tcW w:w="1019" w:type="dxa"/>
            <w:vMerge w:val="restart"/>
            <w:vAlign w:val="center"/>
          </w:tcPr>
          <w:p w:rsidR="00182837" w:rsidRPr="0069062B" w:rsidRDefault="00182837" w:rsidP="00F40970">
            <w:pPr>
              <w:widowControl w:val="0"/>
              <w:spacing w:before="40" w:after="40"/>
              <w:jc w:val="center"/>
              <w:rPr>
                <w:rFonts w:ascii="Arial" w:hAnsi="Arial" w:cs="Arial"/>
                <w:sz w:val="22"/>
                <w:szCs w:val="22"/>
              </w:rPr>
            </w:pPr>
            <w:r w:rsidRPr="0069062B">
              <w:rPr>
                <w:rFonts w:ascii="Arial" w:hAnsi="Arial" w:cs="Arial"/>
                <w:sz w:val="22"/>
                <w:szCs w:val="22"/>
              </w:rPr>
              <w:t>kg</w:t>
            </w:r>
          </w:p>
          <w:p w:rsidR="00182837" w:rsidRPr="0069062B" w:rsidRDefault="00182837" w:rsidP="00F40970">
            <w:pPr>
              <w:widowControl w:val="0"/>
              <w:spacing w:before="40" w:after="40"/>
              <w:jc w:val="center"/>
              <w:rPr>
                <w:rFonts w:ascii="Arial" w:hAnsi="Arial" w:cs="Arial"/>
                <w:sz w:val="22"/>
                <w:szCs w:val="22"/>
              </w:rPr>
            </w:pPr>
            <w:r w:rsidRPr="0069062B">
              <w:rPr>
                <w:rFonts w:ascii="Arial" w:hAnsi="Arial" w:cs="Arial"/>
                <w:sz w:val="22"/>
                <w:szCs w:val="22"/>
              </w:rPr>
              <w:t>subst. activă</w:t>
            </w:r>
          </w:p>
        </w:tc>
        <w:tc>
          <w:tcPr>
            <w:tcW w:w="1008" w:type="dxa"/>
            <w:vAlign w:val="center"/>
          </w:tcPr>
          <w:p w:rsidR="00182837" w:rsidRPr="0069062B" w:rsidRDefault="00182837" w:rsidP="00100889">
            <w:pPr>
              <w:widowControl w:val="0"/>
              <w:spacing w:before="40" w:after="40"/>
              <w:jc w:val="right"/>
              <w:rPr>
                <w:rFonts w:ascii="Arial" w:hAnsi="Arial" w:cs="Arial"/>
                <w:sz w:val="22"/>
                <w:szCs w:val="22"/>
              </w:rPr>
            </w:pPr>
            <w:r w:rsidRPr="0069062B">
              <w:rPr>
                <w:rFonts w:ascii="Arial" w:hAnsi="Arial" w:cs="Arial"/>
                <w:sz w:val="22"/>
                <w:szCs w:val="22"/>
              </w:rPr>
              <w:t>12268</w:t>
            </w:r>
          </w:p>
        </w:tc>
        <w:tc>
          <w:tcPr>
            <w:tcW w:w="1008" w:type="dxa"/>
            <w:vAlign w:val="center"/>
          </w:tcPr>
          <w:p w:rsidR="00182837" w:rsidRPr="0069062B" w:rsidRDefault="00182837" w:rsidP="00100889">
            <w:pPr>
              <w:widowControl w:val="0"/>
              <w:spacing w:before="40" w:after="40"/>
              <w:jc w:val="right"/>
              <w:rPr>
                <w:rFonts w:ascii="Arial" w:hAnsi="Arial" w:cs="Arial"/>
                <w:sz w:val="22"/>
                <w:szCs w:val="22"/>
              </w:rPr>
            </w:pPr>
            <w:r w:rsidRPr="0069062B">
              <w:rPr>
                <w:rFonts w:ascii="Arial" w:hAnsi="Arial" w:cs="Arial"/>
                <w:sz w:val="22"/>
                <w:szCs w:val="22"/>
              </w:rPr>
              <w:t>13472</w:t>
            </w:r>
          </w:p>
        </w:tc>
        <w:tc>
          <w:tcPr>
            <w:tcW w:w="1008" w:type="dxa"/>
            <w:vAlign w:val="center"/>
          </w:tcPr>
          <w:p w:rsidR="00182837" w:rsidRPr="0069062B" w:rsidRDefault="00182837" w:rsidP="00100889">
            <w:pPr>
              <w:widowControl w:val="0"/>
              <w:spacing w:before="40" w:after="40"/>
              <w:jc w:val="right"/>
              <w:rPr>
                <w:rFonts w:ascii="Arial" w:hAnsi="Arial" w:cs="Arial"/>
                <w:sz w:val="22"/>
                <w:szCs w:val="22"/>
              </w:rPr>
            </w:pPr>
            <w:r w:rsidRPr="0069062B">
              <w:rPr>
                <w:rFonts w:ascii="Arial" w:hAnsi="Arial" w:cs="Arial"/>
                <w:sz w:val="22"/>
                <w:szCs w:val="22"/>
              </w:rPr>
              <w:t>4251</w:t>
            </w:r>
          </w:p>
        </w:tc>
        <w:tc>
          <w:tcPr>
            <w:tcW w:w="1008" w:type="dxa"/>
            <w:vAlign w:val="center"/>
          </w:tcPr>
          <w:p w:rsidR="00182837" w:rsidRPr="0069062B" w:rsidRDefault="00182837" w:rsidP="00100889">
            <w:pPr>
              <w:widowControl w:val="0"/>
              <w:spacing w:before="40" w:after="40"/>
              <w:jc w:val="right"/>
              <w:rPr>
                <w:rFonts w:ascii="Arial" w:hAnsi="Arial" w:cs="Arial"/>
                <w:sz w:val="22"/>
                <w:szCs w:val="22"/>
              </w:rPr>
            </w:pPr>
            <w:r w:rsidRPr="0069062B">
              <w:rPr>
                <w:rFonts w:ascii="Arial" w:hAnsi="Arial" w:cs="Arial"/>
                <w:sz w:val="22"/>
                <w:szCs w:val="22"/>
              </w:rPr>
              <w:t>370</w:t>
            </w:r>
            <w:r w:rsidR="00AA52A8">
              <w:rPr>
                <w:rFonts w:ascii="Arial" w:hAnsi="Arial" w:cs="Arial"/>
                <w:sz w:val="22"/>
                <w:szCs w:val="22"/>
              </w:rPr>
              <w:t>4</w:t>
            </w:r>
          </w:p>
        </w:tc>
        <w:tc>
          <w:tcPr>
            <w:tcW w:w="1008" w:type="dxa"/>
            <w:vAlign w:val="center"/>
          </w:tcPr>
          <w:p w:rsidR="00182837" w:rsidRPr="0069062B" w:rsidRDefault="00182837" w:rsidP="00171588">
            <w:pPr>
              <w:widowControl w:val="0"/>
              <w:spacing w:before="40" w:after="40"/>
              <w:jc w:val="right"/>
              <w:rPr>
                <w:rFonts w:ascii="Arial" w:hAnsi="Arial" w:cs="Arial"/>
                <w:sz w:val="22"/>
                <w:szCs w:val="22"/>
              </w:rPr>
            </w:pPr>
            <w:r w:rsidRPr="0069062B">
              <w:rPr>
                <w:rFonts w:ascii="Arial" w:hAnsi="Arial" w:cs="Arial"/>
                <w:sz w:val="22"/>
                <w:szCs w:val="22"/>
              </w:rPr>
              <w:t>1830</w:t>
            </w:r>
          </w:p>
        </w:tc>
      </w:tr>
      <w:tr w:rsidR="00182837" w:rsidRPr="0069062B" w:rsidTr="00F40970">
        <w:trPr>
          <w:jc w:val="center"/>
        </w:trPr>
        <w:tc>
          <w:tcPr>
            <w:tcW w:w="1231" w:type="dxa"/>
            <w:shd w:val="clear" w:color="auto" w:fill="auto"/>
            <w:vAlign w:val="center"/>
          </w:tcPr>
          <w:p w:rsidR="00182837" w:rsidRPr="0069062B" w:rsidRDefault="00182837" w:rsidP="00171588">
            <w:pPr>
              <w:widowControl w:val="0"/>
              <w:spacing w:before="40" w:after="40"/>
              <w:rPr>
                <w:rFonts w:ascii="Arial" w:hAnsi="Arial" w:cs="Arial"/>
                <w:sz w:val="22"/>
                <w:szCs w:val="22"/>
              </w:rPr>
            </w:pPr>
            <w:r w:rsidRPr="0069062B">
              <w:rPr>
                <w:rFonts w:ascii="Arial" w:hAnsi="Arial" w:cs="Arial"/>
                <w:sz w:val="22"/>
                <w:szCs w:val="22"/>
              </w:rPr>
              <w:t>Fungicid</w:t>
            </w:r>
          </w:p>
        </w:tc>
        <w:tc>
          <w:tcPr>
            <w:tcW w:w="1019" w:type="dxa"/>
            <w:vMerge/>
            <w:vAlign w:val="center"/>
          </w:tcPr>
          <w:p w:rsidR="00182837" w:rsidRPr="0069062B" w:rsidRDefault="00182837" w:rsidP="00171588">
            <w:pPr>
              <w:widowControl w:val="0"/>
              <w:spacing w:before="40" w:after="40"/>
              <w:rPr>
                <w:rFonts w:ascii="Arial" w:hAnsi="Arial" w:cs="Arial"/>
                <w:sz w:val="22"/>
                <w:szCs w:val="22"/>
              </w:rPr>
            </w:pPr>
          </w:p>
        </w:tc>
        <w:tc>
          <w:tcPr>
            <w:tcW w:w="1008" w:type="dxa"/>
            <w:vAlign w:val="center"/>
          </w:tcPr>
          <w:p w:rsidR="00182837" w:rsidRPr="0069062B" w:rsidRDefault="00182837" w:rsidP="00100889">
            <w:pPr>
              <w:widowControl w:val="0"/>
              <w:spacing w:before="40" w:after="40"/>
              <w:jc w:val="right"/>
              <w:rPr>
                <w:rFonts w:ascii="Arial" w:hAnsi="Arial" w:cs="Arial"/>
                <w:sz w:val="22"/>
                <w:szCs w:val="22"/>
              </w:rPr>
            </w:pPr>
            <w:r w:rsidRPr="0069062B">
              <w:rPr>
                <w:rFonts w:ascii="Arial" w:hAnsi="Arial" w:cs="Arial"/>
                <w:sz w:val="22"/>
                <w:szCs w:val="22"/>
              </w:rPr>
              <w:t>43495</w:t>
            </w:r>
          </w:p>
        </w:tc>
        <w:tc>
          <w:tcPr>
            <w:tcW w:w="1008" w:type="dxa"/>
            <w:vAlign w:val="center"/>
          </w:tcPr>
          <w:p w:rsidR="00182837" w:rsidRPr="0069062B" w:rsidRDefault="00182837" w:rsidP="00100889">
            <w:pPr>
              <w:widowControl w:val="0"/>
              <w:spacing w:before="40" w:after="40"/>
              <w:jc w:val="right"/>
              <w:rPr>
                <w:rFonts w:ascii="Arial" w:hAnsi="Arial" w:cs="Arial"/>
                <w:sz w:val="22"/>
                <w:szCs w:val="22"/>
              </w:rPr>
            </w:pPr>
            <w:r w:rsidRPr="0069062B">
              <w:rPr>
                <w:rFonts w:ascii="Arial" w:hAnsi="Arial" w:cs="Arial"/>
                <w:sz w:val="22"/>
                <w:szCs w:val="22"/>
              </w:rPr>
              <w:t>45370</w:t>
            </w:r>
          </w:p>
        </w:tc>
        <w:tc>
          <w:tcPr>
            <w:tcW w:w="1008" w:type="dxa"/>
            <w:vAlign w:val="center"/>
          </w:tcPr>
          <w:p w:rsidR="00182837" w:rsidRPr="0069062B" w:rsidRDefault="00182837" w:rsidP="00100889">
            <w:pPr>
              <w:widowControl w:val="0"/>
              <w:spacing w:before="40" w:after="40"/>
              <w:jc w:val="right"/>
              <w:rPr>
                <w:rFonts w:ascii="Arial" w:hAnsi="Arial" w:cs="Arial"/>
                <w:sz w:val="22"/>
                <w:szCs w:val="22"/>
              </w:rPr>
            </w:pPr>
            <w:r w:rsidRPr="0069062B">
              <w:rPr>
                <w:rFonts w:ascii="Arial" w:hAnsi="Arial" w:cs="Arial"/>
                <w:sz w:val="22"/>
                <w:szCs w:val="22"/>
              </w:rPr>
              <w:t>46741</w:t>
            </w:r>
          </w:p>
        </w:tc>
        <w:tc>
          <w:tcPr>
            <w:tcW w:w="1008" w:type="dxa"/>
            <w:vAlign w:val="center"/>
          </w:tcPr>
          <w:p w:rsidR="00182837" w:rsidRPr="0069062B" w:rsidRDefault="00182837" w:rsidP="00100889">
            <w:pPr>
              <w:widowControl w:val="0"/>
              <w:spacing w:before="40" w:after="40"/>
              <w:jc w:val="right"/>
              <w:rPr>
                <w:rFonts w:ascii="Arial" w:hAnsi="Arial" w:cs="Arial"/>
                <w:sz w:val="22"/>
                <w:szCs w:val="22"/>
              </w:rPr>
            </w:pPr>
            <w:r w:rsidRPr="0069062B">
              <w:rPr>
                <w:rFonts w:ascii="Arial" w:hAnsi="Arial" w:cs="Arial"/>
                <w:sz w:val="22"/>
                <w:szCs w:val="22"/>
              </w:rPr>
              <w:t>43921</w:t>
            </w:r>
          </w:p>
        </w:tc>
        <w:tc>
          <w:tcPr>
            <w:tcW w:w="1008" w:type="dxa"/>
            <w:vAlign w:val="center"/>
          </w:tcPr>
          <w:p w:rsidR="00182837" w:rsidRPr="0069062B" w:rsidRDefault="00182837" w:rsidP="00171588">
            <w:pPr>
              <w:widowControl w:val="0"/>
              <w:spacing w:before="40" w:after="40"/>
              <w:jc w:val="right"/>
              <w:rPr>
                <w:rFonts w:ascii="Arial" w:hAnsi="Arial" w:cs="Arial"/>
                <w:sz w:val="22"/>
                <w:szCs w:val="22"/>
              </w:rPr>
            </w:pPr>
            <w:r w:rsidRPr="0069062B">
              <w:rPr>
                <w:rFonts w:ascii="Arial" w:hAnsi="Arial" w:cs="Arial"/>
                <w:sz w:val="22"/>
                <w:szCs w:val="22"/>
              </w:rPr>
              <w:t>22500</w:t>
            </w:r>
          </w:p>
        </w:tc>
      </w:tr>
      <w:tr w:rsidR="00182837" w:rsidRPr="0069062B" w:rsidTr="00F40970">
        <w:trPr>
          <w:jc w:val="center"/>
        </w:trPr>
        <w:tc>
          <w:tcPr>
            <w:tcW w:w="1231" w:type="dxa"/>
            <w:shd w:val="clear" w:color="auto" w:fill="auto"/>
            <w:vAlign w:val="center"/>
          </w:tcPr>
          <w:p w:rsidR="00182837" w:rsidRPr="0069062B" w:rsidRDefault="00182837" w:rsidP="00171588">
            <w:pPr>
              <w:widowControl w:val="0"/>
              <w:spacing w:before="40" w:after="40"/>
              <w:rPr>
                <w:rFonts w:ascii="Arial" w:hAnsi="Arial" w:cs="Arial"/>
                <w:sz w:val="22"/>
                <w:szCs w:val="22"/>
              </w:rPr>
            </w:pPr>
            <w:r w:rsidRPr="0069062B">
              <w:rPr>
                <w:rFonts w:ascii="Arial" w:hAnsi="Arial" w:cs="Arial"/>
                <w:sz w:val="22"/>
                <w:szCs w:val="22"/>
              </w:rPr>
              <w:t>Erbicid</w:t>
            </w:r>
          </w:p>
        </w:tc>
        <w:tc>
          <w:tcPr>
            <w:tcW w:w="1019" w:type="dxa"/>
            <w:vMerge/>
            <w:vAlign w:val="center"/>
          </w:tcPr>
          <w:p w:rsidR="00182837" w:rsidRPr="0069062B" w:rsidRDefault="00182837" w:rsidP="00171588">
            <w:pPr>
              <w:widowControl w:val="0"/>
              <w:spacing w:before="40" w:after="40"/>
              <w:rPr>
                <w:rFonts w:ascii="Arial" w:hAnsi="Arial" w:cs="Arial"/>
                <w:sz w:val="22"/>
                <w:szCs w:val="22"/>
              </w:rPr>
            </w:pPr>
          </w:p>
        </w:tc>
        <w:tc>
          <w:tcPr>
            <w:tcW w:w="1008" w:type="dxa"/>
            <w:vAlign w:val="center"/>
          </w:tcPr>
          <w:p w:rsidR="00182837" w:rsidRPr="0069062B" w:rsidRDefault="00182837" w:rsidP="00100889">
            <w:pPr>
              <w:widowControl w:val="0"/>
              <w:spacing w:before="40" w:after="40"/>
              <w:jc w:val="right"/>
              <w:rPr>
                <w:rFonts w:ascii="Arial" w:hAnsi="Arial" w:cs="Arial"/>
                <w:sz w:val="22"/>
                <w:szCs w:val="22"/>
              </w:rPr>
            </w:pPr>
            <w:r w:rsidRPr="0069062B">
              <w:rPr>
                <w:rFonts w:ascii="Arial" w:hAnsi="Arial" w:cs="Arial"/>
                <w:sz w:val="22"/>
                <w:szCs w:val="22"/>
              </w:rPr>
              <w:t>38487</w:t>
            </w:r>
          </w:p>
        </w:tc>
        <w:tc>
          <w:tcPr>
            <w:tcW w:w="1008" w:type="dxa"/>
            <w:vAlign w:val="center"/>
          </w:tcPr>
          <w:p w:rsidR="00182837" w:rsidRPr="0069062B" w:rsidRDefault="00182837" w:rsidP="00100889">
            <w:pPr>
              <w:widowControl w:val="0"/>
              <w:spacing w:before="40" w:after="40"/>
              <w:jc w:val="right"/>
              <w:rPr>
                <w:rFonts w:ascii="Arial" w:hAnsi="Arial" w:cs="Arial"/>
                <w:sz w:val="22"/>
                <w:szCs w:val="22"/>
              </w:rPr>
            </w:pPr>
            <w:r w:rsidRPr="0069062B">
              <w:rPr>
                <w:rFonts w:ascii="Arial" w:hAnsi="Arial" w:cs="Arial"/>
                <w:sz w:val="22"/>
                <w:szCs w:val="22"/>
              </w:rPr>
              <w:t>40683</w:t>
            </w:r>
          </w:p>
        </w:tc>
        <w:tc>
          <w:tcPr>
            <w:tcW w:w="1008" w:type="dxa"/>
            <w:vAlign w:val="center"/>
          </w:tcPr>
          <w:p w:rsidR="00182837" w:rsidRPr="0069062B" w:rsidRDefault="00182837" w:rsidP="00100889">
            <w:pPr>
              <w:widowControl w:val="0"/>
              <w:spacing w:before="40" w:after="40"/>
              <w:jc w:val="right"/>
              <w:rPr>
                <w:rFonts w:ascii="Arial" w:hAnsi="Arial" w:cs="Arial"/>
                <w:sz w:val="22"/>
                <w:szCs w:val="22"/>
              </w:rPr>
            </w:pPr>
            <w:r w:rsidRPr="0069062B">
              <w:rPr>
                <w:rFonts w:ascii="Arial" w:hAnsi="Arial" w:cs="Arial"/>
                <w:sz w:val="22"/>
                <w:szCs w:val="22"/>
              </w:rPr>
              <w:t>34509</w:t>
            </w:r>
          </w:p>
        </w:tc>
        <w:tc>
          <w:tcPr>
            <w:tcW w:w="1008" w:type="dxa"/>
            <w:vAlign w:val="center"/>
          </w:tcPr>
          <w:p w:rsidR="00182837" w:rsidRPr="0069062B" w:rsidRDefault="00182837" w:rsidP="00100889">
            <w:pPr>
              <w:widowControl w:val="0"/>
              <w:spacing w:before="40" w:after="40"/>
              <w:jc w:val="right"/>
              <w:rPr>
                <w:rFonts w:ascii="Arial" w:hAnsi="Arial" w:cs="Arial"/>
                <w:sz w:val="22"/>
                <w:szCs w:val="22"/>
              </w:rPr>
            </w:pPr>
            <w:r w:rsidRPr="0069062B">
              <w:rPr>
                <w:rFonts w:ascii="Arial" w:hAnsi="Arial" w:cs="Arial"/>
                <w:sz w:val="22"/>
                <w:szCs w:val="22"/>
              </w:rPr>
              <w:t>43374</w:t>
            </w:r>
          </w:p>
        </w:tc>
        <w:tc>
          <w:tcPr>
            <w:tcW w:w="1008" w:type="dxa"/>
            <w:vAlign w:val="center"/>
          </w:tcPr>
          <w:p w:rsidR="00182837" w:rsidRPr="0069062B" w:rsidRDefault="00182837" w:rsidP="00171588">
            <w:pPr>
              <w:widowControl w:val="0"/>
              <w:spacing w:before="40" w:after="40"/>
              <w:jc w:val="right"/>
              <w:rPr>
                <w:rFonts w:ascii="Arial" w:hAnsi="Arial" w:cs="Arial"/>
                <w:sz w:val="22"/>
                <w:szCs w:val="22"/>
              </w:rPr>
            </w:pPr>
            <w:r w:rsidRPr="00582349">
              <w:rPr>
                <w:rFonts w:ascii="Arial" w:hAnsi="Arial" w:cs="Arial"/>
                <w:sz w:val="22"/>
                <w:szCs w:val="22"/>
              </w:rPr>
              <w:t>10687</w:t>
            </w:r>
          </w:p>
        </w:tc>
      </w:tr>
    </w:tbl>
    <w:p w:rsidR="000C54FB" w:rsidRPr="0069062B" w:rsidRDefault="000C54FB" w:rsidP="00171588">
      <w:pPr>
        <w:widowControl w:val="0"/>
        <w:rPr>
          <w:rFonts w:ascii="Arial" w:hAnsi="Arial" w:cs="Arial"/>
          <w:b/>
          <w:sz w:val="16"/>
          <w:szCs w:val="16"/>
        </w:rPr>
      </w:pPr>
    </w:p>
    <w:p w:rsidR="000C54FB" w:rsidRPr="0069062B" w:rsidRDefault="00A95554" w:rsidP="00171588">
      <w:pPr>
        <w:widowControl w:val="0"/>
        <w:jc w:val="center"/>
        <w:rPr>
          <w:rFonts w:ascii="Arial" w:hAnsi="Arial" w:cs="Arial"/>
          <w:sz w:val="22"/>
          <w:szCs w:val="22"/>
        </w:rPr>
      </w:pPr>
      <w:r w:rsidRPr="0069062B">
        <w:rPr>
          <w:rFonts w:ascii="Arial" w:hAnsi="Arial" w:cs="Arial"/>
          <w:sz w:val="22"/>
          <w:szCs w:val="22"/>
        </w:rPr>
        <w:t>Fig.</w:t>
      </w:r>
      <w:r w:rsidR="000C54FB" w:rsidRPr="0069062B">
        <w:rPr>
          <w:rFonts w:ascii="Arial" w:hAnsi="Arial" w:cs="Arial"/>
          <w:sz w:val="22"/>
          <w:szCs w:val="22"/>
        </w:rPr>
        <w:t xml:space="preserve"> </w:t>
      </w:r>
      <w:r w:rsidR="00BB473C" w:rsidRPr="0069062B">
        <w:rPr>
          <w:rFonts w:ascii="Arial" w:hAnsi="Arial" w:cs="Arial"/>
          <w:sz w:val="22"/>
          <w:szCs w:val="22"/>
        </w:rPr>
        <w:t xml:space="preserve">III.3.2.1 </w:t>
      </w:r>
      <w:r w:rsidR="000C54FB" w:rsidRPr="0069062B">
        <w:rPr>
          <w:rFonts w:ascii="Arial" w:hAnsi="Arial" w:cs="Arial"/>
          <w:sz w:val="22"/>
          <w:szCs w:val="22"/>
        </w:rPr>
        <w:t xml:space="preserve">Evoluţia cantităţilor de pesticide folosite în agricultură în perioada </w:t>
      </w:r>
      <w:r w:rsidR="00612E48" w:rsidRPr="0069062B">
        <w:rPr>
          <w:rFonts w:ascii="Arial" w:hAnsi="Arial" w:cs="Arial"/>
          <w:sz w:val="22"/>
          <w:szCs w:val="22"/>
        </w:rPr>
        <w:t>201</w:t>
      </w:r>
      <w:r w:rsidR="00182837" w:rsidRPr="0069062B">
        <w:rPr>
          <w:rFonts w:ascii="Arial" w:hAnsi="Arial" w:cs="Arial"/>
          <w:sz w:val="22"/>
          <w:szCs w:val="22"/>
        </w:rPr>
        <w:t>2</w:t>
      </w:r>
      <w:r w:rsidR="00612E48" w:rsidRPr="0069062B">
        <w:rPr>
          <w:rFonts w:ascii="Arial" w:hAnsi="Arial" w:cs="Arial"/>
          <w:sz w:val="22"/>
          <w:szCs w:val="22"/>
        </w:rPr>
        <w:t>-201</w:t>
      </w:r>
      <w:r w:rsidR="00182837" w:rsidRPr="0069062B">
        <w:rPr>
          <w:rFonts w:ascii="Arial" w:hAnsi="Arial" w:cs="Arial"/>
          <w:sz w:val="22"/>
          <w:szCs w:val="22"/>
        </w:rPr>
        <w:t>6</w:t>
      </w:r>
    </w:p>
    <w:p w:rsidR="00A27F89" w:rsidRPr="0069062B" w:rsidRDefault="00A27F89" w:rsidP="00A27F89">
      <w:pPr>
        <w:widowControl w:val="0"/>
        <w:jc w:val="center"/>
        <w:rPr>
          <w:rFonts w:ascii="Arial" w:hAnsi="Arial" w:cs="Arial"/>
          <w:sz w:val="22"/>
          <w:szCs w:val="22"/>
        </w:rPr>
      </w:pPr>
      <w:r w:rsidRPr="0069062B">
        <w:rPr>
          <w:rFonts w:ascii="Arial" w:hAnsi="Arial" w:cs="Arial"/>
          <w:sz w:val="22"/>
          <w:szCs w:val="22"/>
        </w:rPr>
        <w:t>(</w:t>
      </w:r>
      <w:r w:rsidRPr="0069062B">
        <w:rPr>
          <w:rFonts w:ascii="Arial" w:hAnsi="Arial" w:cs="Arial"/>
          <w:i/>
          <w:sz w:val="22"/>
          <w:szCs w:val="22"/>
        </w:rPr>
        <w:t>sursa: Anuarul Statistic al judeţului Suceava, 2017</w:t>
      </w:r>
      <w:r w:rsidRPr="0069062B">
        <w:rPr>
          <w:rFonts w:ascii="Arial" w:hAnsi="Arial" w:cs="Arial"/>
          <w:sz w:val="22"/>
          <w:szCs w:val="22"/>
        </w:rPr>
        <w:t>)</w:t>
      </w:r>
    </w:p>
    <w:p w:rsidR="00731BAD" w:rsidRPr="0069062B" w:rsidRDefault="00731BAD" w:rsidP="00171588">
      <w:pPr>
        <w:widowControl w:val="0"/>
        <w:jc w:val="center"/>
        <w:rPr>
          <w:rFonts w:ascii="Arial" w:hAnsi="Arial" w:cs="Arial"/>
          <w:sz w:val="10"/>
          <w:szCs w:val="10"/>
        </w:rPr>
      </w:pPr>
    </w:p>
    <w:p w:rsidR="00B478BF" w:rsidRPr="0069062B" w:rsidRDefault="00B478BF" w:rsidP="00171588">
      <w:pPr>
        <w:widowControl w:val="0"/>
        <w:jc w:val="center"/>
        <w:rPr>
          <w:rFonts w:ascii="Arial" w:hAnsi="Arial" w:cs="Arial"/>
          <w:sz w:val="6"/>
          <w:szCs w:val="6"/>
        </w:rPr>
      </w:pPr>
    </w:p>
    <w:p w:rsidR="00324BE8" w:rsidRPr="004D5276" w:rsidRDefault="00324BE8" w:rsidP="00171588">
      <w:pPr>
        <w:pStyle w:val="Default"/>
        <w:widowControl w:val="0"/>
        <w:spacing w:after="120"/>
        <w:jc w:val="center"/>
        <w:rPr>
          <w:color w:val="984806" w:themeColor="accent6" w:themeShade="80"/>
        </w:rPr>
      </w:pPr>
      <w:r w:rsidRPr="004D5276">
        <w:rPr>
          <w:noProof/>
          <w:color w:val="984806" w:themeColor="accent6" w:themeShade="80"/>
          <w:lang w:eastAsia="ro-RO"/>
        </w:rPr>
        <w:drawing>
          <wp:inline distT="0" distB="0" distL="0" distR="0">
            <wp:extent cx="5486400" cy="1371600"/>
            <wp:effectExtent l="0" t="0" r="0" b="0"/>
            <wp:docPr id="2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1BAD" w:rsidRPr="004D5276" w:rsidRDefault="00731BAD" w:rsidP="00171588">
      <w:pPr>
        <w:pStyle w:val="BodyTextIndent2"/>
        <w:widowControl w:val="0"/>
        <w:ind w:left="284" w:hanging="284"/>
        <w:jc w:val="both"/>
        <w:rPr>
          <w:b/>
          <w:bCs/>
          <w:i/>
          <w:color w:val="984806" w:themeColor="accent6" w:themeShade="80"/>
          <w:sz w:val="10"/>
          <w:szCs w:val="10"/>
        </w:rPr>
      </w:pPr>
    </w:p>
    <w:p w:rsidR="005727B4" w:rsidRPr="0043318B" w:rsidRDefault="005727B4" w:rsidP="00171588">
      <w:pPr>
        <w:pStyle w:val="BodyTextIndent2"/>
        <w:widowControl w:val="0"/>
        <w:ind w:left="284" w:hanging="284"/>
        <w:jc w:val="both"/>
        <w:rPr>
          <w:b/>
          <w:bCs/>
          <w:i/>
        </w:rPr>
      </w:pPr>
      <w:r w:rsidRPr="0043318B">
        <w:rPr>
          <w:b/>
          <w:bCs/>
          <w:i/>
        </w:rPr>
        <w:t>III.3.3. Evoluţia suprafeţelor de îmbunătăţiri funciare</w:t>
      </w:r>
    </w:p>
    <w:p w:rsidR="008B4BC7" w:rsidRPr="0043318B" w:rsidRDefault="008B4BC7" w:rsidP="00171588">
      <w:pPr>
        <w:pStyle w:val="BodyTextIndent2"/>
        <w:widowControl w:val="0"/>
        <w:ind w:left="284" w:hanging="284"/>
        <w:jc w:val="both"/>
        <w:rPr>
          <w:b/>
          <w:bCs/>
          <w:sz w:val="16"/>
          <w:szCs w:val="16"/>
        </w:rPr>
      </w:pPr>
    </w:p>
    <w:p w:rsidR="00AB45A3" w:rsidRPr="0043318B" w:rsidRDefault="00AB45A3" w:rsidP="00171588">
      <w:pPr>
        <w:widowControl w:val="0"/>
        <w:autoSpaceDE w:val="0"/>
        <w:autoSpaceDN w:val="0"/>
        <w:adjustRightInd w:val="0"/>
        <w:ind w:firstLine="708"/>
        <w:jc w:val="both"/>
        <w:rPr>
          <w:rFonts w:ascii="Arial" w:eastAsiaTheme="minorHAnsi" w:hAnsi="Arial" w:cs="Arial"/>
          <w:lang w:val="ro-RO"/>
        </w:rPr>
      </w:pPr>
      <w:r w:rsidRPr="0043318B">
        <w:rPr>
          <w:rFonts w:ascii="Arial" w:eastAsiaTheme="minorHAnsi" w:hAnsi="Arial" w:cs="Arial"/>
          <w:lang w:val="ro-RO"/>
        </w:rPr>
        <w:t>Începând cu anul 1991, odată cu aplicarea Legii nr. 18 privind constituirea şi reconstituirea dreptului de proprietate, a avut loc punerea în posesie şi pe suprafeţele de teren din incintele amenajărilor de îmbunătăţiri funciare, beneficiarii legii considerând că dreptul de proprietate asupra terenurilor, le conferă orice drept şi asupra lucrărilor de desecare-drenaj. Ca urmare, imediat după anul 1991 a</w:t>
      </w:r>
      <w:r w:rsidR="003A0839" w:rsidRPr="0043318B">
        <w:rPr>
          <w:rFonts w:ascii="Arial" w:eastAsiaTheme="minorHAnsi" w:hAnsi="Arial" w:cs="Arial"/>
          <w:lang w:val="ro-RO"/>
        </w:rPr>
        <w:t>u</w:t>
      </w:r>
      <w:r w:rsidRPr="0043318B">
        <w:rPr>
          <w:rFonts w:ascii="Arial" w:eastAsiaTheme="minorHAnsi" w:hAnsi="Arial" w:cs="Arial"/>
          <w:lang w:val="ro-RO"/>
        </w:rPr>
        <w:t xml:space="preserve"> avut loc o serie de descompletări a reţelei de desecare-</w:t>
      </w:r>
      <w:r w:rsidRPr="00523F0D">
        <w:rPr>
          <w:rFonts w:ascii="Arial" w:eastAsiaTheme="minorHAnsi" w:hAnsi="Arial" w:cs="Arial"/>
          <w:lang w:val="ro-RO"/>
        </w:rPr>
        <w:t xml:space="preserve">drenaj, prin sustragerea dalelor de la consolidările taluzurilor, din </w:t>
      </w:r>
      <w:r w:rsidR="009B3023" w:rsidRPr="00523F0D">
        <w:rPr>
          <w:rFonts w:ascii="Arial" w:eastAsiaTheme="minorHAnsi" w:hAnsi="Arial" w:cs="Arial"/>
          <w:lang w:val="ro-RO"/>
        </w:rPr>
        <w:t>preajma podete</w:t>
      </w:r>
      <w:r w:rsidRPr="00523F0D">
        <w:rPr>
          <w:rFonts w:ascii="Arial" w:eastAsiaTheme="minorHAnsi" w:hAnsi="Arial" w:cs="Arial"/>
          <w:lang w:val="ro-RO"/>
        </w:rPr>
        <w:t>lor, de la racordarea biefurilor,</w:t>
      </w:r>
      <w:r w:rsidRPr="0043318B">
        <w:rPr>
          <w:rFonts w:ascii="Arial" w:eastAsiaTheme="minorHAnsi" w:hAnsi="Arial" w:cs="Arial"/>
          <w:lang w:val="ro-RO"/>
        </w:rPr>
        <w:t xml:space="preserve"> confluenţa canalelor şi de la secţiunile de control şi măsurare a debitelor. De asemenea, au fost sustrase tuburile de beton ale unor podeţe</w:t>
      </w:r>
      <w:r w:rsidR="00F721E0" w:rsidRPr="0043318B">
        <w:rPr>
          <w:rFonts w:ascii="Arial" w:eastAsiaTheme="minorHAnsi" w:hAnsi="Arial" w:cs="Arial"/>
          <w:lang w:val="ro-RO"/>
        </w:rPr>
        <w:t xml:space="preserve"> şi cămine de vizită, precum şi </w:t>
      </w:r>
      <w:r w:rsidRPr="0043318B">
        <w:rPr>
          <w:rFonts w:ascii="Arial" w:eastAsiaTheme="minorHAnsi" w:hAnsi="Arial" w:cs="Arial"/>
          <w:lang w:val="ro-RO"/>
        </w:rPr>
        <w:t xml:space="preserve"> tuburile de capăt ale unor drenuri colectoare</w:t>
      </w:r>
      <w:r w:rsidRPr="0043318B">
        <w:rPr>
          <w:rStyle w:val="FootnoteReference"/>
          <w:rFonts w:ascii="Arial" w:eastAsiaTheme="minorHAnsi" w:hAnsi="Arial" w:cs="Arial"/>
          <w:lang w:val="ro-RO"/>
        </w:rPr>
        <w:footnoteReference w:id="4"/>
      </w:r>
      <w:r w:rsidRPr="0043318B">
        <w:rPr>
          <w:rFonts w:ascii="Arial" w:eastAsiaTheme="minorHAnsi" w:hAnsi="Arial" w:cs="Arial"/>
          <w:lang w:val="ro-RO"/>
        </w:rPr>
        <w:t>.</w:t>
      </w:r>
    </w:p>
    <w:p w:rsidR="005514FA" w:rsidRPr="004D5276" w:rsidRDefault="00125E1D" w:rsidP="00171588">
      <w:pPr>
        <w:pStyle w:val="BodyTextIndent2"/>
        <w:widowControl w:val="0"/>
        <w:ind w:firstLine="0"/>
        <w:jc w:val="both"/>
        <w:rPr>
          <w:bCs/>
          <w:color w:val="984806" w:themeColor="accent6" w:themeShade="80"/>
          <w:sz w:val="16"/>
          <w:szCs w:val="16"/>
        </w:rPr>
      </w:pPr>
      <w:r w:rsidRPr="004D5276">
        <w:rPr>
          <w:bCs/>
          <w:color w:val="984806" w:themeColor="accent6" w:themeShade="80"/>
          <w:sz w:val="10"/>
          <w:szCs w:val="10"/>
        </w:rPr>
        <w:tab/>
      </w:r>
    </w:p>
    <w:p w:rsidR="005514FA" w:rsidRPr="009C6F8A" w:rsidRDefault="00125E1D" w:rsidP="00171588">
      <w:pPr>
        <w:pStyle w:val="BodyTextIndent2"/>
        <w:widowControl w:val="0"/>
        <w:ind w:firstLine="0"/>
        <w:jc w:val="center"/>
        <w:rPr>
          <w:bCs/>
          <w:sz w:val="22"/>
          <w:szCs w:val="22"/>
        </w:rPr>
      </w:pPr>
      <w:r w:rsidRPr="009C6F8A">
        <w:rPr>
          <w:bCs/>
          <w:sz w:val="22"/>
          <w:szCs w:val="22"/>
        </w:rPr>
        <w:t>Tabel III.</w:t>
      </w:r>
      <w:r w:rsidR="00C77E11" w:rsidRPr="009C6F8A">
        <w:rPr>
          <w:bCs/>
          <w:sz w:val="22"/>
          <w:szCs w:val="22"/>
        </w:rPr>
        <w:t>3.3</w:t>
      </w:r>
      <w:r w:rsidRPr="009C6F8A">
        <w:rPr>
          <w:bCs/>
          <w:sz w:val="22"/>
          <w:szCs w:val="22"/>
        </w:rPr>
        <w:t>.</w:t>
      </w:r>
      <w:r w:rsidR="00C77E11" w:rsidRPr="009C6F8A">
        <w:rPr>
          <w:bCs/>
          <w:sz w:val="22"/>
          <w:szCs w:val="22"/>
        </w:rPr>
        <w:t>1</w:t>
      </w:r>
      <w:r w:rsidR="005514FA" w:rsidRPr="009C6F8A">
        <w:rPr>
          <w:bCs/>
          <w:sz w:val="22"/>
          <w:szCs w:val="22"/>
        </w:rPr>
        <w:t>.</w:t>
      </w:r>
      <w:r w:rsidRPr="009C6F8A">
        <w:rPr>
          <w:bCs/>
          <w:sz w:val="22"/>
          <w:szCs w:val="22"/>
        </w:rPr>
        <w:t xml:space="preserve"> Evoluţia suprafeţelor</w:t>
      </w:r>
      <w:r w:rsidR="00D53057" w:rsidRPr="009C6F8A">
        <w:rPr>
          <w:bCs/>
          <w:sz w:val="22"/>
          <w:szCs w:val="22"/>
        </w:rPr>
        <w:t xml:space="preserve"> </w:t>
      </w:r>
      <w:r w:rsidRPr="009C6F8A">
        <w:rPr>
          <w:bCs/>
          <w:sz w:val="22"/>
          <w:szCs w:val="22"/>
        </w:rPr>
        <w:t xml:space="preserve">de îmbunătăţiri funciare </w:t>
      </w:r>
    </w:p>
    <w:p w:rsidR="00125E1D" w:rsidRPr="009C6F8A" w:rsidRDefault="005514FA" w:rsidP="00171588">
      <w:pPr>
        <w:pStyle w:val="BodyTextIndent2"/>
        <w:widowControl w:val="0"/>
        <w:ind w:firstLine="0"/>
        <w:jc w:val="center"/>
        <w:rPr>
          <w:bCs/>
          <w:sz w:val="22"/>
          <w:szCs w:val="22"/>
        </w:rPr>
      </w:pPr>
      <w:r w:rsidRPr="009C6F8A">
        <w:rPr>
          <w:bCs/>
          <w:sz w:val="22"/>
          <w:szCs w:val="22"/>
        </w:rPr>
        <w:t>în perioada 201</w:t>
      </w:r>
      <w:r w:rsidR="009C6F8A" w:rsidRPr="009C6F8A">
        <w:rPr>
          <w:bCs/>
          <w:sz w:val="22"/>
          <w:szCs w:val="22"/>
        </w:rPr>
        <w:t>3</w:t>
      </w:r>
      <w:r w:rsidRPr="009C6F8A">
        <w:rPr>
          <w:bCs/>
          <w:sz w:val="22"/>
          <w:szCs w:val="22"/>
        </w:rPr>
        <w:t>-201</w:t>
      </w:r>
      <w:r w:rsidR="009C6F8A" w:rsidRPr="009C6F8A">
        <w:rPr>
          <w:bCs/>
          <w:sz w:val="22"/>
          <w:szCs w:val="22"/>
        </w:rPr>
        <w:t>7</w:t>
      </w:r>
      <w:r w:rsidRPr="009C6F8A">
        <w:rPr>
          <w:bCs/>
          <w:sz w:val="22"/>
          <w:szCs w:val="22"/>
        </w:rPr>
        <w:t xml:space="preserve">, în </w:t>
      </w:r>
      <w:r w:rsidR="00125E1D" w:rsidRPr="009C6F8A">
        <w:rPr>
          <w:bCs/>
          <w:sz w:val="22"/>
          <w:szCs w:val="22"/>
        </w:rPr>
        <w:t>jud. Suceava (</w:t>
      </w:r>
      <w:r w:rsidR="00125E1D" w:rsidRPr="009C6F8A">
        <w:rPr>
          <w:bCs/>
          <w:i/>
          <w:sz w:val="22"/>
          <w:szCs w:val="22"/>
        </w:rPr>
        <w:t>Sursa</w:t>
      </w:r>
      <w:r w:rsidRPr="009C6F8A">
        <w:rPr>
          <w:bCs/>
          <w:i/>
          <w:sz w:val="22"/>
          <w:szCs w:val="22"/>
        </w:rPr>
        <w:t>:</w:t>
      </w:r>
      <w:r w:rsidR="00125E1D" w:rsidRPr="009C6F8A">
        <w:rPr>
          <w:bCs/>
          <w:i/>
          <w:sz w:val="22"/>
          <w:szCs w:val="22"/>
        </w:rPr>
        <w:t xml:space="preserve"> ANIF</w:t>
      </w:r>
      <w:r w:rsidR="00F40970">
        <w:rPr>
          <w:bCs/>
          <w:i/>
          <w:sz w:val="22"/>
          <w:szCs w:val="22"/>
        </w:rPr>
        <w:t xml:space="preserve"> </w:t>
      </w:r>
      <w:r w:rsidR="00125E1D" w:rsidRPr="009C6F8A">
        <w:rPr>
          <w:bCs/>
          <w:i/>
          <w:sz w:val="22"/>
          <w:szCs w:val="22"/>
        </w:rPr>
        <w:t>- Unitatea de Administrare Suceava</w:t>
      </w:r>
      <w:r w:rsidR="00125E1D" w:rsidRPr="009C6F8A">
        <w:rPr>
          <w:bCs/>
          <w:sz w:val="22"/>
          <w:szCs w:val="22"/>
        </w:rPr>
        <w:t>)</w:t>
      </w:r>
    </w:p>
    <w:p w:rsidR="00731BAD" w:rsidRPr="009C6F8A" w:rsidRDefault="00731BAD" w:rsidP="00171588">
      <w:pPr>
        <w:pStyle w:val="BodyTextIndent2"/>
        <w:widowControl w:val="0"/>
        <w:ind w:firstLine="0"/>
        <w:jc w:val="center"/>
        <w:rPr>
          <w:bCs/>
          <w:sz w:val="10"/>
          <w:szCs w:val="10"/>
        </w:rPr>
      </w:pPr>
    </w:p>
    <w:p w:rsidR="00C77E11" w:rsidRPr="009C6F8A" w:rsidRDefault="00C77E11" w:rsidP="00171588">
      <w:pPr>
        <w:pStyle w:val="BodyTextIndent2"/>
        <w:widowControl w:val="0"/>
        <w:ind w:firstLine="0"/>
        <w:jc w:val="center"/>
        <w:rPr>
          <w:bCs/>
          <w:sz w:val="6"/>
          <w:szCs w:val="6"/>
        </w:rPr>
      </w:pPr>
    </w:p>
    <w:tbl>
      <w:tblPr>
        <w:tblStyle w:val="TableGrid"/>
        <w:tblW w:w="9995" w:type="dxa"/>
        <w:jc w:val="center"/>
        <w:tblLayout w:type="fixed"/>
        <w:tblCellMar>
          <w:left w:w="28" w:type="dxa"/>
          <w:right w:w="28" w:type="dxa"/>
        </w:tblCellMar>
        <w:tblLook w:val="04A0"/>
      </w:tblPr>
      <w:tblGrid>
        <w:gridCol w:w="5273"/>
        <w:gridCol w:w="931"/>
        <w:gridCol w:w="992"/>
        <w:gridCol w:w="850"/>
        <w:gridCol w:w="993"/>
        <w:gridCol w:w="956"/>
      </w:tblGrid>
      <w:tr w:rsidR="00D53057" w:rsidRPr="009C6F8A" w:rsidTr="00F40970">
        <w:trPr>
          <w:jc w:val="center"/>
        </w:trPr>
        <w:tc>
          <w:tcPr>
            <w:tcW w:w="5273" w:type="dxa"/>
            <w:vMerge w:val="restart"/>
            <w:shd w:val="clear" w:color="auto" w:fill="FFFF99"/>
            <w:tcMar>
              <w:left w:w="57" w:type="dxa"/>
              <w:right w:w="57" w:type="dxa"/>
            </w:tcMar>
            <w:vAlign w:val="center"/>
          </w:tcPr>
          <w:p w:rsidR="00D53057" w:rsidRPr="009C6F8A" w:rsidRDefault="00D53057" w:rsidP="00F636D1">
            <w:pPr>
              <w:widowControl w:val="0"/>
              <w:jc w:val="center"/>
              <w:rPr>
                <w:rFonts w:ascii="Arial" w:hAnsi="Arial" w:cs="Arial"/>
                <w:b/>
                <w:sz w:val="22"/>
                <w:szCs w:val="22"/>
              </w:rPr>
            </w:pPr>
            <w:r w:rsidRPr="009C6F8A">
              <w:rPr>
                <w:rFonts w:ascii="Arial" w:hAnsi="Arial" w:cs="Arial"/>
                <w:b/>
                <w:sz w:val="22"/>
                <w:szCs w:val="22"/>
              </w:rPr>
              <w:t>Tipuri de amenajări</w:t>
            </w:r>
          </w:p>
        </w:tc>
        <w:tc>
          <w:tcPr>
            <w:tcW w:w="4722" w:type="dxa"/>
            <w:gridSpan w:val="5"/>
            <w:shd w:val="clear" w:color="auto" w:fill="FFFF99"/>
            <w:tcMar>
              <w:left w:w="57" w:type="dxa"/>
              <w:right w:w="57" w:type="dxa"/>
            </w:tcMar>
            <w:vAlign w:val="center"/>
          </w:tcPr>
          <w:p w:rsidR="00D53057" w:rsidRPr="009C6F8A" w:rsidRDefault="00D53057" w:rsidP="00F636D1">
            <w:pPr>
              <w:widowControl w:val="0"/>
              <w:jc w:val="center"/>
              <w:rPr>
                <w:rFonts w:ascii="Arial" w:hAnsi="Arial" w:cs="Arial"/>
                <w:b/>
                <w:sz w:val="22"/>
                <w:szCs w:val="22"/>
              </w:rPr>
            </w:pPr>
            <w:r w:rsidRPr="009C6F8A">
              <w:rPr>
                <w:rFonts w:ascii="Arial" w:hAnsi="Arial" w:cs="Arial"/>
                <w:b/>
                <w:sz w:val="22"/>
                <w:szCs w:val="22"/>
              </w:rPr>
              <w:t>Suprafeţe amenajate</w:t>
            </w:r>
            <w:r w:rsidR="005514FA" w:rsidRPr="009C6F8A">
              <w:rPr>
                <w:rFonts w:ascii="Arial" w:hAnsi="Arial" w:cs="Arial"/>
                <w:b/>
                <w:sz w:val="22"/>
                <w:szCs w:val="22"/>
              </w:rPr>
              <w:t xml:space="preserve"> </w:t>
            </w:r>
            <w:r w:rsidRPr="009C6F8A">
              <w:rPr>
                <w:rFonts w:ascii="Arial" w:hAnsi="Arial" w:cs="Arial"/>
                <w:b/>
                <w:sz w:val="22"/>
                <w:szCs w:val="22"/>
              </w:rPr>
              <w:t>(ha)</w:t>
            </w:r>
          </w:p>
        </w:tc>
      </w:tr>
      <w:tr w:rsidR="009C6F8A" w:rsidRPr="009C6F8A" w:rsidTr="00F40970">
        <w:trPr>
          <w:jc w:val="center"/>
        </w:trPr>
        <w:tc>
          <w:tcPr>
            <w:tcW w:w="5273" w:type="dxa"/>
            <w:vMerge/>
            <w:shd w:val="clear" w:color="auto" w:fill="FFFF99"/>
            <w:tcMar>
              <w:left w:w="57" w:type="dxa"/>
              <w:right w:w="57" w:type="dxa"/>
            </w:tcMar>
            <w:vAlign w:val="center"/>
          </w:tcPr>
          <w:p w:rsidR="009C6F8A" w:rsidRPr="009C6F8A" w:rsidRDefault="009C6F8A" w:rsidP="00F636D1">
            <w:pPr>
              <w:widowControl w:val="0"/>
              <w:jc w:val="center"/>
              <w:rPr>
                <w:rFonts w:ascii="Arial" w:hAnsi="Arial" w:cs="Arial"/>
                <w:b/>
                <w:sz w:val="22"/>
                <w:szCs w:val="22"/>
              </w:rPr>
            </w:pPr>
          </w:p>
        </w:tc>
        <w:tc>
          <w:tcPr>
            <w:tcW w:w="931" w:type="dxa"/>
            <w:shd w:val="clear" w:color="auto" w:fill="FFFF99"/>
            <w:tcMar>
              <w:left w:w="57" w:type="dxa"/>
              <w:right w:w="57" w:type="dxa"/>
            </w:tcMar>
            <w:vAlign w:val="center"/>
          </w:tcPr>
          <w:p w:rsidR="009C6F8A" w:rsidRPr="009C6F8A" w:rsidRDefault="009C6F8A" w:rsidP="00A93A15">
            <w:pPr>
              <w:widowControl w:val="0"/>
              <w:jc w:val="center"/>
              <w:rPr>
                <w:rFonts w:ascii="Arial" w:hAnsi="Arial" w:cs="Arial"/>
                <w:b/>
                <w:sz w:val="22"/>
                <w:szCs w:val="22"/>
              </w:rPr>
            </w:pPr>
            <w:r w:rsidRPr="009C6F8A">
              <w:rPr>
                <w:rFonts w:ascii="Arial" w:hAnsi="Arial" w:cs="Arial"/>
                <w:b/>
                <w:sz w:val="22"/>
                <w:szCs w:val="22"/>
              </w:rPr>
              <w:t>2013</w:t>
            </w:r>
          </w:p>
        </w:tc>
        <w:tc>
          <w:tcPr>
            <w:tcW w:w="992" w:type="dxa"/>
            <w:shd w:val="clear" w:color="auto" w:fill="FFFF99"/>
            <w:tcMar>
              <w:left w:w="57" w:type="dxa"/>
              <w:right w:w="57" w:type="dxa"/>
            </w:tcMar>
            <w:vAlign w:val="center"/>
          </w:tcPr>
          <w:p w:rsidR="009C6F8A" w:rsidRPr="009C6F8A" w:rsidRDefault="009C6F8A" w:rsidP="00A93A15">
            <w:pPr>
              <w:widowControl w:val="0"/>
              <w:jc w:val="center"/>
              <w:rPr>
                <w:rFonts w:ascii="Arial" w:hAnsi="Arial" w:cs="Arial"/>
                <w:b/>
                <w:sz w:val="22"/>
                <w:szCs w:val="22"/>
              </w:rPr>
            </w:pPr>
            <w:r w:rsidRPr="009C6F8A">
              <w:rPr>
                <w:rFonts w:ascii="Arial" w:hAnsi="Arial" w:cs="Arial"/>
                <w:b/>
                <w:sz w:val="22"/>
                <w:szCs w:val="22"/>
              </w:rPr>
              <w:t>2014</w:t>
            </w:r>
          </w:p>
        </w:tc>
        <w:tc>
          <w:tcPr>
            <w:tcW w:w="850" w:type="dxa"/>
            <w:shd w:val="clear" w:color="auto" w:fill="FFFF99"/>
            <w:tcMar>
              <w:left w:w="57" w:type="dxa"/>
              <w:right w:w="57" w:type="dxa"/>
            </w:tcMar>
            <w:vAlign w:val="center"/>
          </w:tcPr>
          <w:p w:rsidR="009C6F8A" w:rsidRPr="009C6F8A" w:rsidRDefault="009C6F8A" w:rsidP="00A93A15">
            <w:pPr>
              <w:widowControl w:val="0"/>
              <w:jc w:val="center"/>
              <w:rPr>
                <w:rFonts w:ascii="Arial" w:hAnsi="Arial" w:cs="Arial"/>
                <w:b/>
                <w:sz w:val="22"/>
                <w:szCs w:val="22"/>
              </w:rPr>
            </w:pPr>
            <w:r w:rsidRPr="009C6F8A">
              <w:rPr>
                <w:rFonts w:ascii="Arial" w:hAnsi="Arial" w:cs="Arial"/>
                <w:b/>
                <w:sz w:val="22"/>
                <w:szCs w:val="22"/>
              </w:rPr>
              <w:t>2015</w:t>
            </w:r>
          </w:p>
        </w:tc>
        <w:tc>
          <w:tcPr>
            <w:tcW w:w="993" w:type="dxa"/>
            <w:shd w:val="clear" w:color="auto" w:fill="FFFF99"/>
            <w:tcMar>
              <w:left w:w="57" w:type="dxa"/>
              <w:right w:w="57" w:type="dxa"/>
            </w:tcMar>
            <w:vAlign w:val="center"/>
          </w:tcPr>
          <w:p w:rsidR="009C6F8A" w:rsidRPr="009C6F8A" w:rsidRDefault="009C6F8A" w:rsidP="00A93A15">
            <w:pPr>
              <w:widowControl w:val="0"/>
              <w:jc w:val="center"/>
              <w:rPr>
                <w:rFonts w:ascii="Arial" w:hAnsi="Arial" w:cs="Arial"/>
                <w:b/>
                <w:sz w:val="22"/>
                <w:szCs w:val="22"/>
              </w:rPr>
            </w:pPr>
            <w:r w:rsidRPr="009C6F8A">
              <w:rPr>
                <w:rFonts w:ascii="Arial" w:hAnsi="Arial" w:cs="Arial"/>
                <w:b/>
                <w:sz w:val="22"/>
                <w:szCs w:val="22"/>
              </w:rPr>
              <w:t>2016</w:t>
            </w:r>
          </w:p>
        </w:tc>
        <w:tc>
          <w:tcPr>
            <w:tcW w:w="956" w:type="dxa"/>
            <w:shd w:val="clear" w:color="auto" w:fill="FFFF99"/>
            <w:tcMar>
              <w:left w:w="57" w:type="dxa"/>
              <w:right w:w="57" w:type="dxa"/>
            </w:tcMar>
            <w:vAlign w:val="center"/>
          </w:tcPr>
          <w:p w:rsidR="009C6F8A" w:rsidRPr="009C6F8A" w:rsidRDefault="009C6F8A" w:rsidP="00E23305">
            <w:pPr>
              <w:widowControl w:val="0"/>
              <w:jc w:val="center"/>
              <w:rPr>
                <w:rFonts w:ascii="Arial" w:hAnsi="Arial" w:cs="Arial"/>
                <w:b/>
                <w:sz w:val="22"/>
                <w:szCs w:val="22"/>
              </w:rPr>
            </w:pPr>
            <w:r w:rsidRPr="009C6F8A">
              <w:rPr>
                <w:rFonts w:ascii="Arial" w:hAnsi="Arial" w:cs="Arial"/>
                <w:b/>
                <w:sz w:val="22"/>
                <w:szCs w:val="22"/>
              </w:rPr>
              <w:t>2017</w:t>
            </w:r>
          </w:p>
        </w:tc>
      </w:tr>
      <w:tr w:rsidR="00D53057" w:rsidRPr="009C6F8A" w:rsidTr="00F40970">
        <w:trPr>
          <w:trHeight w:val="486"/>
          <w:jc w:val="center"/>
        </w:trPr>
        <w:tc>
          <w:tcPr>
            <w:tcW w:w="5273" w:type="dxa"/>
            <w:tcMar>
              <w:left w:w="57" w:type="dxa"/>
              <w:right w:w="57" w:type="dxa"/>
            </w:tcMar>
            <w:vAlign w:val="center"/>
          </w:tcPr>
          <w:p w:rsidR="00D53057" w:rsidRPr="009C6F8A" w:rsidRDefault="00D53057" w:rsidP="00F636D1">
            <w:pPr>
              <w:widowControl w:val="0"/>
              <w:rPr>
                <w:rFonts w:ascii="Arial" w:hAnsi="Arial" w:cs="Arial"/>
                <w:sz w:val="22"/>
                <w:szCs w:val="22"/>
              </w:rPr>
            </w:pPr>
            <w:r w:rsidRPr="009C6F8A">
              <w:rPr>
                <w:rFonts w:ascii="Arial" w:hAnsi="Arial" w:cs="Arial"/>
                <w:sz w:val="22"/>
                <w:szCs w:val="22"/>
              </w:rPr>
              <w:t>Suprafaţă amenajată prin irigaţii</w:t>
            </w:r>
          </w:p>
        </w:tc>
        <w:tc>
          <w:tcPr>
            <w:tcW w:w="931"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3791</w:t>
            </w:r>
          </w:p>
        </w:tc>
        <w:tc>
          <w:tcPr>
            <w:tcW w:w="992"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3791</w:t>
            </w:r>
          </w:p>
        </w:tc>
        <w:tc>
          <w:tcPr>
            <w:tcW w:w="850"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3791</w:t>
            </w:r>
          </w:p>
        </w:tc>
        <w:tc>
          <w:tcPr>
            <w:tcW w:w="993"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3791</w:t>
            </w:r>
          </w:p>
        </w:tc>
        <w:tc>
          <w:tcPr>
            <w:tcW w:w="956"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3791</w:t>
            </w:r>
          </w:p>
        </w:tc>
      </w:tr>
      <w:tr w:rsidR="00D53057" w:rsidRPr="009C6F8A" w:rsidTr="00F40970">
        <w:trPr>
          <w:trHeight w:val="536"/>
          <w:jc w:val="center"/>
        </w:trPr>
        <w:tc>
          <w:tcPr>
            <w:tcW w:w="5273" w:type="dxa"/>
            <w:tcMar>
              <w:left w:w="57" w:type="dxa"/>
              <w:right w:w="57" w:type="dxa"/>
            </w:tcMar>
            <w:vAlign w:val="center"/>
          </w:tcPr>
          <w:p w:rsidR="00D53057" w:rsidRPr="009C6F8A" w:rsidRDefault="00D53057" w:rsidP="00F636D1">
            <w:pPr>
              <w:widowControl w:val="0"/>
              <w:rPr>
                <w:rFonts w:ascii="Arial" w:hAnsi="Arial" w:cs="Arial"/>
                <w:sz w:val="22"/>
                <w:szCs w:val="22"/>
              </w:rPr>
            </w:pPr>
            <w:r w:rsidRPr="009C6F8A">
              <w:rPr>
                <w:rFonts w:ascii="Arial" w:hAnsi="Arial" w:cs="Arial"/>
                <w:sz w:val="22"/>
                <w:szCs w:val="22"/>
              </w:rPr>
              <w:t>Suprafaţă amenajată cu lucrări de desecare</w:t>
            </w:r>
            <w:r w:rsidR="00C77E11" w:rsidRPr="009C6F8A">
              <w:rPr>
                <w:rFonts w:ascii="Arial" w:hAnsi="Arial" w:cs="Arial"/>
                <w:sz w:val="22"/>
                <w:szCs w:val="22"/>
              </w:rPr>
              <w:t xml:space="preserve"> </w:t>
            </w:r>
            <w:r w:rsidRPr="009C6F8A">
              <w:rPr>
                <w:rFonts w:ascii="Arial" w:hAnsi="Arial" w:cs="Arial"/>
                <w:sz w:val="22"/>
                <w:szCs w:val="22"/>
              </w:rPr>
              <w:t>- drenaj</w:t>
            </w:r>
          </w:p>
        </w:tc>
        <w:tc>
          <w:tcPr>
            <w:tcW w:w="931"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44904</w:t>
            </w:r>
          </w:p>
        </w:tc>
        <w:tc>
          <w:tcPr>
            <w:tcW w:w="992"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44904</w:t>
            </w:r>
          </w:p>
        </w:tc>
        <w:tc>
          <w:tcPr>
            <w:tcW w:w="850"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44904</w:t>
            </w:r>
          </w:p>
        </w:tc>
        <w:tc>
          <w:tcPr>
            <w:tcW w:w="993"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44904</w:t>
            </w:r>
          </w:p>
        </w:tc>
        <w:tc>
          <w:tcPr>
            <w:tcW w:w="956"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44904</w:t>
            </w:r>
          </w:p>
        </w:tc>
      </w:tr>
      <w:tr w:rsidR="00D53057" w:rsidRPr="009C6F8A" w:rsidTr="00F40970">
        <w:trPr>
          <w:jc w:val="center"/>
        </w:trPr>
        <w:tc>
          <w:tcPr>
            <w:tcW w:w="5273" w:type="dxa"/>
            <w:tcMar>
              <w:left w:w="57" w:type="dxa"/>
              <w:right w:w="57" w:type="dxa"/>
            </w:tcMar>
            <w:vAlign w:val="center"/>
          </w:tcPr>
          <w:p w:rsidR="00D53057" w:rsidRPr="009C6F8A" w:rsidRDefault="00D53057" w:rsidP="00F636D1">
            <w:pPr>
              <w:widowControl w:val="0"/>
              <w:jc w:val="both"/>
              <w:rPr>
                <w:rFonts w:ascii="Arial" w:hAnsi="Arial" w:cs="Arial"/>
                <w:sz w:val="22"/>
                <w:szCs w:val="22"/>
              </w:rPr>
            </w:pPr>
            <w:r w:rsidRPr="009C6F8A">
              <w:rPr>
                <w:rFonts w:ascii="Arial" w:hAnsi="Arial" w:cs="Arial"/>
                <w:sz w:val="22"/>
                <w:szCs w:val="22"/>
              </w:rPr>
              <w:t>Suprafaţă amenajată cu lucrări de combatere a eroziunii solului</w:t>
            </w:r>
          </w:p>
        </w:tc>
        <w:tc>
          <w:tcPr>
            <w:tcW w:w="931"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85189</w:t>
            </w:r>
          </w:p>
        </w:tc>
        <w:tc>
          <w:tcPr>
            <w:tcW w:w="992"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85189</w:t>
            </w:r>
          </w:p>
        </w:tc>
        <w:tc>
          <w:tcPr>
            <w:tcW w:w="850"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85189</w:t>
            </w:r>
          </w:p>
        </w:tc>
        <w:tc>
          <w:tcPr>
            <w:tcW w:w="993"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85189</w:t>
            </w:r>
          </w:p>
        </w:tc>
        <w:tc>
          <w:tcPr>
            <w:tcW w:w="956" w:type="dxa"/>
            <w:tcMar>
              <w:left w:w="57" w:type="dxa"/>
              <w:right w:w="57" w:type="dxa"/>
            </w:tcMar>
            <w:vAlign w:val="center"/>
          </w:tcPr>
          <w:p w:rsidR="00D53057" w:rsidRPr="009C6F8A" w:rsidRDefault="00D53057" w:rsidP="00F636D1">
            <w:pPr>
              <w:widowControl w:val="0"/>
              <w:jc w:val="right"/>
              <w:rPr>
                <w:rFonts w:ascii="Arial" w:hAnsi="Arial" w:cs="Arial"/>
                <w:sz w:val="22"/>
                <w:szCs w:val="22"/>
              </w:rPr>
            </w:pPr>
            <w:r w:rsidRPr="009C6F8A">
              <w:rPr>
                <w:rFonts w:ascii="Arial" w:hAnsi="Arial" w:cs="Arial"/>
                <w:sz w:val="22"/>
                <w:szCs w:val="22"/>
              </w:rPr>
              <w:t>85189</w:t>
            </w:r>
          </w:p>
        </w:tc>
      </w:tr>
    </w:tbl>
    <w:p w:rsidR="007F2E7F" w:rsidRPr="009C6F8A" w:rsidRDefault="007F2E7F" w:rsidP="00171588">
      <w:pPr>
        <w:pStyle w:val="BodyTextIndent2"/>
        <w:widowControl w:val="0"/>
        <w:ind w:left="284" w:hanging="284"/>
        <w:jc w:val="both"/>
        <w:rPr>
          <w:b/>
          <w:bCs/>
          <w:sz w:val="10"/>
          <w:szCs w:val="10"/>
        </w:rPr>
      </w:pPr>
    </w:p>
    <w:p w:rsidR="005514FA" w:rsidRPr="009C6F8A" w:rsidRDefault="00B478BF" w:rsidP="00171588">
      <w:pPr>
        <w:pStyle w:val="BodyTextIndent2"/>
        <w:widowControl w:val="0"/>
        <w:ind w:firstLine="708"/>
        <w:jc w:val="both"/>
        <w:rPr>
          <w:bCs/>
        </w:rPr>
      </w:pPr>
      <w:r w:rsidRPr="009C6F8A">
        <w:rPr>
          <w:bCs/>
        </w:rPr>
        <w:t>Din</w:t>
      </w:r>
      <w:r w:rsidR="005514FA" w:rsidRPr="009C6F8A">
        <w:rPr>
          <w:bCs/>
        </w:rPr>
        <w:t xml:space="preserve"> tabelul III.3.3.1</w:t>
      </w:r>
      <w:r w:rsidRPr="009C6F8A">
        <w:rPr>
          <w:bCs/>
        </w:rPr>
        <w:t>.</w:t>
      </w:r>
      <w:r w:rsidR="005514FA" w:rsidRPr="009C6F8A">
        <w:rPr>
          <w:bCs/>
        </w:rPr>
        <w:t xml:space="preserve"> </w:t>
      </w:r>
      <w:r w:rsidRPr="009C6F8A">
        <w:rPr>
          <w:bCs/>
        </w:rPr>
        <w:t>rezultă</w:t>
      </w:r>
      <w:r w:rsidR="005514FA" w:rsidRPr="009C6F8A">
        <w:rPr>
          <w:bCs/>
        </w:rPr>
        <w:t xml:space="preserve"> faptul că în judeţul Suceava nu s-au realizat lucrări noi de îmbunătăţiri funciare în ultimii 5 ani.</w:t>
      </w:r>
    </w:p>
    <w:p w:rsidR="005514FA" w:rsidRPr="009C6F8A" w:rsidRDefault="005514FA" w:rsidP="00171588">
      <w:pPr>
        <w:pStyle w:val="BodyTextIndent2"/>
        <w:widowControl w:val="0"/>
        <w:ind w:left="284" w:hanging="284"/>
        <w:jc w:val="both"/>
        <w:rPr>
          <w:b/>
          <w:bCs/>
          <w:sz w:val="16"/>
          <w:szCs w:val="16"/>
        </w:rPr>
      </w:pPr>
    </w:p>
    <w:p w:rsidR="00731BAD" w:rsidRPr="004D5276" w:rsidRDefault="00731BAD" w:rsidP="00171588">
      <w:pPr>
        <w:pStyle w:val="BodyTextIndent2"/>
        <w:widowControl w:val="0"/>
        <w:ind w:left="284" w:hanging="284"/>
        <w:jc w:val="both"/>
        <w:rPr>
          <w:b/>
          <w:bCs/>
          <w:color w:val="984806" w:themeColor="accent6" w:themeShade="80"/>
        </w:rPr>
      </w:pPr>
    </w:p>
    <w:p w:rsidR="005727B4" w:rsidRPr="0043318B" w:rsidRDefault="005727B4" w:rsidP="00171588">
      <w:pPr>
        <w:pStyle w:val="BodyTextIndent2"/>
        <w:widowControl w:val="0"/>
        <w:ind w:left="284" w:hanging="284"/>
        <w:jc w:val="both"/>
        <w:rPr>
          <w:b/>
          <w:bCs/>
        </w:rPr>
      </w:pPr>
      <w:r w:rsidRPr="0043318B">
        <w:rPr>
          <w:b/>
          <w:bCs/>
        </w:rPr>
        <w:lastRenderedPageBreak/>
        <w:t>III.</w:t>
      </w:r>
      <w:r w:rsidR="007F2E7F" w:rsidRPr="0043318B">
        <w:rPr>
          <w:b/>
          <w:bCs/>
        </w:rPr>
        <w:t>4.</w:t>
      </w:r>
      <w:r w:rsidRPr="0043318B">
        <w:rPr>
          <w:b/>
          <w:bCs/>
        </w:rPr>
        <w:t xml:space="preserve"> Prognoze şi</w:t>
      </w:r>
      <w:r w:rsidR="003369B4" w:rsidRPr="0043318B">
        <w:rPr>
          <w:b/>
          <w:bCs/>
        </w:rPr>
        <w:t xml:space="preserve"> acţiuni întreprinse pen</w:t>
      </w:r>
      <w:r w:rsidRPr="0043318B">
        <w:rPr>
          <w:b/>
          <w:bCs/>
        </w:rPr>
        <w:t>tru ameliorarea stării de calitate a solurilor</w:t>
      </w:r>
    </w:p>
    <w:p w:rsidR="001D1EE4" w:rsidRDefault="001D1EE4" w:rsidP="00171588">
      <w:pPr>
        <w:pStyle w:val="BodyTextIndent2"/>
        <w:widowControl w:val="0"/>
        <w:ind w:firstLine="708"/>
        <w:jc w:val="both"/>
        <w:rPr>
          <w:color w:val="984806" w:themeColor="accent6" w:themeShade="80"/>
          <w:sz w:val="16"/>
          <w:szCs w:val="16"/>
        </w:rPr>
      </w:pPr>
    </w:p>
    <w:tbl>
      <w:tblPr>
        <w:tblStyle w:val="TableGrid"/>
        <w:tblW w:w="0" w:type="auto"/>
        <w:tblInd w:w="108" w:type="dxa"/>
        <w:shd w:val="clear" w:color="auto" w:fill="B6DDE8" w:themeFill="accent5" w:themeFillTint="66"/>
        <w:tblLook w:val="04A0"/>
      </w:tblPr>
      <w:tblGrid>
        <w:gridCol w:w="9781"/>
      </w:tblGrid>
      <w:tr w:rsidR="00F40970" w:rsidRPr="00F40970" w:rsidTr="00F40970">
        <w:trPr>
          <w:trHeight w:val="1811"/>
        </w:trPr>
        <w:tc>
          <w:tcPr>
            <w:tcW w:w="9781" w:type="dxa"/>
            <w:shd w:val="clear" w:color="auto" w:fill="B6DDE8" w:themeFill="accent5" w:themeFillTint="66"/>
          </w:tcPr>
          <w:p w:rsidR="00F40970" w:rsidRPr="00F40970" w:rsidRDefault="00F40970" w:rsidP="00251A2D">
            <w:pPr>
              <w:autoSpaceDE w:val="0"/>
              <w:autoSpaceDN w:val="0"/>
              <w:adjustRightInd w:val="0"/>
              <w:rPr>
                <w:rFonts w:ascii="Arial" w:hAnsi="Arial" w:cs="Arial"/>
                <w:sz w:val="22"/>
                <w:szCs w:val="22"/>
              </w:rPr>
            </w:pPr>
            <w:r w:rsidRPr="00F40970">
              <w:rPr>
                <w:rFonts w:ascii="Arial" w:hAnsi="Arial" w:cs="Arial"/>
                <w:b/>
                <w:bCs/>
                <w:sz w:val="22"/>
                <w:szCs w:val="22"/>
              </w:rPr>
              <w:t>Cod indicator România</w:t>
            </w:r>
            <w:r w:rsidRPr="00F40970">
              <w:rPr>
                <w:rFonts w:ascii="Arial" w:hAnsi="Arial" w:cs="Arial"/>
                <w:sz w:val="22"/>
                <w:szCs w:val="22"/>
              </w:rPr>
              <w:t>: RO 26</w:t>
            </w:r>
          </w:p>
          <w:p w:rsidR="00F40970" w:rsidRDefault="00F40970" w:rsidP="00251A2D">
            <w:pPr>
              <w:autoSpaceDE w:val="0"/>
              <w:autoSpaceDN w:val="0"/>
              <w:adjustRightInd w:val="0"/>
              <w:rPr>
                <w:rFonts w:ascii="Arial" w:hAnsi="Arial" w:cs="Arial"/>
                <w:sz w:val="22"/>
                <w:szCs w:val="22"/>
              </w:rPr>
            </w:pPr>
            <w:r w:rsidRPr="00F40970">
              <w:rPr>
                <w:rFonts w:ascii="Arial" w:hAnsi="Arial" w:cs="Arial"/>
                <w:b/>
                <w:bCs/>
                <w:sz w:val="22"/>
                <w:szCs w:val="22"/>
              </w:rPr>
              <w:t>Cod indicator AEM</w:t>
            </w:r>
            <w:r w:rsidRPr="00F40970">
              <w:rPr>
                <w:rFonts w:ascii="Arial" w:hAnsi="Arial" w:cs="Arial"/>
                <w:sz w:val="22"/>
                <w:szCs w:val="22"/>
              </w:rPr>
              <w:t>: CSI  026</w:t>
            </w:r>
          </w:p>
          <w:p w:rsidR="00F40970" w:rsidRDefault="00F40970" w:rsidP="00F40970">
            <w:pPr>
              <w:pStyle w:val="Default"/>
              <w:rPr>
                <w:b/>
                <w:bCs/>
                <w:sz w:val="22"/>
                <w:szCs w:val="22"/>
              </w:rPr>
            </w:pPr>
            <w:r w:rsidRPr="00F40970">
              <w:rPr>
                <w:b/>
                <w:bCs/>
                <w:sz w:val="22"/>
                <w:szCs w:val="22"/>
              </w:rPr>
              <w:t>DENUMIRE</w:t>
            </w:r>
            <w:r w:rsidRPr="00F40970">
              <w:rPr>
                <w:sz w:val="22"/>
                <w:szCs w:val="22"/>
              </w:rPr>
              <w:t xml:space="preserve">: </w:t>
            </w:r>
            <w:r w:rsidRPr="00F40970">
              <w:rPr>
                <w:bCs/>
                <w:sz w:val="22"/>
                <w:szCs w:val="22"/>
              </w:rPr>
              <w:t>SUPRAFAŢA DESTINATĂ AGRICULTURII ECOLOGICE</w:t>
            </w:r>
            <w:r w:rsidRPr="00F40970">
              <w:rPr>
                <w:b/>
                <w:bCs/>
                <w:sz w:val="22"/>
                <w:szCs w:val="22"/>
              </w:rPr>
              <w:t xml:space="preserve"> </w:t>
            </w:r>
          </w:p>
          <w:p w:rsidR="00F40970" w:rsidRPr="00F40970" w:rsidRDefault="00F40970" w:rsidP="00F40970">
            <w:pPr>
              <w:autoSpaceDE w:val="0"/>
              <w:autoSpaceDN w:val="0"/>
              <w:adjustRightInd w:val="0"/>
              <w:jc w:val="both"/>
              <w:rPr>
                <w:rFonts w:ascii="Arial" w:hAnsi="Arial" w:cs="Arial"/>
                <w:sz w:val="22"/>
                <w:szCs w:val="22"/>
              </w:rPr>
            </w:pPr>
            <w:r w:rsidRPr="00F40970">
              <w:rPr>
                <w:rFonts w:ascii="Arial" w:hAnsi="Arial" w:cs="Arial"/>
                <w:b/>
                <w:bCs/>
                <w:sz w:val="22"/>
                <w:szCs w:val="22"/>
              </w:rPr>
              <w:t>DEFINIŢIE</w:t>
            </w:r>
            <w:r w:rsidRPr="00F40970">
              <w:rPr>
                <w:rFonts w:ascii="Arial" w:hAnsi="Arial" w:cs="Arial"/>
                <w:sz w:val="22"/>
                <w:szCs w:val="22"/>
              </w:rPr>
              <w:t>:  Indicatorul cuantifică ponderea suprafeţei destinată agriculturii ecologice (suma zonelor actuale cu agricultura ecologică şi a zonelor în curs de transformare), ca proporţie raportată la suprafaţa agricolă totală. Agricultura ecologică poate fi definită ca fiind un sistem de producţie care pune o mare importanţă pe protecţia mediului şi a animalelor, prin reducerea sau eliminarea utilizării organismelor modificate genetic şi a produselor chimice sintetice de tipul fertilizatorilor, pesticidelor şi a promotorilor regulatorilor de creştere</w:t>
            </w:r>
          </w:p>
        </w:tc>
      </w:tr>
    </w:tbl>
    <w:p w:rsidR="00F40970" w:rsidRPr="00F40970" w:rsidRDefault="00F40970" w:rsidP="00171588">
      <w:pPr>
        <w:pStyle w:val="BodyTextIndent2"/>
        <w:widowControl w:val="0"/>
        <w:ind w:firstLine="708"/>
        <w:jc w:val="both"/>
        <w:rPr>
          <w:color w:val="984806" w:themeColor="accent6" w:themeShade="80"/>
          <w:sz w:val="10"/>
          <w:szCs w:val="10"/>
        </w:rPr>
      </w:pPr>
    </w:p>
    <w:p w:rsidR="00F636D1" w:rsidRPr="0038708B" w:rsidRDefault="007521B1" w:rsidP="00171588">
      <w:pPr>
        <w:pStyle w:val="BodyTextIndent2"/>
        <w:widowControl w:val="0"/>
        <w:ind w:firstLine="708"/>
        <w:jc w:val="both"/>
      </w:pPr>
      <w:r w:rsidRPr="0038708B">
        <w:t xml:space="preserve">Agricultura ecologică este un sistem de agricultură dezvoltată în mod explicit pentru a fi durabilă din punct de vedere ecologic şi care este reglementată prin normative clare şi verificabile. </w:t>
      </w:r>
    </w:p>
    <w:p w:rsidR="00F636D1" w:rsidRPr="0038708B" w:rsidRDefault="007521B1" w:rsidP="00171588">
      <w:pPr>
        <w:pStyle w:val="BodyTextIndent2"/>
        <w:widowControl w:val="0"/>
        <w:ind w:firstLine="708"/>
        <w:jc w:val="both"/>
      </w:pPr>
      <w:r w:rsidRPr="0038708B">
        <w:t xml:space="preserve">Agricultura este considerată </w:t>
      </w:r>
      <w:r w:rsidR="005514FA" w:rsidRPr="0038708B">
        <w:t>„</w:t>
      </w:r>
      <w:r w:rsidRPr="0038708B">
        <w:t>organică</w:t>
      </w:r>
      <w:r w:rsidR="005514FA" w:rsidRPr="0038708B">
        <w:t>”</w:t>
      </w:r>
      <w:r w:rsidRPr="0038708B">
        <w:t xml:space="preserve"> la nivelul </w:t>
      </w:r>
      <w:r w:rsidR="005514FA" w:rsidRPr="0038708B">
        <w:t>Uniunii Europene</w:t>
      </w:r>
      <w:r w:rsidRPr="0038708B">
        <w:t>, numai dacă este în conformitate cu Regulamentul (CEE) nr. 2092/91 al Consiliului</w:t>
      </w:r>
      <w:r w:rsidR="005514FA" w:rsidRPr="0038708B">
        <w:t xml:space="preserve"> UE</w:t>
      </w:r>
      <w:r w:rsidRPr="0038708B">
        <w:t xml:space="preserve"> (şi amendamentele sale). În acest cadru, agricultura organică este diferenţiată de alte abordări ale producţiei agricole</w:t>
      </w:r>
      <w:r w:rsidR="00DE10C1" w:rsidRPr="0038708B">
        <w:t>,</w:t>
      </w:r>
      <w:r w:rsidRPr="0038708B">
        <w:t xml:space="preserve"> prin aplicarea unor standarde reglementate (reguli de producţie), proceduri de certificare (scheme de inspecţie obligatorii) şi o schemă specifică de etichetare, conducând la apariţia unei pieţe specifice, izolată parţial de la alimentele non-organice. </w:t>
      </w:r>
    </w:p>
    <w:p w:rsidR="005727B4" w:rsidRPr="0038708B" w:rsidRDefault="007521B1" w:rsidP="00171588">
      <w:pPr>
        <w:pStyle w:val="BodyTextIndent2"/>
        <w:widowControl w:val="0"/>
        <w:ind w:firstLine="708"/>
        <w:jc w:val="both"/>
      </w:pPr>
      <w:r w:rsidRPr="0038708B">
        <w:t>Agricultura ecologică furnizează servicii de mediu, prin asigurarea protecţiei biodiversităţii, reducerea poluării, reducerea emisiilor de dioxid de carbon, asigurarea unor condiţii de bunăstare a animalelor şi dezvoltarea activităţilor economice la nivel local.</w:t>
      </w:r>
    </w:p>
    <w:p w:rsidR="00F636D1" w:rsidRPr="0038708B" w:rsidRDefault="006E27FD" w:rsidP="00171588">
      <w:pPr>
        <w:pStyle w:val="Default"/>
        <w:widowControl w:val="0"/>
        <w:ind w:firstLine="708"/>
        <w:jc w:val="both"/>
        <w:rPr>
          <w:color w:val="auto"/>
        </w:rPr>
      </w:pPr>
      <w:r w:rsidRPr="0038708B">
        <w:rPr>
          <w:color w:val="auto"/>
        </w:rPr>
        <w:t xml:space="preserve">Agricultura ecologică are ca scop stabilirea unor sisteme de producţie agricolă durabilă din punct de vedere a protecţiei mediului. Cadrul său legal este stabilit de Regulamentul Consiliului Europei nr. 834/2007 şi amendamentele sale. </w:t>
      </w:r>
    </w:p>
    <w:p w:rsidR="00171588" w:rsidRPr="0038708B" w:rsidRDefault="006E27FD" w:rsidP="00171588">
      <w:pPr>
        <w:pStyle w:val="Default"/>
        <w:widowControl w:val="0"/>
        <w:ind w:firstLine="708"/>
        <w:jc w:val="both"/>
        <w:rPr>
          <w:color w:val="auto"/>
        </w:rPr>
      </w:pPr>
      <w:r w:rsidRPr="0038708B">
        <w:rPr>
          <w:color w:val="auto"/>
        </w:rPr>
        <w:t>Adoptarea tehnicilor de agricultură ecologică de către fermieri este sprijinită prin subvenţii în cadrul unor scheme agricole şi de mediu şi de alte măsuri şi planuri de dezvoltare rurală la nivelul statelor membre. În anul 2004, Comisia UE a publicat un „</w:t>
      </w:r>
      <w:r w:rsidRPr="0038708B">
        <w:rPr>
          <w:i/>
          <w:iCs/>
          <w:color w:val="auto"/>
        </w:rPr>
        <w:t>Plan de Acţiune European pentru Agricultură şi Alimente Organice</w:t>
      </w:r>
      <w:r w:rsidRPr="0038708B">
        <w:rPr>
          <w:color w:val="auto"/>
        </w:rPr>
        <w:t>” (COM(2004)/415 final) pentru a promova agricultura ecologică.</w:t>
      </w:r>
    </w:p>
    <w:p w:rsidR="006E27FD" w:rsidRDefault="006E27FD" w:rsidP="00171588">
      <w:pPr>
        <w:pStyle w:val="Default"/>
        <w:widowControl w:val="0"/>
        <w:ind w:firstLine="708"/>
        <w:jc w:val="both"/>
        <w:rPr>
          <w:color w:val="auto"/>
        </w:rPr>
      </w:pPr>
      <w:r w:rsidRPr="00F1636D">
        <w:rPr>
          <w:color w:val="auto"/>
        </w:rPr>
        <w:t>Nu există ţinte specifice ale UE în ceea ce priveşte ponderea suprafeţei destinate agriculturii ecologice. Totuşi, o serie de State Membre UE şi-au stabilit deja obiective pentru suprafeţele de practicare a agriculturii ecologice</w:t>
      </w:r>
      <w:r w:rsidR="00122361" w:rsidRPr="00F1636D">
        <w:rPr>
          <w:rStyle w:val="FootnoteReference"/>
          <w:color w:val="auto"/>
        </w:rPr>
        <w:footnoteReference w:id="5"/>
      </w:r>
      <w:r w:rsidRPr="00F1636D">
        <w:rPr>
          <w:color w:val="auto"/>
        </w:rPr>
        <w:t>.</w:t>
      </w:r>
    </w:p>
    <w:p w:rsidR="006E27FD" w:rsidRPr="00456407" w:rsidRDefault="00122361" w:rsidP="00171588">
      <w:pPr>
        <w:pStyle w:val="BodyTextIndent2"/>
        <w:widowControl w:val="0"/>
        <w:ind w:firstLine="708"/>
        <w:jc w:val="both"/>
        <w:rPr>
          <w:bCs/>
        </w:rPr>
      </w:pPr>
      <w:r w:rsidRPr="00D515C5">
        <w:rPr>
          <w:bCs/>
        </w:rPr>
        <w:t>Evoluţia suprafeţe</w:t>
      </w:r>
      <w:r w:rsidR="009C31A1">
        <w:rPr>
          <w:bCs/>
        </w:rPr>
        <w:t>lor</w:t>
      </w:r>
      <w:r w:rsidRPr="00D515C5">
        <w:rPr>
          <w:bCs/>
        </w:rPr>
        <w:t xml:space="preserve"> de teren destinat</w:t>
      </w:r>
      <w:r w:rsidR="009C31A1">
        <w:rPr>
          <w:bCs/>
        </w:rPr>
        <w:t>e</w:t>
      </w:r>
      <w:r w:rsidRPr="00D515C5">
        <w:rPr>
          <w:bCs/>
        </w:rPr>
        <w:t xml:space="preserve"> agriculturii ecologice din judeţul Suceava în ultimii 5 ani </w:t>
      </w:r>
      <w:r w:rsidRPr="00456407">
        <w:rPr>
          <w:bCs/>
        </w:rPr>
        <w:t>este prezentată în figura de mai jos:</w:t>
      </w:r>
    </w:p>
    <w:p w:rsidR="00C77E11" w:rsidRPr="009C31A1" w:rsidRDefault="00C77E11" w:rsidP="00171588">
      <w:pPr>
        <w:pStyle w:val="BodyTextIndent2"/>
        <w:widowControl w:val="0"/>
        <w:ind w:firstLine="709"/>
        <w:jc w:val="center"/>
        <w:rPr>
          <w:bCs/>
          <w:sz w:val="10"/>
          <w:szCs w:val="10"/>
        </w:rPr>
      </w:pPr>
    </w:p>
    <w:p w:rsidR="009C31A1" w:rsidRPr="009C31A1" w:rsidRDefault="00122361" w:rsidP="00F40970">
      <w:pPr>
        <w:pStyle w:val="BodyTextIndent2"/>
        <w:widowControl w:val="0"/>
        <w:ind w:firstLine="0"/>
        <w:jc w:val="center"/>
        <w:rPr>
          <w:bCs/>
          <w:sz w:val="22"/>
          <w:szCs w:val="22"/>
        </w:rPr>
      </w:pPr>
      <w:r w:rsidRPr="009C31A1">
        <w:rPr>
          <w:bCs/>
          <w:sz w:val="22"/>
          <w:szCs w:val="22"/>
        </w:rPr>
        <w:t>Fig</w:t>
      </w:r>
      <w:r w:rsidR="00C77E11" w:rsidRPr="009C31A1">
        <w:rPr>
          <w:bCs/>
          <w:sz w:val="22"/>
          <w:szCs w:val="22"/>
        </w:rPr>
        <w:t>.</w:t>
      </w:r>
      <w:r w:rsidRPr="009C31A1">
        <w:rPr>
          <w:bCs/>
          <w:sz w:val="22"/>
          <w:szCs w:val="22"/>
        </w:rPr>
        <w:t>III.</w:t>
      </w:r>
      <w:r w:rsidR="00C77E11" w:rsidRPr="009C31A1">
        <w:rPr>
          <w:bCs/>
          <w:sz w:val="22"/>
          <w:szCs w:val="22"/>
        </w:rPr>
        <w:t>4</w:t>
      </w:r>
      <w:r w:rsidRPr="009C31A1">
        <w:rPr>
          <w:bCs/>
          <w:sz w:val="22"/>
          <w:szCs w:val="22"/>
        </w:rPr>
        <w:t>.</w:t>
      </w:r>
      <w:r w:rsidR="00C77E11" w:rsidRPr="009C31A1">
        <w:rPr>
          <w:bCs/>
          <w:sz w:val="22"/>
          <w:szCs w:val="22"/>
        </w:rPr>
        <w:t>1.</w:t>
      </w:r>
      <w:r w:rsidRPr="009C31A1">
        <w:rPr>
          <w:bCs/>
          <w:sz w:val="22"/>
          <w:szCs w:val="22"/>
        </w:rPr>
        <w:t xml:space="preserve"> </w:t>
      </w:r>
      <w:r w:rsidR="00EF7B60" w:rsidRPr="009C31A1">
        <w:rPr>
          <w:bCs/>
          <w:sz w:val="22"/>
          <w:szCs w:val="22"/>
        </w:rPr>
        <w:t>S</w:t>
      </w:r>
      <w:r w:rsidR="00C26A3E" w:rsidRPr="009C31A1">
        <w:rPr>
          <w:bCs/>
          <w:sz w:val="22"/>
          <w:szCs w:val="22"/>
        </w:rPr>
        <w:t>uprafaţ</w:t>
      </w:r>
      <w:r w:rsidR="00EF7B60" w:rsidRPr="009C31A1">
        <w:rPr>
          <w:bCs/>
          <w:sz w:val="22"/>
          <w:szCs w:val="22"/>
        </w:rPr>
        <w:t xml:space="preserve">a cultivată </w:t>
      </w:r>
      <w:r w:rsidR="00F3307D" w:rsidRPr="009C31A1">
        <w:rPr>
          <w:bCs/>
          <w:sz w:val="22"/>
          <w:szCs w:val="22"/>
        </w:rPr>
        <w:t xml:space="preserve">în agricultura </w:t>
      </w:r>
      <w:r w:rsidRPr="009C31A1">
        <w:rPr>
          <w:bCs/>
          <w:sz w:val="22"/>
          <w:szCs w:val="22"/>
        </w:rPr>
        <w:t>ecologică raportată la suprafaţa agricolă a jud</w:t>
      </w:r>
      <w:r w:rsidR="0069162D" w:rsidRPr="009C31A1">
        <w:rPr>
          <w:bCs/>
          <w:sz w:val="22"/>
          <w:szCs w:val="22"/>
        </w:rPr>
        <w:t>.</w:t>
      </w:r>
      <w:r w:rsidRPr="009C31A1">
        <w:rPr>
          <w:bCs/>
          <w:sz w:val="22"/>
          <w:szCs w:val="22"/>
        </w:rPr>
        <w:t xml:space="preserve"> </w:t>
      </w:r>
    </w:p>
    <w:p w:rsidR="00122361" w:rsidRPr="009C31A1" w:rsidRDefault="00973536" w:rsidP="00F40970">
      <w:pPr>
        <w:pStyle w:val="BodyTextIndent2"/>
        <w:widowControl w:val="0"/>
        <w:ind w:firstLine="0"/>
        <w:jc w:val="center"/>
        <w:rPr>
          <w:bCs/>
          <w:sz w:val="22"/>
          <w:szCs w:val="22"/>
        </w:rPr>
      </w:pPr>
      <w:r w:rsidRPr="009C31A1">
        <w:rPr>
          <w:bCs/>
          <w:sz w:val="22"/>
          <w:szCs w:val="22"/>
        </w:rPr>
        <w:t>(</w:t>
      </w:r>
      <w:r w:rsidR="00A95554" w:rsidRPr="009C31A1">
        <w:rPr>
          <w:i/>
          <w:sz w:val="22"/>
          <w:szCs w:val="22"/>
        </w:rPr>
        <w:t>Sursa: Direcţia pentru Agricultură</w:t>
      </w:r>
      <w:r w:rsidR="00CD0543" w:rsidRPr="009C31A1">
        <w:rPr>
          <w:i/>
          <w:sz w:val="22"/>
          <w:szCs w:val="22"/>
        </w:rPr>
        <w:t xml:space="preserve"> Județeană</w:t>
      </w:r>
      <w:r w:rsidR="00A95554" w:rsidRPr="009C31A1">
        <w:rPr>
          <w:i/>
          <w:sz w:val="22"/>
          <w:szCs w:val="22"/>
        </w:rPr>
        <w:t xml:space="preserve"> Suceava</w:t>
      </w:r>
      <w:r w:rsidR="007742AF" w:rsidRPr="009C31A1">
        <w:rPr>
          <w:sz w:val="22"/>
          <w:szCs w:val="22"/>
        </w:rPr>
        <w:t>)</w:t>
      </w:r>
    </w:p>
    <w:p w:rsidR="00F3307D" w:rsidRPr="00546AB8" w:rsidRDefault="00324F8C" w:rsidP="00F636D1">
      <w:pPr>
        <w:pStyle w:val="BodyTextIndent2"/>
        <w:widowControl w:val="0"/>
        <w:spacing w:after="120"/>
        <w:ind w:firstLine="0"/>
        <w:jc w:val="center"/>
        <w:rPr>
          <w:bCs/>
          <w:color w:val="984806" w:themeColor="accent6" w:themeShade="80"/>
          <w:highlight w:val="yellow"/>
        </w:rPr>
      </w:pPr>
      <w:r w:rsidRPr="00546AB8">
        <w:rPr>
          <w:bCs/>
          <w:noProof/>
          <w:color w:val="984806" w:themeColor="accent6" w:themeShade="80"/>
          <w:highlight w:val="yellow"/>
          <w:lang w:eastAsia="ro-RO"/>
        </w:rPr>
        <w:drawing>
          <wp:inline distT="0" distB="0" distL="0" distR="0">
            <wp:extent cx="6372225" cy="14859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181F" w:rsidRDefault="00BB181F" w:rsidP="00171588">
      <w:pPr>
        <w:pStyle w:val="BodyTextIndent2"/>
        <w:widowControl w:val="0"/>
        <w:spacing w:after="120"/>
        <w:ind w:firstLine="708"/>
        <w:jc w:val="both"/>
        <w:rPr>
          <w:bCs/>
        </w:rPr>
      </w:pPr>
    </w:p>
    <w:p w:rsidR="004F6516" w:rsidRPr="000F6159" w:rsidRDefault="004F6516" w:rsidP="00171588">
      <w:pPr>
        <w:pStyle w:val="BodyTextIndent2"/>
        <w:widowControl w:val="0"/>
        <w:spacing w:after="120"/>
        <w:ind w:firstLine="708"/>
        <w:jc w:val="both"/>
        <w:rPr>
          <w:bCs/>
        </w:rPr>
      </w:pPr>
    </w:p>
    <w:sectPr w:rsidR="004F6516" w:rsidRPr="000F6159" w:rsidSect="00A30FB3">
      <w:headerReference w:type="default" r:id="rId14"/>
      <w:footerReference w:type="default" r:id="rId15"/>
      <w:pgSz w:w="11906" w:h="16838"/>
      <w:pgMar w:top="624" w:right="709" w:bottom="1021" w:left="1418" w:header="709" w:footer="709"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700" w:rsidRDefault="009B5700" w:rsidP="00C6458C">
      <w:r>
        <w:separator/>
      </w:r>
    </w:p>
  </w:endnote>
  <w:endnote w:type="continuationSeparator" w:id="0">
    <w:p w:rsidR="009B5700" w:rsidRDefault="009B5700" w:rsidP="00C64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1597"/>
      <w:docPartObj>
        <w:docPartGallery w:val="Page Numbers (Bottom of Page)"/>
        <w:docPartUnique/>
      </w:docPartObj>
    </w:sdtPr>
    <w:sdtContent>
      <w:p w:rsidR="00E8560B" w:rsidRPr="00344F43" w:rsidRDefault="00855CEE" w:rsidP="00344F43">
        <w:pPr>
          <w:pStyle w:val="Footer"/>
          <w:jc w:val="center"/>
        </w:pPr>
        <w:r w:rsidRPr="004B1AF7">
          <w:rPr>
            <w:rFonts w:ascii="Arial" w:hAnsi="Arial" w:cs="Arial"/>
            <w:sz w:val="20"/>
            <w:szCs w:val="20"/>
          </w:rPr>
          <w:fldChar w:fldCharType="begin"/>
        </w:r>
        <w:r w:rsidR="00E8560B" w:rsidRPr="004B1AF7">
          <w:rPr>
            <w:rFonts w:ascii="Arial" w:hAnsi="Arial" w:cs="Arial"/>
            <w:sz w:val="20"/>
            <w:szCs w:val="20"/>
          </w:rPr>
          <w:instrText xml:space="preserve"> PAGE   \* MERGEFORMAT </w:instrText>
        </w:r>
        <w:r w:rsidRPr="004B1AF7">
          <w:rPr>
            <w:rFonts w:ascii="Arial" w:hAnsi="Arial" w:cs="Arial"/>
            <w:sz w:val="20"/>
            <w:szCs w:val="20"/>
          </w:rPr>
          <w:fldChar w:fldCharType="separate"/>
        </w:r>
        <w:r w:rsidR="00A30FB3">
          <w:rPr>
            <w:rFonts w:ascii="Arial" w:hAnsi="Arial" w:cs="Arial"/>
            <w:noProof/>
            <w:sz w:val="20"/>
            <w:szCs w:val="20"/>
          </w:rPr>
          <w:t>47</w:t>
        </w:r>
        <w:r w:rsidRPr="004B1AF7">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700" w:rsidRDefault="009B5700" w:rsidP="00C6458C">
      <w:r>
        <w:separator/>
      </w:r>
    </w:p>
  </w:footnote>
  <w:footnote w:type="continuationSeparator" w:id="0">
    <w:p w:rsidR="009B5700" w:rsidRDefault="009B5700" w:rsidP="00C6458C">
      <w:r>
        <w:continuationSeparator/>
      </w:r>
    </w:p>
  </w:footnote>
  <w:footnote w:id="1">
    <w:p w:rsidR="00E8560B" w:rsidRPr="00D44602" w:rsidRDefault="00E8560B">
      <w:pPr>
        <w:pStyle w:val="FootnoteText"/>
        <w:rPr>
          <w:rFonts w:ascii="Arial" w:hAnsi="Arial" w:cs="Arial"/>
          <w:lang w:val="ro-RO"/>
        </w:rPr>
      </w:pPr>
      <w:r w:rsidRPr="00D44602">
        <w:rPr>
          <w:rStyle w:val="FootnoteReference"/>
          <w:rFonts w:ascii="Arial" w:hAnsi="Arial" w:cs="Arial"/>
        </w:rPr>
        <w:footnoteRef/>
      </w:r>
      <w:r w:rsidRPr="00D44602">
        <w:rPr>
          <w:rFonts w:ascii="Arial" w:hAnsi="Arial" w:cs="Arial"/>
        </w:rPr>
        <w:t xml:space="preserve"> </w:t>
      </w:r>
      <w:r w:rsidRPr="00D44602">
        <w:rPr>
          <w:rFonts w:ascii="Arial" w:hAnsi="Arial" w:cs="Arial"/>
          <w:lang w:val="ro-RO"/>
        </w:rPr>
        <w:t>Ghid de elaborare a Raportului anual privind starea mediului conform cerinţelor SOER</w:t>
      </w:r>
      <w:r w:rsidR="00402300">
        <w:rPr>
          <w:rFonts w:ascii="Arial" w:hAnsi="Arial" w:cs="Arial"/>
          <w:lang w:val="ro-RO"/>
        </w:rPr>
        <w:t>, pag 136.</w:t>
      </w:r>
    </w:p>
  </w:footnote>
  <w:footnote w:id="2">
    <w:p w:rsidR="00E8560B" w:rsidRPr="00BC47E8" w:rsidRDefault="00E8560B" w:rsidP="002E3147">
      <w:pPr>
        <w:pStyle w:val="FootnoteText"/>
        <w:rPr>
          <w:rFonts w:ascii="Arial" w:hAnsi="Arial" w:cs="Arial"/>
          <w:bCs/>
          <w:iCs/>
          <w:color w:val="000000"/>
          <w:lang w:eastAsia="ro-RO"/>
        </w:rPr>
      </w:pPr>
      <w:r>
        <w:rPr>
          <w:rStyle w:val="FootnoteReference"/>
        </w:rPr>
        <w:footnoteRef/>
      </w:r>
      <w:r>
        <w:t xml:space="preserve"> </w:t>
      </w:r>
      <w:r w:rsidRPr="006B327E">
        <w:rPr>
          <w:rFonts w:ascii="Arial" w:hAnsi="Arial" w:cs="Arial"/>
          <w:bCs/>
          <w:iCs/>
          <w:color w:val="000000"/>
          <w:lang w:eastAsia="ro-RO"/>
        </w:rPr>
        <w:t>Mediul European - Starea şi Perspectiva 2010</w:t>
      </w:r>
      <w:r w:rsidRPr="00BC47E8">
        <w:rPr>
          <w:iCs/>
          <w:color w:val="000000"/>
          <w:lang w:eastAsia="ro-RO"/>
        </w:rPr>
        <w:t>,</w:t>
      </w:r>
      <w:r w:rsidRPr="00BC47E8">
        <w:rPr>
          <w:b/>
          <w:iCs/>
          <w:color w:val="000000"/>
          <w:lang w:eastAsia="ro-RO"/>
        </w:rPr>
        <w:t xml:space="preserve"> </w:t>
      </w:r>
      <w:r w:rsidRPr="00BC47E8">
        <w:rPr>
          <w:rFonts w:ascii="Arial" w:hAnsi="Arial" w:cs="Arial"/>
          <w:bCs/>
          <w:iCs/>
          <w:color w:val="000000"/>
          <w:lang w:eastAsia="ro-RO"/>
        </w:rPr>
        <w:t>EEA, site http://www.eea.europa.eu/soer/synthesis/synthesis</w:t>
      </w:r>
      <w:r w:rsidRPr="00BC47E8">
        <w:rPr>
          <w:rFonts w:ascii="Arial" w:hAnsi="Arial" w:cs="Arial"/>
          <w:b/>
          <w:iCs/>
          <w:color w:val="000000"/>
          <w:lang w:eastAsia="ro-RO"/>
        </w:rPr>
        <w:t xml:space="preserve"> </w:t>
      </w:r>
    </w:p>
  </w:footnote>
  <w:footnote w:id="3">
    <w:p w:rsidR="00E8560B" w:rsidRPr="00D44602" w:rsidRDefault="00E8560B">
      <w:pPr>
        <w:pStyle w:val="FootnoteText"/>
        <w:rPr>
          <w:rFonts w:ascii="Arial" w:hAnsi="Arial" w:cs="Arial"/>
          <w:lang w:val="ro-RO"/>
        </w:rPr>
      </w:pPr>
      <w:r w:rsidRPr="00D44602">
        <w:rPr>
          <w:rStyle w:val="FootnoteReference"/>
          <w:rFonts w:ascii="Arial" w:hAnsi="Arial" w:cs="Arial"/>
        </w:rPr>
        <w:footnoteRef/>
      </w:r>
      <w:r w:rsidRPr="00D44602">
        <w:rPr>
          <w:rFonts w:ascii="Arial" w:hAnsi="Arial" w:cs="Arial"/>
        </w:rPr>
        <w:t xml:space="preserve"> </w:t>
      </w:r>
      <w:r w:rsidRPr="00D44602">
        <w:rPr>
          <w:rFonts w:ascii="Arial" w:hAnsi="Arial" w:cs="Arial"/>
          <w:lang w:val="ro-RO"/>
        </w:rPr>
        <w:t>O.S.P.A. Suceava, 2015</w:t>
      </w:r>
    </w:p>
  </w:footnote>
  <w:footnote w:id="4">
    <w:p w:rsidR="00E8560B" w:rsidRPr="007742AF" w:rsidRDefault="00E8560B" w:rsidP="005514FA">
      <w:pPr>
        <w:pStyle w:val="FootnoteText"/>
        <w:jc w:val="both"/>
        <w:rPr>
          <w:rFonts w:ascii="Arial" w:hAnsi="Arial" w:cs="Arial"/>
          <w:lang w:val="ro-RO"/>
        </w:rPr>
      </w:pPr>
      <w:r w:rsidRPr="007742AF">
        <w:rPr>
          <w:rStyle w:val="FootnoteReference"/>
          <w:rFonts w:ascii="Arial" w:hAnsi="Arial" w:cs="Arial"/>
        </w:rPr>
        <w:footnoteRef/>
      </w:r>
      <w:r w:rsidRPr="007742AF">
        <w:rPr>
          <w:rFonts w:ascii="Arial" w:hAnsi="Arial" w:cs="Arial"/>
        </w:rPr>
        <w:t xml:space="preserve"> </w:t>
      </w:r>
      <w:r w:rsidRPr="007742AF">
        <w:rPr>
          <w:rFonts w:ascii="Arial" w:hAnsi="Arial" w:cs="Arial"/>
          <w:lang w:val="ro-RO"/>
        </w:rPr>
        <w:t>Influenţa factorului antropic asupra integrităţii şi funcţionării reţelei de desecare</w:t>
      </w:r>
      <w:r>
        <w:rPr>
          <w:rFonts w:ascii="Arial" w:hAnsi="Arial" w:cs="Arial"/>
          <w:lang w:val="ro-RO"/>
        </w:rPr>
        <w:t xml:space="preserve"> </w:t>
      </w:r>
      <w:r w:rsidRPr="007742AF">
        <w:rPr>
          <w:rFonts w:ascii="Arial" w:hAnsi="Arial" w:cs="Arial"/>
          <w:lang w:val="ro-RO"/>
        </w:rPr>
        <w:t>- drenaj din sistemul Rotopăneşti-Rădăşeni-Fântâna Mare, O.Radu, Univ.de Ştiinţe Agricole şi Medicină Veterinară Iaşi</w:t>
      </w:r>
    </w:p>
  </w:footnote>
  <w:footnote w:id="5">
    <w:p w:rsidR="00E8560B" w:rsidRPr="00F1636D" w:rsidRDefault="00E8560B">
      <w:pPr>
        <w:pStyle w:val="FootnoteText"/>
        <w:rPr>
          <w:rFonts w:ascii="Arial" w:hAnsi="Arial" w:cs="Arial"/>
          <w:lang w:val="ro-RO"/>
        </w:rPr>
      </w:pPr>
      <w:r w:rsidRPr="00F1636D">
        <w:rPr>
          <w:rStyle w:val="FootnoteReference"/>
          <w:rFonts w:ascii="Arial" w:hAnsi="Arial" w:cs="Arial"/>
        </w:rPr>
        <w:footnoteRef/>
      </w:r>
      <w:r w:rsidRPr="00F1636D">
        <w:rPr>
          <w:rFonts w:ascii="Arial" w:hAnsi="Arial" w:cs="Arial"/>
        </w:rPr>
        <w:t xml:space="preserve"> </w:t>
      </w:r>
      <w:r w:rsidRPr="00F1636D">
        <w:rPr>
          <w:rFonts w:ascii="Arial" w:hAnsi="Arial" w:cs="Arial"/>
          <w:lang w:val="ro-RO"/>
        </w:rPr>
        <w:t>Ghid de elaborare a Raportului anual privind starea mediului conform cerinţelor SOER</w:t>
      </w:r>
      <w:r w:rsidR="00F1636D" w:rsidRPr="00F1636D">
        <w:rPr>
          <w:rFonts w:ascii="Arial" w:hAnsi="Arial" w:cs="Arial"/>
          <w:lang w:val="ro-RO"/>
        </w:rPr>
        <w:t xml:space="preserve"> –</w:t>
      </w:r>
      <w:r w:rsidR="00F1636D">
        <w:rPr>
          <w:rFonts w:ascii="Arial" w:hAnsi="Arial" w:cs="Arial"/>
          <w:lang w:val="ro-RO"/>
        </w:rPr>
        <w:t xml:space="preserve"> Indicator RO 26 ,,</w:t>
      </w:r>
      <w:r w:rsidR="00F1636D" w:rsidRPr="00F1636D">
        <w:rPr>
          <w:rFonts w:ascii="Arial" w:hAnsi="Arial" w:cs="Arial"/>
          <w:i/>
          <w:lang w:val="ro-RO"/>
        </w:rPr>
        <w:t>SUPRAFAȚA DESTINATĂ AGRICULTURII ECOLOGICE</w:t>
      </w:r>
      <w:r w:rsidR="00F1636D" w:rsidRPr="00F1636D">
        <w:rPr>
          <w:rFonts w:ascii="Arial" w:hAnsi="Arial" w:cs="Arial"/>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60B" w:rsidRPr="005E7D7A" w:rsidRDefault="00E8560B" w:rsidP="008A100D">
    <w:pPr>
      <w:pStyle w:val="Header"/>
      <w:rPr>
        <w:rFonts w:ascii="Arial" w:hAnsi="Arial" w:cs="Arial"/>
        <w:b/>
        <w:i/>
        <w:sz w:val="20"/>
        <w:lang w:val="ro-RO"/>
      </w:rPr>
    </w:pPr>
    <w:r w:rsidRPr="005E7D7A">
      <w:rPr>
        <w:rFonts w:ascii="Arial" w:hAnsi="Arial" w:cs="Arial"/>
        <w:b/>
        <w:i/>
        <w:sz w:val="20"/>
        <w:lang w:val="ro-RO"/>
      </w:rPr>
      <w:t>Raport privind starea mediului în judeţul Suceava în anul 201</w:t>
    </w:r>
    <w:r w:rsidR="00F32104">
      <w:rPr>
        <w:rFonts w:ascii="Arial" w:hAnsi="Arial" w:cs="Arial"/>
        <w:b/>
        <w:i/>
        <w:sz w:val="20"/>
        <w:lang w:val="ro-RO"/>
      </w:rPr>
      <w:t>7</w:t>
    </w:r>
  </w:p>
  <w:p w:rsidR="00E8560B" w:rsidRDefault="00855CEE" w:rsidP="008A100D">
    <w:pPr>
      <w:pStyle w:val="Header"/>
      <w:tabs>
        <w:tab w:val="left" w:pos="2880"/>
      </w:tabs>
    </w:pPr>
    <w:r w:rsidRPr="00855CEE">
      <w:rPr>
        <w:noProof/>
        <w:lang w:val="en-AU"/>
      </w:rPr>
      <w:pict>
        <v:line id="_x0000_s3075" style="position:absolute;flip:y;z-index:251663360" from=".9pt,3.45pt" to="495.3pt,3.45pt" o:allowincell="f">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B5B90"/>
    <w:multiLevelType w:val="hybridMultilevel"/>
    <w:tmpl w:val="4090258E"/>
    <w:lvl w:ilvl="0" w:tplc="009CAC72">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nsid w:val="7FB35816"/>
    <w:multiLevelType w:val="hybridMultilevel"/>
    <w:tmpl w:val="F6023B8A"/>
    <w:lvl w:ilvl="0" w:tplc="1B420B96">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5842"/>
    <o:shapelayout v:ext="edit">
      <o:idmap v:ext="edit" data="3"/>
    </o:shapelayout>
  </w:hdrShapeDefaults>
  <w:footnotePr>
    <w:footnote w:id="-1"/>
    <w:footnote w:id="0"/>
  </w:footnotePr>
  <w:endnotePr>
    <w:endnote w:id="-1"/>
    <w:endnote w:id="0"/>
  </w:endnotePr>
  <w:compat/>
  <w:rsids>
    <w:rsidRoot w:val="00C6458C"/>
    <w:rsid w:val="00001395"/>
    <w:rsid w:val="00006C7B"/>
    <w:rsid w:val="0002197A"/>
    <w:rsid w:val="0002681B"/>
    <w:rsid w:val="000302BE"/>
    <w:rsid w:val="000344AD"/>
    <w:rsid w:val="000356C2"/>
    <w:rsid w:val="00037FD2"/>
    <w:rsid w:val="00050ED9"/>
    <w:rsid w:val="0005361B"/>
    <w:rsid w:val="00053C60"/>
    <w:rsid w:val="00054AB1"/>
    <w:rsid w:val="00055BB9"/>
    <w:rsid w:val="00060E6D"/>
    <w:rsid w:val="00074A83"/>
    <w:rsid w:val="00076C89"/>
    <w:rsid w:val="0007753C"/>
    <w:rsid w:val="00084805"/>
    <w:rsid w:val="00090527"/>
    <w:rsid w:val="00090C54"/>
    <w:rsid w:val="000935E6"/>
    <w:rsid w:val="00093AAA"/>
    <w:rsid w:val="00096F8F"/>
    <w:rsid w:val="0009742C"/>
    <w:rsid w:val="000A33C4"/>
    <w:rsid w:val="000A406E"/>
    <w:rsid w:val="000A67B7"/>
    <w:rsid w:val="000C2C7D"/>
    <w:rsid w:val="000C3272"/>
    <w:rsid w:val="000C3AC4"/>
    <w:rsid w:val="000C3C35"/>
    <w:rsid w:val="000C54FB"/>
    <w:rsid w:val="000C66A5"/>
    <w:rsid w:val="000D45C1"/>
    <w:rsid w:val="000D4A62"/>
    <w:rsid w:val="000D6264"/>
    <w:rsid w:val="000D7334"/>
    <w:rsid w:val="000E7C9A"/>
    <w:rsid w:val="000F1001"/>
    <w:rsid w:val="000F6159"/>
    <w:rsid w:val="001007E0"/>
    <w:rsid w:val="00101292"/>
    <w:rsid w:val="00101763"/>
    <w:rsid w:val="001065F2"/>
    <w:rsid w:val="001073DF"/>
    <w:rsid w:val="00107A41"/>
    <w:rsid w:val="00110A36"/>
    <w:rsid w:val="00112579"/>
    <w:rsid w:val="00113251"/>
    <w:rsid w:val="00114A28"/>
    <w:rsid w:val="0011651C"/>
    <w:rsid w:val="001174DA"/>
    <w:rsid w:val="00120D39"/>
    <w:rsid w:val="00120DC5"/>
    <w:rsid w:val="00122361"/>
    <w:rsid w:val="00125DE9"/>
    <w:rsid w:val="00125E1D"/>
    <w:rsid w:val="00126497"/>
    <w:rsid w:val="0012680C"/>
    <w:rsid w:val="00127940"/>
    <w:rsid w:val="00130B31"/>
    <w:rsid w:val="001351EF"/>
    <w:rsid w:val="001363F3"/>
    <w:rsid w:val="001365B4"/>
    <w:rsid w:val="00137974"/>
    <w:rsid w:val="001434CD"/>
    <w:rsid w:val="00143517"/>
    <w:rsid w:val="0014442B"/>
    <w:rsid w:val="0014666A"/>
    <w:rsid w:val="0016174C"/>
    <w:rsid w:val="00171588"/>
    <w:rsid w:val="00173046"/>
    <w:rsid w:val="001732A2"/>
    <w:rsid w:val="00180F50"/>
    <w:rsid w:val="001822F0"/>
    <w:rsid w:val="00182837"/>
    <w:rsid w:val="00184B50"/>
    <w:rsid w:val="001913F2"/>
    <w:rsid w:val="00193A5E"/>
    <w:rsid w:val="00196972"/>
    <w:rsid w:val="001977D9"/>
    <w:rsid w:val="00197EC1"/>
    <w:rsid w:val="001A0DA1"/>
    <w:rsid w:val="001A564D"/>
    <w:rsid w:val="001A56A3"/>
    <w:rsid w:val="001A730E"/>
    <w:rsid w:val="001B129D"/>
    <w:rsid w:val="001B3C32"/>
    <w:rsid w:val="001B3F03"/>
    <w:rsid w:val="001B7A67"/>
    <w:rsid w:val="001C3FAB"/>
    <w:rsid w:val="001C4EE1"/>
    <w:rsid w:val="001C7021"/>
    <w:rsid w:val="001D132A"/>
    <w:rsid w:val="001D1EE4"/>
    <w:rsid w:val="001D6332"/>
    <w:rsid w:val="001D702E"/>
    <w:rsid w:val="001E086D"/>
    <w:rsid w:val="001E1805"/>
    <w:rsid w:val="001E1E9E"/>
    <w:rsid w:val="001E27CE"/>
    <w:rsid w:val="001E3128"/>
    <w:rsid w:val="001E3618"/>
    <w:rsid w:val="001E79B7"/>
    <w:rsid w:val="001F05F0"/>
    <w:rsid w:val="001F06CB"/>
    <w:rsid w:val="001F113D"/>
    <w:rsid w:val="001F1142"/>
    <w:rsid w:val="001F2390"/>
    <w:rsid w:val="001F5126"/>
    <w:rsid w:val="00205197"/>
    <w:rsid w:val="0020582E"/>
    <w:rsid w:val="002063C8"/>
    <w:rsid w:val="002069E2"/>
    <w:rsid w:val="00207F38"/>
    <w:rsid w:val="00214DF4"/>
    <w:rsid w:val="00214EFC"/>
    <w:rsid w:val="002168EE"/>
    <w:rsid w:val="002172E0"/>
    <w:rsid w:val="002179C1"/>
    <w:rsid w:val="00220D0B"/>
    <w:rsid w:val="00221224"/>
    <w:rsid w:val="00221D61"/>
    <w:rsid w:val="00222784"/>
    <w:rsid w:val="002259A3"/>
    <w:rsid w:val="00231B2B"/>
    <w:rsid w:val="00234BD7"/>
    <w:rsid w:val="0023556E"/>
    <w:rsid w:val="00236932"/>
    <w:rsid w:val="0023730F"/>
    <w:rsid w:val="0024120F"/>
    <w:rsid w:val="00243DCE"/>
    <w:rsid w:val="0024737D"/>
    <w:rsid w:val="00254E7A"/>
    <w:rsid w:val="002567B8"/>
    <w:rsid w:val="00260880"/>
    <w:rsid w:val="00262A54"/>
    <w:rsid w:val="00277785"/>
    <w:rsid w:val="00282560"/>
    <w:rsid w:val="00283EA3"/>
    <w:rsid w:val="00295910"/>
    <w:rsid w:val="00296C1E"/>
    <w:rsid w:val="002A0FF7"/>
    <w:rsid w:val="002A2A8F"/>
    <w:rsid w:val="002A2AF7"/>
    <w:rsid w:val="002A635F"/>
    <w:rsid w:val="002B18F7"/>
    <w:rsid w:val="002B4532"/>
    <w:rsid w:val="002B5994"/>
    <w:rsid w:val="002C4B84"/>
    <w:rsid w:val="002C5A0B"/>
    <w:rsid w:val="002D034E"/>
    <w:rsid w:val="002D3EE0"/>
    <w:rsid w:val="002D4FE4"/>
    <w:rsid w:val="002D5B92"/>
    <w:rsid w:val="002E1FA1"/>
    <w:rsid w:val="002E3147"/>
    <w:rsid w:val="002E3200"/>
    <w:rsid w:val="002E7D1A"/>
    <w:rsid w:val="00301830"/>
    <w:rsid w:val="00305083"/>
    <w:rsid w:val="0030542B"/>
    <w:rsid w:val="00313C21"/>
    <w:rsid w:val="00316A39"/>
    <w:rsid w:val="003224A0"/>
    <w:rsid w:val="00324BE8"/>
    <w:rsid w:val="00324F8C"/>
    <w:rsid w:val="00327079"/>
    <w:rsid w:val="00333FD9"/>
    <w:rsid w:val="00334423"/>
    <w:rsid w:val="003369B4"/>
    <w:rsid w:val="00337C06"/>
    <w:rsid w:val="00340581"/>
    <w:rsid w:val="00341591"/>
    <w:rsid w:val="003415F2"/>
    <w:rsid w:val="0034439B"/>
    <w:rsid w:val="00344F43"/>
    <w:rsid w:val="00354E80"/>
    <w:rsid w:val="003572A6"/>
    <w:rsid w:val="00364DD9"/>
    <w:rsid w:val="0036575D"/>
    <w:rsid w:val="00366C4E"/>
    <w:rsid w:val="00373DD2"/>
    <w:rsid w:val="003774C6"/>
    <w:rsid w:val="003866D7"/>
    <w:rsid w:val="0038708B"/>
    <w:rsid w:val="003A0839"/>
    <w:rsid w:val="003A18B1"/>
    <w:rsid w:val="003A2133"/>
    <w:rsid w:val="003A2203"/>
    <w:rsid w:val="003A3A11"/>
    <w:rsid w:val="003A60B1"/>
    <w:rsid w:val="003A6629"/>
    <w:rsid w:val="003B4177"/>
    <w:rsid w:val="003B518F"/>
    <w:rsid w:val="003B5924"/>
    <w:rsid w:val="003B778A"/>
    <w:rsid w:val="003D1664"/>
    <w:rsid w:val="003D5030"/>
    <w:rsid w:val="003D59D8"/>
    <w:rsid w:val="003D765F"/>
    <w:rsid w:val="003E139F"/>
    <w:rsid w:val="003E1A68"/>
    <w:rsid w:val="003E2A0D"/>
    <w:rsid w:val="00400F2B"/>
    <w:rsid w:val="00401CA0"/>
    <w:rsid w:val="00402300"/>
    <w:rsid w:val="004060F0"/>
    <w:rsid w:val="00413ED4"/>
    <w:rsid w:val="0042245D"/>
    <w:rsid w:val="0042353B"/>
    <w:rsid w:val="0043318B"/>
    <w:rsid w:val="00433377"/>
    <w:rsid w:val="004420C8"/>
    <w:rsid w:val="00442CB2"/>
    <w:rsid w:val="0044378E"/>
    <w:rsid w:val="00451C74"/>
    <w:rsid w:val="00452BF4"/>
    <w:rsid w:val="00455732"/>
    <w:rsid w:val="00456407"/>
    <w:rsid w:val="00456E59"/>
    <w:rsid w:val="00457D55"/>
    <w:rsid w:val="00461E62"/>
    <w:rsid w:val="0046209F"/>
    <w:rsid w:val="00471DFB"/>
    <w:rsid w:val="004734DB"/>
    <w:rsid w:val="00476107"/>
    <w:rsid w:val="004768EE"/>
    <w:rsid w:val="00480B6F"/>
    <w:rsid w:val="00484C1D"/>
    <w:rsid w:val="00484DE0"/>
    <w:rsid w:val="00486D16"/>
    <w:rsid w:val="004A53BA"/>
    <w:rsid w:val="004A6CFC"/>
    <w:rsid w:val="004B13EA"/>
    <w:rsid w:val="004B1AF7"/>
    <w:rsid w:val="004B3870"/>
    <w:rsid w:val="004B54E0"/>
    <w:rsid w:val="004B7484"/>
    <w:rsid w:val="004C1B15"/>
    <w:rsid w:val="004C5C1B"/>
    <w:rsid w:val="004C5EF6"/>
    <w:rsid w:val="004D31D3"/>
    <w:rsid w:val="004D38C6"/>
    <w:rsid w:val="004D5276"/>
    <w:rsid w:val="004E3549"/>
    <w:rsid w:val="004E64E2"/>
    <w:rsid w:val="004F115E"/>
    <w:rsid w:val="004F3CDB"/>
    <w:rsid w:val="004F6516"/>
    <w:rsid w:val="005008D6"/>
    <w:rsid w:val="0050161A"/>
    <w:rsid w:val="00502F05"/>
    <w:rsid w:val="00504759"/>
    <w:rsid w:val="0050735B"/>
    <w:rsid w:val="005117E8"/>
    <w:rsid w:val="00512F7F"/>
    <w:rsid w:val="00514653"/>
    <w:rsid w:val="00517D17"/>
    <w:rsid w:val="0052193D"/>
    <w:rsid w:val="00521AC5"/>
    <w:rsid w:val="005221C5"/>
    <w:rsid w:val="00523F0D"/>
    <w:rsid w:val="00532CD5"/>
    <w:rsid w:val="00533331"/>
    <w:rsid w:val="00535B6D"/>
    <w:rsid w:val="00536C17"/>
    <w:rsid w:val="00540098"/>
    <w:rsid w:val="00540410"/>
    <w:rsid w:val="00541381"/>
    <w:rsid w:val="00546AB8"/>
    <w:rsid w:val="00550C4F"/>
    <w:rsid w:val="005514FA"/>
    <w:rsid w:val="00551789"/>
    <w:rsid w:val="005523ED"/>
    <w:rsid w:val="005524C5"/>
    <w:rsid w:val="00554E81"/>
    <w:rsid w:val="00561B61"/>
    <w:rsid w:val="005624A2"/>
    <w:rsid w:val="00566EA5"/>
    <w:rsid w:val="005727B4"/>
    <w:rsid w:val="00572B82"/>
    <w:rsid w:val="00573EC9"/>
    <w:rsid w:val="005816E9"/>
    <w:rsid w:val="00581920"/>
    <w:rsid w:val="00582349"/>
    <w:rsid w:val="00587F81"/>
    <w:rsid w:val="005A064D"/>
    <w:rsid w:val="005A1E82"/>
    <w:rsid w:val="005A51A4"/>
    <w:rsid w:val="005A5D28"/>
    <w:rsid w:val="005B01FF"/>
    <w:rsid w:val="005B05DD"/>
    <w:rsid w:val="005B2191"/>
    <w:rsid w:val="005B2B89"/>
    <w:rsid w:val="005C14AC"/>
    <w:rsid w:val="005C6702"/>
    <w:rsid w:val="005C6961"/>
    <w:rsid w:val="005D22BE"/>
    <w:rsid w:val="005D646F"/>
    <w:rsid w:val="005E3D85"/>
    <w:rsid w:val="005E4FD4"/>
    <w:rsid w:val="005F224C"/>
    <w:rsid w:val="005F4EBB"/>
    <w:rsid w:val="005F62B1"/>
    <w:rsid w:val="006013EF"/>
    <w:rsid w:val="00602952"/>
    <w:rsid w:val="00603552"/>
    <w:rsid w:val="00603A07"/>
    <w:rsid w:val="006045D2"/>
    <w:rsid w:val="0060522E"/>
    <w:rsid w:val="00606F48"/>
    <w:rsid w:val="00612E48"/>
    <w:rsid w:val="006156D2"/>
    <w:rsid w:val="00626322"/>
    <w:rsid w:val="00631061"/>
    <w:rsid w:val="0063253A"/>
    <w:rsid w:val="006349B9"/>
    <w:rsid w:val="00635DC1"/>
    <w:rsid w:val="00636853"/>
    <w:rsid w:val="006402C0"/>
    <w:rsid w:val="0064030D"/>
    <w:rsid w:val="00641B32"/>
    <w:rsid w:val="00650553"/>
    <w:rsid w:val="006530F6"/>
    <w:rsid w:val="00656D1A"/>
    <w:rsid w:val="00660EC3"/>
    <w:rsid w:val="00665E73"/>
    <w:rsid w:val="00667697"/>
    <w:rsid w:val="00670D9F"/>
    <w:rsid w:val="00671FB0"/>
    <w:rsid w:val="00674282"/>
    <w:rsid w:val="006754AA"/>
    <w:rsid w:val="006867ED"/>
    <w:rsid w:val="0069062B"/>
    <w:rsid w:val="0069162D"/>
    <w:rsid w:val="00693750"/>
    <w:rsid w:val="00693CD5"/>
    <w:rsid w:val="006956C7"/>
    <w:rsid w:val="00696D40"/>
    <w:rsid w:val="006A251E"/>
    <w:rsid w:val="006A66D2"/>
    <w:rsid w:val="006B191F"/>
    <w:rsid w:val="006B2ECE"/>
    <w:rsid w:val="006B6824"/>
    <w:rsid w:val="006C334C"/>
    <w:rsid w:val="006D071B"/>
    <w:rsid w:val="006D13DF"/>
    <w:rsid w:val="006D28F7"/>
    <w:rsid w:val="006E27FD"/>
    <w:rsid w:val="006E648E"/>
    <w:rsid w:val="006F3C86"/>
    <w:rsid w:val="006F54E8"/>
    <w:rsid w:val="006F5667"/>
    <w:rsid w:val="007005C3"/>
    <w:rsid w:val="0071102C"/>
    <w:rsid w:val="00711BA1"/>
    <w:rsid w:val="00713CB1"/>
    <w:rsid w:val="00715BD8"/>
    <w:rsid w:val="0072065F"/>
    <w:rsid w:val="00724DCD"/>
    <w:rsid w:val="00731BAD"/>
    <w:rsid w:val="0073407A"/>
    <w:rsid w:val="00735D60"/>
    <w:rsid w:val="00742436"/>
    <w:rsid w:val="007425A9"/>
    <w:rsid w:val="00745C8E"/>
    <w:rsid w:val="0075029A"/>
    <w:rsid w:val="00751253"/>
    <w:rsid w:val="007521B1"/>
    <w:rsid w:val="007536C9"/>
    <w:rsid w:val="007542C7"/>
    <w:rsid w:val="00760AB1"/>
    <w:rsid w:val="007623AB"/>
    <w:rsid w:val="007650A7"/>
    <w:rsid w:val="007700B5"/>
    <w:rsid w:val="007742AF"/>
    <w:rsid w:val="0078421E"/>
    <w:rsid w:val="00786B0E"/>
    <w:rsid w:val="00791424"/>
    <w:rsid w:val="0079780B"/>
    <w:rsid w:val="007A0C40"/>
    <w:rsid w:val="007A55D5"/>
    <w:rsid w:val="007A59FE"/>
    <w:rsid w:val="007B719F"/>
    <w:rsid w:val="007C12CF"/>
    <w:rsid w:val="007C19EB"/>
    <w:rsid w:val="007C2058"/>
    <w:rsid w:val="007D0D76"/>
    <w:rsid w:val="007D3EF6"/>
    <w:rsid w:val="007D454D"/>
    <w:rsid w:val="007E162F"/>
    <w:rsid w:val="007E1B18"/>
    <w:rsid w:val="007E51C5"/>
    <w:rsid w:val="007E6D2D"/>
    <w:rsid w:val="007E7571"/>
    <w:rsid w:val="007E7AB1"/>
    <w:rsid w:val="007F1AA1"/>
    <w:rsid w:val="007F2E7F"/>
    <w:rsid w:val="00800AF3"/>
    <w:rsid w:val="00801A5E"/>
    <w:rsid w:val="00805122"/>
    <w:rsid w:val="00813BC3"/>
    <w:rsid w:val="00814074"/>
    <w:rsid w:val="00821503"/>
    <w:rsid w:val="00827A2B"/>
    <w:rsid w:val="008312D6"/>
    <w:rsid w:val="00837D5D"/>
    <w:rsid w:val="0084477B"/>
    <w:rsid w:val="00846E4C"/>
    <w:rsid w:val="00850D68"/>
    <w:rsid w:val="008512FF"/>
    <w:rsid w:val="008516EA"/>
    <w:rsid w:val="00855CEE"/>
    <w:rsid w:val="00856040"/>
    <w:rsid w:val="0085744F"/>
    <w:rsid w:val="00863C9D"/>
    <w:rsid w:val="00867812"/>
    <w:rsid w:val="00873856"/>
    <w:rsid w:val="00875689"/>
    <w:rsid w:val="00876BA6"/>
    <w:rsid w:val="0087715B"/>
    <w:rsid w:val="008775CA"/>
    <w:rsid w:val="00892B27"/>
    <w:rsid w:val="00896FBF"/>
    <w:rsid w:val="008A100D"/>
    <w:rsid w:val="008A2E55"/>
    <w:rsid w:val="008A7E80"/>
    <w:rsid w:val="008B280A"/>
    <w:rsid w:val="008B3931"/>
    <w:rsid w:val="008B4BC7"/>
    <w:rsid w:val="008B4D63"/>
    <w:rsid w:val="008C184B"/>
    <w:rsid w:val="008C629D"/>
    <w:rsid w:val="008C6A9C"/>
    <w:rsid w:val="008C78EC"/>
    <w:rsid w:val="008D173C"/>
    <w:rsid w:val="008D47BA"/>
    <w:rsid w:val="008D511F"/>
    <w:rsid w:val="008D57EE"/>
    <w:rsid w:val="008F2E2A"/>
    <w:rsid w:val="00901B18"/>
    <w:rsid w:val="00903562"/>
    <w:rsid w:val="00907E11"/>
    <w:rsid w:val="00910A2B"/>
    <w:rsid w:val="009219A1"/>
    <w:rsid w:val="00922ACD"/>
    <w:rsid w:val="00924D4F"/>
    <w:rsid w:val="00925CEE"/>
    <w:rsid w:val="00931747"/>
    <w:rsid w:val="009367A9"/>
    <w:rsid w:val="00940ED5"/>
    <w:rsid w:val="00942A36"/>
    <w:rsid w:val="00945060"/>
    <w:rsid w:val="00951ABB"/>
    <w:rsid w:val="00953492"/>
    <w:rsid w:val="00956D5F"/>
    <w:rsid w:val="009620D8"/>
    <w:rsid w:val="0096339D"/>
    <w:rsid w:val="00967B1C"/>
    <w:rsid w:val="00970D87"/>
    <w:rsid w:val="00971125"/>
    <w:rsid w:val="00973536"/>
    <w:rsid w:val="009737AA"/>
    <w:rsid w:val="009751FF"/>
    <w:rsid w:val="00992E95"/>
    <w:rsid w:val="00996678"/>
    <w:rsid w:val="009B3023"/>
    <w:rsid w:val="009B5700"/>
    <w:rsid w:val="009B6721"/>
    <w:rsid w:val="009B676A"/>
    <w:rsid w:val="009C106D"/>
    <w:rsid w:val="009C10CC"/>
    <w:rsid w:val="009C31A1"/>
    <w:rsid w:val="009C32FD"/>
    <w:rsid w:val="009C446F"/>
    <w:rsid w:val="009C6C3B"/>
    <w:rsid w:val="009C6F8A"/>
    <w:rsid w:val="009D1A14"/>
    <w:rsid w:val="009D27CC"/>
    <w:rsid w:val="009D4980"/>
    <w:rsid w:val="009D77AE"/>
    <w:rsid w:val="009E0260"/>
    <w:rsid w:val="009E0A33"/>
    <w:rsid w:val="009F651D"/>
    <w:rsid w:val="009F69E4"/>
    <w:rsid w:val="00A0518D"/>
    <w:rsid w:val="00A06232"/>
    <w:rsid w:val="00A071F6"/>
    <w:rsid w:val="00A1314F"/>
    <w:rsid w:val="00A2092C"/>
    <w:rsid w:val="00A21592"/>
    <w:rsid w:val="00A23F22"/>
    <w:rsid w:val="00A2441D"/>
    <w:rsid w:val="00A27F89"/>
    <w:rsid w:val="00A30FB3"/>
    <w:rsid w:val="00A32048"/>
    <w:rsid w:val="00A33709"/>
    <w:rsid w:val="00A33B51"/>
    <w:rsid w:val="00A33CEE"/>
    <w:rsid w:val="00A350B3"/>
    <w:rsid w:val="00A35A3A"/>
    <w:rsid w:val="00A40764"/>
    <w:rsid w:val="00A622E1"/>
    <w:rsid w:val="00A7083C"/>
    <w:rsid w:val="00A72704"/>
    <w:rsid w:val="00A76EB4"/>
    <w:rsid w:val="00A80B86"/>
    <w:rsid w:val="00A82C64"/>
    <w:rsid w:val="00A84052"/>
    <w:rsid w:val="00A8508D"/>
    <w:rsid w:val="00A86CBB"/>
    <w:rsid w:val="00A90E21"/>
    <w:rsid w:val="00A95554"/>
    <w:rsid w:val="00A96A06"/>
    <w:rsid w:val="00A9749D"/>
    <w:rsid w:val="00AA4448"/>
    <w:rsid w:val="00AA494C"/>
    <w:rsid w:val="00AA52A8"/>
    <w:rsid w:val="00AA53F2"/>
    <w:rsid w:val="00AB15B7"/>
    <w:rsid w:val="00AB1A8B"/>
    <w:rsid w:val="00AB45A3"/>
    <w:rsid w:val="00AC2A02"/>
    <w:rsid w:val="00AC2ECF"/>
    <w:rsid w:val="00AC4BA0"/>
    <w:rsid w:val="00AD26C6"/>
    <w:rsid w:val="00AD2D12"/>
    <w:rsid w:val="00AD6BB3"/>
    <w:rsid w:val="00AE3355"/>
    <w:rsid w:val="00AF1F86"/>
    <w:rsid w:val="00AF529F"/>
    <w:rsid w:val="00AF58C5"/>
    <w:rsid w:val="00AF5E1D"/>
    <w:rsid w:val="00AF67CB"/>
    <w:rsid w:val="00B016CC"/>
    <w:rsid w:val="00B01C75"/>
    <w:rsid w:val="00B052B1"/>
    <w:rsid w:val="00B061F3"/>
    <w:rsid w:val="00B11DD4"/>
    <w:rsid w:val="00B15AC6"/>
    <w:rsid w:val="00B23145"/>
    <w:rsid w:val="00B24385"/>
    <w:rsid w:val="00B2777F"/>
    <w:rsid w:val="00B30462"/>
    <w:rsid w:val="00B4371D"/>
    <w:rsid w:val="00B478BF"/>
    <w:rsid w:val="00B47BB5"/>
    <w:rsid w:val="00B51494"/>
    <w:rsid w:val="00B554CA"/>
    <w:rsid w:val="00B570ED"/>
    <w:rsid w:val="00B60CFE"/>
    <w:rsid w:val="00B673F4"/>
    <w:rsid w:val="00B73B2D"/>
    <w:rsid w:val="00B73C89"/>
    <w:rsid w:val="00B74A57"/>
    <w:rsid w:val="00B74F02"/>
    <w:rsid w:val="00B75D5F"/>
    <w:rsid w:val="00B82B71"/>
    <w:rsid w:val="00B831CC"/>
    <w:rsid w:val="00B8728F"/>
    <w:rsid w:val="00B900E7"/>
    <w:rsid w:val="00BA34A9"/>
    <w:rsid w:val="00BA57AF"/>
    <w:rsid w:val="00BB181F"/>
    <w:rsid w:val="00BB25AA"/>
    <w:rsid w:val="00BB2BB9"/>
    <w:rsid w:val="00BB4063"/>
    <w:rsid w:val="00BB473C"/>
    <w:rsid w:val="00BB4C68"/>
    <w:rsid w:val="00BB4F0D"/>
    <w:rsid w:val="00BB6A83"/>
    <w:rsid w:val="00BC0E55"/>
    <w:rsid w:val="00BC25AB"/>
    <w:rsid w:val="00BD1DED"/>
    <w:rsid w:val="00BD354F"/>
    <w:rsid w:val="00BD5DA2"/>
    <w:rsid w:val="00BD6B28"/>
    <w:rsid w:val="00BD767F"/>
    <w:rsid w:val="00BE131C"/>
    <w:rsid w:val="00BE1E03"/>
    <w:rsid w:val="00BE2484"/>
    <w:rsid w:val="00BE3EB5"/>
    <w:rsid w:val="00BE54FA"/>
    <w:rsid w:val="00BE620D"/>
    <w:rsid w:val="00BE7A17"/>
    <w:rsid w:val="00BF4C06"/>
    <w:rsid w:val="00C02FA3"/>
    <w:rsid w:val="00C0410C"/>
    <w:rsid w:val="00C04C4D"/>
    <w:rsid w:val="00C10C09"/>
    <w:rsid w:val="00C11B08"/>
    <w:rsid w:val="00C17244"/>
    <w:rsid w:val="00C2558C"/>
    <w:rsid w:val="00C26A3E"/>
    <w:rsid w:val="00C3525D"/>
    <w:rsid w:val="00C44269"/>
    <w:rsid w:val="00C44376"/>
    <w:rsid w:val="00C46049"/>
    <w:rsid w:val="00C463C3"/>
    <w:rsid w:val="00C47A02"/>
    <w:rsid w:val="00C47F38"/>
    <w:rsid w:val="00C501A5"/>
    <w:rsid w:val="00C53062"/>
    <w:rsid w:val="00C5307B"/>
    <w:rsid w:val="00C5607B"/>
    <w:rsid w:val="00C60BD3"/>
    <w:rsid w:val="00C6458C"/>
    <w:rsid w:val="00C6507D"/>
    <w:rsid w:val="00C661FF"/>
    <w:rsid w:val="00C7153C"/>
    <w:rsid w:val="00C7158C"/>
    <w:rsid w:val="00C747AA"/>
    <w:rsid w:val="00C750AD"/>
    <w:rsid w:val="00C77E11"/>
    <w:rsid w:val="00C80F8D"/>
    <w:rsid w:val="00C939CF"/>
    <w:rsid w:val="00C94205"/>
    <w:rsid w:val="00C943F5"/>
    <w:rsid w:val="00CA263E"/>
    <w:rsid w:val="00CA2D45"/>
    <w:rsid w:val="00CB6A4A"/>
    <w:rsid w:val="00CC212F"/>
    <w:rsid w:val="00CC2F6B"/>
    <w:rsid w:val="00CD0543"/>
    <w:rsid w:val="00CD2449"/>
    <w:rsid w:val="00CD72E5"/>
    <w:rsid w:val="00CD7C7F"/>
    <w:rsid w:val="00CD7DC4"/>
    <w:rsid w:val="00CE2290"/>
    <w:rsid w:val="00CE3CF5"/>
    <w:rsid w:val="00CE3F8D"/>
    <w:rsid w:val="00CE5965"/>
    <w:rsid w:val="00CE66E6"/>
    <w:rsid w:val="00CF13EB"/>
    <w:rsid w:val="00CF41FB"/>
    <w:rsid w:val="00CF64BE"/>
    <w:rsid w:val="00CF76AD"/>
    <w:rsid w:val="00D02174"/>
    <w:rsid w:val="00D02F53"/>
    <w:rsid w:val="00D047F0"/>
    <w:rsid w:val="00D10608"/>
    <w:rsid w:val="00D118CF"/>
    <w:rsid w:val="00D125AF"/>
    <w:rsid w:val="00D14B5C"/>
    <w:rsid w:val="00D2235E"/>
    <w:rsid w:val="00D316E7"/>
    <w:rsid w:val="00D356DC"/>
    <w:rsid w:val="00D409D5"/>
    <w:rsid w:val="00D429A8"/>
    <w:rsid w:val="00D44602"/>
    <w:rsid w:val="00D461C9"/>
    <w:rsid w:val="00D46338"/>
    <w:rsid w:val="00D47FE5"/>
    <w:rsid w:val="00D50B3C"/>
    <w:rsid w:val="00D515C5"/>
    <w:rsid w:val="00D52CBB"/>
    <w:rsid w:val="00D53057"/>
    <w:rsid w:val="00D610C5"/>
    <w:rsid w:val="00D65552"/>
    <w:rsid w:val="00D671F1"/>
    <w:rsid w:val="00D67806"/>
    <w:rsid w:val="00D72AED"/>
    <w:rsid w:val="00D72F8D"/>
    <w:rsid w:val="00D739A2"/>
    <w:rsid w:val="00D7555A"/>
    <w:rsid w:val="00D76BB1"/>
    <w:rsid w:val="00D845EF"/>
    <w:rsid w:val="00D84E24"/>
    <w:rsid w:val="00D86060"/>
    <w:rsid w:val="00D8681B"/>
    <w:rsid w:val="00D86C50"/>
    <w:rsid w:val="00DA3DE6"/>
    <w:rsid w:val="00DA4BE3"/>
    <w:rsid w:val="00DB4974"/>
    <w:rsid w:val="00DB6988"/>
    <w:rsid w:val="00DB70BA"/>
    <w:rsid w:val="00DC3BE0"/>
    <w:rsid w:val="00DC4B57"/>
    <w:rsid w:val="00DD0085"/>
    <w:rsid w:val="00DD0305"/>
    <w:rsid w:val="00DD0962"/>
    <w:rsid w:val="00DD695B"/>
    <w:rsid w:val="00DE058D"/>
    <w:rsid w:val="00DE10C1"/>
    <w:rsid w:val="00DE1105"/>
    <w:rsid w:val="00DE4D50"/>
    <w:rsid w:val="00DF0707"/>
    <w:rsid w:val="00DF1C88"/>
    <w:rsid w:val="00DF2305"/>
    <w:rsid w:val="00DF2684"/>
    <w:rsid w:val="00DF2F81"/>
    <w:rsid w:val="00DF40FA"/>
    <w:rsid w:val="00DF7B52"/>
    <w:rsid w:val="00E03BD6"/>
    <w:rsid w:val="00E14A3E"/>
    <w:rsid w:val="00E14FAB"/>
    <w:rsid w:val="00E16486"/>
    <w:rsid w:val="00E23305"/>
    <w:rsid w:val="00E26D4A"/>
    <w:rsid w:val="00E27868"/>
    <w:rsid w:val="00E30E17"/>
    <w:rsid w:val="00E31649"/>
    <w:rsid w:val="00E333E8"/>
    <w:rsid w:val="00E35B37"/>
    <w:rsid w:val="00E43DAD"/>
    <w:rsid w:val="00E464B9"/>
    <w:rsid w:val="00E5222B"/>
    <w:rsid w:val="00E6124D"/>
    <w:rsid w:val="00E6126D"/>
    <w:rsid w:val="00E61BAE"/>
    <w:rsid w:val="00E63447"/>
    <w:rsid w:val="00E659D2"/>
    <w:rsid w:val="00E67215"/>
    <w:rsid w:val="00E71AED"/>
    <w:rsid w:val="00E7540C"/>
    <w:rsid w:val="00E76CA6"/>
    <w:rsid w:val="00E811B3"/>
    <w:rsid w:val="00E8560B"/>
    <w:rsid w:val="00E877EE"/>
    <w:rsid w:val="00E90E23"/>
    <w:rsid w:val="00E923F1"/>
    <w:rsid w:val="00E9482A"/>
    <w:rsid w:val="00EA268C"/>
    <w:rsid w:val="00EA2A8B"/>
    <w:rsid w:val="00EA4B79"/>
    <w:rsid w:val="00EB3C8B"/>
    <w:rsid w:val="00EB510A"/>
    <w:rsid w:val="00EB63AD"/>
    <w:rsid w:val="00EC35CC"/>
    <w:rsid w:val="00EC5275"/>
    <w:rsid w:val="00EC530F"/>
    <w:rsid w:val="00EC6D3E"/>
    <w:rsid w:val="00ED6F2A"/>
    <w:rsid w:val="00EE08FC"/>
    <w:rsid w:val="00EE626F"/>
    <w:rsid w:val="00EE671C"/>
    <w:rsid w:val="00EE69C7"/>
    <w:rsid w:val="00EF0C1B"/>
    <w:rsid w:val="00EF259A"/>
    <w:rsid w:val="00EF712A"/>
    <w:rsid w:val="00EF7B60"/>
    <w:rsid w:val="00F0002C"/>
    <w:rsid w:val="00F03B5F"/>
    <w:rsid w:val="00F0654A"/>
    <w:rsid w:val="00F10912"/>
    <w:rsid w:val="00F10974"/>
    <w:rsid w:val="00F1636D"/>
    <w:rsid w:val="00F17BB5"/>
    <w:rsid w:val="00F214DA"/>
    <w:rsid w:val="00F23321"/>
    <w:rsid w:val="00F30C01"/>
    <w:rsid w:val="00F320FB"/>
    <w:rsid w:val="00F32104"/>
    <w:rsid w:val="00F3307D"/>
    <w:rsid w:val="00F40970"/>
    <w:rsid w:val="00F44C52"/>
    <w:rsid w:val="00F46977"/>
    <w:rsid w:val="00F55A1A"/>
    <w:rsid w:val="00F55B96"/>
    <w:rsid w:val="00F60E72"/>
    <w:rsid w:val="00F61EAE"/>
    <w:rsid w:val="00F636D1"/>
    <w:rsid w:val="00F6408F"/>
    <w:rsid w:val="00F721E0"/>
    <w:rsid w:val="00F735CA"/>
    <w:rsid w:val="00F8166F"/>
    <w:rsid w:val="00F84C70"/>
    <w:rsid w:val="00F903D2"/>
    <w:rsid w:val="00F95334"/>
    <w:rsid w:val="00F95DAA"/>
    <w:rsid w:val="00F963B6"/>
    <w:rsid w:val="00FA0F74"/>
    <w:rsid w:val="00FA2841"/>
    <w:rsid w:val="00FA712B"/>
    <w:rsid w:val="00FA79D8"/>
    <w:rsid w:val="00FB63CD"/>
    <w:rsid w:val="00FC07E4"/>
    <w:rsid w:val="00FC1F8B"/>
    <w:rsid w:val="00FC5165"/>
    <w:rsid w:val="00FC7092"/>
    <w:rsid w:val="00FD17F3"/>
    <w:rsid w:val="00FD2E88"/>
    <w:rsid w:val="00FD44AD"/>
    <w:rsid w:val="00FD51D7"/>
    <w:rsid w:val="00FE03D3"/>
    <w:rsid w:val="00FE3AC6"/>
    <w:rsid w:val="00FE3EB3"/>
    <w:rsid w:val="00FE416D"/>
    <w:rsid w:val="00FE4685"/>
    <w:rsid w:val="00FE61E5"/>
    <w:rsid w:val="00FE690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8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C6458C"/>
    <w:pPr>
      <w:ind w:firstLine="720"/>
    </w:pPr>
    <w:rPr>
      <w:rFonts w:ascii="Arial" w:hAnsi="Arial" w:cs="Arial"/>
      <w:lang w:val="ro-RO"/>
    </w:rPr>
  </w:style>
  <w:style w:type="character" w:customStyle="1" w:styleId="BodyTextIndent2Char">
    <w:name w:val="Body Text Indent 2 Char"/>
    <w:basedOn w:val="DefaultParagraphFont"/>
    <w:link w:val="BodyTextIndent2"/>
    <w:uiPriority w:val="99"/>
    <w:rsid w:val="00C6458C"/>
    <w:rPr>
      <w:rFonts w:ascii="Arial" w:eastAsia="Times New Roman" w:hAnsi="Arial" w:cs="Arial"/>
      <w:sz w:val="24"/>
      <w:szCs w:val="24"/>
    </w:rPr>
  </w:style>
  <w:style w:type="paragraph" w:styleId="Footer">
    <w:name w:val="footer"/>
    <w:basedOn w:val="Normal"/>
    <w:link w:val="FooterChar"/>
    <w:uiPriority w:val="99"/>
    <w:rsid w:val="00C6458C"/>
    <w:pPr>
      <w:tabs>
        <w:tab w:val="center" w:pos="4536"/>
        <w:tab w:val="right" w:pos="9072"/>
      </w:tabs>
    </w:pPr>
    <w:rPr>
      <w:lang w:val="en-GB"/>
    </w:rPr>
  </w:style>
  <w:style w:type="character" w:customStyle="1" w:styleId="FooterChar">
    <w:name w:val="Footer Char"/>
    <w:basedOn w:val="DefaultParagraphFont"/>
    <w:link w:val="Footer"/>
    <w:uiPriority w:val="99"/>
    <w:rsid w:val="00C6458C"/>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C6458C"/>
    <w:rPr>
      <w:sz w:val="20"/>
      <w:szCs w:val="20"/>
    </w:rPr>
  </w:style>
  <w:style w:type="character" w:customStyle="1" w:styleId="FootnoteTextChar">
    <w:name w:val="Footnote Text Char"/>
    <w:basedOn w:val="DefaultParagraphFont"/>
    <w:link w:val="FootnoteText"/>
    <w:uiPriority w:val="99"/>
    <w:semiHidden/>
    <w:rsid w:val="00C6458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6458C"/>
    <w:rPr>
      <w:vertAlign w:val="superscript"/>
    </w:rPr>
  </w:style>
  <w:style w:type="paragraph" w:styleId="Header">
    <w:name w:val="header"/>
    <w:basedOn w:val="Normal"/>
    <w:link w:val="HeaderChar"/>
    <w:unhideWhenUsed/>
    <w:rsid w:val="0023730F"/>
    <w:pPr>
      <w:tabs>
        <w:tab w:val="center" w:pos="4536"/>
        <w:tab w:val="right" w:pos="9072"/>
      </w:tabs>
    </w:pPr>
  </w:style>
  <w:style w:type="character" w:customStyle="1" w:styleId="HeaderChar">
    <w:name w:val="Header Char"/>
    <w:basedOn w:val="DefaultParagraphFont"/>
    <w:link w:val="Header"/>
    <w:uiPriority w:val="99"/>
    <w:rsid w:val="0023730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3730F"/>
    <w:rPr>
      <w:rFonts w:ascii="Tahoma" w:hAnsi="Tahoma" w:cs="Tahoma"/>
      <w:sz w:val="16"/>
      <w:szCs w:val="16"/>
    </w:rPr>
  </w:style>
  <w:style w:type="character" w:customStyle="1" w:styleId="BalloonTextChar">
    <w:name w:val="Balloon Text Char"/>
    <w:basedOn w:val="DefaultParagraphFont"/>
    <w:link w:val="BalloonText"/>
    <w:uiPriority w:val="99"/>
    <w:semiHidden/>
    <w:rsid w:val="0023730F"/>
    <w:rPr>
      <w:rFonts w:ascii="Tahoma" w:eastAsia="Times New Roman" w:hAnsi="Tahoma" w:cs="Tahoma"/>
      <w:sz w:val="16"/>
      <w:szCs w:val="16"/>
      <w:lang w:val="en-US"/>
    </w:rPr>
  </w:style>
  <w:style w:type="paragraph" w:customStyle="1" w:styleId="CaracterCaracterCharCharCaracterCaracter">
    <w:name w:val="Caracter Caracter Char Char Caracter Caracter"/>
    <w:basedOn w:val="Normal"/>
    <w:rsid w:val="00D47FE5"/>
    <w:rPr>
      <w:lang w:val="pl-PL" w:eastAsia="pl-PL"/>
    </w:rPr>
  </w:style>
  <w:style w:type="table" w:styleId="TableGrid">
    <w:name w:val="Table Grid"/>
    <w:basedOn w:val="TableNormal"/>
    <w:uiPriority w:val="59"/>
    <w:rsid w:val="00D47FE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21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style val="26"/>
  <c:chart>
    <c:plotArea>
      <c:layout/>
      <c:barChart>
        <c:barDir val="col"/>
        <c:grouping val="clustered"/>
        <c:ser>
          <c:idx val="0"/>
          <c:order val="0"/>
          <c:tx>
            <c:strRef>
              <c:f>Sheet1!$C$1</c:f>
              <c:strCache>
                <c:ptCount val="1"/>
                <c:pt idx="0">
                  <c:v>Arabil</c:v>
                </c:pt>
              </c:strCache>
            </c:strRef>
          </c:tx>
          <c:dLbls>
            <c:delete val="1"/>
          </c:dLbls>
          <c:cat>
            <c:strRef>
              <c:f>Sheet1!$B$2:$B$6</c:f>
              <c:strCache>
                <c:ptCount val="5"/>
                <c:pt idx="0">
                  <c:v>Clasa I</c:v>
                </c:pt>
                <c:pt idx="1">
                  <c:v>Clasa II</c:v>
                </c:pt>
                <c:pt idx="2">
                  <c:v>Clasa III</c:v>
                </c:pt>
                <c:pt idx="3">
                  <c:v>Clasa IV</c:v>
                </c:pt>
                <c:pt idx="4">
                  <c:v>Clasa V</c:v>
                </c:pt>
              </c:strCache>
            </c:strRef>
          </c:cat>
          <c:val>
            <c:numRef>
              <c:f>Sheet1!$C$2:$C$6</c:f>
              <c:numCache>
                <c:formatCode>General</c:formatCode>
                <c:ptCount val="5"/>
                <c:pt idx="0">
                  <c:v>2985</c:v>
                </c:pt>
                <c:pt idx="1">
                  <c:v>41681</c:v>
                </c:pt>
                <c:pt idx="2">
                  <c:v>73329</c:v>
                </c:pt>
                <c:pt idx="3">
                  <c:v>43144</c:v>
                </c:pt>
                <c:pt idx="4">
                  <c:v>19261</c:v>
                </c:pt>
              </c:numCache>
            </c:numRef>
          </c:val>
        </c:ser>
        <c:ser>
          <c:idx val="1"/>
          <c:order val="1"/>
          <c:tx>
            <c:strRef>
              <c:f>Sheet1!$D$1</c:f>
              <c:strCache>
                <c:ptCount val="1"/>
                <c:pt idx="0">
                  <c:v>Păşune</c:v>
                </c:pt>
              </c:strCache>
            </c:strRef>
          </c:tx>
          <c:dLbls>
            <c:delete val="1"/>
          </c:dLbls>
          <c:cat>
            <c:strRef>
              <c:f>Sheet1!$B$2:$B$6</c:f>
              <c:strCache>
                <c:ptCount val="5"/>
                <c:pt idx="0">
                  <c:v>Clasa I</c:v>
                </c:pt>
                <c:pt idx="1">
                  <c:v>Clasa II</c:v>
                </c:pt>
                <c:pt idx="2">
                  <c:v>Clasa III</c:v>
                </c:pt>
                <c:pt idx="3">
                  <c:v>Clasa IV</c:v>
                </c:pt>
                <c:pt idx="4">
                  <c:v>Clasa V</c:v>
                </c:pt>
              </c:strCache>
            </c:strRef>
          </c:cat>
          <c:val>
            <c:numRef>
              <c:f>Sheet1!$D$2:$D$6</c:f>
              <c:numCache>
                <c:formatCode>General</c:formatCode>
                <c:ptCount val="5"/>
                <c:pt idx="0">
                  <c:v>2815</c:v>
                </c:pt>
                <c:pt idx="1">
                  <c:v>13770</c:v>
                </c:pt>
                <c:pt idx="2">
                  <c:v>30078</c:v>
                </c:pt>
                <c:pt idx="3">
                  <c:v>27014</c:v>
                </c:pt>
                <c:pt idx="4">
                  <c:v>16998</c:v>
                </c:pt>
              </c:numCache>
            </c:numRef>
          </c:val>
        </c:ser>
        <c:ser>
          <c:idx val="2"/>
          <c:order val="2"/>
          <c:tx>
            <c:strRef>
              <c:f>Sheet1!$E$1</c:f>
              <c:strCache>
                <c:ptCount val="1"/>
                <c:pt idx="0">
                  <c:v>Fâneaţă</c:v>
                </c:pt>
              </c:strCache>
            </c:strRef>
          </c:tx>
          <c:dLbls>
            <c:delete val="1"/>
          </c:dLbls>
          <c:cat>
            <c:strRef>
              <c:f>Sheet1!$B$2:$B$6</c:f>
              <c:strCache>
                <c:ptCount val="5"/>
                <c:pt idx="0">
                  <c:v>Clasa I</c:v>
                </c:pt>
                <c:pt idx="1">
                  <c:v>Clasa II</c:v>
                </c:pt>
                <c:pt idx="2">
                  <c:v>Clasa III</c:v>
                </c:pt>
                <c:pt idx="3">
                  <c:v>Clasa IV</c:v>
                </c:pt>
                <c:pt idx="4">
                  <c:v>Clasa V</c:v>
                </c:pt>
              </c:strCache>
            </c:strRef>
          </c:cat>
          <c:val>
            <c:numRef>
              <c:f>Sheet1!$E$2:$E$6</c:f>
              <c:numCache>
                <c:formatCode>General</c:formatCode>
                <c:ptCount val="5"/>
                <c:pt idx="0">
                  <c:v>1443</c:v>
                </c:pt>
                <c:pt idx="1">
                  <c:v>3304</c:v>
                </c:pt>
                <c:pt idx="2">
                  <c:v>17554</c:v>
                </c:pt>
                <c:pt idx="3">
                  <c:v>32242</c:v>
                </c:pt>
                <c:pt idx="4">
                  <c:v>19451</c:v>
                </c:pt>
              </c:numCache>
            </c:numRef>
          </c:val>
        </c:ser>
        <c:ser>
          <c:idx val="3"/>
          <c:order val="3"/>
          <c:tx>
            <c:strRef>
              <c:f>Sheet1!$F$1</c:f>
              <c:strCache>
                <c:ptCount val="1"/>
                <c:pt idx="0">
                  <c:v>Livadă</c:v>
                </c:pt>
              </c:strCache>
            </c:strRef>
          </c:tx>
          <c:dLbls>
            <c:delete val="1"/>
          </c:dLbls>
          <c:cat>
            <c:strRef>
              <c:f>Sheet1!$B$2:$B$6</c:f>
              <c:strCache>
                <c:ptCount val="5"/>
                <c:pt idx="0">
                  <c:v>Clasa I</c:v>
                </c:pt>
                <c:pt idx="1">
                  <c:v>Clasa II</c:v>
                </c:pt>
                <c:pt idx="2">
                  <c:v>Clasa III</c:v>
                </c:pt>
                <c:pt idx="3">
                  <c:v>Clasa IV</c:v>
                </c:pt>
                <c:pt idx="4">
                  <c:v>Clasa V</c:v>
                </c:pt>
              </c:strCache>
            </c:strRef>
          </c:cat>
          <c:val>
            <c:numRef>
              <c:f>Sheet1!$F$2:$F$6</c:f>
              <c:numCache>
                <c:formatCode>General</c:formatCode>
                <c:ptCount val="5"/>
                <c:pt idx="0">
                  <c:v>1</c:v>
                </c:pt>
                <c:pt idx="1">
                  <c:v>18</c:v>
                </c:pt>
                <c:pt idx="2">
                  <c:v>2502</c:v>
                </c:pt>
                <c:pt idx="3">
                  <c:v>128</c:v>
                </c:pt>
                <c:pt idx="4">
                  <c:v>167</c:v>
                </c:pt>
              </c:numCache>
            </c:numRef>
          </c:val>
        </c:ser>
        <c:dLbls>
          <c:showVal val="1"/>
        </c:dLbls>
        <c:axId val="77121408"/>
        <c:axId val="77122944"/>
      </c:barChart>
      <c:catAx>
        <c:axId val="77121408"/>
        <c:scaling>
          <c:orientation val="minMax"/>
        </c:scaling>
        <c:axPos val="b"/>
        <c:tickLblPos val="nextTo"/>
        <c:crossAx val="77122944"/>
        <c:crosses val="autoZero"/>
        <c:auto val="1"/>
        <c:lblAlgn val="ctr"/>
        <c:lblOffset val="100"/>
      </c:catAx>
      <c:valAx>
        <c:axId val="77122944"/>
        <c:scaling>
          <c:orientation val="minMax"/>
        </c:scaling>
        <c:axPos val="l"/>
        <c:majorGridlines/>
        <c:numFmt formatCode="General" sourceLinked="1"/>
        <c:tickLblPos val="nextTo"/>
        <c:crossAx val="77121408"/>
        <c:crosses val="autoZero"/>
        <c:crossBetween val="between"/>
      </c:valAx>
      <c:dTable>
        <c:showHorzBorder val="1"/>
        <c:showVertBorder val="1"/>
        <c:showOutline val="1"/>
        <c:showKeys val="1"/>
      </c:dTable>
      <c:spPr>
        <a:ln>
          <a:solidFill>
            <a:schemeClr val="bg1">
              <a:lumMod val="65000"/>
            </a:schemeClr>
          </a:solid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style val="37"/>
  <c:chart>
    <c:autoTitleDeleted val="1"/>
    <c:view3D>
      <c:rotX val="30"/>
      <c:perspective val="30"/>
    </c:view3D>
    <c:plotArea>
      <c:layout>
        <c:manualLayout>
          <c:layoutTarget val="inner"/>
          <c:xMode val="edge"/>
          <c:yMode val="edge"/>
          <c:x val="0.1025641025641028"/>
          <c:y val="8.7576195832664225E-2"/>
          <c:w val="0.87282051282051643"/>
          <c:h val="0.70780423035356255"/>
        </c:manualLayout>
      </c:layout>
      <c:pie3DChart>
        <c:varyColors val="1"/>
        <c:ser>
          <c:idx val="0"/>
          <c:order val="0"/>
          <c:tx>
            <c:strRef>
              <c:f>Sheet1!$B$1</c:f>
              <c:strCache>
                <c:ptCount val="1"/>
                <c:pt idx="0">
                  <c:v>an 2010</c:v>
                </c:pt>
              </c:strCache>
            </c:strRef>
          </c:tx>
          <c:dLbls>
            <c:numFmt formatCode="0.00%" sourceLinked="0"/>
            <c:dLblPos val="outEnd"/>
            <c:showLegendKey val="1"/>
            <c:showPercent val="1"/>
          </c:dLbls>
          <c:cat>
            <c:strRef>
              <c:f>Sheet1!$A$2:$A$5</c:f>
              <c:strCache>
                <c:ptCount val="4"/>
                <c:pt idx="0">
                  <c:v>Arabil</c:v>
                </c:pt>
                <c:pt idx="1">
                  <c:v>Păşune</c:v>
                </c:pt>
                <c:pt idx="2">
                  <c:v>Fâneaţă</c:v>
                </c:pt>
                <c:pt idx="3">
                  <c:v>Livadă</c:v>
                </c:pt>
              </c:strCache>
            </c:strRef>
          </c:cat>
          <c:val>
            <c:numRef>
              <c:f>Sheet1!$B$2:$B$5</c:f>
              <c:numCache>
                <c:formatCode>General</c:formatCode>
                <c:ptCount val="4"/>
                <c:pt idx="0">
                  <c:v>180372</c:v>
                </c:pt>
                <c:pt idx="1">
                  <c:v>90570</c:v>
                </c:pt>
                <c:pt idx="2">
                  <c:v>74053</c:v>
                </c:pt>
                <c:pt idx="3">
                  <c:v>2810</c:v>
                </c:pt>
              </c:numCache>
            </c:numRef>
          </c:val>
        </c:ser>
        <c:dLbls>
          <c:showPercent val="1"/>
        </c:dLbls>
      </c:pie3DChart>
    </c:plotArea>
    <c:legend>
      <c:legendPos val="b"/>
      <c:layout>
        <c:manualLayout>
          <c:xMode val="edge"/>
          <c:yMode val="edge"/>
          <c:x val="0.14140568915372392"/>
          <c:y val="0.67136674140897967"/>
          <c:w val="0.7171886216925587"/>
          <c:h val="0.3185392223323078"/>
        </c:manualLayout>
      </c:layout>
    </c:legend>
    <c:plotVisOnly val="1"/>
  </c:chart>
  <c:spPr>
    <a:ln>
      <a:noFill/>
    </a:ln>
  </c:spPr>
  <c:txPr>
    <a:bodyPr/>
    <a:lstStyle/>
    <a:p>
      <a:pPr>
        <a:defRPr>
          <a:latin typeface="Arial" pitchFamily="34" charset="0"/>
          <a:cs typeface="Arial" pitchFamily="34"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style val="37"/>
  <c:chart>
    <c:autoTitleDeleted val="1"/>
    <c:view3D>
      <c:rotX val="30"/>
      <c:perspective val="30"/>
    </c:view3D>
    <c:plotArea>
      <c:layout>
        <c:manualLayout>
          <c:layoutTarget val="inner"/>
          <c:xMode val="edge"/>
          <c:yMode val="edge"/>
          <c:x val="9.7336286089238819E-2"/>
          <c:y val="8.2784989714123569E-2"/>
          <c:w val="0.86301673228346465"/>
          <c:h val="0.6966218928516309"/>
        </c:manualLayout>
      </c:layout>
      <c:pie3DChart>
        <c:varyColors val="1"/>
        <c:ser>
          <c:idx val="0"/>
          <c:order val="0"/>
          <c:tx>
            <c:strRef>
              <c:f>Sheet1!$B$1</c:f>
              <c:strCache>
                <c:ptCount val="1"/>
                <c:pt idx="0">
                  <c:v>Column1</c:v>
                </c:pt>
              </c:strCache>
            </c:strRef>
          </c:tx>
          <c:dLbls>
            <c:dLbl>
              <c:idx val="2"/>
              <c:layout>
                <c:manualLayout>
                  <c:x val="-6.3461942257217852E-2"/>
                  <c:y val="3.5798396822018866E-2"/>
                </c:manualLayout>
              </c:layout>
              <c:dLblPos val="bestFit"/>
              <c:showLegendKey val="1"/>
              <c:showPercent val="1"/>
            </c:dLbl>
            <c:numFmt formatCode="0.00%" sourceLinked="0"/>
            <c:dLblPos val="outEnd"/>
            <c:showLegendKey val="1"/>
            <c:showPercent val="1"/>
          </c:dLbls>
          <c:cat>
            <c:strRef>
              <c:f>Sheet1!$A$2:$A$5</c:f>
              <c:strCache>
                <c:ptCount val="4"/>
                <c:pt idx="0">
                  <c:v>Arabil</c:v>
                </c:pt>
                <c:pt idx="1">
                  <c:v>Păşune</c:v>
                </c:pt>
                <c:pt idx="2">
                  <c:v>Fâneaţă</c:v>
                </c:pt>
                <c:pt idx="3">
                  <c:v>Livadă</c:v>
                </c:pt>
              </c:strCache>
            </c:strRef>
          </c:cat>
          <c:val>
            <c:numRef>
              <c:f>Sheet1!$B$2:$B$5</c:f>
              <c:numCache>
                <c:formatCode>General</c:formatCode>
                <c:ptCount val="4"/>
                <c:pt idx="0">
                  <c:v>180451</c:v>
                </c:pt>
                <c:pt idx="1">
                  <c:v>93052</c:v>
                </c:pt>
                <c:pt idx="2">
                  <c:v>78404</c:v>
                </c:pt>
                <c:pt idx="3">
                  <c:v>2913</c:v>
                </c:pt>
              </c:numCache>
            </c:numRef>
          </c:val>
        </c:ser>
        <c:dLbls>
          <c:showPercent val="1"/>
        </c:dLbls>
      </c:pie3DChart>
      <c:spPr>
        <a:ln>
          <a:noFill/>
        </a:ln>
      </c:spPr>
    </c:plotArea>
    <c:legend>
      <c:legendPos val="b"/>
      <c:layout>
        <c:manualLayout>
          <c:xMode val="edge"/>
          <c:yMode val="edge"/>
          <c:x val="8.5375328083991245E-2"/>
          <c:y val="0.68627418261459294"/>
          <c:w val="0.87091601049868994"/>
          <c:h val="0.30471710903686738"/>
        </c:manualLayout>
      </c:layout>
    </c:legend>
    <c:plotVisOnly val="1"/>
  </c:chart>
  <c:spPr>
    <a:ln>
      <a:noFill/>
    </a:ln>
  </c:spPr>
  <c:txPr>
    <a:bodyPr/>
    <a:lstStyle/>
    <a:p>
      <a:pPr>
        <a:defRPr>
          <a:latin typeface="Arial" pitchFamily="34" charset="0"/>
          <a:cs typeface="Arial" pitchFamily="34"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282427456984544"/>
          <c:y val="4.1513739354009413E-2"/>
          <c:w val="0.71303022018081075"/>
          <c:h val="0.72655790575196444"/>
        </c:manualLayout>
      </c:layout>
      <c:barChart>
        <c:barDir val="col"/>
        <c:grouping val="clustered"/>
        <c:ser>
          <c:idx val="0"/>
          <c:order val="0"/>
          <c:tx>
            <c:strRef>
              <c:f>Sheet1!$B$1</c:f>
              <c:strCache>
                <c:ptCount val="1"/>
                <c:pt idx="0">
                  <c:v>azotoase</c:v>
                </c:pt>
              </c:strCache>
            </c:strRef>
          </c:tx>
          <c:dLbls>
            <c:delete val="1"/>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3957</c:v>
                </c:pt>
                <c:pt idx="1">
                  <c:v>4645</c:v>
                </c:pt>
                <c:pt idx="2">
                  <c:v>2340</c:v>
                </c:pt>
                <c:pt idx="3">
                  <c:v>4482</c:v>
                </c:pt>
                <c:pt idx="4">
                  <c:v>1640</c:v>
                </c:pt>
              </c:numCache>
            </c:numRef>
          </c:val>
        </c:ser>
        <c:ser>
          <c:idx val="1"/>
          <c:order val="1"/>
          <c:tx>
            <c:strRef>
              <c:f>Sheet1!$C$1</c:f>
              <c:strCache>
                <c:ptCount val="1"/>
                <c:pt idx="0">
                  <c:v>fosfatice</c:v>
                </c:pt>
              </c:strCache>
            </c:strRef>
          </c:tx>
          <c:dLbls>
            <c:delete val="1"/>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1486</c:v>
                </c:pt>
                <c:pt idx="1">
                  <c:v>1731</c:v>
                </c:pt>
                <c:pt idx="2">
                  <c:v>680</c:v>
                </c:pt>
                <c:pt idx="3">
                  <c:v>1578</c:v>
                </c:pt>
                <c:pt idx="4">
                  <c:v>497</c:v>
                </c:pt>
              </c:numCache>
            </c:numRef>
          </c:val>
        </c:ser>
        <c:ser>
          <c:idx val="2"/>
          <c:order val="2"/>
          <c:tx>
            <c:strRef>
              <c:f>Sheet1!$D$1</c:f>
              <c:strCache>
                <c:ptCount val="1"/>
                <c:pt idx="0">
                  <c:v>potasice</c:v>
                </c:pt>
              </c:strCache>
            </c:strRef>
          </c:tx>
          <c:dLbls>
            <c:delete val="1"/>
          </c:dLbls>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1040</c:v>
                </c:pt>
                <c:pt idx="1">
                  <c:v>1648</c:v>
                </c:pt>
                <c:pt idx="2">
                  <c:v>466</c:v>
                </c:pt>
                <c:pt idx="3">
                  <c:v>1227</c:v>
                </c:pt>
                <c:pt idx="4">
                  <c:v>487</c:v>
                </c:pt>
              </c:numCache>
            </c:numRef>
          </c:val>
        </c:ser>
        <c:dLbls>
          <c:showVal val="1"/>
        </c:dLbls>
        <c:axId val="143948416"/>
        <c:axId val="119628160"/>
      </c:barChart>
      <c:catAx>
        <c:axId val="143948416"/>
        <c:scaling>
          <c:orientation val="minMax"/>
        </c:scaling>
        <c:axPos val="b"/>
        <c:numFmt formatCode="General" sourceLinked="1"/>
        <c:tickLblPos val="nextTo"/>
        <c:txPr>
          <a:bodyPr/>
          <a:lstStyle/>
          <a:p>
            <a:pPr>
              <a:defRPr sz="900">
                <a:latin typeface="Arial" pitchFamily="34" charset="0"/>
                <a:cs typeface="Arial" pitchFamily="34" charset="0"/>
              </a:defRPr>
            </a:pPr>
            <a:endParaRPr lang="ro-RO"/>
          </a:p>
        </c:txPr>
        <c:crossAx val="119628160"/>
        <c:crosses val="autoZero"/>
        <c:auto val="1"/>
        <c:lblAlgn val="ctr"/>
        <c:lblOffset val="100"/>
      </c:catAx>
      <c:valAx>
        <c:axId val="119628160"/>
        <c:scaling>
          <c:orientation val="minMax"/>
        </c:scaling>
        <c:axPos val="l"/>
        <c:majorGridlines/>
        <c:title>
          <c:tx>
            <c:rich>
              <a:bodyPr rot="-5400000" vert="horz"/>
              <a:lstStyle/>
              <a:p>
                <a:pPr>
                  <a:defRPr b="1"/>
                </a:pPr>
                <a:r>
                  <a:rPr lang="ro-RO" sz="900" b="1">
                    <a:latin typeface="Arial" pitchFamily="34" charset="0"/>
                    <a:cs typeface="Arial" pitchFamily="34" charset="0"/>
                  </a:rPr>
                  <a:t>tone subst. active</a:t>
                </a:r>
              </a:p>
            </c:rich>
          </c:tx>
        </c:title>
        <c:numFmt formatCode="#,##0" sourceLinked="0"/>
        <c:tickLblPos val="nextTo"/>
        <c:crossAx val="143948416"/>
        <c:crosses val="autoZero"/>
        <c:crossBetween val="between"/>
      </c:valAx>
      <c:spPr>
        <a:ln>
          <a:solidFill>
            <a:schemeClr val="bg1">
              <a:lumMod val="50000"/>
            </a:schemeClr>
          </a:solidFill>
        </a:ln>
      </c:spPr>
    </c:plotArea>
    <c:legend>
      <c:legendPos val="r"/>
      <c:txPr>
        <a:bodyPr/>
        <a:lstStyle/>
        <a:p>
          <a:pPr>
            <a:defRPr sz="900">
              <a:latin typeface="Arial" pitchFamily="34" charset="0"/>
              <a:cs typeface="Arial" pitchFamily="34" charset="0"/>
            </a:defRPr>
          </a:pPr>
          <a:endParaRPr lang="ro-RO"/>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997985287050391"/>
          <c:y val="3.7845083318074541E-2"/>
          <c:w val="0.63683661635321276"/>
          <c:h val="0.82570322895684567"/>
        </c:manualLayout>
      </c:layout>
      <c:barChart>
        <c:barDir val="col"/>
        <c:grouping val="clustered"/>
        <c:ser>
          <c:idx val="0"/>
          <c:order val="0"/>
          <c:tx>
            <c:strRef>
              <c:f>Sheet1!$B$1</c:f>
              <c:strCache>
                <c:ptCount val="1"/>
                <c:pt idx="0">
                  <c:v>insecticide</c:v>
                </c:pt>
              </c:strCache>
            </c:strRef>
          </c:tx>
          <c:dLbls>
            <c:delete val="1"/>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12268</c:v>
                </c:pt>
                <c:pt idx="1">
                  <c:v>13472</c:v>
                </c:pt>
                <c:pt idx="2">
                  <c:v>4251</c:v>
                </c:pt>
                <c:pt idx="3">
                  <c:v>3704</c:v>
                </c:pt>
                <c:pt idx="4">
                  <c:v>1830</c:v>
                </c:pt>
              </c:numCache>
            </c:numRef>
          </c:val>
        </c:ser>
        <c:ser>
          <c:idx val="1"/>
          <c:order val="1"/>
          <c:tx>
            <c:strRef>
              <c:f>Sheet1!$C$1</c:f>
              <c:strCache>
                <c:ptCount val="1"/>
                <c:pt idx="0">
                  <c:v>fungicide</c:v>
                </c:pt>
              </c:strCache>
            </c:strRef>
          </c:tx>
          <c:dLbls>
            <c:delete val="1"/>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43495</c:v>
                </c:pt>
                <c:pt idx="1">
                  <c:v>45370</c:v>
                </c:pt>
                <c:pt idx="2">
                  <c:v>46741</c:v>
                </c:pt>
                <c:pt idx="3">
                  <c:v>43921</c:v>
                </c:pt>
                <c:pt idx="4">
                  <c:v>22500</c:v>
                </c:pt>
              </c:numCache>
            </c:numRef>
          </c:val>
        </c:ser>
        <c:ser>
          <c:idx val="2"/>
          <c:order val="2"/>
          <c:tx>
            <c:strRef>
              <c:f>Sheet1!$D$1</c:f>
              <c:strCache>
                <c:ptCount val="1"/>
                <c:pt idx="0">
                  <c:v>erbicide</c:v>
                </c:pt>
              </c:strCache>
            </c:strRef>
          </c:tx>
          <c:dLbls>
            <c:delete val="1"/>
          </c:dLbls>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38487</c:v>
                </c:pt>
                <c:pt idx="1">
                  <c:v>40683</c:v>
                </c:pt>
                <c:pt idx="2">
                  <c:v>34509</c:v>
                </c:pt>
                <c:pt idx="3">
                  <c:v>43374</c:v>
                </c:pt>
                <c:pt idx="4">
                  <c:v>10687</c:v>
                </c:pt>
              </c:numCache>
            </c:numRef>
          </c:val>
        </c:ser>
        <c:dLbls>
          <c:showVal val="1"/>
        </c:dLbls>
        <c:axId val="170866176"/>
        <c:axId val="170867712"/>
      </c:barChart>
      <c:catAx>
        <c:axId val="170866176"/>
        <c:scaling>
          <c:orientation val="minMax"/>
        </c:scaling>
        <c:axPos val="b"/>
        <c:numFmt formatCode="General" sourceLinked="1"/>
        <c:tickLblPos val="nextTo"/>
        <c:crossAx val="170867712"/>
        <c:crosses val="autoZero"/>
        <c:auto val="1"/>
        <c:lblAlgn val="ctr"/>
        <c:lblOffset val="100"/>
      </c:catAx>
      <c:valAx>
        <c:axId val="170867712"/>
        <c:scaling>
          <c:orientation val="minMax"/>
        </c:scaling>
        <c:axPos val="l"/>
        <c:majorGridlines/>
        <c:title>
          <c:tx>
            <c:rich>
              <a:bodyPr rot="-5400000" vert="horz"/>
              <a:lstStyle/>
              <a:p>
                <a:pPr>
                  <a:defRPr/>
                </a:pPr>
                <a:r>
                  <a:rPr lang="ro-RO"/>
                  <a:t> kg subst. active</a:t>
                </a:r>
              </a:p>
            </c:rich>
          </c:tx>
          <c:layout>
            <c:manualLayout>
              <c:xMode val="edge"/>
              <c:yMode val="edge"/>
              <c:x val="1.5264472149314721E-2"/>
              <c:y val="8.7731116943715159E-2"/>
            </c:manualLayout>
          </c:layout>
        </c:title>
        <c:numFmt formatCode="#,##0" sourceLinked="0"/>
        <c:tickLblPos val="nextTo"/>
        <c:crossAx val="170866176"/>
        <c:crosses val="autoZero"/>
        <c:crossBetween val="between"/>
      </c:valAx>
      <c:spPr>
        <a:ln>
          <a:solidFill>
            <a:schemeClr val="bg1">
              <a:lumMod val="50000"/>
            </a:schemeClr>
          </a:solidFill>
        </a:ln>
      </c:spPr>
    </c:plotArea>
    <c:legend>
      <c:legendPos val="r"/>
      <c:layout>
        <c:manualLayout>
          <c:xMode val="edge"/>
          <c:yMode val="edge"/>
          <c:x val="0.82709847315598772"/>
          <c:y val="0.1553373913367263"/>
          <c:w val="0.15961249029918129"/>
          <c:h val="0.64560897972860065"/>
        </c:manualLayout>
      </c:layout>
    </c:legend>
    <c:plotVisOnly val="1"/>
  </c:chart>
  <c:spPr>
    <a:ln>
      <a:noFill/>
    </a:ln>
  </c:spPr>
  <c:txPr>
    <a:bodyPr/>
    <a:lstStyle/>
    <a:p>
      <a:pPr>
        <a:defRPr>
          <a:latin typeface="Arial" pitchFamily="34" charset="0"/>
          <a:cs typeface="Arial" pitchFamily="34"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32802200173409035"/>
          <c:y val="5.3042351187583027E-2"/>
          <c:w val="0.51267806770790358"/>
          <c:h val="0.54482199340467352"/>
        </c:manualLayout>
      </c:layout>
      <c:barChart>
        <c:barDir val="col"/>
        <c:grouping val="clustered"/>
        <c:ser>
          <c:idx val="0"/>
          <c:order val="0"/>
          <c:tx>
            <c:strRef>
              <c:f>Sheet1!$B$1</c:f>
              <c:strCache>
                <c:ptCount val="1"/>
                <c:pt idx="0">
                  <c:v>Suprafaţa agricolă</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346762</c:v>
                </c:pt>
                <c:pt idx="1">
                  <c:v>347632</c:v>
                </c:pt>
                <c:pt idx="2">
                  <c:v>354821</c:v>
                </c:pt>
                <c:pt idx="3">
                  <c:v>354820</c:v>
                </c:pt>
                <c:pt idx="4">
                  <c:v>354820</c:v>
                </c:pt>
              </c:numCache>
            </c:numRef>
          </c:val>
        </c:ser>
        <c:ser>
          <c:idx val="1"/>
          <c:order val="1"/>
          <c:tx>
            <c:strRef>
              <c:f>Sheet1!$C$1</c:f>
              <c:strCache>
                <c:ptCount val="1"/>
                <c:pt idx="0">
                  <c:v>Suprafaţa destinată agriculturii ecologice</c:v>
                </c:pt>
              </c:strCache>
            </c:strRef>
          </c:tx>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17308</c:v>
                </c:pt>
                <c:pt idx="1">
                  <c:v>14960</c:v>
                </c:pt>
                <c:pt idx="2">
                  <c:v>14860</c:v>
                </c:pt>
                <c:pt idx="3">
                  <c:v>7502</c:v>
                </c:pt>
                <c:pt idx="4">
                  <c:v>5476</c:v>
                </c:pt>
              </c:numCache>
            </c:numRef>
          </c:val>
        </c:ser>
        <c:axId val="119721344"/>
        <c:axId val="119805056"/>
      </c:barChart>
      <c:catAx>
        <c:axId val="119721344"/>
        <c:scaling>
          <c:orientation val="minMax"/>
        </c:scaling>
        <c:axPos val="b"/>
        <c:numFmt formatCode="General" sourceLinked="1"/>
        <c:tickLblPos val="nextTo"/>
        <c:crossAx val="119805056"/>
        <c:crosses val="autoZero"/>
        <c:auto val="1"/>
        <c:lblAlgn val="ctr"/>
        <c:lblOffset val="100"/>
      </c:catAx>
      <c:valAx>
        <c:axId val="119805056"/>
        <c:scaling>
          <c:orientation val="minMax"/>
          <c:max val="500000"/>
        </c:scaling>
        <c:axPos val="l"/>
        <c:majorGridlines/>
        <c:title>
          <c:tx>
            <c:rich>
              <a:bodyPr rot="0" vert="horz"/>
              <a:lstStyle/>
              <a:p>
                <a:pPr>
                  <a:defRPr/>
                </a:pPr>
                <a:r>
                  <a:rPr lang="ro-RO"/>
                  <a:t>ha</a:t>
                </a:r>
              </a:p>
            </c:rich>
          </c:tx>
          <c:layout>
            <c:manualLayout>
              <c:xMode val="edge"/>
              <c:yMode val="edge"/>
              <c:x val="8.9557729050685292E-2"/>
              <c:y val="2.1346415467700056E-2"/>
            </c:manualLayout>
          </c:layout>
        </c:title>
        <c:numFmt formatCode="#,##0" sourceLinked="0"/>
        <c:tickLblPos val="nextTo"/>
        <c:crossAx val="119721344"/>
        <c:crosses val="autoZero"/>
        <c:crossBetween val="between"/>
        <c:majorUnit val="100000"/>
      </c:valAx>
      <c:dTable>
        <c:showHorzBorder val="1"/>
        <c:showVertBorder val="1"/>
        <c:showOutline val="1"/>
        <c:txPr>
          <a:bodyPr/>
          <a:lstStyle/>
          <a:p>
            <a:pPr rtl="0">
              <a:defRPr sz="800"/>
            </a:pPr>
            <a:endParaRPr lang="ro-RO"/>
          </a:p>
        </c:txPr>
      </c:dTable>
      <c:spPr>
        <a:ln>
          <a:solidFill>
            <a:sysClr val="window" lastClr="FFFFFF">
              <a:lumMod val="50000"/>
            </a:sysClr>
          </a:solidFill>
        </a:ln>
      </c:spPr>
    </c:plotArea>
    <c:legend>
      <c:legendPos val="r"/>
      <c:layout>
        <c:manualLayout>
          <c:xMode val="edge"/>
          <c:yMode val="edge"/>
          <c:x val="0.83762720242929689"/>
          <c:y val="0.10231493314644555"/>
          <c:w val="0.15412230421869913"/>
          <c:h val="0.63931693723469762"/>
        </c:manualLayout>
      </c:layout>
    </c:legend>
    <c:plotVisOnly val="1"/>
  </c:chart>
  <c:spPr>
    <a:ln>
      <a:noFill/>
    </a:ln>
  </c:spPr>
  <c:txPr>
    <a:bodyPr/>
    <a:lstStyle/>
    <a:p>
      <a:pPr>
        <a:defRPr sz="900">
          <a:latin typeface="Arial" pitchFamily="34" charset="0"/>
          <a:cs typeface="Arial" pitchFamily="34"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75CF7-A7E9-4B85-81DC-77DA5BF9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3419</Words>
  <Characters>19833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anca.ionce</dc:creator>
  <cp:lastModifiedBy>gina.ursul</cp:lastModifiedBy>
  <cp:revision>4</cp:revision>
  <dcterms:created xsi:type="dcterms:W3CDTF">2018-08-13T11:45:00Z</dcterms:created>
  <dcterms:modified xsi:type="dcterms:W3CDTF">2018-08-14T12:36:00Z</dcterms:modified>
</cp:coreProperties>
</file>