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78" w:rsidRDefault="006F1C78" w:rsidP="00D2177F">
      <w:pPr>
        <w:widowControl w:val="0"/>
        <w:spacing w:after="0" w:line="240" w:lineRule="auto"/>
        <w:rPr>
          <w:rFonts w:ascii="Arial" w:hAnsi="Arial" w:cs="Arial"/>
          <w:sz w:val="24"/>
          <w:szCs w:val="24"/>
          <w:lang w:val="ro-RO"/>
        </w:rPr>
      </w:pPr>
    </w:p>
    <w:p w:rsidR="00350FCC" w:rsidRDefault="00350FCC" w:rsidP="00D2177F">
      <w:pPr>
        <w:widowControl w:val="0"/>
        <w:spacing w:after="0" w:line="240" w:lineRule="auto"/>
        <w:rPr>
          <w:rFonts w:ascii="Arial" w:hAnsi="Arial" w:cs="Arial"/>
          <w:sz w:val="24"/>
          <w:szCs w:val="24"/>
          <w:lang w:val="ro-RO"/>
        </w:rPr>
      </w:pPr>
    </w:p>
    <w:p w:rsidR="0008763A" w:rsidRPr="002C24BE" w:rsidRDefault="0008763A" w:rsidP="00D2177F">
      <w:pPr>
        <w:widowControl w:val="0"/>
        <w:spacing w:line="240" w:lineRule="auto"/>
        <w:rPr>
          <w:rFonts w:ascii="Arial" w:hAnsi="Arial" w:cs="Arial"/>
          <w:sz w:val="24"/>
          <w:szCs w:val="24"/>
          <w:lang w:val="ro-RO"/>
        </w:rPr>
      </w:pPr>
    </w:p>
    <w:p w:rsidR="00E74B2C" w:rsidRPr="002C24BE" w:rsidRDefault="00370603" w:rsidP="00D2177F">
      <w:pPr>
        <w:widowControl w:val="0"/>
        <w:spacing w:line="240" w:lineRule="auto"/>
        <w:jc w:val="center"/>
        <w:rPr>
          <w:rFonts w:ascii="Arial" w:hAnsi="Arial" w:cs="Arial"/>
          <w:b/>
          <w:sz w:val="24"/>
          <w:szCs w:val="24"/>
          <w:lang w:val="ro-RO"/>
        </w:rPr>
      </w:pPr>
      <w:r w:rsidRPr="002C24BE">
        <w:rPr>
          <w:rFonts w:ascii="Arial" w:hAnsi="Arial" w:cs="Arial"/>
          <w:b/>
          <w:sz w:val="24"/>
          <w:szCs w:val="24"/>
          <w:lang w:val="ro-RO"/>
        </w:rPr>
        <w:t>I</w:t>
      </w:r>
      <w:r w:rsidR="0008763A" w:rsidRPr="002C24BE">
        <w:rPr>
          <w:rFonts w:ascii="Arial" w:hAnsi="Arial" w:cs="Arial"/>
          <w:b/>
          <w:sz w:val="24"/>
          <w:szCs w:val="24"/>
          <w:lang w:val="ro-RO"/>
        </w:rPr>
        <w:t>X. RADIOACTIVITATEA MEDIULUI</w:t>
      </w:r>
    </w:p>
    <w:p w:rsidR="005A68D1" w:rsidRPr="002C24BE" w:rsidRDefault="005A68D1" w:rsidP="00D2177F">
      <w:pPr>
        <w:widowControl w:val="0"/>
        <w:spacing w:after="0" w:line="240" w:lineRule="auto"/>
        <w:jc w:val="center"/>
        <w:rPr>
          <w:rFonts w:ascii="Arial" w:hAnsi="Arial" w:cs="Arial"/>
          <w:b/>
          <w:sz w:val="24"/>
          <w:szCs w:val="24"/>
          <w:lang w:val="ro-RO"/>
        </w:rPr>
      </w:pPr>
    </w:p>
    <w:p w:rsidR="0008763A" w:rsidRPr="002C24BE" w:rsidRDefault="0093208D" w:rsidP="00D2177F">
      <w:pPr>
        <w:pStyle w:val="Default"/>
        <w:widowControl w:val="0"/>
        <w:rPr>
          <w:b/>
          <w:bCs/>
        </w:rPr>
      </w:pPr>
      <w:r w:rsidRPr="002C24BE">
        <w:rPr>
          <w:b/>
          <w:bCs/>
        </w:rPr>
        <w:t xml:space="preserve">IX.1. Monitorizarea radioactivităţii factorilor de mediu </w:t>
      </w:r>
    </w:p>
    <w:p w:rsidR="00E74B2C" w:rsidRPr="002C24BE" w:rsidRDefault="00E74B2C" w:rsidP="00D2177F">
      <w:pPr>
        <w:pStyle w:val="Default"/>
        <w:widowControl w:val="0"/>
      </w:pPr>
    </w:p>
    <w:p w:rsidR="000563E7" w:rsidRPr="002C24BE" w:rsidRDefault="000563E7" w:rsidP="000563E7">
      <w:pPr>
        <w:pStyle w:val="Default"/>
        <w:widowControl w:val="0"/>
        <w:ind w:firstLine="720"/>
        <w:jc w:val="both"/>
      </w:pPr>
      <w:r w:rsidRPr="002C24BE">
        <w:t>Radioactivitatea este proprietatea nucleelor unor elemente chimice de a emite prin dezintegrare spontană radiaţii corpusculare şi electromagnetice. Aceasta este un fenomen natural ce se manifestă în mediu.</w:t>
      </w:r>
    </w:p>
    <w:p w:rsidR="000563E7" w:rsidRPr="002C24BE" w:rsidRDefault="000563E7" w:rsidP="000563E7">
      <w:pPr>
        <w:pStyle w:val="Default"/>
        <w:widowControl w:val="0"/>
        <w:ind w:firstLine="720"/>
        <w:jc w:val="both"/>
      </w:pPr>
      <w:r w:rsidRPr="002C24BE">
        <w:t>Radioactivitatea naturală este determinată de substanţele radioactive de origine terestră (precum U-238, U-235, Th-232, Ac-228 etc.), la care se adaugă substanţele radioactive de origine cosmogenă (H-3, Be-7, C-14 etc.) şi  radiaţia cosmică, care toate la un loc formează fondul natural de radiaţii.</w:t>
      </w:r>
    </w:p>
    <w:p w:rsidR="000563E7" w:rsidRPr="002C24BE" w:rsidRDefault="000563E7" w:rsidP="000563E7">
      <w:pPr>
        <w:pStyle w:val="Default"/>
        <w:widowControl w:val="0"/>
        <w:ind w:firstLine="720"/>
        <w:jc w:val="both"/>
      </w:pPr>
      <w:r w:rsidRPr="002C24BE">
        <w:t>Substanţele radioactive de origine terestră există în natură din cele mai vechi timpuri, iar abundenţa lor este dependentă de conformaţia geologică a diferitelor zone, variind de la un loc la altul. Componenta extraterestră a radioactivităţii naturale este constituită din radiaţiile de origine cosmică provenite din spaţiul cosmic şi de la Soare. Substanţele radioactive de origine cosmogenă se formează în straturile înalte ale atmosferei, prin interacţia radiaţiei cosmice cu elemente stabile. Toate radiaţiile ionizante, de origine terestră sau cosmică, constituie fondul natural de radiaţii care acţionează asupra organismelor vii.</w:t>
      </w:r>
    </w:p>
    <w:p w:rsidR="000563E7" w:rsidRPr="002C24BE" w:rsidRDefault="000563E7" w:rsidP="000563E7">
      <w:pPr>
        <w:pStyle w:val="Default"/>
        <w:widowControl w:val="0"/>
        <w:ind w:firstLine="720"/>
        <w:jc w:val="both"/>
      </w:pPr>
      <w:r w:rsidRPr="002C24BE">
        <w:t>Alături de radionuclizii naturali se găsesc radionuclizii artificiali care au pătruns în mediu pe diferite căi:</w:t>
      </w:r>
    </w:p>
    <w:p w:rsidR="000563E7" w:rsidRPr="002C24BE" w:rsidRDefault="000563E7" w:rsidP="000563E7">
      <w:pPr>
        <w:pStyle w:val="Default"/>
        <w:widowControl w:val="0"/>
        <w:numPr>
          <w:ilvl w:val="0"/>
          <w:numId w:val="21"/>
        </w:numPr>
        <w:ind w:left="284" w:hanging="284"/>
        <w:jc w:val="both"/>
      </w:pPr>
      <w:r w:rsidRPr="002C24BE">
        <w:t>intenţionat, în urma testelor nucleare şi prin deversări de la diverse instalaţii nucleare;</w:t>
      </w:r>
    </w:p>
    <w:p w:rsidR="000563E7" w:rsidRPr="002C24BE" w:rsidRDefault="000563E7" w:rsidP="000563E7">
      <w:pPr>
        <w:pStyle w:val="Default"/>
        <w:widowControl w:val="0"/>
        <w:numPr>
          <w:ilvl w:val="0"/>
          <w:numId w:val="21"/>
        </w:numPr>
        <w:ind w:left="284" w:hanging="284"/>
        <w:jc w:val="both"/>
      </w:pPr>
      <w:r w:rsidRPr="002C24BE">
        <w:t>accidental, în urma unor defecţiuni la instalaţiile nucleare (exemplu: accidentele nucleare de la Cernobîl, Fukushima).</w:t>
      </w:r>
    </w:p>
    <w:p w:rsidR="000563E7" w:rsidRPr="002C24BE" w:rsidRDefault="000563E7" w:rsidP="000563E7">
      <w:pPr>
        <w:pStyle w:val="Default"/>
        <w:widowControl w:val="0"/>
        <w:ind w:firstLine="720"/>
        <w:jc w:val="both"/>
        <w:rPr>
          <w:sz w:val="10"/>
          <w:szCs w:val="10"/>
        </w:rPr>
      </w:pPr>
    </w:p>
    <w:p w:rsidR="000563E7" w:rsidRDefault="000563E7" w:rsidP="000563E7">
      <w:pPr>
        <w:pStyle w:val="Default"/>
        <w:widowControl w:val="0"/>
        <w:ind w:firstLine="720"/>
        <w:jc w:val="both"/>
      </w:pPr>
      <w:r w:rsidRPr="002C24BE">
        <w:t xml:space="preserve">Supravegherea radioactivităţii factorilor de mediu pe teritoriul naţional este asigurată prin </w:t>
      </w:r>
      <w:r w:rsidRPr="002D6562">
        <w:t>Reţeaua Naţională de Supraveghere a Radioactivităţii Mediului (RNSRM), care este coordonată ştiinţific, tehnic şi metodologic de Laboratorul Naţional de Referinţă pentru Radioactivitate (LNRR) din cadrul Agenţiei Naţionale pentru Protecţia Mediului (ANPM).</w:t>
      </w:r>
    </w:p>
    <w:p w:rsidR="000563E7" w:rsidRPr="002C24BE" w:rsidRDefault="000563E7" w:rsidP="000563E7">
      <w:pPr>
        <w:pStyle w:val="Default"/>
        <w:widowControl w:val="0"/>
        <w:ind w:firstLine="720"/>
        <w:jc w:val="both"/>
      </w:pPr>
      <w:r w:rsidRPr="002C24BE">
        <w:t>Obiectivele monitorizării radioactivităţii mediului în cadrul RNSRM sunt:</w:t>
      </w:r>
    </w:p>
    <w:p w:rsidR="000563E7" w:rsidRPr="002C24BE" w:rsidRDefault="000563E7" w:rsidP="000563E7">
      <w:pPr>
        <w:pStyle w:val="Default"/>
        <w:widowControl w:val="0"/>
        <w:numPr>
          <w:ilvl w:val="0"/>
          <w:numId w:val="21"/>
        </w:numPr>
        <w:ind w:left="284" w:hanging="284"/>
        <w:jc w:val="both"/>
      </w:pPr>
      <w:r w:rsidRPr="002C24BE">
        <w:t>detectarea rapidă a oricăror creşteri cu semnificaţie radiologică a nivelurilor de radioactivitate a mediului pe teritoriul naţional;</w:t>
      </w:r>
    </w:p>
    <w:p w:rsidR="000563E7" w:rsidRPr="002C24BE" w:rsidRDefault="000563E7" w:rsidP="000563E7">
      <w:pPr>
        <w:pStyle w:val="Default"/>
        <w:widowControl w:val="0"/>
        <w:numPr>
          <w:ilvl w:val="0"/>
          <w:numId w:val="21"/>
        </w:numPr>
        <w:ind w:left="284" w:hanging="284"/>
        <w:jc w:val="both"/>
      </w:pPr>
      <w:r w:rsidRPr="002C24BE">
        <w:t>notificarea rapidă a factorilor de decizie în situaţie de urgenţă radiologică şi susţinerea, cu date din teren, a deciziilor de implementare a măsurilor de protecţie în timp real;</w:t>
      </w:r>
    </w:p>
    <w:p w:rsidR="000563E7" w:rsidRPr="002C24BE" w:rsidRDefault="000563E7" w:rsidP="000563E7">
      <w:pPr>
        <w:pStyle w:val="Default"/>
        <w:widowControl w:val="0"/>
        <w:numPr>
          <w:ilvl w:val="0"/>
          <w:numId w:val="21"/>
        </w:numPr>
        <w:ind w:left="284" w:hanging="284"/>
        <w:jc w:val="both"/>
      </w:pPr>
      <w:r w:rsidRPr="002C24BE">
        <w:t>controlul funcţionării surselor de poluare radioactivă cu impact asupra mediului, în acord cu cerinţele legale, şi limitele autorizate la nivel naţional;</w:t>
      </w:r>
    </w:p>
    <w:p w:rsidR="000563E7" w:rsidRPr="002C24BE" w:rsidRDefault="000563E7" w:rsidP="000563E7">
      <w:pPr>
        <w:pStyle w:val="Default"/>
        <w:widowControl w:val="0"/>
        <w:numPr>
          <w:ilvl w:val="0"/>
          <w:numId w:val="21"/>
        </w:numPr>
        <w:ind w:left="284" w:hanging="284"/>
        <w:jc w:val="both"/>
      </w:pPr>
      <w:r w:rsidRPr="002C24BE">
        <w:t>evaluarea dozelor încasate de populaţie ca urmare a expunerii suplimentare la radiaţii, datorate practicilor sau accidentelor radiologice</w:t>
      </w:r>
    </w:p>
    <w:p w:rsidR="000563E7" w:rsidRPr="002C24BE" w:rsidRDefault="000563E7" w:rsidP="000563E7">
      <w:pPr>
        <w:pStyle w:val="Default"/>
        <w:widowControl w:val="0"/>
        <w:numPr>
          <w:ilvl w:val="0"/>
          <w:numId w:val="21"/>
        </w:numPr>
        <w:ind w:left="284" w:hanging="284"/>
        <w:jc w:val="both"/>
      </w:pPr>
      <w:r w:rsidRPr="002C24BE">
        <w:t>urmărirea continuă a nivelurilor de radioactivitate naturală, importante în evaluarea consecinţelor unei situaţii de urgenţă radiologică;</w:t>
      </w:r>
    </w:p>
    <w:p w:rsidR="000563E7" w:rsidRPr="002C24BE" w:rsidRDefault="000563E7" w:rsidP="000563E7">
      <w:pPr>
        <w:pStyle w:val="Default"/>
        <w:widowControl w:val="0"/>
        <w:numPr>
          <w:ilvl w:val="0"/>
          <w:numId w:val="21"/>
        </w:numPr>
        <w:ind w:left="284" w:hanging="284"/>
        <w:jc w:val="both"/>
      </w:pPr>
      <w:r w:rsidRPr="002C24BE">
        <w:t>furnizarea de informaţii către public</w:t>
      </w:r>
      <w:r w:rsidRPr="002C24BE">
        <w:rPr>
          <w:rStyle w:val="FootnoteReference"/>
        </w:rPr>
        <w:footnoteReference w:id="1"/>
      </w:r>
      <w:r w:rsidRPr="002C24BE">
        <w:t>.</w:t>
      </w:r>
    </w:p>
    <w:p w:rsidR="000563E7" w:rsidRPr="002C24BE" w:rsidRDefault="000563E7" w:rsidP="000563E7">
      <w:pPr>
        <w:pStyle w:val="Default"/>
        <w:widowControl w:val="0"/>
        <w:ind w:firstLine="720"/>
        <w:jc w:val="both"/>
        <w:rPr>
          <w:sz w:val="10"/>
          <w:szCs w:val="10"/>
        </w:rPr>
      </w:pPr>
    </w:p>
    <w:p w:rsidR="000563E7" w:rsidRDefault="000563E7" w:rsidP="000563E7">
      <w:pPr>
        <w:pStyle w:val="Default"/>
        <w:widowControl w:val="0"/>
        <w:ind w:firstLine="720"/>
        <w:jc w:val="both"/>
        <w:rPr>
          <w:color w:val="auto"/>
        </w:rPr>
      </w:pPr>
      <w:r>
        <w:t>În cadrul APM Suceava funcționează S</w:t>
      </w:r>
      <w:r w:rsidRPr="002C24BE">
        <w:t>taţi</w:t>
      </w:r>
      <w:r>
        <w:t>a</w:t>
      </w:r>
      <w:r w:rsidRPr="002C24BE">
        <w:t xml:space="preserve"> de Supraveghere a Radioactivităţii Mediului Suceava (SSRM), </w:t>
      </w:r>
      <w:r>
        <w:t xml:space="preserve">adică un laborator </w:t>
      </w:r>
      <w:r w:rsidRPr="002C24BE">
        <w:t xml:space="preserve">cu un </w:t>
      </w:r>
      <w:r>
        <w:t>program</w:t>
      </w:r>
      <w:r w:rsidRPr="002C24BE">
        <w:t xml:space="preserve"> zilnic de funcţionare de 11 ore/zi, </w:t>
      </w:r>
      <w:r>
        <w:t xml:space="preserve">aceasta fiind una din cele 37 de SSRM care </w:t>
      </w:r>
      <w:r w:rsidRPr="002C24BE">
        <w:t>fac parte din RNSRM</w:t>
      </w:r>
      <w:r>
        <w:t xml:space="preserve">. La sediul APM Suceava funcționează continuu și o </w:t>
      </w:r>
      <w:r w:rsidRPr="002C24BE">
        <w:rPr>
          <w:color w:val="auto"/>
        </w:rPr>
        <w:t>staţi</w:t>
      </w:r>
      <w:r>
        <w:rPr>
          <w:color w:val="auto"/>
        </w:rPr>
        <w:t>e</w:t>
      </w:r>
      <w:r w:rsidRPr="002C24BE">
        <w:rPr>
          <w:color w:val="auto"/>
        </w:rPr>
        <w:t xml:space="preserve"> automat</w:t>
      </w:r>
      <w:r>
        <w:rPr>
          <w:color w:val="auto"/>
        </w:rPr>
        <w:t>ă</w:t>
      </w:r>
      <w:r w:rsidRPr="002C24BE">
        <w:rPr>
          <w:color w:val="auto"/>
        </w:rPr>
        <w:t xml:space="preserve"> de</w:t>
      </w:r>
      <w:r>
        <w:rPr>
          <w:color w:val="auto"/>
        </w:rPr>
        <w:t xml:space="preserve"> monitorizare a debitului</w:t>
      </w:r>
      <w:r w:rsidRPr="002C24BE">
        <w:rPr>
          <w:color w:val="auto"/>
        </w:rPr>
        <w:t xml:space="preserve"> doz</w:t>
      </w:r>
      <w:r>
        <w:rPr>
          <w:color w:val="auto"/>
        </w:rPr>
        <w:t>ei</w:t>
      </w:r>
      <w:r w:rsidRPr="002C24BE">
        <w:rPr>
          <w:color w:val="auto"/>
        </w:rPr>
        <w:t xml:space="preserve"> gamma din aer</w:t>
      </w:r>
      <w:r>
        <w:rPr>
          <w:color w:val="auto"/>
        </w:rPr>
        <w:t xml:space="preserve">. </w:t>
      </w:r>
    </w:p>
    <w:p w:rsidR="002931DB" w:rsidRDefault="002931DB" w:rsidP="000563E7">
      <w:pPr>
        <w:pStyle w:val="Default"/>
        <w:widowControl w:val="0"/>
        <w:ind w:firstLine="720"/>
        <w:jc w:val="both"/>
      </w:pPr>
    </w:p>
    <w:p w:rsidR="000563E7" w:rsidRPr="002C24BE" w:rsidRDefault="000563E7" w:rsidP="000563E7">
      <w:pPr>
        <w:pStyle w:val="Default"/>
        <w:widowControl w:val="0"/>
        <w:ind w:firstLine="720"/>
        <w:jc w:val="both"/>
      </w:pPr>
      <w:r w:rsidRPr="002C24BE">
        <w:lastRenderedPageBreak/>
        <w:t>SSRM Suce</w:t>
      </w:r>
      <w:r>
        <w:t>ava a desfăşurat în anul 2017</w:t>
      </w:r>
      <w:r w:rsidRPr="002C24BE">
        <w:t xml:space="preserve"> </w:t>
      </w:r>
      <w:r>
        <w:t xml:space="preserve">următoarele </w:t>
      </w:r>
      <w:r w:rsidRPr="002C24BE">
        <w:t xml:space="preserve">programe de supraveghere a radioactivităţii mediului: </w:t>
      </w:r>
    </w:p>
    <w:p w:rsidR="000563E7" w:rsidRPr="00F770C7" w:rsidRDefault="000563E7" w:rsidP="000563E7">
      <w:pPr>
        <w:pStyle w:val="Default"/>
        <w:widowControl w:val="0"/>
        <w:numPr>
          <w:ilvl w:val="0"/>
          <w:numId w:val="23"/>
        </w:numPr>
        <w:ind w:left="284" w:hanging="284"/>
        <w:jc w:val="both"/>
      </w:pPr>
      <w:r w:rsidRPr="002C24BE">
        <w:rPr>
          <w:b/>
        </w:rPr>
        <w:t>Programul standard de monitorizare a radioactivităţii factorilor de mediu</w:t>
      </w:r>
      <w:r w:rsidRPr="002C24BE">
        <w:t>, desfăşurat în mod unitar de către toate SSRM din cadrul RNSRM; programul de funcţionare a SSRM Suceava este de 11 ore/zi şi urmăreşte evoluţia în timp a radioactiv</w:t>
      </w:r>
      <w:r>
        <w:t>ităţii factorilor de mediu</w:t>
      </w:r>
      <w:r w:rsidRPr="00F770C7">
        <w:t>;</w:t>
      </w:r>
    </w:p>
    <w:p w:rsidR="000563E7" w:rsidRDefault="000563E7" w:rsidP="000563E7">
      <w:pPr>
        <w:pStyle w:val="Default"/>
        <w:widowControl w:val="0"/>
        <w:numPr>
          <w:ilvl w:val="0"/>
          <w:numId w:val="23"/>
        </w:numPr>
        <w:ind w:left="284" w:hanging="284"/>
        <w:jc w:val="both"/>
      </w:pPr>
      <w:r w:rsidRPr="002C24BE">
        <w:rPr>
          <w:b/>
        </w:rPr>
        <w:t xml:space="preserve">Programul </w:t>
      </w:r>
      <w:r>
        <w:rPr>
          <w:b/>
        </w:rPr>
        <w:t xml:space="preserve">special </w:t>
      </w:r>
      <w:r w:rsidRPr="002C24BE">
        <w:rPr>
          <w:b/>
        </w:rPr>
        <w:t>de monitorizare a zonelor cu fondul natural modificat antropic</w:t>
      </w:r>
      <w:r w:rsidRPr="002C24BE">
        <w:t xml:space="preserve"> din judeţul Suceava, program aprobat anual de ANPM, care </w:t>
      </w:r>
      <w:r>
        <w:t xml:space="preserve">a </w:t>
      </w:r>
      <w:r w:rsidRPr="002C24BE">
        <w:t>inclu</w:t>
      </w:r>
      <w:r>
        <w:t>s</w:t>
      </w:r>
      <w:r w:rsidRPr="002C24BE">
        <w:t xml:space="preserve"> prelevări cu frecvenţă trimestrială, semestrială sau anuală, după caz, de probe de </w:t>
      </w:r>
      <w:r>
        <w:t xml:space="preserve">mediu </w:t>
      </w:r>
      <w:r w:rsidRPr="002C24BE">
        <w:t>din zonele aflate sub impactul activităţilor legate de exploa</w:t>
      </w:r>
      <w:r>
        <w:t>ta</w:t>
      </w:r>
      <w:r w:rsidRPr="002C24BE">
        <w:t>rea, încărcarea şi transportul minereurilor de uraniu din judeţ. În cadrul programului special</w:t>
      </w:r>
      <w:r>
        <w:t xml:space="preserve"> pe anul 2017</w:t>
      </w:r>
      <w:r w:rsidRPr="002C24BE">
        <w:t xml:space="preserve"> au fost investigate zonele miniere Crucea şi Botuşana, aparţinând Companiei Naţionale a Uraniului, Filiala Suceava, precum şi zona Argestru, unde se află Staţia Tehnică de încărcare-transport C.F. minereu uranifer. A fost</w:t>
      </w:r>
      <w:r>
        <w:t xml:space="preserve"> totodată</w:t>
      </w:r>
      <w:r w:rsidRPr="002C24BE">
        <w:t xml:space="preserve"> monitorizată </w:t>
      </w:r>
      <w:r>
        <w:t xml:space="preserve">în continuare </w:t>
      </w:r>
      <w:r w:rsidRPr="002C24BE">
        <w:t>şi zona haldei de zgură şi cenuşă a fostei centrale termoelectrice pe huilă</w:t>
      </w:r>
      <w:r>
        <w:t xml:space="preserve"> </w:t>
      </w:r>
      <w:r w:rsidRPr="002C24BE">
        <w:t>aparţinând S.C. TERMICA S.A. Suceava</w:t>
      </w:r>
      <w:r>
        <w:t>, oprită în anul 2013</w:t>
      </w:r>
      <w:r w:rsidRPr="002C24BE">
        <w:t xml:space="preserve">. </w:t>
      </w:r>
    </w:p>
    <w:p w:rsidR="000563E7" w:rsidRPr="002C24BE" w:rsidRDefault="000563E7" w:rsidP="000563E7">
      <w:pPr>
        <w:pStyle w:val="Default"/>
        <w:widowControl w:val="0"/>
        <w:numPr>
          <w:ilvl w:val="0"/>
          <w:numId w:val="23"/>
        </w:numPr>
        <w:ind w:left="284" w:hanging="284"/>
        <w:jc w:val="both"/>
      </w:pPr>
      <w:r w:rsidRPr="002C24BE">
        <w:t>O parte din probele prelevate</w:t>
      </w:r>
      <w:r>
        <w:t>, atât în cadrul programului standard, cât şi a celui special,</w:t>
      </w:r>
      <w:r w:rsidRPr="002C24BE">
        <w:t xml:space="preserve"> sunt pregătite şi expediate lunar Laboratorului de Radioactivitate din cadrul </w:t>
      </w:r>
      <w:r>
        <w:t>APM</w:t>
      </w:r>
      <w:r w:rsidRPr="002C24BE">
        <w:t xml:space="preserve"> Iaşi, unde există dotarea necesară în vederea determinării concentraţiilor izotopilor radioactivi din probele de mediu, prin măsurători gamma spectrometrice. Rezultatele acestor determinări sunt centralizate de către </w:t>
      </w:r>
      <w:r w:rsidRPr="002D6562">
        <w:t>LNRR</w:t>
      </w:r>
      <w:r w:rsidRPr="002C24BE">
        <w:t xml:space="preserve"> din cadrul </w:t>
      </w:r>
      <w:r>
        <w:t>ANPM</w:t>
      </w:r>
      <w:r w:rsidRPr="002C24BE">
        <w:t>.</w:t>
      </w:r>
    </w:p>
    <w:p w:rsidR="000563E7" w:rsidRPr="002C24BE" w:rsidRDefault="000563E7" w:rsidP="000563E7">
      <w:pPr>
        <w:pStyle w:val="Default"/>
        <w:widowControl w:val="0"/>
        <w:ind w:firstLine="720"/>
        <w:jc w:val="both"/>
        <w:rPr>
          <w:sz w:val="10"/>
          <w:szCs w:val="10"/>
        </w:rPr>
      </w:pPr>
    </w:p>
    <w:p w:rsidR="000563E7" w:rsidRPr="002C24BE" w:rsidRDefault="000563E7" w:rsidP="000563E7">
      <w:pPr>
        <w:pStyle w:val="Default"/>
        <w:widowControl w:val="0"/>
        <w:ind w:firstLine="720"/>
        <w:jc w:val="both"/>
      </w:pPr>
      <w:r w:rsidRPr="002C24BE">
        <w:t xml:space="preserve">Fluxul de date în cadrul </w:t>
      </w:r>
      <w:r>
        <w:t>RNSRM</w:t>
      </w:r>
      <w:r w:rsidRPr="002C24BE">
        <w:t xml:space="preserve"> include proceduri de verificare şi validare a datelor, de notificare, avertizare sau alarmare, fiind stabilit astfel încât să asigure informarea promptă a factorilor de decizie naţionali (ANPM) şi locali (după caz), atât în situaţii de rutină, cât şi în situaţii de urgenţă.</w:t>
      </w:r>
    </w:p>
    <w:p w:rsidR="000563E7" w:rsidRPr="002C24BE" w:rsidRDefault="000563E7" w:rsidP="000563E7">
      <w:pPr>
        <w:pStyle w:val="Default"/>
        <w:widowControl w:val="0"/>
        <w:ind w:firstLine="720"/>
        <w:jc w:val="both"/>
        <w:rPr>
          <w:sz w:val="20"/>
          <w:szCs w:val="20"/>
        </w:rPr>
      </w:pPr>
    </w:p>
    <w:p w:rsidR="000563E7" w:rsidRPr="002C24BE" w:rsidRDefault="000563E7" w:rsidP="000563E7">
      <w:pPr>
        <w:pStyle w:val="Default"/>
        <w:widowControl w:val="0"/>
        <w:rPr>
          <w:b/>
          <w:bCs/>
          <w:iCs/>
        </w:rPr>
      </w:pPr>
      <w:r w:rsidRPr="002C24BE">
        <w:rPr>
          <w:b/>
          <w:bCs/>
          <w:iCs/>
        </w:rPr>
        <w:t>IX.1.</w:t>
      </w:r>
      <w:r>
        <w:rPr>
          <w:b/>
          <w:bCs/>
          <w:iCs/>
        </w:rPr>
        <w:t xml:space="preserve"> </w:t>
      </w:r>
      <w:r w:rsidRPr="002C24BE">
        <w:rPr>
          <w:b/>
          <w:bCs/>
          <w:iCs/>
        </w:rPr>
        <w:t xml:space="preserve">Radioactivitatea aerului </w:t>
      </w:r>
    </w:p>
    <w:p w:rsidR="000563E7" w:rsidRDefault="000563E7" w:rsidP="000563E7">
      <w:pPr>
        <w:widowControl w:val="0"/>
        <w:spacing w:after="0" w:line="240" w:lineRule="auto"/>
        <w:jc w:val="both"/>
        <w:rPr>
          <w:rFonts w:ascii="Arial" w:hAnsi="Arial" w:cs="Arial"/>
          <w:sz w:val="16"/>
          <w:szCs w:val="16"/>
          <w:lang w:val="ro-RO"/>
        </w:rPr>
      </w:pPr>
    </w:p>
    <w:p w:rsidR="000563E7" w:rsidRPr="00F770C7" w:rsidRDefault="000563E7" w:rsidP="000563E7">
      <w:pPr>
        <w:pStyle w:val="Default"/>
        <w:widowControl w:val="0"/>
        <w:ind w:firstLine="720"/>
        <w:jc w:val="both"/>
      </w:pPr>
      <w:r w:rsidRPr="00F770C7">
        <w:t>Monitorizarea calităţii aerului din punct de vedere al radioactivităţii este prima cale de identificare a prezenţei radionuclizilor naturali şi artificiali în atmosferă, peste limitele fondului natural.</w:t>
      </w:r>
      <w:r>
        <w:t xml:space="preserve"> </w:t>
      </w:r>
      <w:r w:rsidRPr="00F770C7">
        <w:t>În acest scop</w:t>
      </w:r>
      <w:r>
        <w:t xml:space="preserve">, în cadrul SSRM Suceava </w:t>
      </w:r>
      <w:r w:rsidRPr="00F770C7">
        <w:t>sunt efectuate determinări beta globale</w:t>
      </w:r>
      <w:r>
        <w:t xml:space="preserve"> asupra </w:t>
      </w:r>
      <w:r w:rsidRPr="00F770C7">
        <w:t xml:space="preserve">aerosolilor atmosferici şi depunerilor atmosferice totale (umede şi uscate) şi </w:t>
      </w:r>
      <w:r>
        <w:t>măsurători continue</w:t>
      </w:r>
      <w:r w:rsidRPr="00F770C7">
        <w:t xml:space="preserve"> ale debitului dozei gama gama spectrometrice</w:t>
      </w:r>
      <w:r>
        <w:t>. Probele cumulate lunar se trimit</w:t>
      </w:r>
      <w:r w:rsidRPr="00F770C7">
        <w:t xml:space="preserve"> </w:t>
      </w:r>
      <w:r>
        <w:t xml:space="preserve">pentru </w:t>
      </w:r>
      <w:r w:rsidRPr="00F770C7">
        <w:t>determinări beta spectrometrice asupra aerosolilor atmosferici</w:t>
      </w:r>
      <w:r>
        <w:t xml:space="preserve"> și </w:t>
      </w:r>
      <w:r w:rsidRPr="00F770C7">
        <w:t>depunerilor atmosferice umede</w:t>
      </w:r>
      <w:r>
        <w:t>, la altă SSRM care are dotarea necesară pentru astfel de determinări</w:t>
      </w:r>
      <w:r w:rsidRPr="00F770C7">
        <w:t>.</w:t>
      </w:r>
    </w:p>
    <w:p w:rsidR="00D472E5" w:rsidRPr="002C24BE" w:rsidRDefault="00D472E5" w:rsidP="00D2177F">
      <w:pPr>
        <w:widowControl w:val="0"/>
        <w:spacing w:after="0" w:line="240" w:lineRule="auto"/>
        <w:jc w:val="both"/>
        <w:rPr>
          <w:rFonts w:ascii="Arial" w:hAnsi="Arial" w:cs="Arial"/>
          <w:sz w:val="16"/>
          <w:szCs w:val="16"/>
          <w:lang w:val="ro-RO"/>
        </w:rPr>
      </w:pPr>
    </w:p>
    <w:p w:rsidR="0008763A" w:rsidRPr="002C24BE" w:rsidRDefault="0093208D" w:rsidP="00D2177F">
      <w:pPr>
        <w:pStyle w:val="Default"/>
        <w:widowControl w:val="0"/>
        <w:rPr>
          <w:b/>
          <w:i/>
          <w:iCs/>
        </w:rPr>
      </w:pPr>
      <w:r w:rsidRPr="002C24BE">
        <w:rPr>
          <w:b/>
          <w:i/>
          <w:iCs/>
        </w:rPr>
        <w:t>I</w:t>
      </w:r>
      <w:r w:rsidR="00D472E5" w:rsidRPr="002C24BE">
        <w:rPr>
          <w:b/>
          <w:i/>
          <w:iCs/>
        </w:rPr>
        <w:t>X.1.1.</w:t>
      </w:r>
      <w:r w:rsidRPr="002C24BE">
        <w:rPr>
          <w:b/>
          <w:i/>
          <w:iCs/>
        </w:rPr>
        <w:t xml:space="preserve"> </w:t>
      </w:r>
      <w:r w:rsidR="0008763A" w:rsidRPr="002C24BE">
        <w:rPr>
          <w:b/>
          <w:i/>
          <w:iCs/>
        </w:rPr>
        <w:t>Debi</w:t>
      </w:r>
      <w:r w:rsidR="002B1145" w:rsidRPr="002C24BE">
        <w:rPr>
          <w:b/>
          <w:i/>
          <w:iCs/>
        </w:rPr>
        <w:t>tul dozei ga</w:t>
      </w:r>
      <w:r w:rsidR="00F93F72">
        <w:rPr>
          <w:b/>
          <w:i/>
          <w:iCs/>
        </w:rPr>
        <w:t>m</w:t>
      </w:r>
      <w:r w:rsidR="002B1145" w:rsidRPr="002C24BE">
        <w:rPr>
          <w:b/>
          <w:i/>
          <w:iCs/>
        </w:rPr>
        <w:t>ma absorbite în aer</w:t>
      </w:r>
      <w:r w:rsidR="0008763A" w:rsidRPr="002C24BE">
        <w:rPr>
          <w:b/>
          <w:i/>
          <w:iCs/>
        </w:rPr>
        <w:t xml:space="preserve"> </w:t>
      </w:r>
    </w:p>
    <w:p w:rsidR="009C5CD6" w:rsidRPr="009C5CD6" w:rsidRDefault="009C5CD6" w:rsidP="009C5CD6">
      <w:pPr>
        <w:pStyle w:val="Default"/>
        <w:widowControl w:val="0"/>
        <w:rPr>
          <w:b/>
          <w:bCs/>
          <w:color w:val="auto"/>
          <w:sz w:val="10"/>
          <w:szCs w:val="10"/>
        </w:rPr>
      </w:pPr>
    </w:p>
    <w:p w:rsidR="00370603" w:rsidRPr="002C24BE" w:rsidRDefault="00370603" w:rsidP="00D2177F">
      <w:pPr>
        <w:pStyle w:val="Default"/>
        <w:widowControl w:val="0"/>
        <w:jc w:val="both"/>
        <w:rPr>
          <w:color w:val="auto"/>
        </w:rPr>
      </w:pPr>
      <w:r w:rsidRPr="002C24BE">
        <w:rPr>
          <w:color w:val="FF0000"/>
        </w:rPr>
        <w:tab/>
      </w:r>
      <w:r w:rsidRPr="002C24BE">
        <w:rPr>
          <w:color w:val="auto"/>
        </w:rPr>
        <w:t>Este monitorizat continuu</w:t>
      </w:r>
      <w:r w:rsidR="008971B7" w:rsidRPr="002C24BE">
        <w:rPr>
          <w:color w:val="auto"/>
        </w:rPr>
        <w:t>, prin valori medii orare,</w:t>
      </w:r>
      <w:r w:rsidRPr="002C24BE">
        <w:rPr>
          <w:color w:val="auto"/>
        </w:rPr>
        <w:t xml:space="preserve"> prin intermediul staţiei automate de doză gamma din aer, am</w:t>
      </w:r>
      <w:r w:rsidR="0093208D" w:rsidRPr="002C24BE">
        <w:rPr>
          <w:color w:val="auto"/>
        </w:rPr>
        <w:t>plasată la sediul APM Suceava</w:t>
      </w:r>
      <w:r w:rsidR="00D96B28">
        <w:rPr>
          <w:color w:val="auto"/>
        </w:rPr>
        <w:t>, str. Bistriţei nr. 1A</w:t>
      </w:r>
      <w:r w:rsidR="000563E7">
        <w:rPr>
          <w:color w:val="auto"/>
        </w:rPr>
        <w:t xml:space="preserve">, care </w:t>
      </w:r>
      <w:r w:rsidRPr="002C24BE">
        <w:rPr>
          <w:color w:val="auto"/>
        </w:rPr>
        <w:t>funcţionează din anul 2007</w:t>
      </w:r>
      <w:r w:rsidR="000563E7">
        <w:t>;</w:t>
      </w:r>
      <w:r w:rsidR="008971B7" w:rsidRPr="002C24BE">
        <w:t xml:space="preserve"> datele măsurate </w:t>
      </w:r>
      <w:r w:rsidR="000563E7">
        <w:t>sunt</w:t>
      </w:r>
      <w:r w:rsidR="008971B7" w:rsidRPr="002C24BE">
        <w:t xml:space="preserve"> transmise on-line la serverul local de date din </w:t>
      </w:r>
      <w:r w:rsidR="00D96B28">
        <w:t>SSRM</w:t>
      </w:r>
      <w:r w:rsidR="008971B7" w:rsidRPr="002C24BE">
        <w:t xml:space="preserve"> Suceava şi la </w:t>
      </w:r>
      <w:r w:rsidR="00D96B28">
        <w:t>LNRR</w:t>
      </w:r>
      <w:r w:rsidR="008971B7" w:rsidRPr="002C24BE">
        <w:t xml:space="preserve"> şi intr</w:t>
      </w:r>
      <w:r w:rsidR="000563E7">
        <w:t xml:space="preserve">ă </w:t>
      </w:r>
      <w:r w:rsidR="008971B7" w:rsidRPr="002C24BE">
        <w:t>apoi în circuitul de date european</w:t>
      </w:r>
      <w:r w:rsidRPr="002C24BE">
        <w:rPr>
          <w:color w:val="auto"/>
        </w:rPr>
        <w:t xml:space="preserve">. </w:t>
      </w:r>
      <w:r w:rsidR="00D96B28">
        <w:rPr>
          <w:color w:val="auto"/>
        </w:rPr>
        <w:t xml:space="preserve"> </w:t>
      </w:r>
    </w:p>
    <w:p w:rsidR="00370603" w:rsidRPr="00FE3DF6" w:rsidRDefault="00370603" w:rsidP="00D2177F">
      <w:pPr>
        <w:pStyle w:val="Default"/>
        <w:widowControl w:val="0"/>
        <w:rPr>
          <w:color w:val="auto"/>
          <w:sz w:val="10"/>
          <w:szCs w:val="10"/>
        </w:rPr>
      </w:pPr>
    </w:p>
    <w:p w:rsidR="000563E7" w:rsidRDefault="00370603" w:rsidP="000563E7">
      <w:pPr>
        <w:widowControl w:val="0"/>
        <w:spacing w:after="0" w:line="240" w:lineRule="auto"/>
        <w:jc w:val="center"/>
        <w:rPr>
          <w:rFonts w:ascii="Arial" w:hAnsi="Arial" w:cs="Arial"/>
          <w:lang w:val="ro-RO"/>
        </w:rPr>
      </w:pPr>
      <w:r w:rsidRPr="002C24BE">
        <w:rPr>
          <w:rFonts w:ascii="Arial" w:hAnsi="Arial" w:cs="Arial"/>
          <w:lang w:val="ro-RO"/>
        </w:rPr>
        <w:t>Fig. IX.1.1.1. Variația mediilor și maximelor anuale ale debitului dozei gama în aer</w:t>
      </w:r>
      <w:r w:rsidR="000563E7">
        <w:rPr>
          <w:rFonts w:ascii="Arial" w:hAnsi="Arial" w:cs="Arial"/>
          <w:lang w:val="ro-RO"/>
        </w:rPr>
        <w:t xml:space="preserve"> </w:t>
      </w:r>
    </w:p>
    <w:p w:rsidR="000A32BD" w:rsidRDefault="00F93BE8" w:rsidP="000563E7">
      <w:pPr>
        <w:widowControl w:val="0"/>
        <w:spacing w:after="0" w:line="240" w:lineRule="auto"/>
        <w:jc w:val="center"/>
        <w:rPr>
          <w:rFonts w:ascii="Arial" w:hAnsi="Arial" w:cs="Arial"/>
          <w:lang w:val="ro-RO"/>
        </w:rPr>
      </w:pPr>
      <w:r w:rsidRPr="002C24BE">
        <w:rPr>
          <w:rFonts w:ascii="Arial" w:hAnsi="Arial" w:cs="Arial"/>
          <w:lang w:val="ro-RO"/>
        </w:rPr>
        <w:t>în perioada 201</w:t>
      </w:r>
      <w:r w:rsidR="002F11B6">
        <w:rPr>
          <w:rFonts w:ascii="Arial" w:hAnsi="Arial" w:cs="Arial"/>
          <w:lang w:val="ro-RO"/>
        </w:rPr>
        <w:t>3</w:t>
      </w:r>
      <w:r w:rsidR="00DF0095" w:rsidRPr="002C24BE">
        <w:rPr>
          <w:rFonts w:ascii="Arial" w:hAnsi="Arial" w:cs="Arial"/>
          <w:lang w:val="ro-RO"/>
        </w:rPr>
        <w:t xml:space="preserve"> </w:t>
      </w:r>
      <w:r w:rsidR="000563E7">
        <w:rPr>
          <w:rFonts w:ascii="Arial" w:hAnsi="Arial" w:cs="Arial"/>
          <w:lang w:val="ro-RO"/>
        </w:rPr>
        <w:t>–</w:t>
      </w:r>
      <w:r w:rsidR="00DF0095" w:rsidRPr="002C24BE">
        <w:rPr>
          <w:rFonts w:ascii="Arial" w:hAnsi="Arial" w:cs="Arial"/>
          <w:lang w:val="ro-RO"/>
        </w:rPr>
        <w:t xml:space="preserve"> </w:t>
      </w:r>
      <w:r w:rsidR="002F11B6">
        <w:rPr>
          <w:rFonts w:ascii="Arial" w:hAnsi="Arial" w:cs="Arial"/>
          <w:lang w:val="ro-RO"/>
        </w:rPr>
        <w:t>2017</w:t>
      </w:r>
    </w:p>
    <w:p w:rsidR="003C0C26" w:rsidRPr="002C24BE" w:rsidRDefault="003C0C26" w:rsidP="003C0C26">
      <w:pPr>
        <w:widowControl w:val="0"/>
        <w:spacing w:after="0" w:line="240" w:lineRule="auto"/>
        <w:rPr>
          <w:rFonts w:ascii="Arial" w:hAnsi="Arial" w:cs="Arial"/>
          <w:sz w:val="10"/>
          <w:szCs w:val="10"/>
          <w:lang w:val="ro-RO"/>
        </w:rPr>
      </w:pPr>
    </w:p>
    <w:p w:rsidR="003C0C26" w:rsidRPr="002C24BE" w:rsidRDefault="003C0C26" w:rsidP="003C0C26">
      <w:pPr>
        <w:pStyle w:val="Default"/>
        <w:widowControl w:val="0"/>
        <w:jc w:val="center"/>
        <w:rPr>
          <w:i/>
          <w:iCs/>
          <w:sz w:val="20"/>
          <w:szCs w:val="20"/>
        </w:rPr>
      </w:pPr>
      <w:r w:rsidRPr="002C24BE">
        <w:rPr>
          <w:i/>
          <w:iCs/>
          <w:noProof/>
          <w:sz w:val="20"/>
          <w:szCs w:val="20"/>
          <w:lang w:eastAsia="ro-RO"/>
        </w:rPr>
        <w:drawing>
          <wp:inline distT="0" distB="0" distL="0" distR="0">
            <wp:extent cx="5334000" cy="1304925"/>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3DF6" w:rsidRPr="00FE3DF6" w:rsidRDefault="00FE3DF6" w:rsidP="003C0C26">
      <w:pPr>
        <w:pStyle w:val="Default"/>
        <w:widowControl w:val="0"/>
        <w:jc w:val="both"/>
        <w:rPr>
          <w:b/>
          <w:i/>
          <w:color w:val="auto"/>
          <w:sz w:val="10"/>
          <w:szCs w:val="10"/>
        </w:rPr>
      </w:pPr>
    </w:p>
    <w:p w:rsidR="003C0C26" w:rsidRPr="002C24BE" w:rsidRDefault="003C0C26" w:rsidP="003C0C26">
      <w:pPr>
        <w:pStyle w:val="Default"/>
        <w:widowControl w:val="0"/>
        <w:jc w:val="both"/>
        <w:rPr>
          <w:i/>
          <w:color w:val="auto"/>
          <w:sz w:val="22"/>
          <w:szCs w:val="22"/>
        </w:rPr>
      </w:pPr>
      <w:r w:rsidRPr="002C24BE">
        <w:rPr>
          <w:b/>
          <w:i/>
          <w:color w:val="auto"/>
          <w:sz w:val="22"/>
          <w:szCs w:val="22"/>
        </w:rPr>
        <w:t xml:space="preserve">Notă: </w:t>
      </w:r>
      <w:r w:rsidRPr="001521C9">
        <w:rPr>
          <w:b/>
          <w:i/>
          <w:color w:val="auto"/>
          <w:sz w:val="22"/>
          <w:szCs w:val="22"/>
        </w:rPr>
        <w:t>limita de avertizare</w:t>
      </w:r>
      <w:r w:rsidRPr="002C24BE">
        <w:rPr>
          <w:i/>
          <w:color w:val="auto"/>
          <w:sz w:val="22"/>
          <w:szCs w:val="22"/>
        </w:rPr>
        <w:t xml:space="preserve"> pentru debitul dozei gama este </w:t>
      </w:r>
      <w:r w:rsidRPr="00A4061E">
        <w:rPr>
          <w:b/>
          <w:i/>
          <w:color w:val="auto"/>
          <w:sz w:val="22"/>
          <w:szCs w:val="22"/>
        </w:rPr>
        <w:t>1 μSv/h</w:t>
      </w:r>
      <w:r>
        <w:rPr>
          <w:i/>
          <w:color w:val="auto"/>
          <w:sz w:val="22"/>
          <w:szCs w:val="22"/>
        </w:rPr>
        <w:t xml:space="preserve"> </w:t>
      </w:r>
      <w:r w:rsidRPr="002C24BE">
        <w:rPr>
          <w:i/>
          <w:color w:val="auto"/>
          <w:sz w:val="22"/>
          <w:szCs w:val="22"/>
        </w:rPr>
        <w:t>(conform O.M. nr. 1978/2010)</w:t>
      </w:r>
      <w:r>
        <w:rPr>
          <w:i/>
          <w:color w:val="auto"/>
          <w:sz w:val="22"/>
          <w:szCs w:val="22"/>
        </w:rPr>
        <w:t>.</w:t>
      </w:r>
      <w:r w:rsidRPr="002C24BE">
        <w:rPr>
          <w:i/>
          <w:color w:val="auto"/>
          <w:sz w:val="22"/>
          <w:szCs w:val="22"/>
        </w:rPr>
        <w:t xml:space="preserve"> </w:t>
      </w:r>
    </w:p>
    <w:p w:rsidR="000A32BD" w:rsidRPr="00600F0E" w:rsidRDefault="000A32BD" w:rsidP="00C27803">
      <w:pPr>
        <w:pStyle w:val="Default"/>
        <w:widowControl w:val="0"/>
        <w:jc w:val="both"/>
        <w:rPr>
          <w:color w:val="auto"/>
          <w:sz w:val="10"/>
          <w:szCs w:val="10"/>
        </w:rPr>
      </w:pPr>
    </w:p>
    <w:p w:rsidR="00370603" w:rsidRPr="002C24BE" w:rsidRDefault="00370603" w:rsidP="00D2177F">
      <w:pPr>
        <w:pStyle w:val="Default"/>
        <w:widowControl w:val="0"/>
        <w:ind w:firstLine="720"/>
        <w:jc w:val="both"/>
      </w:pPr>
      <w:r w:rsidRPr="002C24BE">
        <w:lastRenderedPageBreak/>
        <w:t>Din fig.</w:t>
      </w:r>
      <w:r w:rsidR="0093208D" w:rsidRPr="002C24BE">
        <w:t xml:space="preserve"> </w:t>
      </w:r>
      <w:r w:rsidRPr="002C24BE">
        <w:t xml:space="preserve">IX.1.1.1 </w:t>
      </w:r>
      <w:r w:rsidR="00D934F0" w:rsidRPr="002C24BE">
        <w:t>se observă că</w:t>
      </w:r>
      <w:r w:rsidR="009C5CD6">
        <w:t>,</w:t>
      </w:r>
      <w:r w:rsidR="00D934F0" w:rsidRPr="002C24BE">
        <w:t xml:space="preserve"> în intervalul 201</w:t>
      </w:r>
      <w:r w:rsidR="00044C51">
        <w:t>3</w:t>
      </w:r>
      <w:r w:rsidRPr="002C24BE">
        <w:t xml:space="preserve"> </w:t>
      </w:r>
      <w:r w:rsidR="009C5CD6">
        <w:t>–</w:t>
      </w:r>
      <w:r w:rsidRPr="002C24BE">
        <w:t xml:space="preserve"> </w:t>
      </w:r>
      <w:r w:rsidR="00044C51">
        <w:t>2017</w:t>
      </w:r>
      <w:r w:rsidR="009C5CD6">
        <w:t>,</w:t>
      </w:r>
      <w:r w:rsidRPr="002C24BE">
        <w:t xml:space="preserve"> nivelurile medii anuale ale dozei gamma absorbite în aer sunt </w:t>
      </w:r>
      <w:r w:rsidR="00344CA1">
        <w:t>practic egale</w:t>
      </w:r>
      <w:r w:rsidR="009C5CD6">
        <w:t xml:space="preserve">, în timp ce valorile orare maxime măsurate </w:t>
      </w:r>
      <w:r w:rsidR="009C5CD6" w:rsidRPr="00483E27">
        <w:t xml:space="preserve">sunt </w:t>
      </w:r>
      <w:r w:rsidR="009C5CD6">
        <w:t>foarte</w:t>
      </w:r>
      <w:r w:rsidR="009C5CD6" w:rsidRPr="00483E27">
        <w:t xml:space="preserve"> apropiate, fluctuând în limite normale</w:t>
      </w:r>
      <w:r w:rsidR="00344CA1">
        <w:t>.</w:t>
      </w:r>
      <w:r w:rsidRPr="002C24BE">
        <w:t xml:space="preserve"> </w:t>
      </w:r>
    </w:p>
    <w:p w:rsidR="00B60CCE" w:rsidRPr="002C24BE" w:rsidRDefault="00B60CCE" w:rsidP="00D2177F">
      <w:pPr>
        <w:pStyle w:val="BodyText3"/>
        <w:widowControl w:val="0"/>
        <w:spacing w:after="0"/>
        <w:jc w:val="both"/>
        <w:rPr>
          <w:rFonts w:ascii="Arial" w:hAnsi="Arial" w:cs="Arial"/>
          <w:lang w:val="ro-RO"/>
        </w:rPr>
      </w:pPr>
    </w:p>
    <w:p w:rsidR="0008763A" w:rsidRPr="002C24BE" w:rsidRDefault="0093208D" w:rsidP="00D2177F">
      <w:pPr>
        <w:pStyle w:val="Default"/>
        <w:widowControl w:val="0"/>
        <w:rPr>
          <w:b/>
          <w:bCs/>
          <w:i/>
          <w:color w:val="auto"/>
        </w:rPr>
      </w:pPr>
      <w:r w:rsidRPr="002C24BE">
        <w:rPr>
          <w:b/>
          <w:i/>
          <w:iCs/>
        </w:rPr>
        <w:t>I</w:t>
      </w:r>
      <w:r w:rsidR="00EF6F56" w:rsidRPr="002C24BE">
        <w:rPr>
          <w:b/>
          <w:i/>
          <w:iCs/>
        </w:rPr>
        <w:t>X.1.</w:t>
      </w:r>
      <w:r w:rsidR="007301A9" w:rsidRPr="002C24BE">
        <w:rPr>
          <w:b/>
          <w:i/>
          <w:iCs/>
        </w:rPr>
        <w:t>2</w:t>
      </w:r>
      <w:r w:rsidR="00EF6F56" w:rsidRPr="002C24BE">
        <w:rPr>
          <w:b/>
          <w:i/>
          <w:iCs/>
        </w:rPr>
        <w:t>.</w:t>
      </w:r>
      <w:r w:rsidR="007301A9" w:rsidRPr="002C24BE">
        <w:rPr>
          <w:b/>
          <w:i/>
          <w:iCs/>
        </w:rPr>
        <w:t xml:space="preserve"> </w:t>
      </w:r>
      <w:r w:rsidR="00EF6F56" w:rsidRPr="002C24BE">
        <w:rPr>
          <w:b/>
          <w:i/>
          <w:iCs/>
        </w:rPr>
        <w:t>Aerosoli atmosferici</w:t>
      </w:r>
      <w:r w:rsidR="0008763A" w:rsidRPr="002C24BE">
        <w:rPr>
          <w:b/>
          <w:bCs/>
          <w:i/>
          <w:color w:val="auto"/>
        </w:rPr>
        <w:t xml:space="preserve"> </w:t>
      </w:r>
    </w:p>
    <w:p w:rsidR="00B60CCE" w:rsidRPr="009C5CD6" w:rsidRDefault="00B60CCE" w:rsidP="00D2177F">
      <w:pPr>
        <w:pStyle w:val="Default"/>
        <w:widowControl w:val="0"/>
        <w:rPr>
          <w:b/>
          <w:bCs/>
          <w:color w:val="auto"/>
          <w:sz w:val="10"/>
          <w:szCs w:val="10"/>
        </w:rPr>
      </w:pPr>
    </w:p>
    <w:p w:rsidR="00370603" w:rsidRPr="002C24BE" w:rsidRDefault="00D96B28" w:rsidP="00D2177F">
      <w:pPr>
        <w:pStyle w:val="Default"/>
        <w:widowControl w:val="0"/>
        <w:ind w:firstLine="720"/>
        <w:jc w:val="both"/>
      </w:pPr>
      <w:r>
        <w:t>SSRM</w:t>
      </w:r>
      <w:r w:rsidR="00B60CCE" w:rsidRPr="002C24BE">
        <w:t xml:space="preserve"> realizează </w:t>
      </w:r>
      <w:r w:rsidR="0093208D" w:rsidRPr="002C24BE">
        <w:t xml:space="preserve">zilnic </w:t>
      </w:r>
      <w:r w:rsidR="00B60CCE" w:rsidRPr="002C24BE">
        <w:t xml:space="preserve">câte 2 prelevări </w:t>
      </w:r>
      <w:r w:rsidR="0093208D" w:rsidRPr="002C24BE">
        <w:t>de aerosoli</w:t>
      </w:r>
      <w:r w:rsidR="00B60CCE" w:rsidRPr="002C24BE">
        <w:t xml:space="preserve"> atmosferici</w:t>
      </w:r>
      <w:r w:rsidR="0093208D" w:rsidRPr="002C24BE">
        <w:t>,</w:t>
      </w:r>
      <w:r w:rsidR="00B60CCE" w:rsidRPr="002C24BE">
        <w:t xml:space="preserve"> prin aspirare pe filtre, fiecare cu durata de 5 ore, efectuând măsurători beta globale ale aerosolilor </w:t>
      </w:r>
      <w:r w:rsidR="00370603" w:rsidRPr="002C24BE">
        <w:t xml:space="preserve">astfel: </w:t>
      </w:r>
    </w:p>
    <w:p w:rsidR="00370603" w:rsidRPr="002C24BE" w:rsidRDefault="00370603" w:rsidP="00D2177F">
      <w:pPr>
        <w:pStyle w:val="Default"/>
        <w:widowControl w:val="0"/>
        <w:numPr>
          <w:ilvl w:val="0"/>
          <w:numId w:val="18"/>
        </w:numPr>
        <w:jc w:val="both"/>
      </w:pPr>
      <w:r w:rsidRPr="002C24BE">
        <w:t xml:space="preserve">imediat după prelevare </w:t>
      </w:r>
      <w:r w:rsidR="00A4061E">
        <w:t>(</w:t>
      </w:r>
      <w:r w:rsidR="00A4061E" w:rsidRPr="00A4061E">
        <w:t xml:space="preserve">la 3 minute după încetarea prelevării) </w:t>
      </w:r>
      <w:r w:rsidRPr="002C24BE">
        <w:t>– măsurători imediate</w:t>
      </w:r>
      <w:r w:rsidR="009C5CD6">
        <w:t>;</w:t>
      </w:r>
    </w:p>
    <w:p w:rsidR="00370603" w:rsidRPr="002C24BE" w:rsidRDefault="00B60CCE" w:rsidP="00D2177F">
      <w:pPr>
        <w:pStyle w:val="Default"/>
        <w:widowControl w:val="0"/>
        <w:numPr>
          <w:ilvl w:val="0"/>
          <w:numId w:val="18"/>
        </w:numPr>
        <w:jc w:val="both"/>
      </w:pPr>
      <w:r w:rsidRPr="002C24BE">
        <w:t xml:space="preserve">după 20 ore </w:t>
      </w:r>
      <w:r w:rsidR="00370603" w:rsidRPr="002C24BE">
        <w:t xml:space="preserve">– </w:t>
      </w:r>
      <w:r w:rsidRPr="002C24BE">
        <w:t>pentru determinare</w:t>
      </w:r>
      <w:r w:rsidR="00D934F0" w:rsidRPr="002C24BE">
        <w:t xml:space="preserve"> R</w:t>
      </w:r>
      <w:r w:rsidR="00370603" w:rsidRPr="002C24BE">
        <w:t>adon (</w:t>
      </w:r>
      <w:r w:rsidRPr="002C24BE">
        <w:t>Rn</w:t>
      </w:r>
      <w:r w:rsidR="00370603" w:rsidRPr="002C24BE">
        <w:t>)</w:t>
      </w:r>
      <w:r w:rsidRPr="002C24BE">
        <w:t xml:space="preserve"> şi</w:t>
      </w:r>
      <w:r w:rsidR="00D934F0" w:rsidRPr="002C24BE">
        <w:t xml:space="preserve"> T</w:t>
      </w:r>
      <w:r w:rsidR="00370603" w:rsidRPr="002C24BE">
        <w:t>oron</w:t>
      </w:r>
      <w:r w:rsidRPr="002C24BE">
        <w:t xml:space="preserve"> </w:t>
      </w:r>
      <w:r w:rsidR="00370603" w:rsidRPr="002C24BE">
        <w:t>(</w:t>
      </w:r>
      <w:r w:rsidRPr="002C24BE">
        <w:t>Tn</w:t>
      </w:r>
      <w:r w:rsidR="00370603" w:rsidRPr="002C24BE">
        <w:t>)</w:t>
      </w:r>
      <w:r w:rsidR="009C5CD6">
        <w:t>;</w:t>
      </w:r>
      <w:r w:rsidRPr="002C24BE">
        <w:t xml:space="preserve"> </w:t>
      </w:r>
    </w:p>
    <w:p w:rsidR="00B60CCE" w:rsidRPr="002C24BE" w:rsidRDefault="00B60CCE" w:rsidP="00D2177F">
      <w:pPr>
        <w:pStyle w:val="Default"/>
        <w:widowControl w:val="0"/>
        <w:numPr>
          <w:ilvl w:val="0"/>
          <w:numId w:val="18"/>
        </w:numPr>
        <w:jc w:val="both"/>
      </w:pPr>
      <w:r w:rsidRPr="002C24BE">
        <w:t xml:space="preserve">după 5 zile </w:t>
      </w:r>
      <w:r w:rsidR="00370603" w:rsidRPr="002C24BE">
        <w:t>de la încetarea aspirării -</w:t>
      </w:r>
      <w:r w:rsidRPr="002C24BE">
        <w:t xml:space="preserve"> </w:t>
      </w:r>
      <w:r w:rsidR="00370603" w:rsidRPr="002C24BE">
        <w:t>măsurători întârziate</w:t>
      </w:r>
      <w:r w:rsidR="009C5CD6">
        <w:t>.</w:t>
      </w:r>
      <w:r w:rsidR="00370603" w:rsidRPr="002C24BE">
        <w:t xml:space="preserve"> </w:t>
      </w:r>
    </w:p>
    <w:p w:rsidR="009C5CD6" w:rsidRPr="009C5CD6" w:rsidRDefault="009C5CD6" w:rsidP="009C5CD6">
      <w:pPr>
        <w:pStyle w:val="Default"/>
        <w:widowControl w:val="0"/>
        <w:rPr>
          <w:b/>
          <w:bCs/>
          <w:color w:val="auto"/>
          <w:sz w:val="10"/>
          <w:szCs w:val="10"/>
        </w:rPr>
      </w:pPr>
    </w:p>
    <w:p w:rsidR="008C66B8" w:rsidRPr="002C24BE" w:rsidRDefault="0093208D" w:rsidP="00D2177F">
      <w:pPr>
        <w:widowControl w:val="0"/>
        <w:autoSpaceDE w:val="0"/>
        <w:autoSpaceDN w:val="0"/>
        <w:adjustRightInd w:val="0"/>
        <w:spacing w:after="0" w:line="240" w:lineRule="auto"/>
        <w:rPr>
          <w:rFonts w:ascii="Arial" w:hAnsi="Arial" w:cs="Arial"/>
          <w:color w:val="000000"/>
          <w:sz w:val="24"/>
          <w:szCs w:val="24"/>
          <w:lang w:val="ro-RO" w:eastAsia="ro-RO"/>
        </w:rPr>
      </w:pPr>
      <w:r w:rsidRPr="00AD502D">
        <w:rPr>
          <w:rFonts w:ascii="Arial" w:hAnsi="Arial" w:cs="Arial"/>
          <w:b/>
          <w:iCs/>
          <w:sz w:val="24"/>
          <w:szCs w:val="24"/>
          <w:lang w:val="ro-RO"/>
        </w:rPr>
        <w:t>I</w:t>
      </w:r>
      <w:r w:rsidR="007301A9" w:rsidRPr="00AD502D">
        <w:rPr>
          <w:rFonts w:ascii="Arial" w:hAnsi="Arial" w:cs="Arial"/>
          <w:b/>
          <w:iCs/>
          <w:sz w:val="24"/>
          <w:szCs w:val="24"/>
          <w:lang w:val="ro-RO"/>
        </w:rPr>
        <w:t>X.1.2.1</w:t>
      </w:r>
      <w:r w:rsidR="007A52C4" w:rsidRPr="002C24BE">
        <w:rPr>
          <w:rFonts w:ascii="Arial" w:hAnsi="Arial" w:cs="Arial"/>
          <w:iCs/>
          <w:sz w:val="24"/>
          <w:szCs w:val="24"/>
          <w:lang w:val="ro-RO"/>
        </w:rPr>
        <w:t>.</w:t>
      </w:r>
      <w:r w:rsidR="007301A9" w:rsidRPr="002C24BE">
        <w:rPr>
          <w:rFonts w:ascii="Arial" w:hAnsi="Arial" w:cs="Arial"/>
          <w:iCs/>
          <w:sz w:val="24"/>
          <w:szCs w:val="24"/>
          <w:lang w:val="ro-RO"/>
        </w:rPr>
        <w:t xml:space="preserve"> </w:t>
      </w:r>
      <w:r w:rsidR="007301A9" w:rsidRPr="002C24BE">
        <w:rPr>
          <w:rFonts w:ascii="Arial" w:hAnsi="Arial" w:cs="Arial"/>
          <w:color w:val="000000"/>
          <w:sz w:val="24"/>
          <w:szCs w:val="24"/>
          <w:u w:val="single"/>
          <w:lang w:val="ro-RO" w:eastAsia="ro-RO"/>
        </w:rPr>
        <w:t>Activități beta globale ale aerosolilor atmosferici, măsurători imediate</w:t>
      </w:r>
      <w:r w:rsidR="008C66B8" w:rsidRPr="002C24BE">
        <w:rPr>
          <w:rFonts w:ascii="Arial" w:hAnsi="Arial" w:cs="Arial"/>
          <w:color w:val="000000"/>
          <w:sz w:val="24"/>
          <w:szCs w:val="24"/>
          <w:lang w:val="ro-RO" w:eastAsia="ro-RO"/>
        </w:rPr>
        <w:t xml:space="preserve"> </w:t>
      </w:r>
    </w:p>
    <w:p w:rsidR="009C5CD6" w:rsidRPr="009C5CD6" w:rsidRDefault="009C5CD6" w:rsidP="009C5CD6">
      <w:pPr>
        <w:pStyle w:val="Default"/>
        <w:widowControl w:val="0"/>
        <w:rPr>
          <w:b/>
          <w:bCs/>
          <w:color w:val="auto"/>
          <w:sz w:val="10"/>
          <w:szCs w:val="10"/>
        </w:rPr>
      </w:pPr>
    </w:p>
    <w:p w:rsidR="00931AE5" w:rsidRDefault="007301A9" w:rsidP="00D2177F">
      <w:pPr>
        <w:widowControl w:val="0"/>
        <w:spacing w:after="0" w:line="240" w:lineRule="auto"/>
        <w:ind w:firstLine="720"/>
        <w:jc w:val="center"/>
        <w:rPr>
          <w:rFonts w:ascii="Arial" w:hAnsi="Arial" w:cs="Arial"/>
          <w:lang w:val="ro-RO"/>
        </w:rPr>
      </w:pPr>
      <w:r w:rsidRPr="002C24BE">
        <w:rPr>
          <w:rFonts w:ascii="Arial" w:hAnsi="Arial" w:cs="Arial"/>
          <w:lang w:val="ro-RO"/>
        </w:rPr>
        <w:t xml:space="preserve">Fig. </w:t>
      </w:r>
      <w:r w:rsidR="0093208D" w:rsidRPr="002C24BE">
        <w:rPr>
          <w:rFonts w:ascii="Arial" w:hAnsi="Arial" w:cs="Arial"/>
          <w:lang w:val="ro-RO"/>
        </w:rPr>
        <w:t>I</w:t>
      </w:r>
      <w:r w:rsidRPr="002C24BE">
        <w:rPr>
          <w:rFonts w:ascii="Arial" w:hAnsi="Arial" w:cs="Arial"/>
          <w:lang w:val="ro-RO"/>
        </w:rPr>
        <w:t>X.1.2.1.1.</w:t>
      </w:r>
      <w:r w:rsidR="00717969" w:rsidRPr="002C24BE">
        <w:rPr>
          <w:rFonts w:ascii="Arial" w:hAnsi="Arial" w:cs="Arial"/>
          <w:lang w:val="ro-RO"/>
        </w:rPr>
        <w:t xml:space="preserve"> </w:t>
      </w:r>
      <w:r w:rsidRPr="002C24BE">
        <w:rPr>
          <w:rFonts w:ascii="Arial" w:hAnsi="Arial" w:cs="Arial"/>
          <w:lang w:val="ro-RO"/>
        </w:rPr>
        <w:t xml:space="preserve">Variația </w:t>
      </w:r>
      <w:r w:rsidR="00717969" w:rsidRPr="002C24BE">
        <w:rPr>
          <w:rFonts w:ascii="Arial" w:hAnsi="Arial" w:cs="Arial"/>
          <w:lang w:val="ro-RO"/>
        </w:rPr>
        <w:t>mediilor lunare a</w:t>
      </w:r>
      <w:r w:rsidR="00931AE5">
        <w:rPr>
          <w:rFonts w:ascii="Arial" w:hAnsi="Arial" w:cs="Arial"/>
          <w:lang w:val="ro-RO"/>
        </w:rPr>
        <w:t>le</w:t>
      </w:r>
      <w:r w:rsidR="00717969" w:rsidRPr="002C24BE">
        <w:rPr>
          <w:rFonts w:ascii="Arial" w:hAnsi="Arial" w:cs="Arial"/>
          <w:lang w:val="ro-RO"/>
        </w:rPr>
        <w:t xml:space="preserve"> </w:t>
      </w:r>
      <w:r w:rsidR="00931AE5">
        <w:rPr>
          <w:rFonts w:ascii="Arial" w:hAnsi="Arial" w:cs="Arial"/>
          <w:lang w:val="ro-RO"/>
        </w:rPr>
        <w:t>activității beta globale</w:t>
      </w:r>
      <w:r w:rsidR="007A52C4" w:rsidRPr="002C24BE">
        <w:rPr>
          <w:rFonts w:ascii="Arial" w:hAnsi="Arial" w:cs="Arial"/>
          <w:lang w:val="ro-RO"/>
        </w:rPr>
        <w:t xml:space="preserve"> imediat</w:t>
      </w:r>
      <w:r w:rsidR="00931AE5">
        <w:rPr>
          <w:rFonts w:ascii="Arial" w:hAnsi="Arial" w:cs="Arial"/>
          <w:lang w:val="ro-RO"/>
        </w:rPr>
        <w:t xml:space="preserve">e </w:t>
      </w:r>
    </w:p>
    <w:p w:rsidR="00BA1D59" w:rsidRPr="002C24BE" w:rsidRDefault="007A52C4" w:rsidP="00D2177F">
      <w:pPr>
        <w:widowControl w:val="0"/>
        <w:spacing w:after="0" w:line="240" w:lineRule="auto"/>
        <w:ind w:firstLine="720"/>
        <w:jc w:val="center"/>
        <w:rPr>
          <w:rFonts w:ascii="Arial" w:hAnsi="Arial" w:cs="Arial"/>
          <w:lang w:val="ro-RO"/>
        </w:rPr>
      </w:pPr>
      <w:r w:rsidRPr="002C24BE">
        <w:rPr>
          <w:rFonts w:ascii="Arial" w:hAnsi="Arial" w:cs="Arial"/>
          <w:lang w:val="ro-RO"/>
        </w:rPr>
        <w:t>a aerosolilor atmosferici în funcție de variația diurnă</w:t>
      </w:r>
      <w:r w:rsidR="00483E0F" w:rsidRPr="002C24BE">
        <w:rPr>
          <w:rFonts w:ascii="Arial" w:hAnsi="Arial" w:cs="Arial"/>
          <w:lang w:val="ro-RO"/>
        </w:rPr>
        <w:t xml:space="preserve"> </w:t>
      </w:r>
      <w:r w:rsidR="00DB4761" w:rsidRPr="002C24BE">
        <w:rPr>
          <w:rFonts w:ascii="Arial" w:hAnsi="Arial" w:cs="Arial"/>
          <w:lang w:val="ro-RO"/>
        </w:rPr>
        <w:t xml:space="preserve">în anul </w:t>
      </w:r>
      <w:r w:rsidR="008775AF">
        <w:rPr>
          <w:rFonts w:ascii="Arial" w:hAnsi="Arial" w:cs="Arial"/>
          <w:lang w:val="ro-RO"/>
        </w:rPr>
        <w:t>2017</w:t>
      </w:r>
    </w:p>
    <w:p w:rsidR="00B60CCE" w:rsidRPr="002C24BE" w:rsidRDefault="000B3CD7" w:rsidP="00D2177F">
      <w:pPr>
        <w:pStyle w:val="Default"/>
        <w:widowControl w:val="0"/>
        <w:jc w:val="center"/>
        <w:rPr>
          <w:color w:val="auto"/>
          <w:sz w:val="20"/>
          <w:szCs w:val="20"/>
        </w:rPr>
      </w:pPr>
      <w:r w:rsidRPr="002C24BE">
        <w:rPr>
          <w:noProof/>
          <w:color w:val="auto"/>
          <w:sz w:val="20"/>
          <w:szCs w:val="20"/>
          <w:lang w:eastAsia="ro-RO"/>
        </w:rPr>
        <w:drawing>
          <wp:inline distT="0" distB="0" distL="0" distR="0">
            <wp:extent cx="4857750" cy="1438275"/>
            <wp:effectExtent l="0" t="0" r="0" b="0"/>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660F" w:rsidRPr="002C24BE" w:rsidRDefault="00A7660F" w:rsidP="00D2177F">
      <w:pPr>
        <w:pStyle w:val="Default"/>
        <w:widowControl w:val="0"/>
        <w:jc w:val="both"/>
        <w:rPr>
          <w:i/>
          <w:color w:val="auto"/>
          <w:sz w:val="22"/>
          <w:szCs w:val="22"/>
        </w:rPr>
      </w:pPr>
      <w:r w:rsidRPr="002C24BE">
        <w:rPr>
          <w:b/>
          <w:i/>
          <w:color w:val="auto"/>
          <w:sz w:val="22"/>
          <w:szCs w:val="22"/>
        </w:rPr>
        <w:t>Notă</w:t>
      </w:r>
      <w:r w:rsidRPr="002C24BE">
        <w:rPr>
          <w:i/>
          <w:color w:val="auto"/>
          <w:sz w:val="22"/>
          <w:szCs w:val="22"/>
        </w:rPr>
        <w:t xml:space="preserve">: Pentru cazurile </w:t>
      </w:r>
      <w:r w:rsidR="006745A4" w:rsidRPr="002C24BE">
        <w:rPr>
          <w:i/>
          <w:color w:val="auto"/>
          <w:sz w:val="22"/>
          <w:szCs w:val="22"/>
        </w:rPr>
        <w:t xml:space="preserve">în care valoarea zilnică măsurată </w:t>
      </w:r>
      <w:r w:rsidRPr="002C24BE">
        <w:rPr>
          <w:i/>
          <w:color w:val="auto"/>
          <w:sz w:val="22"/>
          <w:szCs w:val="22"/>
        </w:rPr>
        <w:t>a fost sub valoarea minim detectabilă</w:t>
      </w:r>
      <w:r w:rsidR="00965D2C" w:rsidRPr="002C24BE">
        <w:rPr>
          <w:i/>
          <w:color w:val="auto"/>
          <w:sz w:val="22"/>
          <w:szCs w:val="22"/>
        </w:rPr>
        <w:t xml:space="preserve"> a aparatului, în calculul mediei</w:t>
      </w:r>
      <w:r w:rsidRPr="002C24BE">
        <w:rPr>
          <w:i/>
          <w:color w:val="auto"/>
          <w:sz w:val="22"/>
          <w:szCs w:val="22"/>
        </w:rPr>
        <w:t xml:space="preserve"> s-a utilizat valoarea minim detectabilă (limita de detecţie).</w:t>
      </w:r>
    </w:p>
    <w:p w:rsidR="009A66A2" w:rsidRPr="002C24BE" w:rsidRDefault="009A66A2" w:rsidP="00D2177F">
      <w:pPr>
        <w:pStyle w:val="Default"/>
        <w:widowControl w:val="0"/>
        <w:ind w:firstLine="720"/>
        <w:jc w:val="both"/>
        <w:rPr>
          <w:sz w:val="10"/>
          <w:szCs w:val="10"/>
        </w:rPr>
      </w:pPr>
    </w:p>
    <w:p w:rsidR="00717969" w:rsidRPr="002C24BE" w:rsidRDefault="00B27506" w:rsidP="00D2177F">
      <w:pPr>
        <w:pStyle w:val="Default"/>
        <w:widowControl w:val="0"/>
        <w:ind w:firstLine="720"/>
        <w:jc w:val="both"/>
      </w:pPr>
      <w:r w:rsidRPr="002C24BE">
        <w:t xml:space="preserve">Din figura </w:t>
      </w:r>
      <w:r w:rsidR="0093208D" w:rsidRPr="002C24BE">
        <w:t>I</w:t>
      </w:r>
      <w:r w:rsidRPr="002C24BE">
        <w:t>X.1.2.1.1</w:t>
      </w:r>
      <w:r w:rsidR="00483E0F" w:rsidRPr="002C24BE">
        <w:t>.</w:t>
      </w:r>
      <w:r w:rsidR="009A66A2" w:rsidRPr="002C24BE">
        <w:t xml:space="preserve"> se observă că </w:t>
      </w:r>
      <w:r w:rsidR="00931AE5" w:rsidRPr="002C24BE">
        <w:t>valori mai ridicate ale ac</w:t>
      </w:r>
      <w:r w:rsidR="00931AE5">
        <w:t>tivităţii beta globale imediate</w:t>
      </w:r>
      <w:r w:rsidR="00931AE5" w:rsidRPr="002C24BE">
        <w:t xml:space="preserve"> se înregistrează de regulă</w:t>
      </w:r>
      <w:r w:rsidR="00931AE5">
        <w:t xml:space="preserve"> </w:t>
      </w:r>
      <w:r w:rsidR="009A66A2" w:rsidRPr="002C24BE">
        <w:t>î</w:t>
      </w:r>
      <w:r w:rsidR="00931AE5">
        <w:t xml:space="preserve">n cursul nopţii (în </w:t>
      </w:r>
      <w:r w:rsidR="00717969" w:rsidRPr="002C24BE">
        <w:t>intervalul de aspiraţie cuprins între orele 02-07</w:t>
      </w:r>
      <w:r w:rsidR="00931AE5">
        <w:t>)</w:t>
      </w:r>
      <w:r w:rsidR="00717969" w:rsidRPr="002C24BE">
        <w:t xml:space="preserve">. </w:t>
      </w:r>
    </w:p>
    <w:p w:rsidR="00DB4761" w:rsidRPr="00A4061E" w:rsidRDefault="00A4061E" w:rsidP="00A4061E">
      <w:pPr>
        <w:pStyle w:val="Default"/>
        <w:widowControl w:val="0"/>
        <w:tabs>
          <w:tab w:val="left" w:pos="3750"/>
        </w:tabs>
        <w:rPr>
          <w:i/>
          <w:sz w:val="10"/>
          <w:szCs w:val="10"/>
        </w:rPr>
      </w:pPr>
      <w:r>
        <w:rPr>
          <w:i/>
          <w:sz w:val="6"/>
          <w:szCs w:val="6"/>
        </w:rPr>
        <w:tab/>
      </w:r>
    </w:p>
    <w:p w:rsidR="009A66A2" w:rsidRPr="002C24BE" w:rsidRDefault="000B3CD7" w:rsidP="00D2177F">
      <w:pPr>
        <w:widowControl w:val="0"/>
        <w:spacing w:after="0" w:line="240" w:lineRule="auto"/>
        <w:jc w:val="center"/>
        <w:rPr>
          <w:rFonts w:ascii="Arial" w:hAnsi="Arial" w:cs="Arial"/>
          <w:lang w:val="ro-RO"/>
        </w:rPr>
      </w:pPr>
      <w:r w:rsidRPr="002C24BE">
        <w:rPr>
          <w:rFonts w:ascii="Arial" w:hAnsi="Arial" w:cs="Arial"/>
          <w:lang w:val="ro-RO"/>
        </w:rPr>
        <w:t xml:space="preserve">Fig. </w:t>
      </w:r>
      <w:r w:rsidR="0093208D" w:rsidRPr="002C24BE">
        <w:rPr>
          <w:rFonts w:ascii="Arial" w:hAnsi="Arial" w:cs="Arial"/>
          <w:lang w:val="ro-RO"/>
        </w:rPr>
        <w:t>I</w:t>
      </w:r>
      <w:r w:rsidRPr="002C24BE">
        <w:rPr>
          <w:rFonts w:ascii="Arial" w:hAnsi="Arial" w:cs="Arial"/>
          <w:lang w:val="ro-RO"/>
        </w:rPr>
        <w:t>X.1.2.1.</w:t>
      </w:r>
      <w:r w:rsidR="00DB4761" w:rsidRPr="002C24BE">
        <w:rPr>
          <w:rFonts w:ascii="Arial" w:hAnsi="Arial" w:cs="Arial"/>
          <w:lang w:val="ro-RO"/>
        </w:rPr>
        <w:t>2</w:t>
      </w:r>
      <w:r w:rsidRPr="002C24BE">
        <w:rPr>
          <w:rFonts w:ascii="Arial" w:hAnsi="Arial" w:cs="Arial"/>
          <w:lang w:val="ro-RO"/>
        </w:rPr>
        <w:t>.</w:t>
      </w:r>
      <w:r w:rsidR="009A66A2" w:rsidRPr="002C24BE">
        <w:rPr>
          <w:rFonts w:ascii="Arial" w:hAnsi="Arial" w:cs="Arial"/>
          <w:lang w:val="ro-RO"/>
        </w:rPr>
        <w:t xml:space="preserve"> </w:t>
      </w:r>
      <w:r w:rsidRPr="002C24BE">
        <w:rPr>
          <w:rFonts w:ascii="Arial" w:hAnsi="Arial" w:cs="Arial"/>
          <w:lang w:val="ro-RO"/>
        </w:rPr>
        <w:t>Variația medi</w:t>
      </w:r>
      <w:r w:rsidR="00931AE5">
        <w:rPr>
          <w:rFonts w:ascii="Arial" w:hAnsi="Arial" w:cs="Arial"/>
          <w:lang w:val="ro-RO"/>
        </w:rPr>
        <w:t>ilor</w:t>
      </w:r>
      <w:r w:rsidRPr="002C24BE">
        <w:rPr>
          <w:rFonts w:ascii="Arial" w:hAnsi="Arial" w:cs="Arial"/>
          <w:lang w:val="ro-RO"/>
        </w:rPr>
        <w:t xml:space="preserve"> </w:t>
      </w:r>
      <w:r w:rsidR="00931AE5">
        <w:rPr>
          <w:rFonts w:ascii="Arial" w:hAnsi="Arial" w:cs="Arial"/>
          <w:lang w:val="ro-RO"/>
        </w:rPr>
        <w:t>anuale</w:t>
      </w:r>
      <w:r w:rsidRPr="002C24BE">
        <w:rPr>
          <w:rFonts w:ascii="Arial" w:hAnsi="Arial" w:cs="Arial"/>
          <w:lang w:val="ro-RO"/>
        </w:rPr>
        <w:t xml:space="preserve"> a</w:t>
      </w:r>
      <w:r w:rsidR="00931AE5">
        <w:rPr>
          <w:rFonts w:ascii="Arial" w:hAnsi="Arial" w:cs="Arial"/>
          <w:lang w:val="ro-RO"/>
        </w:rPr>
        <w:t>le</w:t>
      </w:r>
      <w:r w:rsidRPr="002C24BE">
        <w:rPr>
          <w:rFonts w:ascii="Arial" w:hAnsi="Arial" w:cs="Arial"/>
          <w:lang w:val="ro-RO"/>
        </w:rPr>
        <w:t xml:space="preserve"> activității beta global</w:t>
      </w:r>
      <w:r w:rsidR="009A66A2" w:rsidRPr="002C24BE">
        <w:rPr>
          <w:rFonts w:ascii="Arial" w:hAnsi="Arial" w:cs="Arial"/>
          <w:lang w:val="ro-RO"/>
        </w:rPr>
        <w:t>e</w:t>
      </w:r>
      <w:r w:rsidRPr="002C24BE">
        <w:rPr>
          <w:rFonts w:ascii="Arial" w:hAnsi="Arial" w:cs="Arial"/>
          <w:lang w:val="ro-RO"/>
        </w:rPr>
        <w:t xml:space="preserve"> imediat</w:t>
      </w:r>
      <w:r w:rsidR="009A66A2" w:rsidRPr="002C24BE">
        <w:rPr>
          <w:rFonts w:ascii="Arial" w:hAnsi="Arial" w:cs="Arial"/>
          <w:lang w:val="ro-RO"/>
        </w:rPr>
        <w:t>e</w:t>
      </w:r>
      <w:r w:rsidRPr="002C24BE">
        <w:rPr>
          <w:rFonts w:ascii="Arial" w:hAnsi="Arial" w:cs="Arial"/>
          <w:lang w:val="ro-RO"/>
        </w:rPr>
        <w:t xml:space="preserve"> </w:t>
      </w:r>
    </w:p>
    <w:p w:rsidR="000B3CD7" w:rsidRPr="002C24BE" w:rsidRDefault="000B3CD7" w:rsidP="00D2177F">
      <w:pPr>
        <w:widowControl w:val="0"/>
        <w:spacing w:after="0" w:line="240" w:lineRule="auto"/>
        <w:jc w:val="center"/>
        <w:rPr>
          <w:rFonts w:ascii="Arial" w:hAnsi="Arial" w:cs="Arial"/>
          <w:lang w:val="ro-RO"/>
        </w:rPr>
      </w:pPr>
      <w:r w:rsidRPr="002C24BE">
        <w:rPr>
          <w:rFonts w:ascii="Arial" w:hAnsi="Arial" w:cs="Arial"/>
          <w:lang w:val="ro-RO"/>
        </w:rPr>
        <w:t>a aerosolilor atmosferici în funcție de variația diurnă</w:t>
      </w:r>
      <w:r w:rsidR="00C46ADD" w:rsidRPr="002C24BE">
        <w:rPr>
          <w:rFonts w:ascii="Arial" w:hAnsi="Arial" w:cs="Arial"/>
          <w:lang w:val="ro-RO"/>
        </w:rPr>
        <w:t>,</w:t>
      </w:r>
      <w:r w:rsidR="00D934F0" w:rsidRPr="002C24BE">
        <w:rPr>
          <w:rFonts w:ascii="Arial" w:hAnsi="Arial" w:cs="Arial"/>
          <w:lang w:val="ro-RO"/>
        </w:rPr>
        <w:t xml:space="preserve"> în perioada 201</w:t>
      </w:r>
      <w:r w:rsidR="00262473" w:rsidRPr="002C24BE">
        <w:rPr>
          <w:rFonts w:ascii="Arial" w:hAnsi="Arial" w:cs="Arial"/>
          <w:lang w:val="ro-RO"/>
        </w:rPr>
        <w:t>3</w:t>
      </w:r>
      <w:r w:rsidR="008775AF">
        <w:rPr>
          <w:rFonts w:ascii="Arial" w:hAnsi="Arial" w:cs="Arial"/>
          <w:lang w:val="ro-RO"/>
        </w:rPr>
        <w:t xml:space="preserve"> - 2017</w:t>
      </w:r>
    </w:p>
    <w:p w:rsidR="000B3CD7" w:rsidRPr="002C24BE" w:rsidRDefault="000B3CD7" w:rsidP="00D2177F">
      <w:pPr>
        <w:pStyle w:val="Default"/>
        <w:widowControl w:val="0"/>
        <w:jc w:val="center"/>
        <w:rPr>
          <w:color w:val="auto"/>
          <w:sz w:val="20"/>
          <w:szCs w:val="20"/>
        </w:rPr>
      </w:pPr>
      <w:r w:rsidRPr="002C24BE">
        <w:rPr>
          <w:noProof/>
          <w:color w:val="auto"/>
          <w:sz w:val="20"/>
          <w:szCs w:val="20"/>
          <w:lang w:eastAsia="ro-RO"/>
        </w:rPr>
        <w:drawing>
          <wp:inline distT="0" distB="0" distL="0" distR="0">
            <wp:extent cx="4429125" cy="1247775"/>
            <wp:effectExtent l="0" t="0" r="0" b="0"/>
            <wp:docPr id="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303" w:rsidRDefault="00524303" w:rsidP="00D2177F">
      <w:pPr>
        <w:pStyle w:val="Default"/>
        <w:widowControl w:val="0"/>
        <w:rPr>
          <w:color w:val="auto"/>
          <w:sz w:val="10"/>
          <w:szCs w:val="10"/>
        </w:rPr>
      </w:pPr>
    </w:p>
    <w:p w:rsidR="001521C9" w:rsidRPr="002C24BE" w:rsidRDefault="001521C9" w:rsidP="00D2177F">
      <w:pPr>
        <w:pStyle w:val="Default"/>
        <w:widowControl w:val="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6"/>
        <w:gridCol w:w="4911"/>
      </w:tblGrid>
      <w:tr w:rsidR="004B576B" w:rsidRPr="002C24BE" w:rsidTr="004B576B">
        <w:tc>
          <w:tcPr>
            <w:tcW w:w="9997" w:type="dxa"/>
            <w:gridSpan w:val="2"/>
          </w:tcPr>
          <w:p w:rsidR="00931AE5" w:rsidRPr="000F6504" w:rsidRDefault="004B576B" w:rsidP="00D2177F">
            <w:pPr>
              <w:pStyle w:val="Default"/>
              <w:widowControl w:val="0"/>
              <w:jc w:val="center"/>
              <w:rPr>
                <w:i/>
                <w:sz w:val="22"/>
                <w:szCs w:val="22"/>
              </w:rPr>
            </w:pPr>
            <w:r w:rsidRPr="000F6504">
              <w:rPr>
                <w:sz w:val="22"/>
                <w:szCs w:val="22"/>
              </w:rPr>
              <w:t>Fig. IX.1.2.1.3. Variația mediilor anuale ale activității beta globale imediate</w:t>
            </w:r>
            <w:r w:rsidRPr="000F6504">
              <w:rPr>
                <w:i/>
                <w:sz w:val="22"/>
                <w:szCs w:val="22"/>
              </w:rPr>
              <w:t xml:space="preserve"> </w:t>
            </w:r>
          </w:p>
          <w:p w:rsidR="004B576B" w:rsidRPr="002C24BE" w:rsidRDefault="004B576B" w:rsidP="00D2177F">
            <w:pPr>
              <w:pStyle w:val="Default"/>
              <w:widowControl w:val="0"/>
              <w:jc w:val="center"/>
              <w:rPr>
                <w:sz w:val="22"/>
                <w:szCs w:val="22"/>
              </w:rPr>
            </w:pPr>
            <w:r w:rsidRPr="000F6504">
              <w:rPr>
                <w:sz w:val="22"/>
                <w:szCs w:val="22"/>
              </w:rPr>
              <w:t xml:space="preserve">a  aerosolilor atmosferici în </w:t>
            </w:r>
            <w:r w:rsidR="00D9419D" w:rsidRPr="000F6504">
              <w:rPr>
                <w:sz w:val="22"/>
                <w:szCs w:val="22"/>
              </w:rPr>
              <w:t>perioada 201</w:t>
            </w:r>
            <w:r w:rsidR="006C4E2F" w:rsidRPr="000F6504">
              <w:rPr>
                <w:sz w:val="22"/>
                <w:szCs w:val="22"/>
              </w:rPr>
              <w:t>3</w:t>
            </w:r>
            <w:r w:rsidR="00A51DC9" w:rsidRPr="000F6504">
              <w:rPr>
                <w:sz w:val="22"/>
                <w:szCs w:val="22"/>
              </w:rPr>
              <w:t xml:space="preserve"> – 2017</w:t>
            </w:r>
          </w:p>
          <w:p w:rsidR="00B223E2" w:rsidRPr="002C24BE" w:rsidRDefault="00B223E2" w:rsidP="00D2177F">
            <w:pPr>
              <w:pStyle w:val="Default"/>
              <w:widowControl w:val="0"/>
              <w:jc w:val="center"/>
              <w:rPr>
                <w:color w:val="auto"/>
                <w:sz w:val="10"/>
                <w:szCs w:val="10"/>
              </w:rPr>
            </w:pPr>
          </w:p>
        </w:tc>
      </w:tr>
      <w:tr w:rsidR="004B576B" w:rsidRPr="00A4061E" w:rsidTr="006E2485">
        <w:tc>
          <w:tcPr>
            <w:tcW w:w="5092" w:type="dxa"/>
          </w:tcPr>
          <w:p w:rsidR="004B576B" w:rsidRPr="00A4061E" w:rsidRDefault="0093208D" w:rsidP="00D2177F">
            <w:pPr>
              <w:pStyle w:val="Default"/>
              <w:widowControl w:val="0"/>
              <w:jc w:val="center"/>
              <w:rPr>
                <w:i/>
                <w:noProof/>
                <w:color w:val="auto"/>
                <w:sz w:val="22"/>
                <w:szCs w:val="22"/>
                <w:lang w:eastAsia="ro-RO"/>
              </w:rPr>
            </w:pPr>
            <w:r w:rsidRPr="00A4061E">
              <w:rPr>
                <w:i/>
                <w:sz w:val="22"/>
                <w:szCs w:val="22"/>
              </w:rPr>
              <w:t xml:space="preserve">a. </w:t>
            </w:r>
            <w:r w:rsidR="004B576B" w:rsidRPr="00A4061E">
              <w:rPr>
                <w:i/>
                <w:sz w:val="22"/>
                <w:szCs w:val="22"/>
              </w:rPr>
              <w:t>aspirația 02–07</w:t>
            </w:r>
          </w:p>
        </w:tc>
        <w:tc>
          <w:tcPr>
            <w:tcW w:w="4905" w:type="dxa"/>
          </w:tcPr>
          <w:p w:rsidR="004B576B" w:rsidRPr="00A4061E" w:rsidRDefault="0093208D" w:rsidP="00D2177F">
            <w:pPr>
              <w:pStyle w:val="Default"/>
              <w:widowControl w:val="0"/>
              <w:jc w:val="center"/>
              <w:rPr>
                <w:i/>
                <w:color w:val="auto"/>
                <w:sz w:val="22"/>
                <w:szCs w:val="22"/>
              </w:rPr>
            </w:pPr>
            <w:r w:rsidRPr="00A4061E">
              <w:rPr>
                <w:i/>
                <w:sz w:val="22"/>
                <w:szCs w:val="22"/>
              </w:rPr>
              <w:t xml:space="preserve">b. </w:t>
            </w:r>
            <w:r w:rsidR="004B576B" w:rsidRPr="00A4061E">
              <w:rPr>
                <w:i/>
                <w:sz w:val="22"/>
                <w:szCs w:val="22"/>
              </w:rPr>
              <w:t>aspirația 08–13</w:t>
            </w:r>
          </w:p>
        </w:tc>
      </w:tr>
      <w:tr w:rsidR="004B576B" w:rsidRPr="002C24BE" w:rsidTr="006E2485">
        <w:tc>
          <w:tcPr>
            <w:tcW w:w="5092" w:type="dxa"/>
          </w:tcPr>
          <w:p w:rsidR="004B576B" w:rsidRPr="002C24BE" w:rsidRDefault="004B576B" w:rsidP="00D2177F">
            <w:pPr>
              <w:pStyle w:val="Default"/>
              <w:widowControl w:val="0"/>
              <w:jc w:val="center"/>
              <w:rPr>
                <w:color w:val="auto"/>
                <w:sz w:val="16"/>
                <w:szCs w:val="16"/>
              </w:rPr>
            </w:pPr>
            <w:r w:rsidRPr="002C24BE">
              <w:rPr>
                <w:noProof/>
                <w:color w:val="auto"/>
                <w:lang w:eastAsia="ro-RO"/>
              </w:rPr>
              <w:drawing>
                <wp:inline distT="0" distB="0" distL="0" distR="0">
                  <wp:extent cx="3048000" cy="1200150"/>
                  <wp:effectExtent l="0" t="0" r="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05" w:type="dxa"/>
          </w:tcPr>
          <w:p w:rsidR="004B576B" w:rsidRPr="002C24BE" w:rsidRDefault="004B576B" w:rsidP="00D2177F">
            <w:pPr>
              <w:pStyle w:val="Default"/>
              <w:widowControl w:val="0"/>
              <w:jc w:val="center"/>
              <w:rPr>
                <w:color w:val="auto"/>
                <w:sz w:val="16"/>
                <w:szCs w:val="16"/>
              </w:rPr>
            </w:pPr>
            <w:r w:rsidRPr="002C24BE">
              <w:rPr>
                <w:noProof/>
                <w:lang w:eastAsia="ro-RO"/>
              </w:rPr>
              <w:drawing>
                <wp:inline distT="0" distB="0" distL="0" distR="0">
                  <wp:extent cx="2981325" cy="1200150"/>
                  <wp:effectExtent l="0" t="0" r="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6E2485" w:rsidRPr="002C24BE" w:rsidRDefault="006E2485" w:rsidP="006E2485">
      <w:pPr>
        <w:pStyle w:val="Default"/>
        <w:widowControl w:val="0"/>
        <w:jc w:val="both"/>
        <w:rPr>
          <w:i/>
          <w:color w:val="auto"/>
          <w:sz w:val="22"/>
          <w:szCs w:val="22"/>
        </w:rPr>
      </w:pPr>
      <w:r w:rsidRPr="002C24BE">
        <w:rPr>
          <w:b/>
          <w:i/>
          <w:color w:val="auto"/>
          <w:sz w:val="22"/>
          <w:szCs w:val="22"/>
        </w:rPr>
        <w:t>Note</w:t>
      </w:r>
      <w:r w:rsidR="006F0FEB" w:rsidRPr="002C24BE">
        <w:rPr>
          <w:i/>
          <w:color w:val="auto"/>
          <w:sz w:val="22"/>
          <w:szCs w:val="22"/>
        </w:rPr>
        <w:t xml:space="preserve"> la fig. </w:t>
      </w:r>
      <w:r w:rsidR="00965D2C" w:rsidRPr="002C24BE">
        <w:rPr>
          <w:b/>
          <w:i/>
          <w:color w:val="auto"/>
          <w:sz w:val="22"/>
          <w:szCs w:val="22"/>
        </w:rPr>
        <w:t xml:space="preserve">IX.1.2.1.2. </w:t>
      </w:r>
      <w:r w:rsidR="00965D2C" w:rsidRPr="00A87E0A">
        <w:rPr>
          <w:i/>
          <w:color w:val="auto"/>
          <w:sz w:val="22"/>
          <w:szCs w:val="22"/>
        </w:rPr>
        <w:t>şi</w:t>
      </w:r>
      <w:r w:rsidR="00965D2C" w:rsidRPr="002C24BE">
        <w:rPr>
          <w:b/>
          <w:i/>
          <w:color w:val="auto"/>
          <w:sz w:val="22"/>
          <w:szCs w:val="22"/>
        </w:rPr>
        <w:t xml:space="preserve">  IX.1.2.1.3</w:t>
      </w:r>
      <w:r w:rsidRPr="002C24BE">
        <w:rPr>
          <w:i/>
          <w:color w:val="auto"/>
          <w:sz w:val="22"/>
          <w:szCs w:val="22"/>
        </w:rPr>
        <w:t xml:space="preserve">: </w:t>
      </w:r>
    </w:p>
    <w:p w:rsidR="00A4061E" w:rsidRPr="00A4061E" w:rsidRDefault="00A4061E" w:rsidP="00A4061E">
      <w:pPr>
        <w:pStyle w:val="Default"/>
        <w:widowControl w:val="0"/>
        <w:jc w:val="both"/>
        <w:rPr>
          <w:b/>
          <w:i/>
          <w:color w:val="auto"/>
          <w:sz w:val="22"/>
          <w:szCs w:val="22"/>
        </w:rPr>
      </w:pPr>
      <w:r>
        <w:rPr>
          <w:i/>
          <w:color w:val="auto"/>
          <w:sz w:val="22"/>
          <w:szCs w:val="22"/>
        </w:rPr>
        <w:t>1</w:t>
      </w:r>
      <w:r w:rsidRPr="002C24BE">
        <w:rPr>
          <w:i/>
          <w:color w:val="auto"/>
          <w:sz w:val="22"/>
          <w:szCs w:val="22"/>
        </w:rPr>
        <w:t xml:space="preserve">. </w:t>
      </w:r>
      <w:r w:rsidR="00A87E0A">
        <w:rPr>
          <w:b/>
          <w:i/>
          <w:color w:val="auto"/>
          <w:sz w:val="22"/>
          <w:szCs w:val="22"/>
        </w:rPr>
        <w:t>L</w:t>
      </w:r>
      <w:r w:rsidRPr="002C24BE">
        <w:rPr>
          <w:b/>
          <w:i/>
          <w:color w:val="auto"/>
          <w:sz w:val="22"/>
          <w:szCs w:val="22"/>
        </w:rPr>
        <w:t>imita de avertizare</w:t>
      </w:r>
      <w:r w:rsidRPr="002C24BE">
        <w:rPr>
          <w:i/>
          <w:color w:val="auto"/>
          <w:sz w:val="22"/>
          <w:szCs w:val="22"/>
        </w:rPr>
        <w:t xml:space="preserve"> pentru aerosolii atmosferici prin analiza beta globală imediată este de </w:t>
      </w:r>
      <w:r w:rsidRPr="002C24BE">
        <w:rPr>
          <w:b/>
          <w:i/>
          <w:color w:val="auto"/>
          <w:sz w:val="22"/>
          <w:szCs w:val="22"/>
        </w:rPr>
        <w:t>50 Bq/m</w:t>
      </w:r>
      <w:r w:rsidRPr="002C24BE">
        <w:rPr>
          <w:b/>
          <w:i/>
          <w:color w:val="auto"/>
          <w:sz w:val="22"/>
          <w:szCs w:val="22"/>
          <w:vertAlign w:val="superscript"/>
        </w:rPr>
        <w:t>3</w:t>
      </w:r>
      <w:r w:rsidRPr="002C24BE">
        <w:rPr>
          <w:i/>
          <w:color w:val="auto"/>
          <w:sz w:val="22"/>
          <w:szCs w:val="22"/>
        </w:rPr>
        <w:t>(conform O.M. nr. 1978/2010)</w:t>
      </w:r>
      <w:r>
        <w:rPr>
          <w:i/>
          <w:color w:val="auto"/>
          <w:sz w:val="22"/>
          <w:szCs w:val="22"/>
        </w:rPr>
        <w:t>.</w:t>
      </w:r>
      <w:r w:rsidRPr="002C24BE">
        <w:rPr>
          <w:i/>
          <w:color w:val="auto"/>
          <w:sz w:val="22"/>
          <w:szCs w:val="22"/>
        </w:rPr>
        <w:t xml:space="preserve"> </w:t>
      </w:r>
    </w:p>
    <w:p w:rsidR="006E2485" w:rsidRPr="002C24BE" w:rsidRDefault="00A4061E" w:rsidP="006E2485">
      <w:pPr>
        <w:pStyle w:val="Default"/>
        <w:widowControl w:val="0"/>
        <w:jc w:val="both"/>
        <w:rPr>
          <w:i/>
          <w:color w:val="auto"/>
          <w:sz w:val="22"/>
          <w:szCs w:val="22"/>
        </w:rPr>
      </w:pPr>
      <w:r>
        <w:rPr>
          <w:i/>
          <w:color w:val="auto"/>
          <w:sz w:val="22"/>
          <w:szCs w:val="22"/>
        </w:rPr>
        <w:t>2</w:t>
      </w:r>
      <w:r w:rsidR="006E2485" w:rsidRPr="002C24BE">
        <w:rPr>
          <w:i/>
          <w:color w:val="auto"/>
          <w:sz w:val="22"/>
          <w:szCs w:val="22"/>
        </w:rPr>
        <w:t xml:space="preserve">. Pentru cazurile în care </w:t>
      </w:r>
      <w:r w:rsidR="0068596F" w:rsidRPr="002C24BE">
        <w:rPr>
          <w:i/>
          <w:color w:val="auto"/>
          <w:sz w:val="22"/>
          <w:szCs w:val="22"/>
        </w:rPr>
        <w:t>valoarea zilnică măsurată</w:t>
      </w:r>
      <w:r w:rsidR="006E2485" w:rsidRPr="002C24BE">
        <w:rPr>
          <w:i/>
          <w:color w:val="auto"/>
          <w:sz w:val="22"/>
          <w:szCs w:val="22"/>
        </w:rPr>
        <w:t xml:space="preserve"> a fost sub valoarea minim detectabilă a aparatului, în calculul mediei s-a utilizat valoarea minim detectabilă (limita de detecţie).</w:t>
      </w:r>
    </w:p>
    <w:p w:rsidR="004B576B" w:rsidRPr="002C24BE" w:rsidRDefault="004B576B" w:rsidP="00D2177F">
      <w:pPr>
        <w:pStyle w:val="Default"/>
        <w:widowControl w:val="0"/>
        <w:rPr>
          <w:color w:val="auto"/>
          <w:sz w:val="10"/>
          <w:szCs w:val="10"/>
        </w:rPr>
      </w:pPr>
    </w:p>
    <w:p w:rsidR="0019704A" w:rsidRPr="002C24BE" w:rsidRDefault="0019704A" w:rsidP="00EA38D8">
      <w:pPr>
        <w:widowControl w:val="0"/>
        <w:spacing w:after="0" w:line="240" w:lineRule="auto"/>
        <w:ind w:firstLine="708"/>
        <w:jc w:val="both"/>
        <w:rPr>
          <w:rFonts w:ascii="Arial" w:hAnsi="Arial" w:cs="Arial"/>
          <w:sz w:val="24"/>
          <w:szCs w:val="24"/>
          <w:lang w:val="ro-RO"/>
        </w:rPr>
      </w:pPr>
      <w:r w:rsidRPr="002C24BE">
        <w:rPr>
          <w:rFonts w:ascii="Arial" w:hAnsi="Arial" w:cs="Arial"/>
          <w:sz w:val="24"/>
          <w:szCs w:val="24"/>
          <w:lang w:val="ro-RO"/>
        </w:rPr>
        <w:lastRenderedPageBreak/>
        <w:t>Din figura IX.1.2.1.2. şi IX.1.2.1.3 se constată că valorile medii anuale</w:t>
      </w:r>
      <w:r w:rsidR="00FE3DF6">
        <w:rPr>
          <w:rFonts w:ascii="Arial" w:hAnsi="Arial" w:cs="Arial"/>
          <w:sz w:val="24"/>
          <w:szCs w:val="24"/>
          <w:lang w:val="ro-RO"/>
        </w:rPr>
        <w:t>, ca și valorile maxime măsurate</w:t>
      </w:r>
      <w:r w:rsidRPr="002C24BE">
        <w:rPr>
          <w:rFonts w:ascii="Arial" w:hAnsi="Arial" w:cs="Arial"/>
          <w:sz w:val="24"/>
          <w:szCs w:val="24"/>
          <w:lang w:val="ro-RO"/>
        </w:rPr>
        <w:t xml:space="preserve"> </w:t>
      </w:r>
      <w:r w:rsidR="00E22AB1">
        <w:rPr>
          <w:rFonts w:ascii="Arial" w:hAnsi="Arial" w:cs="Arial"/>
          <w:sz w:val="24"/>
          <w:szCs w:val="24"/>
          <w:lang w:val="ro-RO"/>
        </w:rPr>
        <w:t xml:space="preserve">imediat </w:t>
      </w:r>
      <w:r w:rsidR="0046005C" w:rsidRPr="002C24BE">
        <w:rPr>
          <w:rFonts w:ascii="Arial" w:hAnsi="Arial" w:cs="Arial"/>
          <w:sz w:val="24"/>
          <w:szCs w:val="24"/>
          <w:lang w:val="ro-RO"/>
        </w:rPr>
        <w:t>pentru ambele aspiraţii</w:t>
      </w:r>
      <w:r w:rsidR="00E22AB1">
        <w:rPr>
          <w:rFonts w:ascii="Arial" w:hAnsi="Arial" w:cs="Arial"/>
          <w:sz w:val="24"/>
          <w:szCs w:val="24"/>
          <w:lang w:val="ro-RO"/>
        </w:rPr>
        <w:t>,</w:t>
      </w:r>
      <w:r w:rsidR="0046005C" w:rsidRPr="002C24BE">
        <w:rPr>
          <w:rFonts w:ascii="Arial" w:hAnsi="Arial" w:cs="Arial"/>
          <w:sz w:val="24"/>
          <w:szCs w:val="24"/>
          <w:lang w:val="ro-RO"/>
        </w:rPr>
        <w:t xml:space="preserve"> </w:t>
      </w:r>
      <w:r w:rsidRPr="002C24BE">
        <w:rPr>
          <w:rFonts w:ascii="Arial" w:hAnsi="Arial" w:cs="Arial"/>
          <w:sz w:val="24"/>
          <w:szCs w:val="24"/>
          <w:lang w:val="ro-RO"/>
        </w:rPr>
        <w:t xml:space="preserve">au </w:t>
      </w:r>
      <w:r w:rsidR="00FE3DF6">
        <w:rPr>
          <w:rFonts w:ascii="Arial" w:hAnsi="Arial" w:cs="Arial"/>
          <w:sz w:val="24"/>
          <w:szCs w:val="24"/>
          <w:lang w:val="ro-RO"/>
        </w:rPr>
        <w:t xml:space="preserve">scăzut </w:t>
      </w:r>
      <w:r w:rsidR="00FE3DF6" w:rsidRPr="002C24BE">
        <w:rPr>
          <w:rFonts w:ascii="Arial" w:hAnsi="Arial" w:cs="Arial"/>
          <w:sz w:val="24"/>
          <w:szCs w:val="24"/>
          <w:lang w:val="ro-RO"/>
        </w:rPr>
        <w:t xml:space="preserve">în </w:t>
      </w:r>
      <w:r w:rsidR="00E22AB1">
        <w:rPr>
          <w:rFonts w:ascii="Arial" w:hAnsi="Arial" w:cs="Arial"/>
          <w:sz w:val="24"/>
          <w:szCs w:val="24"/>
          <w:lang w:val="ro-RO"/>
        </w:rPr>
        <w:t>perioada</w:t>
      </w:r>
      <w:r w:rsidR="00FE3DF6" w:rsidRPr="002C24BE">
        <w:rPr>
          <w:rFonts w:ascii="Arial" w:hAnsi="Arial" w:cs="Arial"/>
          <w:sz w:val="24"/>
          <w:szCs w:val="24"/>
          <w:lang w:val="ro-RO"/>
        </w:rPr>
        <w:t xml:space="preserve"> 2013 - </w:t>
      </w:r>
      <w:r w:rsidR="00FE3DF6">
        <w:rPr>
          <w:rFonts w:ascii="Arial" w:hAnsi="Arial" w:cs="Arial"/>
          <w:sz w:val="24"/>
          <w:szCs w:val="24"/>
          <w:lang w:val="ro-RO"/>
        </w:rPr>
        <w:t>2017</w:t>
      </w:r>
      <w:r w:rsidR="00073AF7" w:rsidRPr="002C24BE">
        <w:rPr>
          <w:rFonts w:ascii="Arial" w:hAnsi="Arial" w:cs="Arial"/>
          <w:sz w:val="24"/>
          <w:szCs w:val="24"/>
          <w:lang w:val="ro-RO"/>
        </w:rPr>
        <w:t>.</w:t>
      </w:r>
    </w:p>
    <w:p w:rsidR="0019704A" w:rsidRPr="002C24BE" w:rsidRDefault="0019704A" w:rsidP="00D2177F">
      <w:pPr>
        <w:pStyle w:val="Default"/>
        <w:widowControl w:val="0"/>
        <w:ind w:firstLine="720"/>
        <w:jc w:val="both"/>
        <w:rPr>
          <w:sz w:val="16"/>
          <w:szCs w:val="16"/>
        </w:rPr>
      </w:pPr>
    </w:p>
    <w:p w:rsidR="004B576B" w:rsidRPr="002C24BE" w:rsidRDefault="004B576B" w:rsidP="00D2177F">
      <w:pPr>
        <w:widowControl w:val="0"/>
        <w:autoSpaceDE w:val="0"/>
        <w:autoSpaceDN w:val="0"/>
        <w:adjustRightInd w:val="0"/>
        <w:spacing w:after="0" w:line="240" w:lineRule="auto"/>
        <w:rPr>
          <w:rFonts w:ascii="Arial" w:hAnsi="Arial" w:cs="Arial"/>
          <w:color w:val="000000"/>
          <w:sz w:val="24"/>
          <w:szCs w:val="24"/>
          <w:lang w:val="ro-RO" w:eastAsia="ro-RO"/>
        </w:rPr>
      </w:pPr>
      <w:r w:rsidRPr="00AD502D">
        <w:rPr>
          <w:rFonts w:ascii="Arial" w:hAnsi="Arial" w:cs="Arial"/>
          <w:b/>
          <w:iCs/>
          <w:sz w:val="24"/>
          <w:szCs w:val="24"/>
          <w:lang w:val="ro-RO"/>
        </w:rPr>
        <w:t>IX.1.2.2.</w:t>
      </w:r>
      <w:r w:rsidRPr="002C24BE">
        <w:rPr>
          <w:rFonts w:ascii="Arial" w:hAnsi="Arial" w:cs="Arial"/>
          <w:iCs/>
          <w:sz w:val="24"/>
          <w:szCs w:val="24"/>
          <w:lang w:val="ro-RO"/>
        </w:rPr>
        <w:t xml:space="preserve">  </w:t>
      </w:r>
      <w:r w:rsidRPr="002C24BE">
        <w:rPr>
          <w:rFonts w:ascii="Arial" w:hAnsi="Arial" w:cs="Arial"/>
          <w:color w:val="000000"/>
          <w:sz w:val="24"/>
          <w:szCs w:val="24"/>
          <w:u w:val="single"/>
          <w:lang w:val="ro-RO" w:eastAsia="ro-RO"/>
        </w:rPr>
        <w:t>Activități specifice medii anuale ale Radonului şi Toronului</w:t>
      </w:r>
    </w:p>
    <w:p w:rsidR="004B576B" w:rsidRPr="00A4061E" w:rsidRDefault="004B576B" w:rsidP="00D2177F">
      <w:pPr>
        <w:pStyle w:val="Default"/>
        <w:widowControl w:val="0"/>
        <w:jc w:val="center"/>
        <w:rPr>
          <w:color w:val="FF0000"/>
          <w:sz w:val="10"/>
          <w:szCs w:val="10"/>
        </w:rPr>
      </w:pPr>
    </w:p>
    <w:p w:rsidR="004B576B" w:rsidRPr="002C24BE" w:rsidRDefault="004B576B" w:rsidP="00D2177F">
      <w:pPr>
        <w:widowControl w:val="0"/>
        <w:spacing w:after="0" w:line="240" w:lineRule="auto"/>
        <w:ind w:firstLine="708"/>
        <w:jc w:val="both"/>
        <w:rPr>
          <w:rFonts w:ascii="Arial" w:hAnsi="Arial" w:cs="Arial"/>
          <w:sz w:val="24"/>
          <w:szCs w:val="24"/>
          <w:lang w:val="ro-RO"/>
        </w:rPr>
      </w:pPr>
      <w:r w:rsidRPr="002C24BE">
        <w:rPr>
          <w:rFonts w:ascii="Arial" w:hAnsi="Arial" w:cs="Arial"/>
          <w:sz w:val="24"/>
          <w:szCs w:val="24"/>
          <w:lang w:val="ro-RO"/>
        </w:rPr>
        <w:t xml:space="preserve">Activitatea specifică a Radonului şi Toronului </w:t>
      </w:r>
      <w:r w:rsidR="006F4016" w:rsidRPr="002C24BE">
        <w:rPr>
          <w:rFonts w:ascii="Arial" w:hAnsi="Arial" w:cs="Arial"/>
          <w:sz w:val="24"/>
          <w:szCs w:val="24"/>
          <w:lang w:val="ro-RO"/>
        </w:rPr>
        <w:t>este</w:t>
      </w:r>
      <w:r w:rsidRPr="002C24BE">
        <w:rPr>
          <w:rFonts w:ascii="Arial" w:hAnsi="Arial" w:cs="Arial"/>
          <w:sz w:val="24"/>
          <w:szCs w:val="24"/>
          <w:lang w:val="ro-RO"/>
        </w:rPr>
        <w:t xml:space="preserve"> determinată indirect, prin </w:t>
      </w:r>
      <w:r w:rsidR="006F4016" w:rsidRPr="002C24BE">
        <w:rPr>
          <w:rFonts w:ascii="Arial" w:hAnsi="Arial" w:cs="Arial"/>
          <w:sz w:val="24"/>
          <w:szCs w:val="24"/>
          <w:lang w:val="ro-RO"/>
        </w:rPr>
        <w:t>măsurarea</w:t>
      </w:r>
      <w:r w:rsidRPr="002C24BE">
        <w:rPr>
          <w:rFonts w:ascii="Arial" w:hAnsi="Arial" w:cs="Arial"/>
          <w:sz w:val="24"/>
          <w:szCs w:val="24"/>
          <w:lang w:val="ro-RO"/>
        </w:rPr>
        <w:t xml:space="preserve"> beta globală a filtrelor pe care s-au aspirat aerosolii atmosferici</w:t>
      </w:r>
      <w:r w:rsidR="006F4016" w:rsidRPr="002C24BE">
        <w:rPr>
          <w:rFonts w:ascii="Arial" w:hAnsi="Arial" w:cs="Arial"/>
          <w:sz w:val="24"/>
          <w:szCs w:val="24"/>
          <w:lang w:val="ro-RO"/>
        </w:rPr>
        <w:t>, după 25 ore de la încetarea prelevării</w:t>
      </w:r>
      <w:r w:rsidRPr="002C24BE">
        <w:rPr>
          <w:rFonts w:ascii="Arial" w:hAnsi="Arial" w:cs="Arial"/>
          <w:sz w:val="24"/>
          <w:szCs w:val="24"/>
          <w:lang w:val="ro-RO"/>
        </w:rPr>
        <w:t xml:space="preserve">. </w:t>
      </w:r>
    </w:p>
    <w:p w:rsidR="00DA0F09" w:rsidRDefault="004B576B" w:rsidP="00D2177F">
      <w:pPr>
        <w:widowControl w:val="0"/>
        <w:spacing w:after="0" w:line="240" w:lineRule="auto"/>
        <w:ind w:firstLine="708"/>
        <w:jc w:val="both"/>
        <w:rPr>
          <w:rFonts w:ascii="Arial" w:hAnsi="Arial" w:cs="Arial"/>
          <w:sz w:val="24"/>
          <w:szCs w:val="24"/>
          <w:lang w:val="ro-RO"/>
        </w:rPr>
      </w:pPr>
      <w:r w:rsidRPr="002C24BE">
        <w:rPr>
          <w:rFonts w:ascii="Arial" w:hAnsi="Arial" w:cs="Arial"/>
          <w:sz w:val="24"/>
          <w:szCs w:val="24"/>
          <w:lang w:val="ro-RO"/>
        </w:rPr>
        <w:t>Radonul (Rn-222) şi Toronul (Rn-220) sunt produşi de filiaţie ai U-238 şi Th-232, aflaţi în stare gazoasă. Ei ajung în atmosferă, în urma exhalaţiei din sol şi roci, unde sunt supuşi fenomenelor de dispersie</w:t>
      </w:r>
      <w:r w:rsidR="00DA0F09">
        <w:rPr>
          <w:rFonts w:ascii="Arial" w:hAnsi="Arial" w:cs="Arial"/>
          <w:sz w:val="24"/>
          <w:szCs w:val="24"/>
          <w:lang w:val="ro-RO"/>
        </w:rPr>
        <w:t xml:space="preserve"> atmosferică</w:t>
      </w:r>
      <w:r w:rsidRPr="002C24BE">
        <w:rPr>
          <w:rFonts w:ascii="Arial" w:hAnsi="Arial" w:cs="Arial"/>
          <w:sz w:val="24"/>
          <w:szCs w:val="24"/>
          <w:lang w:val="ro-RO"/>
        </w:rPr>
        <w:t>. Concentraţiile de Rn-222 şi Rn-220 în atmosferă variază sezonier, depinzând de condiţiile meteorologice, care influenţează atât viteza de emanaţie a gazelor din sol, cât şi diluţia/dispersia acestora în atmosferă.</w:t>
      </w:r>
    </w:p>
    <w:p w:rsidR="004B576B" w:rsidRPr="002C24BE" w:rsidRDefault="004B576B" w:rsidP="00D2177F">
      <w:pPr>
        <w:widowControl w:val="0"/>
        <w:spacing w:after="0" w:line="240" w:lineRule="auto"/>
        <w:ind w:firstLine="708"/>
        <w:jc w:val="both"/>
        <w:rPr>
          <w:rFonts w:ascii="Arial" w:hAnsi="Arial" w:cs="Arial"/>
          <w:sz w:val="24"/>
          <w:szCs w:val="24"/>
          <w:lang w:val="ro-RO"/>
        </w:rPr>
      </w:pPr>
      <w:r w:rsidRPr="002C24BE">
        <w:rPr>
          <w:rFonts w:ascii="Arial" w:hAnsi="Arial" w:cs="Arial"/>
          <w:sz w:val="24"/>
          <w:szCs w:val="24"/>
          <w:lang w:val="ro-RO"/>
        </w:rPr>
        <w:t xml:space="preserve">Dispersia Radonului şi Toronului în atmosferă este puternic influenţată de </w:t>
      </w:r>
      <w:r w:rsidR="00DA0F09">
        <w:rPr>
          <w:rFonts w:ascii="Arial" w:hAnsi="Arial" w:cs="Arial"/>
          <w:sz w:val="24"/>
          <w:szCs w:val="24"/>
          <w:lang w:val="ro-RO"/>
        </w:rPr>
        <w:t>circulaţia</w:t>
      </w:r>
      <w:r w:rsidRPr="002C24BE">
        <w:rPr>
          <w:rFonts w:ascii="Arial" w:hAnsi="Arial" w:cs="Arial"/>
          <w:sz w:val="24"/>
          <w:szCs w:val="24"/>
          <w:lang w:val="ro-RO"/>
        </w:rPr>
        <w:t xml:space="preserve"> curenţilor de aer. Astfel, cele mai mari concentraţii în atmosferă se înregistrează în perioada de noapte, în intervalul de aspiraţie 02</w:t>
      </w:r>
      <w:r w:rsidRPr="002C24BE">
        <w:rPr>
          <w:rFonts w:ascii="Arial" w:hAnsi="Arial" w:cs="Arial"/>
          <w:sz w:val="24"/>
          <w:szCs w:val="24"/>
          <w:vertAlign w:val="superscript"/>
          <w:lang w:val="ro-RO"/>
        </w:rPr>
        <w:t>00</w:t>
      </w:r>
      <w:r w:rsidRPr="002C24BE">
        <w:rPr>
          <w:rFonts w:ascii="Arial" w:hAnsi="Arial" w:cs="Arial"/>
          <w:sz w:val="24"/>
          <w:szCs w:val="24"/>
          <w:lang w:val="ro-RO"/>
        </w:rPr>
        <w:t>-07</w:t>
      </w:r>
      <w:r w:rsidRPr="002C24BE">
        <w:rPr>
          <w:rFonts w:ascii="Arial" w:hAnsi="Arial" w:cs="Arial"/>
          <w:sz w:val="24"/>
          <w:szCs w:val="24"/>
          <w:vertAlign w:val="superscript"/>
          <w:lang w:val="ro-RO"/>
        </w:rPr>
        <w:t>00</w:t>
      </w:r>
      <w:r w:rsidRPr="002C24BE">
        <w:rPr>
          <w:rFonts w:ascii="Arial" w:hAnsi="Arial" w:cs="Arial"/>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4B576B" w:rsidRPr="002C24BE" w:rsidRDefault="004B576B" w:rsidP="00D2177F">
      <w:pPr>
        <w:pStyle w:val="Default"/>
        <w:widowControl w:val="0"/>
        <w:ind w:left="720"/>
        <w:jc w:val="center"/>
        <w:rPr>
          <w:sz w:val="10"/>
          <w:szCs w:val="10"/>
        </w:rPr>
      </w:pPr>
    </w:p>
    <w:p w:rsidR="00931AE5" w:rsidRDefault="004B576B" w:rsidP="00A26CCA">
      <w:pPr>
        <w:pStyle w:val="Default"/>
        <w:widowControl w:val="0"/>
        <w:ind w:firstLine="708"/>
        <w:jc w:val="center"/>
        <w:rPr>
          <w:bCs/>
          <w:sz w:val="22"/>
          <w:szCs w:val="22"/>
        </w:rPr>
      </w:pPr>
      <w:r w:rsidRPr="002C24BE">
        <w:rPr>
          <w:sz w:val="22"/>
          <w:szCs w:val="22"/>
        </w:rPr>
        <w:t xml:space="preserve">Fig. IX.1.2.2.1. </w:t>
      </w:r>
      <w:r w:rsidR="00931AE5" w:rsidRPr="00931AE5">
        <w:rPr>
          <w:bCs/>
          <w:sz w:val="22"/>
          <w:szCs w:val="22"/>
        </w:rPr>
        <w:t xml:space="preserve">Variația mediilor </w:t>
      </w:r>
      <w:r w:rsidR="00931AE5">
        <w:rPr>
          <w:bCs/>
          <w:sz w:val="22"/>
          <w:szCs w:val="22"/>
        </w:rPr>
        <w:t>lunare</w:t>
      </w:r>
      <w:r w:rsidR="00931AE5" w:rsidRPr="00931AE5">
        <w:rPr>
          <w:bCs/>
          <w:sz w:val="22"/>
          <w:szCs w:val="22"/>
        </w:rPr>
        <w:t xml:space="preserve"> ale activității specifice a</w:t>
      </w:r>
      <w:r w:rsidR="00931AE5" w:rsidRPr="002C24BE">
        <w:t xml:space="preserve"> </w:t>
      </w:r>
      <w:r w:rsidRPr="002C24BE">
        <w:rPr>
          <w:bCs/>
          <w:sz w:val="22"/>
          <w:szCs w:val="22"/>
        </w:rPr>
        <w:t xml:space="preserve"> </w:t>
      </w:r>
      <w:r w:rsidRPr="002C24BE">
        <w:rPr>
          <w:b/>
          <w:bCs/>
          <w:sz w:val="22"/>
          <w:szCs w:val="22"/>
        </w:rPr>
        <w:t>Radonului</w:t>
      </w:r>
      <w:r w:rsidRPr="002C24BE">
        <w:rPr>
          <w:bCs/>
          <w:sz w:val="22"/>
          <w:szCs w:val="22"/>
        </w:rPr>
        <w:t xml:space="preserve"> din atmosferă, </w:t>
      </w:r>
    </w:p>
    <w:p w:rsidR="004B576B" w:rsidRPr="002C24BE" w:rsidRDefault="004B576B" w:rsidP="00A26CCA">
      <w:pPr>
        <w:pStyle w:val="Default"/>
        <w:widowControl w:val="0"/>
        <w:ind w:firstLine="708"/>
        <w:jc w:val="center"/>
        <w:rPr>
          <w:b/>
          <w:sz w:val="22"/>
          <w:szCs w:val="22"/>
        </w:rPr>
      </w:pPr>
      <w:r w:rsidRPr="002C24BE">
        <w:rPr>
          <w:bCs/>
          <w:sz w:val="22"/>
          <w:szCs w:val="22"/>
        </w:rPr>
        <w:t>în</w:t>
      </w:r>
      <w:r w:rsidR="00931AE5">
        <w:rPr>
          <w:bCs/>
          <w:sz w:val="22"/>
          <w:szCs w:val="22"/>
        </w:rPr>
        <w:t xml:space="preserve"> </w:t>
      </w:r>
      <w:r w:rsidRPr="002C24BE">
        <w:rPr>
          <w:bCs/>
          <w:sz w:val="22"/>
          <w:szCs w:val="22"/>
        </w:rPr>
        <w:t>funcţie de variaţia diurnă, în anul 201</w:t>
      </w:r>
      <w:r w:rsidR="00F037B3">
        <w:rPr>
          <w:bCs/>
          <w:sz w:val="22"/>
          <w:szCs w:val="22"/>
        </w:rPr>
        <w:t>7</w:t>
      </w:r>
    </w:p>
    <w:p w:rsidR="004B576B" w:rsidRPr="002C24BE" w:rsidRDefault="004B576B" w:rsidP="00D2177F">
      <w:pPr>
        <w:pStyle w:val="Default"/>
        <w:widowControl w:val="0"/>
        <w:ind w:left="720"/>
        <w:rPr>
          <w:b/>
          <w:color w:val="auto"/>
          <w:sz w:val="10"/>
          <w:szCs w:val="10"/>
        </w:rPr>
      </w:pPr>
    </w:p>
    <w:p w:rsidR="004B576B" w:rsidRPr="002C24BE" w:rsidRDefault="004B576B" w:rsidP="00D2177F">
      <w:pPr>
        <w:pStyle w:val="Default"/>
        <w:widowControl w:val="0"/>
        <w:jc w:val="center"/>
        <w:rPr>
          <w:color w:val="FF0000"/>
          <w:sz w:val="22"/>
          <w:szCs w:val="22"/>
        </w:rPr>
      </w:pPr>
      <w:r w:rsidRPr="002C24BE">
        <w:rPr>
          <w:noProof/>
          <w:color w:val="FF0000"/>
          <w:sz w:val="22"/>
          <w:szCs w:val="22"/>
          <w:lang w:eastAsia="ro-RO"/>
        </w:rPr>
        <w:drawing>
          <wp:inline distT="0" distB="0" distL="0" distR="0">
            <wp:extent cx="5010150" cy="1543050"/>
            <wp:effectExtent l="0" t="0" r="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6086" w:rsidRPr="00D60DDC" w:rsidRDefault="00C56086" w:rsidP="00931AE5">
      <w:pPr>
        <w:pStyle w:val="Default"/>
        <w:widowControl w:val="0"/>
        <w:ind w:firstLine="720"/>
        <w:jc w:val="center"/>
        <w:rPr>
          <w:sz w:val="14"/>
          <w:szCs w:val="14"/>
        </w:rPr>
      </w:pPr>
    </w:p>
    <w:p w:rsidR="00931AE5" w:rsidRDefault="00243CF2" w:rsidP="00931AE5">
      <w:pPr>
        <w:pStyle w:val="Default"/>
        <w:widowControl w:val="0"/>
        <w:ind w:firstLine="720"/>
        <w:jc w:val="center"/>
        <w:rPr>
          <w:rFonts w:eastAsia="Calibri"/>
          <w:color w:val="auto"/>
          <w:sz w:val="22"/>
          <w:szCs w:val="22"/>
        </w:rPr>
      </w:pPr>
      <w:r w:rsidRPr="002C24BE">
        <w:rPr>
          <w:sz w:val="22"/>
          <w:szCs w:val="22"/>
        </w:rPr>
        <w:t>Fig. IX.1.2.2.</w:t>
      </w:r>
      <w:r w:rsidR="0093208D" w:rsidRPr="002C24BE">
        <w:rPr>
          <w:sz w:val="22"/>
          <w:szCs w:val="22"/>
        </w:rPr>
        <w:t>2</w:t>
      </w:r>
      <w:r w:rsidRPr="002C24BE">
        <w:rPr>
          <w:sz w:val="22"/>
          <w:szCs w:val="22"/>
        </w:rPr>
        <w:t xml:space="preserve">. </w:t>
      </w:r>
      <w:r w:rsidR="00931AE5" w:rsidRPr="00931AE5">
        <w:rPr>
          <w:bCs/>
          <w:sz w:val="22"/>
          <w:szCs w:val="22"/>
        </w:rPr>
        <w:t xml:space="preserve">Variația mediilor </w:t>
      </w:r>
      <w:r w:rsidR="00931AE5">
        <w:rPr>
          <w:bCs/>
          <w:sz w:val="22"/>
          <w:szCs w:val="22"/>
        </w:rPr>
        <w:t>lunare</w:t>
      </w:r>
      <w:r w:rsidR="00931AE5" w:rsidRPr="00931AE5">
        <w:rPr>
          <w:bCs/>
          <w:sz w:val="22"/>
          <w:szCs w:val="22"/>
        </w:rPr>
        <w:t xml:space="preserve"> ale activității specifice a</w:t>
      </w:r>
      <w:r w:rsidR="00931AE5" w:rsidRPr="002C24BE">
        <w:t xml:space="preserve"> </w:t>
      </w:r>
      <w:r w:rsidRPr="002C24BE">
        <w:rPr>
          <w:rFonts w:eastAsia="Calibri"/>
          <w:b/>
          <w:color w:val="auto"/>
          <w:sz w:val="22"/>
          <w:szCs w:val="22"/>
        </w:rPr>
        <w:t>Toronului</w:t>
      </w:r>
      <w:r w:rsidRPr="002C24BE">
        <w:rPr>
          <w:rFonts w:eastAsia="Calibri"/>
          <w:color w:val="auto"/>
          <w:sz w:val="22"/>
          <w:szCs w:val="22"/>
        </w:rPr>
        <w:t xml:space="preserve"> din atmosferă,</w:t>
      </w:r>
    </w:p>
    <w:p w:rsidR="00243CF2" w:rsidRPr="002C24BE" w:rsidRDefault="00243CF2" w:rsidP="00D2177F">
      <w:pPr>
        <w:pStyle w:val="Default"/>
        <w:widowControl w:val="0"/>
        <w:ind w:firstLine="720"/>
        <w:jc w:val="center"/>
        <w:rPr>
          <w:rFonts w:eastAsia="Calibri"/>
          <w:color w:val="auto"/>
          <w:sz w:val="22"/>
          <w:szCs w:val="22"/>
        </w:rPr>
      </w:pPr>
      <w:r w:rsidRPr="002C24BE">
        <w:rPr>
          <w:rFonts w:eastAsia="Calibri"/>
          <w:color w:val="auto"/>
          <w:sz w:val="22"/>
          <w:szCs w:val="22"/>
        </w:rPr>
        <w:t>în</w:t>
      </w:r>
      <w:r w:rsidR="00931AE5">
        <w:rPr>
          <w:rFonts w:eastAsia="Calibri"/>
          <w:color w:val="auto"/>
          <w:sz w:val="22"/>
          <w:szCs w:val="22"/>
        </w:rPr>
        <w:t xml:space="preserve"> </w:t>
      </w:r>
      <w:r w:rsidRPr="002C24BE">
        <w:rPr>
          <w:rFonts w:eastAsia="Calibri"/>
          <w:color w:val="auto"/>
          <w:sz w:val="22"/>
          <w:szCs w:val="22"/>
        </w:rPr>
        <w:t xml:space="preserve">funcţie </w:t>
      </w:r>
      <w:r w:rsidR="00F037B3">
        <w:rPr>
          <w:rFonts w:eastAsia="Calibri"/>
          <w:color w:val="auto"/>
          <w:sz w:val="22"/>
          <w:szCs w:val="22"/>
        </w:rPr>
        <w:t>de variaţia diurnă, în anul 2017</w:t>
      </w:r>
    </w:p>
    <w:p w:rsidR="00243CF2" w:rsidRPr="002C24BE" w:rsidRDefault="00243CF2" w:rsidP="00D2177F">
      <w:pPr>
        <w:pStyle w:val="Default"/>
        <w:widowControl w:val="0"/>
        <w:jc w:val="center"/>
        <w:rPr>
          <w:b/>
          <w:color w:val="FF0000"/>
        </w:rPr>
      </w:pPr>
      <w:r w:rsidRPr="002C24BE">
        <w:rPr>
          <w:b/>
          <w:noProof/>
          <w:color w:val="FF0000"/>
          <w:lang w:eastAsia="ro-RO"/>
        </w:rPr>
        <w:drawing>
          <wp:inline distT="0" distB="0" distL="0" distR="0">
            <wp:extent cx="5048250" cy="1562100"/>
            <wp:effectExtent l="0" t="0" r="0" b="0"/>
            <wp:docPr id="4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3CF2" w:rsidRPr="002C24BE" w:rsidRDefault="00243CF2" w:rsidP="00D2177F">
      <w:pPr>
        <w:pStyle w:val="Default"/>
        <w:widowControl w:val="0"/>
        <w:jc w:val="both"/>
        <w:rPr>
          <w:i/>
          <w:color w:val="auto"/>
          <w:sz w:val="22"/>
          <w:szCs w:val="22"/>
        </w:rPr>
      </w:pPr>
      <w:r w:rsidRPr="002C24BE">
        <w:rPr>
          <w:b/>
          <w:i/>
          <w:color w:val="auto"/>
          <w:sz w:val="22"/>
          <w:szCs w:val="22"/>
        </w:rPr>
        <w:t>Not</w:t>
      </w:r>
      <w:r w:rsidR="00434530" w:rsidRPr="002C24BE">
        <w:rPr>
          <w:b/>
          <w:i/>
          <w:color w:val="auto"/>
          <w:sz w:val="22"/>
          <w:szCs w:val="22"/>
        </w:rPr>
        <w:t>ă</w:t>
      </w:r>
      <w:r w:rsidR="00965D2C" w:rsidRPr="002C24BE">
        <w:rPr>
          <w:i/>
          <w:color w:val="auto"/>
          <w:sz w:val="22"/>
          <w:szCs w:val="22"/>
        </w:rPr>
        <w:t xml:space="preserve"> la fig. </w:t>
      </w:r>
      <w:r w:rsidR="00965D2C" w:rsidRPr="002C24BE">
        <w:rPr>
          <w:b/>
          <w:i/>
          <w:color w:val="auto"/>
          <w:sz w:val="22"/>
          <w:szCs w:val="22"/>
        </w:rPr>
        <w:t>IX.1.2.2.1 şi IX.1.2.2.2</w:t>
      </w:r>
      <w:r w:rsidRPr="002C24BE">
        <w:rPr>
          <w:i/>
          <w:color w:val="auto"/>
          <w:sz w:val="22"/>
          <w:szCs w:val="22"/>
        </w:rPr>
        <w:t xml:space="preserve">: </w:t>
      </w:r>
      <w:r w:rsidR="00592851" w:rsidRPr="002C24BE">
        <w:rPr>
          <w:i/>
          <w:color w:val="auto"/>
          <w:sz w:val="22"/>
          <w:szCs w:val="22"/>
        </w:rPr>
        <w:t>Î</w:t>
      </w:r>
      <w:r w:rsidR="00F56B24" w:rsidRPr="002C24BE">
        <w:rPr>
          <w:i/>
          <w:color w:val="auto"/>
          <w:sz w:val="22"/>
          <w:szCs w:val="22"/>
        </w:rPr>
        <w:t>n</w:t>
      </w:r>
      <w:r w:rsidR="006745A4" w:rsidRPr="002C24BE">
        <w:rPr>
          <w:i/>
          <w:color w:val="auto"/>
          <w:sz w:val="22"/>
          <w:szCs w:val="22"/>
        </w:rPr>
        <w:t xml:space="preserve"> cazurile în care valoarea zilnică măsurată a fost sub valoarea minim detectabilă a aparatului, în calculul mediei s-a utilizat minim</w:t>
      </w:r>
      <w:r w:rsidR="00592851" w:rsidRPr="002C24BE">
        <w:rPr>
          <w:i/>
          <w:color w:val="auto"/>
          <w:sz w:val="22"/>
          <w:szCs w:val="22"/>
        </w:rPr>
        <w:t>a</w:t>
      </w:r>
      <w:r w:rsidR="006745A4" w:rsidRPr="002C24BE">
        <w:rPr>
          <w:i/>
          <w:color w:val="auto"/>
          <w:sz w:val="22"/>
          <w:szCs w:val="22"/>
        </w:rPr>
        <w:t xml:space="preserve"> detectabilă (limita de detecţie).</w:t>
      </w:r>
    </w:p>
    <w:p w:rsidR="00C56086" w:rsidRPr="002C24BE" w:rsidRDefault="00C56086" w:rsidP="00D2177F">
      <w:pPr>
        <w:pStyle w:val="Default"/>
        <w:widowControl w:val="0"/>
        <w:jc w:val="both"/>
        <w:rPr>
          <w:i/>
          <w:color w:val="auto"/>
          <w:sz w:val="10"/>
          <w:szCs w:val="10"/>
        </w:rPr>
      </w:pPr>
    </w:p>
    <w:p w:rsidR="00243CF2" w:rsidRDefault="00BF43F8" w:rsidP="00D2177F">
      <w:pPr>
        <w:pStyle w:val="Default"/>
        <w:widowControl w:val="0"/>
        <w:ind w:firstLine="720"/>
        <w:jc w:val="both"/>
      </w:pPr>
      <w:r w:rsidRPr="002C24BE">
        <w:rPr>
          <w:color w:val="auto"/>
        </w:rPr>
        <w:t>Analizând</w:t>
      </w:r>
      <w:r w:rsidR="0093208D" w:rsidRPr="002C24BE">
        <w:rPr>
          <w:color w:val="auto"/>
        </w:rPr>
        <w:t xml:space="preserve"> fig. IX.1.2.2.1 şi IX.1.2.2.2</w:t>
      </w:r>
      <w:r w:rsidRPr="002C24BE">
        <w:rPr>
          <w:color w:val="auto"/>
        </w:rPr>
        <w:t>, comparativ cu  fig. IX.1.2.1.</w:t>
      </w:r>
      <w:r w:rsidR="000D778F">
        <w:rPr>
          <w:color w:val="auto"/>
        </w:rPr>
        <w:t>1</w:t>
      </w:r>
      <w:r w:rsidR="0093208D" w:rsidRPr="002C24BE">
        <w:rPr>
          <w:color w:val="auto"/>
        </w:rPr>
        <w:t xml:space="preserve"> </w:t>
      </w:r>
      <w:r w:rsidRPr="002C24BE">
        <w:rPr>
          <w:color w:val="auto"/>
        </w:rPr>
        <w:t xml:space="preserve">de mai sus, </w:t>
      </w:r>
      <w:r w:rsidR="0093208D" w:rsidRPr="002C24BE">
        <w:rPr>
          <w:color w:val="auto"/>
        </w:rPr>
        <w:t>se observă că v</w:t>
      </w:r>
      <w:r w:rsidR="00243CF2" w:rsidRPr="002C24BE">
        <w:rPr>
          <w:color w:val="auto"/>
        </w:rPr>
        <w:t xml:space="preserve">ariabilitatea inter-lunară a radonului </w:t>
      </w:r>
      <w:r w:rsidR="0046005C" w:rsidRPr="002C24BE">
        <w:rPr>
          <w:color w:val="auto"/>
        </w:rPr>
        <w:t>şi t</w:t>
      </w:r>
      <w:r w:rsidR="00243CF2" w:rsidRPr="002C24BE">
        <w:rPr>
          <w:color w:val="auto"/>
        </w:rPr>
        <w:t xml:space="preserve">oronului, atât pe timp de zi, cât şi de noapte, este apropiată de cea a activităţii beta globale imediate a aerosolilor. Aceasta confirmă faptul că </w:t>
      </w:r>
      <w:r w:rsidR="00243CF2" w:rsidRPr="002C24BE">
        <w:t xml:space="preserve">radioactivitatea atmosferei </w:t>
      </w:r>
      <w:r w:rsidR="0093208D" w:rsidRPr="002C24BE">
        <w:t>a fost</w:t>
      </w:r>
      <w:r w:rsidR="00243CF2" w:rsidRPr="002C24BE">
        <w:t xml:space="preserve"> dată în principal de descendenţii Radonului şi Toronului</w:t>
      </w:r>
      <w:r w:rsidR="0093208D" w:rsidRPr="002C24BE">
        <w:t>, aşa cum se întâmplă în condiţii normale</w:t>
      </w:r>
      <w:r w:rsidR="00243CF2" w:rsidRPr="002C24BE">
        <w:t xml:space="preserve">. </w:t>
      </w:r>
    </w:p>
    <w:p w:rsidR="003E355B" w:rsidRPr="003E355B" w:rsidRDefault="003E355B" w:rsidP="00D2177F">
      <w:pPr>
        <w:pStyle w:val="Default"/>
        <w:widowControl w:val="0"/>
        <w:ind w:firstLine="720"/>
        <w:jc w:val="both"/>
        <w:rPr>
          <w:sz w:val="10"/>
          <w:szCs w:val="10"/>
        </w:rPr>
      </w:pPr>
    </w:p>
    <w:p w:rsidR="003E355B" w:rsidRDefault="003E355B" w:rsidP="003E355B">
      <w:pPr>
        <w:pStyle w:val="Default"/>
        <w:widowControl w:val="0"/>
        <w:ind w:firstLine="720"/>
        <w:jc w:val="both"/>
      </w:pPr>
      <w:r w:rsidRPr="002C24BE">
        <w:t>Din figura IX.1.2.2.3. şi IX.1.2.2.4. se consta</w:t>
      </w:r>
      <w:r w:rsidR="00F037B3">
        <w:t>tă că, în intervalul 2013 - 2017</w:t>
      </w:r>
      <w:r w:rsidRPr="002C24BE">
        <w:t xml:space="preserve">, valorile medii anuale ale Rn şi Tn pentru ambele aspiraţii au </w:t>
      </w:r>
      <w:r w:rsidR="009C5D73">
        <w:t>scăzut ușor</w:t>
      </w:r>
      <w:r w:rsidRPr="002C24BE">
        <w:t xml:space="preserve">, </w:t>
      </w:r>
      <w:r>
        <w:t xml:space="preserve">valorile cele mai </w:t>
      </w:r>
      <w:r w:rsidRPr="00185B64">
        <w:t>mici</w:t>
      </w:r>
      <w:r>
        <w:t xml:space="preserve"> </w:t>
      </w:r>
      <w:r w:rsidR="00510BE5">
        <w:t xml:space="preserve">din această perioadă </w:t>
      </w:r>
      <w:r>
        <w:t>fiind cele măsurate în anul 2016</w:t>
      </w:r>
      <w:r w:rsidRPr="002C24BE">
        <w:t>.</w:t>
      </w:r>
    </w:p>
    <w:p w:rsidR="00B45D94" w:rsidRPr="002C24BE" w:rsidRDefault="00B45D94" w:rsidP="003E355B">
      <w:pPr>
        <w:pStyle w:val="Default"/>
        <w:widowControl w:val="0"/>
        <w:ind w:firstLine="720"/>
        <w:jc w:val="both"/>
      </w:pPr>
    </w:p>
    <w:p w:rsidR="00434530" w:rsidRPr="002C24BE" w:rsidRDefault="00434530" w:rsidP="00D2177F">
      <w:pPr>
        <w:pStyle w:val="Default"/>
        <w:widowControl w:val="0"/>
        <w:jc w:val="both"/>
        <w:rPr>
          <w:i/>
          <w:color w:val="auto"/>
          <w:sz w:val="10"/>
          <w:szCs w:val="10"/>
        </w:rPr>
      </w:pPr>
    </w:p>
    <w:tbl>
      <w:tblPr>
        <w:tblStyle w:val="TableGrid"/>
        <w:tblW w:w="10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6"/>
        <w:gridCol w:w="5076"/>
      </w:tblGrid>
      <w:tr w:rsidR="00B223E2" w:rsidRPr="002C24BE" w:rsidTr="00D14D3C">
        <w:trPr>
          <w:trHeight w:val="255"/>
        </w:trPr>
        <w:tc>
          <w:tcPr>
            <w:tcW w:w="10012" w:type="dxa"/>
            <w:gridSpan w:val="2"/>
          </w:tcPr>
          <w:p w:rsidR="00B223E2" w:rsidRPr="002C24BE" w:rsidRDefault="00B223E2" w:rsidP="008650AA">
            <w:pPr>
              <w:widowControl w:val="0"/>
              <w:spacing w:after="0" w:line="240" w:lineRule="auto"/>
              <w:jc w:val="center"/>
              <w:rPr>
                <w:rFonts w:ascii="Arial" w:hAnsi="Arial" w:cs="Arial"/>
                <w:lang w:val="ro-RO"/>
              </w:rPr>
            </w:pPr>
            <w:r w:rsidRPr="002C24BE">
              <w:rPr>
                <w:rFonts w:ascii="Arial" w:hAnsi="Arial" w:cs="Arial"/>
                <w:lang w:val="ro-RO"/>
              </w:rPr>
              <w:t>Fig. IX.1.2.2.</w:t>
            </w:r>
            <w:r w:rsidR="0093208D" w:rsidRPr="002C24BE">
              <w:rPr>
                <w:rFonts w:ascii="Arial" w:hAnsi="Arial" w:cs="Arial"/>
                <w:lang w:val="ro-RO"/>
              </w:rPr>
              <w:t>3</w:t>
            </w:r>
            <w:r w:rsidRPr="002C24BE">
              <w:rPr>
                <w:rFonts w:ascii="Arial" w:hAnsi="Arial" w:cs="Arial"/>
                <w:lang w:val="ro-RO"/>
              </w:rPr>
              <w:t xml:space="preserve">. Variația mediilor anuale ale activității specifice a </w:t>
            </w:r>
            <w:r w:rsidRPr="002C24BE">
              <w:rPr>
                <w:rFonts w:ascii="Arial" w:hAnsi="Arial" w:cs="Arial"/>
                <w:b/>
                <w:lang w:val="ro-RO"/>
              </w:rPr>
              <w:t>Radonului</w:t>
            </w:r>
            <w:r w:rsidRPr="002C24BE">
              <w:rPr>
                <w:rFonts w:ascii="Arial" w:hAnsi="Arial" w:cs="Arial"/>
                <w:lang w:val="ro-RO"/>
              </w:rPr>
              <w:t xml:space="preserve"> </w:t>
            </w:r>
            <w:r w:rsidR="00A16DE8" w:rsidRPr="002C24BE">
              <w:rPr>
                <w:rFonts w:ascii="Arial" w:hAnsi="Arial" w:cs="Arial"/>
                <w:lang w:val="ro-RO"/>
              </w:rPr>
              <w:t>în perioada 201</w:t>
            </w:r>
            <w:r w:rsidR="00A37E3D" w:rsidRPr="002C24BE">
              <w:rPr>
                <w:rFonts w:ascii="Arial" w:hAnsi="Arial" w:cs="Arial"/>
                <w:lang w:val="ro-RO"/>
              </w:rPr>
              <w:t>3</w:t>
            </w:r>
            <w:r w:rsidRPr="002C24BE">
              <w:rPr>
                <w:rFonts w:ascii="Arial" w:hAnsi="Arial" w:cs="Arial"/>
                <w:lang w:val="ro-RO"/>
              </w:rPr>
              <w:t xml:space="preserve"> –</w:t>
            </w:r>
            <w:r w:rsidR="00F037B3">
              <w:rPr>
                <w:rFonts w:ascii="Arial" w:hAnsi="Arial" w:cs="Arial"/>
                <w:lang w:val="ro-RO"/>
              </w:rPr>
              <w:t xml:space="preserve"> 2017</w:t>
            </w:r>
          </w:p>
          <w:p w:rsidR="00B223E2" w:rsidRPr="00DA0F09" w:rsidRDefault="00B223E2" w:rsidP="00D14D3C">
            <w:pPr>
              <w:pStyle w:val="Default"/>
              <w:widowControl w:val="0"/>
              <w:rPr>
                <w:color w:val="auto"/>
                <w:sz w:val="6"/>
                <w:szCs w:val="6"/>
              </w:rPr>
            </w:pPr>
          </w:p>
        </w:tc>
      </w:tr>
      <w:tr w:rsidR="00B223E2" w:rsidRPr="002C24BE" w:rsidTr="00A87E0A">
        <w:trPr>
          <w:trHeight w:val="209"/>
        </w:trPr>
        <w:tc>
          <w:tcPr>
            <w:tcW w:w="4936" w:type="dxa"/>
          </w:tcPr>
          <w:p w:rsidR="00B223E2" w:rsidRPr="002C24BE" w:rsidRDefault="0093208D" w:rsidP="00D2177F">
            <w:pPr>
              <w:pStyle w:val="Default"/>
              <w:widowControl w:val="0"/>
              <w:jc w:val="center"/>
              <w:rPr>
                <w:b/>
                <w:i/>
                <w:noProof/>
                <w:color w:val="auto"/>
                <w:sz w:val="22"/>
                <w:szCs w:val="22"/>
                <w:lang w:eastAsia="ro-RO"/>
              </w:rPr>
            </w:pPr>
            <w:r w:rsidRPr="002C24BE">
              <w:rPr>
                <w:b/>
                <w:i/>
                <w:sz w:val="22"/>
                <w:szCs w:val="22"/>
              </w:rPr>
              <w:t xml:space="preserve">a. </w:t>
            </w:r>
            <w:r w:rsidR="00B223E2" w:rsidRPr="002C24BE">
              <w:rPr>
                <w:b/>
                <w:i/>
                <w:sz w:val="22"/>
                <w:szCs w:val="22"/>
              </w:rPr>
              <w:t>aspirația 02–07</w:t>
            </w:r>
          </w:p>
        </w:tc>
        <w:tc>
          <w:tcPr>
            <w:tcW w:w="5076" w:type="dxa"/>
          </w:tcPr>
          <w:p w:rsidR="00B223E2" w:rsidRPr="002C24BE" w:rsidRDefault="0093208D" w:rsidP="00D2177F">
            <w:pPr>
              <w:pStyle w:val="Default"/>
              <w:widowControl w:val="0"/>
              <w:jc w:val="center"/>
              <w:rPr>
                <w:b/>
                <w:i/>
                <w:color w:val="auto"/>
                <w:sz w:val="22"/>
                <w:szCs w:val="22"/>
              </w:rPr>
            </w:pPr>
            <w:r w:rsidRPr="002C24BE">
              <w:rPr>
                <w:b/>
                <w:i/>
                <w:sz w:val="22"/>
                <w:szCs w:val="22"/>
              </w:rPr>
              <w:t xml:space="preserve">b. </w:t>
            </w:r>
            <w:r w:rsidR="00B223E2" w:rsidRPr="002C24BE">
              <w:rPr>
                <w:b/>
                <w:i/>
                <w:sz w:val="22"/>
                <w:szCs w:val="22"/>
              </w:rPr>
              <w:t>aspirația 08–13</w:t>
            </w:r>
          </w:p>
        </w:tc>
      </w:tr>
      <w:tr w:rsidR="00B223E2" w:rsidRPr="002C24BE" w:rsidTr="00A87E0A">
        <w:trPr>
          <w:trHeight w:val="2087"/>
        </w:trPr>
        <w:tc>
          <w:tcPr>
            <w:tcW w:w="4936" w:type="dxa"/>
          </w:tcPr>
          <w:p w:rsidR="00B223E2" w:rsidRPr="002C24BE" w:rsidRDefault="00B223E2" w:rsidP="00D2177F">
            <w:pPr>
              <w:pStyle w:val="Default"/>
              <w:widowControl w:val="0"/>
              <w:jc w:val="center"/>
              <w:rPr>
                <w:color w:val="auto"/>
                <w:sz w:val="16"/>
                <w:szCs w:val="16"/>
              </w:rPr>
            </w:pPr>
            <w:r w:rsidRPr="002C24BE">
              <w:rPr>
                <w:noProof/>
                <w:lang w:eastAsia="ro-RO"/>
              </w:rPr>
              <w:drawing>
                <wp:inline distT="0" distB="0" distL="0" distR="0">
                  <wp:extent cx="2943225" cy="1343025"/>
                  <wp:effectExtent l="0" t="0" r="0" b="0"/>
                  <wp:docPr id="4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076" w:type="dxa"/>
          </w:tcPr>
          <w:p w:rsidR="00B223E2" w:rsidRPr="002C24BE" w:rsidRDefault="00B223E2" w:rsidP="00D2177F">
            <w:pPr>
              <w:pStyle w:val="Default"/>
              <w:widowControl w:val="0"/>
              <w:jc w:val="center"/>
              <w:rPr>
                <w:color w:val="auto"/>
                <w:sz w:val="16"/>
                <w:szCs w:val="16"/>
              </w:rPr>
            </w:pPr>
            <w:r w:rsidRPr="002C24BE">
              <w:rPr>
                <w:noProof/>
                <w:lang w:eastAsia="ro-RO"/>
              </w:rPr>
              <w:drawing>
                <wp:inline distT="0" distB="0" distL="0" distR="0">
                  <wp:extent cx="3038475" cy="1343025"/>
                  <wp:effectExtent l="0" t="0" r="0" b="0"/>
                  <wp:docPr id="4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B223E2" w:rsidRDefault="00B223E2" w:rsidP="00D2177F">
      <w:pPr>
        <w:pStyle w:val="Default"/>
        <w:widowControl w:val="0"/>
        <w:jc w:val="both"/>
        <w:rPr>
          <w:color w:val="auto"/>
          <w:sz w:val="10"/>
          <w:szCs w:val="10"/>
        </w:rPr>
      </w:pPr>
    </w:p>
    <w:p w:rsidR="00A87E0A" w:rsidRPr="002C24BE" w:rsidRDefault="00A87E0A" w:rsidP="00D2177F">
      <w:pPr>
        <w:pStyle w:val="Default"/>
        <w:widowControl w:val="0"/>
        <w:jc w:val="both"/>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0"/>
        <w:gridCol w:w="4887"/>
      </w:tblGrid>
      <w:tr w:rsidR="0093208D" w:rsidRPr="002C24BE" w:rsidTr="002E18E8">
        <w:tc>
          <w:tcPr>
            <w:tcW w:w="9997" w:type="dxa"/>
            <w:gridSpan w:val="2"/>
          </w:tcPr>
          <w:p w:rsidR="0093208D" w:rsidRPr="002C24BE" w:rsidRDefault="0093208D" w:rsidP="00D2177F">
            <w:pPr>
              <w:widowControl w:val="0"/>
              <w:spacing w:after="0" w:line="240" w:lineRule="auto"/>
              <w:jc w:val="center"/>
              <w:rPr>
                <w:rFonts w:ascii="Arial" w:hAnsi="Arial" w:cs="Arial"/>
                <w:lang w:val="ro-RO"/>
              </w:rPr>
            </w:pPr>
            <w:r w:rsidRPr="002C24BE">
              <w:rPr>
                <w:rFonts w:ascii="Arial" w:hAnsi="Arial" w:cs="Arial"/>
                <w:lang w:val="ro-RO"/>
              </w:rPr>
              <w:t xml:space="preserve">Fig. IX.1.2.2.4. Variația mediilor anuale ale activității specifice a </w:t>
            </w:r>
            <w:r w:rsidRPr="002C24BE">
              <w:rPr>
                <w:rFonts w:ascii="Arial" w:hAnsi="Arial" w:cs="Arial"/>
                <w:b/>
                <w:lang w:val="ro-RO"/>
              </w:rPr>
              <w:t>Toronului</w:t>
            </w:r>
            <w:r w:rsidRPr="002C24BE">
              <w:rPr>
                <w:rFonts w:ascii="Arial" w:hAnsi="Arial" w:cs="Arial"/>
                <w:i/>
                <w:lang w:val="ro-RO"/>
              </w:rPr>
              <w:t xml:space="preserve"> </w:t>
            </w:r>
            <w:r w:rsidR="00A16DE8" w:rsidRPr="002C24BE">
              <w:rPr>
                <w:rFonts w:ascii="Arial" w:hAnsi="Arial" w:cs="Arial"/>
                <w:lang w:val="ro-RO"/>
              </w:rPr>
              <w:t>în perioada 201</w:t>
            </w:r>
            <w:r w:rsidR="00DC66C1">
              <w:rPr>
                <w:rFonts w:ascii="Arial" w:hAnsi="Arial" w:cs="Arial"/>
                <w:lang w:val="ro-RO"/>
              </w:rPr>
              <w:t>3 - 2017</w:t>
            </w:r>
          </w:p>
          <w:p w:rsidR="0093208D" w:rsidRPr="002C24BE" w:rsidRDefault="0093208D" w:rsidP="00D2177F">
            <w:pPr>
              <w:pStyle w:val="Default"/>
              <w:widowControl w:val="0"/>
              <w:jc w:val="center"/>
              <w:rPr>
                <w:color w:val="auto"/>
                <w:sz w:val="6"/>
                <w:szCs w:val="6"/>
              </w:rPr>
            </w:pPr>
          </w:p>
        </w:tc>
      </w:tr>
      <w:tr w:rsidR="0093208D" w:rsidRPr="002C24BE" w:rsidTr="000A32BD">
        <w:tc>
          <w:tcPr>
            <w:tcW w:w="5090" w:type="dxa"/>
          </w:tcPr>
          <w:p w:rsidR="0093208D" w:rsidRPr="002C24BE" w:rsidRDefault="0093208D" w:rsidP="00D2177F">
            <w:pPr>
              <w:pStyle w:val="Default"/>
              <w:widowControl w:val="0"/>
              <w:jc w:val="center"/>
              <w:rPr>
                <w:b/>
                <w:i/>
                <w:noProof/>
                <w:color w:val="auto"/>
                <w:sz w:val="22"/>
                <w:szCs w:val="22"/>
                <w:lang w:eastAsia="ro-RO"/>
              </w:rPr>
            </w:pPr>
            <w:r w:rsidRPr="002C24BE">
              <w:rPr>
                <w:b/>
                <w:i/>
                <w:sz w:val="22"/>
                <w:szCs w:val="22"/>
              </w:rPr>
              <w:t>a. aspirația 02–07</w:t>
            </w:r>
          </w:p>
        </w:tc>
        <w:tc>
          <w:tcPr>
            <w:tcW w:w="4907" w:type="dxa"/>
          </w:tcPr>
          <w:p w:rsidR="0093208D" w:rsidRPr="002C24BE" w:rsidRDefault="0093208D" w:rsidP="00D2177F">
            <w:pPr>
              <w:pStyle w:val="Default"/>
              <w:widowControl w:val="0"/>
              <w:jc w:val="center"/>
              <w:rPr>
                <w:b/>
                <w:i/>
                <w:color w:val="auto"/>
                <w:sz w:val="22"/>
                <w:szCs w:val="22"/>
              </w:rPr>
            </w:pPr>
            <w:r w:rsidRPr="002C24BE">
              <w:rPr>
                <w:b/>
                <w:i/>
                <w:sz w:val="22"/>
                <w:szCs w:val="22"/>
              </w:rPr>
              <w:t>b. aspirația 08–13</w:t>
            </w:r>
          </w:p>
        </w:tc>
      </w:tr>
      <w:tr w:rsidR="0093208D" w:rsidRPr="002C24BE" w:rsidTr="00191402">
        <w:trPr>
          <w:trHeight w:val="2047"/>
        </w:trPr>
        <w:tc>
          <w:tcPr>
            <w:tcW w:w="5090" w:type="dxa"/>
          </w:tcPr>
          <w:p w:rsidR="0093208D" w:rsidRPr="002C24BE" w:rsidRDefault="0093208D" w:rsidP="00D2177F">
            <w:pPr>
              <w:pStyle w:val="Default"/>
              <w:widowControl w:val="0"/>
              <w:jc w:val="center"/>
              <w:rPr>
                <w:color w:val="auto"/>
                <w:sz w:val="16"/>
                <w:szCs w:val="16"/>
              </w:rPr>
            </w:pPr>
            <w:r w:rsidRPr="002C24BE">
              <w:rPr>
                <w:noProof/>
                <w:lang w:eastAsia="ro-RO"/>
              </w:rPr>
              <w:drawing>
                <wp:inline distT="0" distB="0" distL="0" distR="0">
                  <wp:extent cx="3143250" cy="1257300"/>
                  <wp:effectExtent l="0" t="0" r="0" b="0"/>
                  <wp:docPr id="4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07" w:type="dxa"/>
          </w:tcPr>
          <w:p w:rsidR="0093208D" w:rsidRPr="002C24BE" w:rsidRDefault="0093208D" w:rsidP="00D2177F">
            <w:pPr>
              <w:pStyle w:val="Default"/>
              <w:widowControl w:val="0"/>
              <w:jc w:val="center"/>
              <w:rPr>
                <w:color w:val="auto"/>
                <w:sz w:val="16"/>
                <w:szCs w:val="16"/>
              </w:rPr>
            </w:pPr>
            <w:r w:rsidRPr="002C24BE">
              <w:rPr>
                <w:noProof/>
                <w:lang w:eastAsia="ro-RO"/>
              </w:rPr>
              <w:drawing>
                <wp:inline distT="0" distB="0" distL="0" distR="0">
                  <wp:extent cx="3000375" cy="1257300"/>
                  <wp:effectExtent l="0" t="0" r="0" b="0"/>
                  <wp:docPr id="5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46005C" w:rsidRPr="002C24BE" w:rsidRDefault="0046005C" w:rsidP="0046005C">
      <w:pPr>
        <w:pStyle w:val="Default"/>
        <w:widowControl w:val="0"/>
        <w:jc w:val="both"/>
        <w:rPr>
          <w:i/>
          <w:color w:val="auto"/>
          <w:sz w:val="22"/>
          <w:szCs w:val="22"/>
        </w:rPr>
      </w:pPr>
      <w:r w:rsidRPr="002C24BE">
        <w:rPr>
          <w:b/>
          <w:i/>
          <w:color w:val="auto"/>
          <w:sz w:val="22"/>
          <w:szCs w:val="22"/>
        </w:rPr>
        <w:t>Not</w:t>
      </w:r>
      <w:r w:rsidR="003E355B">
        <w:rPr>
          <w:b/>
          <w:i/>
          <w:color w:val="auto"/>
          <w:sz w:val="22"/>
          <w:szCs w:val="22"/>
        </w:rPr>
        <w:t>ă</w:t>
      </w:r>
      <w:r w:rsidRPr="002C24BE">
        <w:rPr>
          <w:i/>
          <w:color w:val="auto"/>
          <w:sz w:val="22"/>
          <w:szCs w:val="22"/>
        </w:rPr>
        <w:t xml:space="preserve"> la fig. </w:t>
      </w:r>
      <w:r w:rsidRPr="002C24BE">
        <w:rPr>
          <w:b/>
          <w:i/>
          <w:color w:val="auto"/>
          <w:sz w:val="22"/>
          <w:szCs w:val="22"/>
        </w:rPr>
        <w:t xml:space="preserve">IX.1.2.2.3 </w:t>
      </w:r>
      <w:r w:rsidRPr="008650AA">
        <w:rPr>
          <w:i/>
          <w:color w:val="auto"/>
          <w:sz w:val="22"/>
          <w:szCs w:val="22"/>
        </w:rPr>
        <w:t>şi</w:t>
      </w:r>
      <w:r w:rsidRPr="002C24BE">
        <w:rPr>
          <w:b/>
          <w:i/>
          <w:color w:val="auto"/>
          <w:sz w:val="22"/>
          <w:szCs w:val="22"/>
        </w:rPr>
        <w:t xml:space="preserve"> IX.1.2.2.4</w:t>
      </w:r>
      <w:r w:rsidRPr="002C24BE">
        <w:rPr>
          <w:i/>
          <w:color w:val="auto"/>
          <w:sz w:val="22"/>
          <w:szCs w:val="22"/>
        </w:rPr>
        <w:t xml:space="preserve">: </w:t>
      </w:r>
      <w:r w:rsidR="00592851" w:rsidRPr="002C24BE">
        <w:rPr>
          <w:i/>
          <w:color w:val="auto"/>
          <w:sz w:val="22"/>
          <w:szCs w:val="22"/>
        </w:rPr>
        <w:t>În</w:t>
      </w:r>
      <w:r w:rsidRPr="002C24BE">
        <w:rPr>
          <w:i/>
          <w:color w:val="auto"/>
          <w:sz w:val="22"/>
          <w:szCs w:val="22"/>
        </w:rPr>
        <w:t xml:space="preserve"> cazurile în care valoarea</w:t>
      </w:r>
      <w:r w:rsidR="0068596F" w:rsidRPr="002C24BE">
        <w:rPr>
          <w:i/>
          <w:color w:val="auto"/>
          <w:sz w:val="22"/>
          <w:szCs w:val="22"/>
        </w:rPr>
        <w:t xml:space="preserve"> zilnică</w:t>
      </w:r>
      <w:r w:rsidRPr="002C24BE">
        <w:rPr>
          <w:i/>
          <w:color w:val="auto"/>
          <w:sz w:val="22"/>
          <w:szCs w:val="22"/>
        </w:rPr>
        <w:t xml:space="preserve"> măsurată a fost sub valoarea minim detectabilă a aparatului, în calculul mediei s-a utilizat valoarea minim detectabilă (limita de detecţie).</w:t>
      </w:r>
    </w:p>
    <w:p w:rsidR="0019704A" w:rsidRPr="002C24BE" w:rsidRDefault="0019704A" w:rsidP="00D2177F">
      <w:pPr>
        <w:widowControl w:val="0"/>
        <w:autoSpaceDE w:val="0"/>
        <w:autoSpaceDN w:val="0"/>
        <w:adjustRightInd w:val="0"/>
        <w:spacing w:after="0" w:line="240" w:lineRule="auto"/>
        <w:jc w:val="both"/>
        <w:rPr>
          <w:rFonts w:ascii="Arial" w:hAnsi="Arial" w:cs="Arial"/>
          <w:b/>
          <w:iCs/>
          <w:sz w:val="16"/>
          <w:szCs w:val="16"/>
          <w:lang w:val="ro-RO"/>
        </w:rPr>
      </w:pPr>
    </w:p>
    <w:p w:rsidR="004B576B" w:rsidRPr="002C24BE" w:rsidRDefault="004B576B" w:rsidP="00287C5B">
      <w:pPr>
        <w:widowControl w:val="0"/>
        <w:autoSpaceDE w:val="0"/>
        <w:autoSpaceDN w:val="0"/>
        <w:adjustRightInd w:val="0"/>
        <w:spacing w:after="0" w:line="240" w:lineRule="auto"/>
        <w:jc w:val="both"/>
        <w:rPr>
          <w:rFonts w:ascii="Arial" w:hAnsi="Arial" w:cs="Arial"/>
          <w:color w:val="000000"/>
          <w:sz w:val="24"/>
          <w:szCs w:val="24"/>
          <w:lang w:val="ro-RO" w:eastAsia="ro-RO"/>
        </w:rPr>
      </w:pPr>
      <w:r w:rsidRPr="00AD502D">
        <w:rPr>
          <w:rFonts w:ascii="Arial" w:hAnsi="Arial" w:cs="Arial"/>
          <w:b/>
          <w:iCs/>
          <w:sz w:val="24"/>
          <w:szCs w:val="24"/>
          <w:lang w:val="ro-RO"/>
        </w:rPr>
        <w:t>IX.1.2.3.</w:t>
      </w:r>
      <w:r w:rsidRPr="002C24BE">
        <w:rPr>
          <w:rFonts w:ascii="Arial" w:hAnsi="Arial" w:cs="Arial"/>
          <w:iCs/>
          <w:sz w:val="24"/>
          <w:szCs w:val="24"/>
          <w:lang w:val="ro-RO"/>
        </w:rPr>
        <w:t xml:space="preserve"> </w:t>
      </w:r>
      <w:r w:rsidRPr="002C24BE">
        <w:rPr>
          <w:rFonts w:ascii="Arial" w:hAnsi="Arial" w:cs="Arial"/>
          <w:color w:val="000000"/>
          <w:sz w:val="24"/>
          <w:szCs w:val="24"/>
          <w:u w:val="single"/>
          <w:lang w:val="ro-RO" w:eastAsia="ro-RO"/>
        </w:rPr>
        <w:t>Activități beta globale ale aerosolilor atmosferici, măsurători întârziate</w:t>
      </w:r>
      <w:r w:rsidRPr="002C24BE">
        <w:rPr>
          <w:rFonts w:ascii="Arial" w:hAnsi="Arial" w:cs="Arial"/>
          <w:color w:val="000000"/>
          <w:sz w:val="24"/>
          <w:szCs w:val="24"/>
          <w:lang w:val="ro-RO" w:eastAsia="ro-RO"/>
        </w:rPr>
        <w:t xml:space="preserve"> </w:t>
      </w:r>
    </w:p>
    <w:p w:rsidR="00931AE5" w:rsidRPr="00D809DD" w:rsidRDefault="00931AE5" w:rsidP="00D2177F">
      <w:pPr>
        <w:pStyle w:val="Default"/>
        <w:widowControl w:val="0"/>
        <w:ind w:firstLine="720"/>
        <w:jc w:val="center"/>
        <w:rPr>
          <w:sz w:val="16"/>
          <w:szCs w:val="16"/>
        </w:rPr>
      </w:pPr>
    </w:p>
    <w:p w:rsidR="0068596F" w:rsidRPr="002C24BE" w:rsidRDefault="004B576B" w:rsidP="00510BE5">
      <w:pPr>
        <w:pStyle w:val="Default"/>
        <w:widowControl w:val="0"/>
        <w:jc w:val="center"/>
        <w:rPr>
          <w:bCs/>
          <w:color w:val="auto"/>
          <w:sz w:val="22"/>
          <w:szCs w:val="22"/>
        </w:rPr>
      </w:pPr>
      <w:r w:rsidRPr="002C24BE">
        <w:rPr>
          <w:sz w:val="22"/>
          <w:szCs w:val="22"/>
        </w:rPr>
        <w:t xml:space="preserve">Fig. IX.1.2.3.1. </w:t>
      </w:r>
      <w:r w:rsidRPr="002C24BE">
        <w:rPr>
          <w:rFonts w:eastAsia="Times New Roman"/>
          <w:b/>
          <w:bCs/>
          <w:kern w:val="24"/>
          <w:sz w:val="22"/>
          <w:szCs w:val="22"/>
          <w:lang w:eastAsia="ro-RO"/>
        </w:rPr>
        <w:t xml:space="preserve"> </w:t>
      </w:r>
      <w:r w:rsidRPr="002C24BE">
        <w:rPr>
          <w:bCs/>
          <w:color w:val="auto"/>
          <w:sz w:val="22"/>
          <w:szCs w:val="22"/>
        </w:rPr>
        <w:t xml:space="preserve">Variaţia </w:t>
      </w:r>
      <w:r w:rsidR="00931AE5" w:rsidRPr="00931AE5">
        <w:rPr>
          <w:bCs/>
          <w:color w:val="auto"/>
          <w:sz w:val="22"/>
          <w:szCs w:val="22"/>
        </w:rPr>
        <w:t xml:space="preserve">mediilor </w:t>
      </w:r>
      <w:r w:rsidRPr="002C24BE">
        <w:rPr>
          <w:bCs/>
          <w:color w:val="auto"/>
          <w:sz w:val="22"/>
          <w:szCs w:val="22"/>
        </w:rPr>
        <w:t>lunar</w:t>
      </w:r>
      <w:r w:rsidR="00931AE5">
        <w:rPr>
          <w:bCs/>
          <w:color w:val="auto"/>
          <w:sz w:val="22"/>
          <w:szCs w:val="22"/>
        </w:rPr>
        <w:t>e</w:t>
      </w:r>
      <w:r w:rsidRPr="002C24BE">
        <w:rPr>
          <w:bCs/>
          <w:color w:val="auto"/>
          <w:sz w:val="22"/>
          <w:szCs w:val="22"/>
        </w:rPr>
        <w:t xml:space="preserve"> a</w:t>
      </w:r>
      <w:r w:rsidR="00931AE5">
        <w:rPr>
          <w:bCs/>
          <w:color w:val="auto"/>
          <w:sz w:val="22"/>
          <w:szCs w:val="22"/>
        </w:rPr>
        <w:t>le</w:t>
      </w:r>
      <w:r w:rsidRPr="002C24BE">
        <w:rPr>
          <w:bCs/>
          <w:color w:val="auto"/>
          <w:sz w:val="22"/>
          <w:szCs w:val="22"/>
        </w:rPr>
        <w:t xml:space="preserve"> activităţii beta globale întârziate</w:t>
      </w:r>
    </w:p>
    <w:p w:rsidR="004B576B" w:rsidRDefault="0068596F" w:rsidP="00510BE5">
      <w:pPr>
        <w:pStyle w:val="Default"/>
        <w:widowControl w:val="0"/>
        <w:jc w:val="center"/>
        <w:rPr>
          <w:bCs/>
          <w:color w:val="auto"/>
          <w:sz w:val="22"/>
          <w:szCs w:val="22"/>
        </w:rPr>
      </w:pPr>
      <w:r w:rsidRPr="002C24BE">
        <w:rPr>
          <w:bCs/>
          <w:color w:val="auto"/>
          <w:sz w:val="22"/>
          <w:szCs w:val="22"/>
        </w:rPr>
        <w:t>(măsurare la 5 zile)</w:t>
      </w:r>
      <w:r w:rsidR="004B576B" w:rsidRPr="002C24BE">
        <w:rPr>
          <w:bCs/>
          <w:color w:val="auto"/>
          <w:sz w:val="22"/>
          <w:szCs w:val="22"/>
        </w:rPr>
        <w:t xml:space="preserve"> a aerosolilor atmosferici în anul 201</w:t>
      </w:r>
      <w:r w:rsidR="00DC66C1">
        <w:rPr>
          <w:bCs/>
          <w:color w:val="auto"/>
          <w:sz w:val="22"/>
          <w:szCs w:val="22"/>
        </w:rPr>
        <w:t>7</w:t>
      </w:r>
    </w:p>
    <w:p w:rsidR="00D809DD" w:rsidRPr="00D809DD" w:rsidRDefault="00D809DD" w:rsidP="00510BE5">
      <w:pPr>
        <w:pStyle w:val="Default"/>
        <w:widowControl w:val="0"/>
        <w:jc w:val="center"/>
        <w:rPr>
          <w:bCs/>
          <w:color w:val="auto"/>
          <w:sz w:val="4"/>
          <w:szCs w:val="4"/>
        </w:rPr>
      </w:pPr>
    </w:p>
    <w:p w:rsidR="00455F7E" w:rsidRDefault="00455F7E" w:rsidP="00D2177F">
      <w:pPr>
        <w:pStyle w:val="Default"/>
        <w:widowControl w:val="0"/>
        <w:rPr>
          <w:b/>
          <w:color w:val="FF0000"/>
        </w:rPr>
      </w:pPr>
      <w:r w:rsidRPr="00483E27">
        <w:rPr>
          <w:b/>
          <w:noProof/>
          <w:color w:val="FF0000"/>
          <w:lang w:eastAsia="ro-RO"/>
        </w:rPr>
        <w:drawing>
          <wp:inline distT="0" distB="0" distL="0" distR="0">
            <wp:extent cx="6038850" cy="1352550"/>
            <wp:effectExtent l="0" t="0" r="0" b="0"/>
            <wp:docPr id="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2B8C" w:rsidRDefault="00082B8C" w:rsidP="00D2177F">
      <w:pPr>
        <w:pStyle w:val="Default"/>
        <w:widowControl w:val="0"/>
        <w:rPr>
          <w:b/>
          <w:color w:val="FF0000"/>
          <w:sz w:val="6"/>
          <w:szCs w:val="6"/>
        </w:rPr>
      </w:pPr>
    </w:p>
    <w:p w:rsidR="0097167A" w:rsidRPr="00B45D94" w:rsidRDefault="0097167A" w:rsidP="00F230FB">
      <w:pPr>
        <w:pStyle w:val="Default"/>
        <w:widowControl w:val="0"/>
        <w:jc w:val="both"/>
        <w:rPr>
          <w:b/>
          <w:i/>
          <w:color w:val="auto"/>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5056"/>
      </w:tblGrid>
      <w:tr w:rsidR="00D809DD" w:rsidRPr="002C24BE" w:rsidTr="00C447E5">
        <w:trPr>
          <w:trHeight w:val="255"/>
        </w:trPr>
        <w:tc>
          <w:tcPr>
            <w:tcW w:w="9997" w:type="dxa"/>
            <w:gridSpan w:val="2"/>
          </w:tcPr>
          <w:p w:rsidR="00D809DD" w:rsidRPr="002C24BE" w:rsidRDefault="00D809DD" w:rsidP="00C447E5">
            <w:pPr>
              <w:widowControl w:val="0"/>
              <w:spacing w:after="0" w:line="240" w:lineRule="auto"/>
              <w:ind w:firstLine="720"/>
              <w:rPr>
                <w:rFonts w:ascii="Arial" w:hAnsi="Arial" w:cs="Arial"/>
                <w:lang w:val="ro-RO"/>
              </w:rPr>
            </w:pPr>
            <w:r w:rsidRPr="002C24BE">
              <w:rPr>
                <w:rFonts w:ascii="Arial" w:hAnsi="Arial" w:cs="Arial"/>
                <w:lang w:val="ro-RO"/>
              </w:rPr>
              <w:t xml:space="preserve">Fig. IX.1.2.3.2. Variația mediilor anuale ale activității beta globale întârziate </w:t>
            </w:r>
          </w:p>
          <w:p w:rsidR="00D809DD" w:rsidRPr="002C24BE" w:rsidRDefault="00D809DD" w:rsidP="00C447E5">
            <w:pPr>
              <w:widowControl w:val="0"/>
              <w:spacing w:after="0" w:line="240" w:lineRule="auto"/>
              <w:jc w:val="center"/>
              <w:rPr>
                <w:rFonts w:ascii="Arial" w:hAnsi="Arial" w:cs="Arial"/>
                <w:lang w:val="ro-RO"/>
              </w:rPr>
            </w:pPr>
            <w:r w:rsidRPr="002C24BE">
              <w:rPr>
                <w:rFonts w:ascii="Arial" w:hAnsi="Arial" w:cs="Arial"/>
                <w:bCs/>
                <w:lang w:val="ro-RO"/>
              </w:rPr>
              <w:t xml:space="preserve">(măsurare la 5 zile) </w:t>
            </w:r>
            <w:r w:rsidRPr="002C24BE">
              <w:rPr>
                <w:rFonts w:ascii="Arial" w:hAnsi="Arial" w:cs="Arial"/>
                <w:lang w:val="ro-RO"/>
              </w:rPr>
              <w:t>a aerosolilor atmosferici, în perioada 201</w:t>
            </w:r>
            <w:r>
              <w:rPr>
                <w:rFonts w:ascii="Arial" w:hAnsi="Arial" w:cs="Arial"/>
                <w:lang w:val="ro-RO"/>
              </w:rPr>
              <w:t>3 - 2017</w:t>
            </w:r>
          </w:p>
          <w:p w:rsidR="00D809DD" w:rsidRPr="00D809DD" w:rsidRDefault="00D809DD" w:rsidP="00C447E5">
            <w:pPr>
              <w:pStyle w:val="Default"/>
              <w:widowControl w:val="0"/>
              <w:jc w:val="center"/>
              <w:rPr>
                <w:color w:val="auto"/>
                <w:sz w:val="10"/>
                <w:szCs w:val="10"/>
              </w:rPr>
            </w:pPr>
          </w:p>
        </w:tc>
      </w:tr>
      <w:tr w:rsidR="00D809DD" w:rsidRPr="002C24BE" w:rsidTr="00D809DD">
        <w:tc>
          <w:tcPr>
            <w:tcW w:w="4941" w:type="dxa"/>
          </w:tcPr>
          <w:p w:rsidR="00D809DD" w:rsidRPr="002C24BE" w:rsidRDefault="00D809DD" w:rsidP="00C447E5">
            <w:pPr>
              <w:pStyle w:val="Default"/>
              <w:widowControl w:val="0"/>
              <w:jc w:val="center"/>
              <w:rPr>
                <w:b/>
                <w:i/>
                <w:noProof/>
                <w:color w:val="auto"/>
                <w:sz w:val="22"/>
                <w:szCs w:val="22"/>
                <w:lang w:eastAsia="ro-RO"/>
              </w:rPr>
            </w:pPr>
            <w:r w:rsidRPr="002C24BE">
              <w:rPr>
                <w:b/>
                <w:i/>
                <w:sz w:val="22"/>
                <w:szCs w:val="22"/>
              </w:rPr>
              <w:t>a. aspirația 02–07</w:t>
            </w:r>
          </w:p>
        </w:tc>
        <w:tc>
          <w:tcPr>
            <w:tcW w:w="5056" w:type="dxa"/>
          </w:tcPr>
          <w:p w:rsidR="00D809DD" w:rsidRPr="002C24BE" w:rsidRDefault="00D809DD" w:rsidP="00C447E5">
            <w:pPr>
              <w:pStyle w:val="Default"/>
              <w:widowControl w:val="0"/>
              <w:jc w:val="center"/>
              <w:rPr>
                <w:b/>
                <w:i/>
                <w:color w:val="auto"/>
                <w:sz w:val="22"/>
                <w:szCs w:val="22"/>
              </w:rPr>
            </w:pPr>
            <w:r w:rsidRPr="002C24BE">
              <w:rPr>
                <w:b/>
                <w:i/>
                <w:sz w:val="22"/>
                <w:szCs w:val="22"/>
              </w:rPr>
              <w:t>b. aspirația 08–13</w:t>
            </w:r>
          </w:p>
        </w:tc>
      </w:tr>
      <w:tr w:rsidR="00D809DD" w:rsidRPr="002C24BE" w:rsidTr="00D809DD">
        <w:tc>
          <w:tcPr>
            <w:tcW w:w="4941" w:type="dxa"/>
          </w:tcPr>
          <w:p w:rsidR="00D809DD" w:rsidRPr="002C24BE" w:rsidRDefault="00D809DD" w:rsidP="00C447E5">
            <w:pPr>
              <w:pStyle w:val="Default"/>
              <w:widowControl w:val="0"/>
              <w:jc w:val="center"/>
              <w:rPr>
                <w:color w:val="auto"/>
                <w:sz w:val="16"/>
                <w:szCs w:val="16"/>
              </w:rPr>
            </w:pPr>
            <w:r w:rsidRPr="002C24BE">
              <w:rPr>
                <w:noProof/>
                <w:lang w:eastAsia="ro-RO"/>
              </w:rPr>
              <w:drawing>
                <wp:inline distT="0" distB="0" distL="0" distR="0">
                  <wp:extent cx="3000375" cy="1095375"/>
                  <wp:effectExtent l="0" t="0" r="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056" w:type="dxa"/>
          </w:tcPr>
          <w:p w:rsidR="00D809DD" w:rsidRPr="002C24BE" w:rsidRDefault="00D809DD" w:rsidP="00C447E5">
            <w:pPr>
              <w:pStyle w:val="Default"/>
              <w:widowControl w:val="0"/>
              <w:jc w:val="center"/>
              <w:rPr>
                <w:color w:val="auto"/>
                <w:sz w:val="16"/>
                <w:szCs w:val="16"/>
              </w:rPr>
            </w:pPr>
            <w:r w:rsidRPr="002C24BE">
              <w:rPr>
                <w:noProof/>
                <w:lang w:eastAsia="ro-RO"/>
              </w:rPr>
              <w:drawing>
                <wp:inline distT="0" distB="0" distL="0" distR="0">
                  <wp:extent cx="3019425" cy="1095375"/>
                  <wp:effectExtent l="0" t="0" r="0"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D809DD" w:rsidRPr="002C24BE" w:rsidRDefault="00D809DD" w:rsidP="00F230FB">
      <w:pPr>
        <w:pStyle w:val="Default"/>
        <w:widowControl w:val="0"/>
        <w:jc w:val="both"/>
        <w:rPr>
          <w:b/>
          <w:i/>
          <w:color w:val="auto"/>
          <w:sz w:val="6"/>
          <w:szCs w:val="6"/>
        </w:rPr>
      </w:pPr>
    </w:p>
    <w:p w:rsidR="00CB184D" w:rsidRDefault="00CB184D" w:rsidP="00CB184D">
      <w:pPr>
        <w:pStyle w:val="Default"/>
        <w:widowControl w:val="0"/>
        <w:jc w:val="both"/>
        <w:rPr>
          <w:i/>
          <w:color w:val="auto"/>
          <w:sz w:val="22"/>
          <w:szCs w:val="22"/>
        </w:rPr>
      </w:pPr>
      <w:r w:rsidRPr="002C24BE">
        <w:rPr>
          <w:b/>
          <w:i/>
          <w:color w:val="auto"/>
          <w:sz w:val="22"/>
          <w:szCs w:val="22"/>
        </w:rPr>
        <w:t>Not</w:t>
      </w:r>
      <w:r w:rsidR="003E355B">
        <w:rPr>
          <w:b/>
          <w:i/>
          <w:color w:val="auto"/>
          <w:sz w:val="22"/>
          <w:szCs w:val="22"/>
        </w:rPr>
        <w:t>ă</w:t>
      </w:r>
      <w:r w:rsidRPr="002C24BE">
        <w:rPr>
          <w:i/>
          <w:color w:val="auto"/>
          <w:sz w:val="22"/>
          <w:szCs w:val="22"/>
        </w:rPr>
        <w:t xml:space="preserve"> la </w:t>
      </w:r>
      <w:r w:rsidRPr="002C24BE">
        <w:rPr>
          <w:b/>
          <w:i/>
          <w:color w:val="auto"/>
          <w:sz w:val="22"/>
          <w:szCs w:val="22"/>
        </w:rPr>
        <w:t xml:space="preserve">fig. IX.1.2.3.1 </w:t>
      </w:r>
      <w:r w:rsidRPr="0019497B">
        <w:rPr>
          <w:i/>
          <w:color w:val="auto"/>
          <w:sz w:val="22"/>
          <w:szCs w:val="22"/>
        </w:rPr>
        <w:t>şi</w:t>
      </w:r>
      <w:r w:rsidRPr="002C24BE">
        <w:rPr>
          <w:b/>
          <w:i/>
          <w:color w:val="auto"/>
          <w:sz w:val="22"/>
          <w:szCs w:val="22"/>
        </w:rPr>
        <w:t xml:space="preserve"> IX.1.2.3.2</w:t>
      </w:r>
      <w:r w:rsidRPr="002C24BE">
        <w:rPr>
          <w:i/>
          <w:color w:val="auto"/>
          <w:sz w:val="22"/>
          <w:szCs w:val="22"/>
        </w:rPr>
        <w:t xml:space="preserve">: </w:t>
      </w:r>
      <w:r w:rsidR="00592851" w:rsidRPr="002C24BE">
        <w:rPr>
          <w:i/>
          <w:color w:val="auto"/>
          <w:sz w:val="22"/>
          <w:szCs w:val="22"/>
        </w:rPr>
        <w:t>În</w:t>
      </w:r>
      <w:r w:rsidRPr="002C24BE">
        <w:rPr>
          <w:i/>
          <w:color w:val="auto"/>
          <w:sz w:val="22"/>
          <w:szCs w:val="22"/>
        </w:rPr>
        <w:t xml:space="preserve"> cazurile în care valoarea zilnică măsurată a fost sub valoarea minim detectabilă a aparatului, în calculul mediei s-a utilizat valoarea minim detectabilă (limita de detecţie).</w:t>
      </w:r>
    </w:p>
    <w:p w:rsidR="000453AC" w:rsidRPr="00B45D94" w:rsidRDefault="000453AC" w:rsidP="005F4527">
      <w:pPr>
        <w:pStyle w:val="Default"/>
        <w:widowControl w:val="0"/>
        <w:ind w:firstLine="720"/>
        <w:jc w:val="both"/>
        <w:rPr>
          <w:sz w:val="12"/>
          <w:szCs w:val="12"/>
        </w:rPr>
      </w:pPr>
    </w:p>
    <w:p w:rsidR="000453AC" w:rsidRDefault="000453AC" w:rsidP="000453AC">
      <w:pPr>
        <w:pStyle w:val="Default"/>
        <w:widowControl w:val="0"/>
        <w:ind w:firstLine="720"/>
        <w:jc w:val="both"/>
      </w:pPr>
      <w:r w:rsidRPr="002C24BE">
        <w:t>Din figura IX.1.2.3.2. se consta</w:t>
      </w:r>
      <w:r>
        <w:t xml:space="preserve">tă </w:t>
      </w:r>
      <w:r w:rsidR="00D809DD" w:rsidRPr="002C24BE">
        <w:t xml:space="preserve">o </w:t>
      </w:r>
      <w:r w:rsidR="00D809DD">
        <w:t xml:space="preserve">variabilitate redusă </w:t>
      </w:r>
      <w:r w:rsidR="00D809DD" w:rsidRPr="002C24BE">
        <w:t>a medii</w:t>
      </w:r>
      <w:r w:rsidR="00D809DD">
        <w:t>lor</w:t>
      </w:r>
      <w:r w:rsidR="00D809DD" w:rsidRPr="002C24BE">
        <w:t xml:space="preserve"> anuale</w:t>
      </w:r>
      <w:r>
        <w:t xml:space="preserve"> </w:t>
      </w:r>
      <w:r w:rsidR="00D809DD" w:rsidRPr="002C24BE">
        <w:t>a radioactivităţii artificiale a aerosolilor de zi şi de noapte</w:t>
      </w:r>
      <w:r w:rsidR="00D809DD">
        <w:t>,</w:t>
      </w:r>
      <w:r w:rsidR="00D809DD" w:rsidRPr="002C24BE">
        <w:t xml:space="preserve"> </w:t>
      </w:r>
      <w:r>
        <w:t xml:space="preserve">în intervalul 2013 </w:t>
      </w:r>
      <w:r w:rsidR="00D809DD">
        <w:t>–</w:t>
      </w:r>
      <w:r>
        <w:t xml:space="preserve"> 2017</w:t>
      </w:r>
      <w:r w:rsidR="00D809DD">
        <w:t>, cu o ușoară tendință de scădere față de anul 2013</w:t>
      </w:r>
      <w:r w:rsidRPr="002C24BE">
        <w:t>.</w:t>
      </w:r>
    </w:p>
    <w:p w:rsidR="00320333" w:rsidRPr="00320333" w:rsidRDefault="00320333" w:rsidP="000453AC">
      <w:pPr>
        <w:pStyle w:val="Default"/>
        <w:widowControl w:val="0"/>
        <w:ind w:firstLine="720"/>
        <w:jc w:val="both"/>
        <w:rPr>
          <w:sz w:val="6"/>
          <w:szCs w:val="6"/>
        </w:rPr>
      </w:pPr>
    </w:p>
    <w:p w:rsidR="0055737E" w:rsidRPr="006B052B" w:rsidRDefault="0055737E" w:rsidP="00D2177F">
      <w:pPr>
        <w:pStyle w:val="Default"/>
        <w:widowControl w:val="0"/>
        <w:rPr>
          <w:b/>
          <w:bCs/>
          <w:color w:val="auto"/>
          <w:sz w:val="10"/>
          <w:szCs w:val="10"/>
        </w:rPr>
      </w:pPr>
    </w:p>
    <w:p w:rsidR="004B576B" w:rsidRPr="002C24BE" w:rsidRDefault="004B576B" w:rsidP="00D2177F">
      <w:pPr>
        <w:pStyle w:val="Default"/>
        <w:widowControl w:val="0"/>
        <w:rPr>
          <w:b/>
          <w:bCs/>
          <w:color w:val="auto"/>
        </w:rPr>
      </w:pPr>
      <w:r w:rsidRPr="002C24BE">
        <w:rPr>
          <w:b/>
          <w:bCs/>
          <w:color w:val="auto"/>
        </w:rPr>
        <w:lastRenderedPageBreak/>
        <w:t xml:space="preserve">IX.2. </w:t>
      </w:r>
      <w:r w:rsidR="007C7C03">
        <w:rPr>
          <w:b/>
          <w:bCs/>
          <w:color w:val="auto"/>
        </w:rPr>
        <w:t>Radioactivitatea d</w:t>
      </w:r>
      <w:r w:rsidRPr="002C24BE">
        <w:rPr>
          <w:b/>
          <w:bCs/>
          <w:color w:val="auto"/>
        </w:rPr>
        <w:t>epuneri</w:t>
      </w:r>
      <w:r w:rsidR="007C7C03">
        <w:rPr>
          <w:b/>
          <w:bCs/>
          <w:color w:val="auto"/>
        </w:rPr>
        <w:t>lor atmosferice totale</w:t>
      </w:r>
    </w:p>
    <w:p w:rsidR="004B576B" w:rsidRPr="00315BF1" w:rsidRDefault="004B576B" w:rsidP="00D2177F">
      <w:pPr>
        <w:pStyle w:val="Default"/>
        <w:widowControl w:val="0"/>
        <w:rPr>
          <w:b/>
          <w:bCs/>
          <w:color w:val="auto"/>
          <w:sz w:val="16"/>
          <w:szCs w:val="16"/>
        </w:rPr>
      </w:pPr>
    </w:p>
    <w:p w:rsidR="0097167A" w:rsidRPr="002C24BE" w:rsidRDefault="004B576B" w:rsidP="00D2177F">
      <w:pPr>
        <w:pStyle w:val="BodyText3"/>
        <w:widowControl w:val="0"/>
        <w:spacing w:after="0"/>
        <w:ind w:firstLine="720"/>
        <w:jc w:val="both"/>
        <w:rPr>
          <w:rFonts w:ascii="Arial" w:hAnsi="Arial" w:cs="Arial"/>
          <w:sz w:val="24"/>
          <w:szCs w:val="24"/>
          <w:lang w:val="ro-RO"/>
        </w:rPr>
      </w:pPr>
      <w:r w:rsidRPr="002C24BE">
        <w:rPr>
          <w:rFonts w:ascii="Arial" w:hAnsi="Arial" w:cs="Arial"/>
          <w:sz w:val="24"/>
          <w:szCs w:val="24"/>
          <w:lang w:val="ro-RO"/>
        </w:rPr>
        <w:t xml:space="preserve">Probele de depuneri atmosferice se obţin prin prelevarea zilnică, de pe o suprafaţă de </w:t>
      </w:r>
      <w:smartTag w:uri="urn:schemas-microsoft-com:office:smarttags" w:element="metricconverter">
        <w:smartTagPr>
          <w:attr w:name="ProductID" w:val="0,3 m2"/>
        </w:smartTagPr>
        <w:r w:rsidRPr="002C24BE">
          <w:rPr>
            <w:rFonts w:ascii="Arial" w:hAnsi="Arial" w:cs="Arial"/>
            <w:sz w:val="24"/>
            <w:szCs w:val="24"/>
            <w:lang w:val="ro-RO"/>
          </w:rPr>
          <w:t>0,3 m</w:t>
        </w:r>
        <w:r w:rsidRPr="002C24BE">
          <w:rPr>
            <w:rFonts w:ascii="Arial" w:hAnsi="Arial" w:cs="Arial"/>
            <w:sz w:val="24"/>
            <w:szCs w:val="24"/>
            <w:vertAlign w:val="superscript"/>
            <w:lang w:val="ro-RO"/>
          </w:rPr>
          <w:t>2</w:t>
        </w:r>
      </w:smartTag>
      <w:r w:rsidRPr="002C24BE">
        <w:rPr>
          <w:rFonts w:ascii="Arial" w:hAnsi="Arial" w:cs="Arial"/>
          <w:sz w:val="24"/>
          <w:szCs w:val="24"/>
          <w:lang w:val="ro-RO"/>
        </w:rPr>
        <w:t xml:space="preserve">, a pulberilor sedimentabile şi a precipitaţiilor atmosferice. </w:t>
      </w:r>
    </w:p>
    <w:p w:rsidR="004B576B" w:rsidRDefault="004B576B" w:rsidP="00D2177F">
      <w:pPr>
        <w:pStyle w:val="BodyText3"/>
        <w:widowControl w:val="0"/>
        <w:spacing w:after="0"/>
        <w:ind w:firstLine="720"/>
        <w:jc w:val="both"/>
        <w:rPr>
          <w:rFonts w:ascii="Arial" w:hAnsi="Arial" w:cs="Arial"/>
          <w:sz w:val="24"/>
          <w:szCs w:val="24"/>
          <w:lang w:val="ro-RO"/>
        </w:rPr>
      </w:pPr>
      <w:r w:rsidRPr="002C24BE">
        <w:rPr>
          <w:rFonts w:ascii="Arial" w:hAnsi="Arial" w:cs="Arial"/>
          <w:sz w:val="24"/>
          <w:szCs w:val="24"/>
          <w:lang w:val="ro-RO"/>
        </w:rPr>
        <w:t xml:space="preserve">După prelevare şi pregătire, probele de depuneri totale sunt măsurate în aceeaşi zi pentru determinarea activităţii beta globale imediate şi </w:t>
      </w:r>
      <w:r w:rsidR="002E18E8" w:rsidRPr="002C24BE">
        <w:rPr>
          <w:rFonts w:ascii="Arial" w:hAnsi="Arial" w:cs="Arial"/>
          <w:sz w:val="24"/>
          <w:szCs w:val="24"/>
          <w:lang w:val="ro-RO"/>
        </w:rPr>
        <w:t xml:space="preserve">respectiv </w:t>
      </w:r>
      <w:r w:rsidRPr="002C24BE">
        <w:rPr>
          <w:rFonts w:ascii="Arial" w:hAnsi="Arial" w:cs="Arial"/>
          <w:sz w:val="24"/>
          <w:szCs w:val="24"/>
          <w:lang w:val="ro-RO"/>
        </w:rPr>
        <w:t xml:space="preserve">după 5 zile de la prelevare, pentru determinarea activităţii beta globale </w:t>
      </w:r>
      <w:r w:rsidR="002E18E8" w:rsidRPr="002C24BE">
        <w:rPr>
          <w:rFonts w:ascii="Arial" w:hAnsi="Arial" w:cs="Arial"/>
          <w:sz w:val="24"/>
          <w:szCs w:val="24"/>
          <w:lang w:val="ro-RO"/>
        </w:rPr>
        <w:t xml:space="preserve">întârziate, </w:t>
      </w:r>
      <w:r w:rsidRPr="002C24BE">
        <w:rPr>
          <w:rFonts w:ascii="Arial" w:hAnsi="Arial" w:cs="Arial"/>
          <w:sz w:val="24"/>
          <w:szCs w:val="24"/>
          <w:lang w:val="ro-RO"/>
        </w:rPr>
        <w:t>artificiale.</w:t>
      </w:r>
    </w:p>
    <w:p w:rsidR="001245E4" w:rsidRPr="00091956" w:rsidRDefault="001245E4" w:rsidP="00D2177F">
      <w:pPr>
        <w:pStyle w:val="BodyText3"/>
        <w:widowControl w:val="0"/>
        <w:spacing w:after="0"/>
        <w:ind w:firstLine="720"/>
        <w:jc w:val="both"/>
        <w:rPr>
          <w:rFonts w:ascii="Arial" w:hAnsi="Arial" w:cs="Arial"/>
          <w:sz w:val="10"/>
          <w:szCs w:val="1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5056"/>
      </w:tblGrid>
      <w:tr w:rsidR="00C067F3" w:rsidRPr="002C24BE" w:rsidTr="00EF567D">
        <w:trPr>
          <w:trHeight w:val="255"/>
        </w:trPr>
        <w:tc>
          <w:tcPr>
            <w:tcW w:w="9997" w:type="dxa"/>
            <w:gridSpan w:val="2"/>
            <w:vAlign w:val="center"/>
          </w:tcPr>
          <w:p w:rsidR="00EF567D" w:rsidRPr="002C24BE" w:rsidRDefault="00EF567D" w:rsidP="00EF567D">
            <w:pPr>
              <w:widowControl w:val="0"/>
              <w:spacing w:after="0" w:line="240" w:lineRule="auto"/>
              <w:jc w:val="center"/>
              <w:rPr>
                <w:rFonts w:ascii="Arial" w:hAnsi="Arial" w:cs="Arial"/>
                <w:i/>
                <w:lang w:val="ro-RO"/>
              </w:rPr>
            </w:pPr>
            <w:r w:rsidRPr="002C24BE">
              <w:rPr>
                <w:rFonts w:ascii="Arial" w:hAnsi="Arial" w:cs="Arial"/>
                <w:lang w:val="ro-RO"/>
              </w:rPr>
              <w:t>Fig. IX.2.1. Variația mediilor anuale ale activității beta globale</w:t>
            </w:r>
          </w:p>
          <w:p w:rsidR="00C067F3" w:rsidRDefault="00EF567D" w:rsidP="00EF567D">
            <w:pPr>
              <w:pStyle w:val="Default"/>
              <w:widowControl w:val="0"/>
              <w:jc w:val="center"/>
              <w:rPr>
                <w:sz w:val="22"/>
                <w:szCs w:val="22"/>
              </w:rPr>
            </w:pPr>
            <w:r w:rsidRPr="002C24BE">
              <w:rPr>
                <w:sz w:val="22"/>
                <w:szCs w:val="22"/>
              </w:rPr>
              <w:t>a</w:t>
            </w:r>
            <w:r w:rsidRPr="002C24BE">
              <w:rPr>
                <w:i/>
                <w:sz w:val="22"/>
                <w:szCs w:val="22"/>
              </w:rPr>
              <w:t xml:space="preserve"> </w:t>
            </w:r>
            <w:r w:rsidRPr="002C24BE">
              <w:rPr>
                <w:sz w:val="22"/>
                <w:szCs w:val="22"/>
              </w:rPr>
              <w:t>depuneril</w:t>
            </w:r>
            <w:r w:rsidR="009B683E" w:rsidRPr="002C24BE">
              <w:rPr>
                <w:sz w:val="22"/>
                <w:szCs w:val="22"/>
              </w:rPr>
              <w:t>or atmosferice, în perioada 2013</w:t>
            </w:r>
            <w:r w:rsidRPr="002C24BE">
              <w:rPr>
                <w:sz w:val="22"/>
                <w:szCs w:val="22"/>
              </w:rPr>
              <w:t xml:space="preserve"> </w:t>
            </w:r>
            <w:r w:rsidR="00D809DD">
              <w:rPr>
                <w:sz w:val="22"/>
                <w:szCs w:val="22"/>
              </w:rPr>
              <w:t>-</w:t>
            </w:r>
            <w:r w:rsidRPr="002C24BE">
              <w:rPr>
                <w:sz w:val="22"/>
                <w:szCs w:val="22"/>
              </w:rPr>
              <w:t xml:space="preserve"> 201</w:t>
            </w:r>
            <w:r w:rsidR="00DC66C1">
              <w:rPr>
                <w:sz w:val="22"/>
                <w:szCs w:val="22"/>
              </w:rPr>
              <w:t>7</w:t>
            </w:r>
          </w:p>
          <w:p w:rsidR="00315BF1" w:rsidRPr="00315BF1" w:rsidRDefault="00315BF1" w:rsidP="00EF567D">
            <w:pPr>
              <w:pStyle w:val="Default"/>
              <w:widowControl w:val="0"/>
              <w:jc w:val="center"/>
              <w:rPr>
                <w:sz w:val="10"/>
                <w:szCs w:val="10"/>
              </w:rPr>
            </w:pPr>
          </w:p>
          <w:p w:rsidR="0019497B" w:rsidRPr="0019497B" w:rsidRDefault="0019497B" w:rsidP="00EF567D">
            <w:pPr>
              <w:pStyle w:val="Default"/>
              <w:widowControl w:val="0"/>
              <w:jc w:val="center"/>
              <w:rPr>
                <w:color w:val="auto"/>
                <w:sz w:val="4"/>
                <w:szCs w:val="4"/>
              </w:rPr>
            </w:pPr>
          </w:p>
        </w:tc>
      </w:tr>
      <w:tr w:rsidR="00C067F3" w:rsidRPr="002C24BE" w:rsidTr="00EF567D">
        <w:tc>
          <w:tcPr>
            <w:tcW w:w="4872" w:type="dxa"/>
            <w:vAlign w:val="center"/>
          </w:tcPr>
          <w:p w:rsidR="00C067F3" w:rsidRPr="002C24BE" w:rsidRDefault="00C067F3" w:rsidP="00AC4C66">
            <w:pPr>
              <w:pStyle w:val="Default"/>
              <w:widowControl w:val="0"/>
              <w:jc w:val="center"/>
              <w:rPr>
                <w:b/>
                <w:i/>
                <w:noProof/>
                <w:color w:val="auto"/>
                <w:sz w:val="22"/>
                <w:szCs w:val="22"/>
                <w:lang w:eastAsia="ro-RO"/>
              </w:rPr>
            </w:pPr>
            <w:r w:rsidRPr="002C24BE">
              <w:rPr>
                <w:b/>
                <w:i/>
                <w:sz w:val="22"/>
                <w:szCs w:val="22"/>
              </w:rPr>
              <w:t xml:space="preserve">a. </w:t>
            </w:r>
            <w:r w:rsidR="00EF567D" w:rsidRPr="002C24BE">
              <w:rPr>
                <w:sz w:val="22"/>
                <w:szCs w:val="22"/>
              </w:rPr>
              <w:t xml:space="preserve">măsurare </w:t>
            </w:r>
            <w:r w:rsidR="00EF567D" w:rsidRPr="002C24BE">
              <w:rPr>
                <w:b/>
                <w:sz w:val="22"/>
                <w:szCs w:val="22"/>
              </w:rPr>
              <w:t>imediată</w:t>
            </w:r>
          </w:p>
        </w:tc>
        <w:tc>
          <w:tcPr>
            <w:tcW w:w="5125" w:type="dxa"/>
            <w:vAlign w:val="center"/>
          </w:tcPr>
          <w:p w:rsidR="00C067F3" w:rsidRPr="002C24BE" w:rsidRDefault="00C067F3" w:rsidP="00AC4C66">
            <w:pPr>
              <w:pStyle w:val="Default"/>
              <w:widowControl w:val="0"/>
              <w:jc w:val="center"/>
              <w:rPr>
                <w:b/>
                <w:i/>
                <w:color w:val="auto"/>
                <w:sz w:val="22"/>
                <w:szCs w:val="22"/>
              </w:rPr>
            </w:pPr>
            <w:r w:rsidRPr="002C24BE">
              <w:rPr>
                <w:b/>
                <w:i/>
                <w:sz w:val="22"/>
                <w:szCs w:val="22"/>
              </w:rPr>
              <w:t xml:space="preserve">b. </w:t>
            </w:r>
            <w:r w:rsidR="00EF567D" w:rsidRPr="002C24BE">
              <w:rPr>
                <w:sz w:val="22"/>
                <w:szCs w:val="22"/>
              </w:rPr>
              <w:t xml:space="preserve">măsurare </w:t>
            </w:r>
            <w:r w:rsidR="00EF567D" w:rsidRPr="002C24BE">
              <w:rPr>
                <w:b/>
                <w:sz w:val="22"/>
                <w:szCs w:val="22"/>
              </w:rPr>
              <w:t>întârziată</w:t>
            </w:r>
            <w:r w:rsidR="00EF567D" w:rsidRPr="002C24BE">
              <w:rPr>
                <w:sz w:val="22"/>
                <w:szCs w:val="22"/>
              </w:rPr>
              <w:t xml:space="preserve"> </w:t>
            </w:r>
          </w:p>
        </w:tc>
      </w:tr>
      <w:tr w:rsidR="00C067F3" w:rsidRPr="002C24BE" w:rsidTr="00EF567D">
        <w:tc>
          <w:tcPr>
            <w:tcW w:w="4872" w:type="dxa"/>
            <w:vAlign w:val="center"/>
          </w:tcPr>
          <w:p w:rsidR="00C067F3" w:rsidRPr="002C24BE" w:rsidRDefault="008047C0" w:rsidP="00AC4C66">
            <w:pPr>
              <w:pStyle w:val="Default"/>
              <w:widowControl w:val="0"/>
              <w:jc w:val="center"/>
              <w:rPr>
                <w:color w:val="auto"/>
                <w:sz w:val="16"/>
                <w:szCs w:val="16"/>
              </w:rPr>
            </w:pPr>
            <w:r w:rsidRPr="002C24BE">
              <w:rPr>
                <w:noProof/>
                <w:lang w:eastAsia="ro-RO"/>
              </w:rPr>
              <w:drawing>
                <wp:inline distT="0" distB="0" distL="0" distR="0">
                  <wp:extent cx="3000375" cy="1133475"/>
                  <wp:effectExtent l="0" t="0" r="0"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125" w:type="dxa"/>
            <w:vAlign w:val="center"/>
          </w:tcPr>
          <w:p w:rsidR="00C067F3" w:rsidRPr="002C24BE" w:rsidRDefault="00EF567D" w:rsidP="00AC4C66">
            <w:pPr>
              <w:pStyle w:val="Default"/>
              <w:widowControl w:val="0"/>
              <w:jc w:val="center"/>
              <w:rPr>
                <w:color w:val="auto"/>
                <w:sz w:val="16"/>
                <w:szCs w:val="16"/>
              </w:rPr>
            </w:pPr>
            <w:r w:rsidRPr="002C24BE">
              <w:rPr>
                <w:noProof/>
                <w:lang w:eastAsia="ro-RO"/>
              </w:rPr>
              <w:drawing>
                <wp:inline distT="0" distB="0" distL="0" distR="0">
                  <wp:extent cx="3038475" cy="1095375"/>
                  <wp:effectExtent l="0" t="0" r="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315BF1" w:rsidRPr="00315BF1" w:rsidRDefault="00315BF1" w:rsidP="00D2177F">
      <w:pPr>
        <w:pStyle w:val="Default"/>
        <w:widowControl w:val="0"/>
        <w:jc w:val="both"/>
        <w:rPr>
          <w:b/>
          <w:i/>
          <w:color w:val="auto"/>
          <w:sz w:val="10"/>
          <w:szCs w:val="10"/>
        </w:rPr>
      </w:pPr>
    </w:p>
    <w:p w:rsidR="00CB184D" w:rsidRPr="002C24BE" w:rsidRDefault="002E18E8" w:rsidP="00D2177F">
      <w:pPr>
        <w:pStyle w:val="Default"/>
        <w:widowControl w:val="0"/>
        <w:jc w:val="both"/>
        <w:rPr>
          <w:i/>
          <w:color w:val="auto"/>
          <w:sz w:val="22"/>
          <w:szCs w:val="22"/>
        </w:rPr>
      </w:pPr>
      <w:r w:rsidRPr="002C24BE">
        <w:rPr>
          <w:b/>
          <w:i/>
          <w:color w:val="auto"/>
          <w:sz w:val="22"/>
          <w:szCs w:val="22"/>
        </w:rPr>
        <w:t>Not</w:t>
      </w:r>
      <w:r w:rsidR="00CB184D" w:rsidRPr="002C24BE">
        <w:rPr>
          <w:b/>
          <w:i/>
          <w:color w:val="auto"/>
          <w:sz w:val="22"/>
          <w:szCs w:val="22"/>
        </w:rPr>
        <w:t>e</w:t>
      </w:r>
      <w:r w:rsidRPr="002C24BE">
        <w:rPr>
          <w:i/>
          <w:color w:val="auto"/>
          <w:sz w:val="22"/>
          <w:szCs w:val="22"/>
        </w:rPr>
        <w:t xml:space="preserve">: </w:t>
      </w:r>
    </w:p>
    <w:p w:rsidR="003E355B" w:rsidRPr="002C24BE" w:rsidRDefault="003E355B" w:rsidP="003E355B">
      <w:pPr>
        <w:pStyle w:val="Default"/>
        <w:widowControl w:val="0"/>
        <w:jc w:val="both"/>
        <w:rPr>
          <w:i/>
          <w:color w:val="auto"/>
          <w:sz w:val="22"/>
          <w:szCs w:val="22"/>
        </w:rPr>
      </w:pPr>
      <w:r>
        <w:rPr>
          <w:i/>
          <w:color w:val="auto"/>
          <w:sz w:val="22"/>
          <w:szCs w:val="22"/>
        </w:rPr>
        <w:t>1</w:t>
      </w:r>
      <w:r w:rsidRPr="002C24BE">
        <w:rPr>
          <w:i/>
          <w:color w:val="auto"/>
          <w:sz w:val="22"/>
          <w:szCs w:val="22"/>
        </w:rPr>
        <w:t xml:space="preserve">. </w:t>
      </w:r>
      <w:r w:rsidRPr="002C24BE">
        <w:rPr>
          <w:b/>
          <w:i/>
          <w:color w:val="auto"/>
          <w:sz w:val="22"/>
          <w:szCs w:val="22"/>
        </w:rPr>
        <w:t>Limita de avertizare</w:t>
      </w:r>
      <w:r w:rsidRPr="002C24BE">
        <w:rPr>
          <w:i/>
          <w:color w:val="auto"/>
          <w:sz w:val="22"/>
          <w:szCs w:val="22"/>
        </w:rPr>
        <w:t xml:space="preserve"> pentru depunerile atmosferice totale (umede şi uscate) prin analiza beta globală imediată este de </w:t>
      </w:r>
      <w:r w:rsidRPr="002C24BE">
        <w:rPr>
          <w:b/>
          <w:i/>
          <w:color w:val="auto"/>
          <w:sz w:val="22"/>
          <w:szCs w:val="22"/>
        </w:rPr>
        <w:t>1000 Bq/m</w:t>
      </w:r>
      <w:r w:rsidRPr="002C24BE">
        <w:rPr>
          <w:b/>
          <w:i/>
          <w:color w:val="auto"/>
          <w:sz w:val="22"/>
          <w:szCs w:val="22"/>
          <w:vertAlign w:val="superscript"/>
        </w:rPr>
        <w:t>2</w:t>
      </w:r>
      <w:r w:rsidRPr="002C24BE">
        <w:rPr>
          <w:b/>
          <w:i/>
          <w:color w:val="auto"/>
          <w:sz w:val="22"/>
          <w:szCs w:val="22"/>
        </w:rPr>
        <w:t>zi</w:t>
      </w:r>
      <w:r>
        <w:rPr>
          <w:i/>
          <w:color w:val="auto"/>
          <w:sz w:val="22"/>
          <w:szCs w:val="22"/>
        </w:rPr>
        <w:t xml:space="preserve"> </w:t>
      </w:r>
      <w:r w:rsidRPr="002C24BE">
        <w:rPr>
          <w:i/>
          <w:color w:val="auto"/>
          <w:sz w:val="22"/>
          <w:szCs w:val="22"/>
        </w:rPr>
        <w:t>(conform O.M. nr. 1978/2010)</w:t>
      </w:r>
      <w:r>
        <w:rPr>
          <w:i/>
          <w:color w:val="auto"/>
          <w:sz w:val="22"/>
          <w:szCs w:val="22"/>
        </w:rPr>
        <w:t>.</w:t>
      </w:r>
      <w:r w:rsidRPr="002C24BE">
        <w:rPr>
          <w:i/>
          <w:color w:val="auto"/>
          <w:sz w:val="22"/>
          <w:szCs w:val="22"/>
        </w:rPr>
        <w:t xml:space="preserve"> </w:t>
      </w:r>
    </w:p>
    <w:p w:rsidR="00CB184D" w:rsidRPr="002C24BE" w:rsidRDefault="003E355B" w:rsidP="00CB184D">
      <w:pPr>
        <w:pStyle w:val="Default"/>
        <w:widowControl w:val="0"/>
        <w:jc w:val="both"/>
        <w:rPr>
          <w:i/>
          <w:color w:val="auto"/>
          <w:sz w:val="22"/>
          <w:szCs w:val="22"/>
        </w:rPr>
      </w:pPr>
      <w:r>
        <w:rPr>
          <w:i/>
          <w:color w:val="auto"/>
          <w:sz w:val="22"/>
          <w:szCs w:val="22"/>
        </w:rPr>
        <w:t>2</w:t>
      </w:r>
      <w:r w:rsidR="00CB184D" w:rsidRPr="002C24BE">
        <w:rPr>
          <w:i/>
          <w:color w:val="auto"/>
          <w:sz w:val="22"/>
          <w:szCs w:val="22"/>
        </w:rPr>
        <w:t xml:space="preserve">. </w:t>
      </w:r>
      <w:r w:rsidR="00592851" w:rsidRPr="002C24BE">
        <w:rPr>
          <w:i/>
          <w:color w:val="auto"/>
          <w:sz w:val="22"/>
          <w:szCs w:val="22"/>
        </w:rPr>
        <w:t>În</w:t>
      </w:r>
      <w:r w:rsidR="00CB184D" w:rsidRPr="002C24BE">
        <w:rPr>
          <w:i/>
          <w:color w:val="auto"/>
          <w:sz w:val="22"/>
          <w:szCs w:val="22"/>
        </w:rPr>
        <w:t xml:space="preserve"> cazurile în care valoarea zilnică măsurată a fost sub valoarea minim detectabilă a aparatului, în calculul mediei s-a utilizat valoarea minim detectabilă (limita de detecţie).</w:t>
      </w:r>
    </w:p>
    <w:p w:rsidR="001245E4" w:rsidRPr="00315BF1" w:rsidRDefault="001245E4" w:rsidP="00D2177F">
      <w:pPr>
        <w:pStyle w:val="Default"/>
        <w:widowControl w:val="0"/>
        <w:jc w:val="both"/>
        <w:rPr>
          <w:color w:val="auto"/>
          <w:sz w:val="10"/>
          <w:szCs w:val="10"/>
        </w:rPr>
      </w:pPr>
    </w:p>
    <w:p w:rsidR="0097167A" w:rsidRPr="002C24BE" w:rsidRDefault="0021520F" w:rsidP="009B1563">
      <w:pPr>
        <w:pStyle w:val="Default"/>
        <w:widowControl w:val="0"/>
        <w:ind w:firstLine="720"/>
        <w:jc w:val="both"/>
      </w:pPr>
      <w:r w:rsidRPr="002C24BE">
        <w:t>Din figur</w:t>
      </w:r>
      <w:r w:rsidR="0097167A" w:rsidRPr="002C24BE">
        <w:t>ile</w:t>
      </w:r>
      <w:r w:rsidRPr="002C24BE">
        <w:t xml:space="preserve"> I</w:t>
      </w:r>
      <w:r w:rsidR="00CB184D" w:rsidRPr="002C24BE">
        <w:t>X</w:t>
      </w:r>
      <w:r w:rsidRPr="002C24BE">
        <w:t>.2.</w:t>
      </w:r>
      <w:r w:rsidR="00CB184D" w:rsidRPr="002C24BE">
        <w:t>1</w:t>
      </w:r>
      <w:r w:rsidRPr="002C24BE">
        <w:t xml:space="preserve">. </w:t>
      </w:r>
      <w:r w:rsidR="0097167A" w:rsidRPr="002C24BE">
        <w:t xml:space="preserve">a </w:t>
      </w:r>
      <w:r w:rsidRPr="002C24BE">
        <w:t xml:space="preserve">şi </w:t>
      </w:r>
      <w:r w:rsidR="0097167A" w:rsidRPr="002C24BE">
        <w:t>b</w:t>
      </w:r>
      <w:r w:rsidRPr="002C24BE">
        <w:t xml:space="preserve"> se </w:t>
      </w:r>
      <w:r w:rsidR="00CB184D" w:rsidRPr="002C24BE">
        <w:t>observă</w:t>
      </w:r>
      <w:r w:rsidRPr="002C24BE">
        <w:t xml:space="preserve"> </w:t>
      </w:r>
      <w:r w:rsidR="00434530" w:rsidRPr="002C24BE">
        <w:t xml:space="preserve">o </w:t>
      </w:r>
      <w:r w:rsidR="003E355B">
        <w:t>variabilitate</w:t>
      </w:r>
      <w:r w:rsidR="007C7C03">
        <w:t xml:space="preserve"> redusă</w:t>
      </w:r>
      <w:r w:rsidR="003E355B">
        <w:t xml:space="preserve"> </w:t>
      </w:r>
      <w:r w:rsidR="003E355B" w:rsidRPr="002C24BE">
        <w:t>a medii</w:t>
      </w:r>
      <w:r w:rsidR="003E355B">
        <w:t>lor</w:t>
      </w:r>
      <w:r w:rsidR="003E355B" w:rsidRPr="002C24BE">
        <w:t xml:space="preserve"> anuale a</w:t>
      </w:r>
      <w:r w:rsidR="003E355B">
        <w:t>le</w:t>
      </w:r>
      <w:r w:rsidR="003E355B" w:rsidRPr="002C24BE">
        <w:t xml:space="preserve"> radioactivităţii beta globale la depunerile atmosf</w:t>
      </w:r>
      <w:r w:rsidR="00DC66C1">
        <w:t>erice, în intervalul 2013 - 2017</w:t>
      </w:r>
      <w:r w:rsidR="003E355B" w:rsidRPr="002C24BE">
        <w:t>,</w:t>
      </w:r>
      <w:r w:rsidR="003E355B">
        <w:t xml:space="preserve"> </w:t>
      </w:r>
      <w:r w:rsidR="00F56B24" w:rsidRPr="002C24BE">
        <w:t>atât</w:t>
      </w:r>
      <w:r w:rsidR="00D8202C" w:rsidRPr="002C24BE">
        <w:t xml:space="preserve"> la măsurarea imediată </w:t>
      </w:r>
      <w:r w:rsidR="00F56B24" w:rsidRPr="002C24BE">
        <w:t xml:space="preserve">cât </w:t>
      </w:r>
      <w:r w:rsidR="00D8202C" w:rsidRPr="002C24BE">
        <w:t xml:space="preserve">şi </w:t>
      </w:r>
      <w:r w:rsidR="00F01A66" w:rsidRPr="002C24BE">
        <w:t>la cea întârziată (radioactivitatea artificială)</w:t>
      </w:r>
      <w:r w:rsidRPr="002C24BE">
        <w:t>.</w:t>
      </w:r>
    </w:p>
    <w:p w:rsidR="0021520F" w:rsidRPr="002C24BE" w:rsidRDefault="0021520F" w:rsidP="00D2177F">
      <w:pPr>
        <w:pStyle w:val="Default"/>
        <w:widowControl w:val="0"/>
        <w:jc w:val="both"/>
        <w:rPr>
          <w:color w:val="auto"/>
          <w:sz w:val="20"/>
          <w:szCs w:val="20"/>
        </w:rPr>
      </w:pPr>
    </w:p>
    <w:p w:rsidR="004B576B" w:rsidRPr="002C24BE" w:rsidRDefault="004B576B" w:rsidP="00D2177F">
      <w:pPr>
        <w:pStyle w:val="Default"/>
        <w:widowControl w:val="0"/>
        <w:rPr>
          <w:b/>
          <w:bCs/>
          <w:iCs/>
          <w:color w:val="auto"/>
        </w:rPr>
      </w:pPr>
      <w:r w:rsidRPr="002C24BE">
        <w:rPr>
          <w:b/>
          <w:bCs/>
          <w:iCs/>
          <w:color w:val="auto"/>
        </w:rPr>
        <w:t xml:space="preserve">IX.3. Radioactivitatea apelor </w:t>
      </w:r>
    </w:p>
    <w:p w:rsidR="004B576B" w:rsidRPr="002C24BE" w:rsidRDefault="004B576B" w:rsidP="00D2177F">
      <w:pPr>
        <w:pStyle w:val="Default"/>
        <w:widowControl w:val="0"/>
        <w:rPr>
          <w:color w:val="auto"/>
          <w:sz w:val="16"/>
          <w:szCs w:val="16"/>
        </w:rPr>
      </w:pPr>
    </w:p>
    <w:p w:rsidR="004B576B" w:rsidRPr="002C24BE" w:rsidRDefault="004B576B" w:rsidP="00D2177F">
      <w:pPr>
        <w:pStyle w:val="Default"/>
        <w:widowControl w:val="0"/>
        <w:rPr>
          <w:b/>
          <w:i/>
          <w:color w:val="auto"/>
        </w:rPr>
      </w:pPr>
      <w:r w:rsidRPr="002C24BE">
        <w:rPr>
          <w:b/>
          <w:i/>
          <w:color w:val="auto"/>
        </w:rPr>
        <w:t>IX.3.1. Program standard</w:t>
      </w:r>
    </w:p>
    <w:p w:rsidR="004B576B" w:rsidRPr="00DB0C98" w:rsidRDefault="004B576B" w:rsidP="00D2177F">
      <w:pPr>
        <w:pStyle w:val="Default"/>
        <w:widowControl w:val="0"/>
        <w:rPr>
          <w:b/>
          <w:i/>
          <w:color w:val="auto"/>
          <w:sz w:val="10"/>
          <w:szCs w:val="10"/>
        </w:rPr>
      </w:pPr>
    </w:p>
    <w:p w:rsidR="004B576B" w:rsidRPr="002C24BE" w:rsidRDefault="00D96B28" w:rsidP="00D2177F">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SSRM</w:t>
      </w:r>
      <w:r w:rsidR="00EE5A3C" w:rsidRPr="002C24BE">
        <w:rPr>
          <w:rFonts w:ascii="Arial" w:hAnsi="Arial" w:cs="Arial"/>
          <w:sz w:val="24"/>
          <w:szCs w:val="24"/>
          <w:lang w:val="ro-RO"/>
        </w:rPr>
        <w:t xml:space="preserve"> Suceava </w:t>
      </w:r>
      <w:r w:rsidR="004B576B" w:rsidRPr="002C24BE">
        <w:rPr>
          <w:rFonts w:ascii="Arial" w:hAnsi="Arial" w:cs="Arial"/>
          <w:sz w:val="24"/>
          <w:szCs w:val="24"/>
          <w:lang w:val="ro-RO"/>
        </w:rPr>
        <w:t xml:space="preserve">prelevează zilnic şi măsoară imediat şi întârziat (la 5 zile), probe de apă de suprafaţă prelevate din </w:t>
      </w:r>
      <w:r w:rsidR="004B576B" w:rsidRPr="002C24BE">
        <w:rPr>
          <w:rFonts w:ascii="Arial" w:hAnsi="Arial" w:cs="Arial"/>
          <w:b/>
          <w:sz w:val="24"/>
          <w:szCs w:val="24"/>
          <w:lang w:val="ro-RO"/>
        </w:rPr>
        <w:t>râul Suceava</w:t>
      </w:r>
      <w:r w:rsidR="004B576B" w:rsidRPr="002C24BE">
        <w:rPr>
          <w:rFonts w:ascii="Arial" w:hAnsi="Arial" w:cs="Arial"/>
          <w:sz w:val="24"/>
          <w:szCs w:val="24"/>
          <w:lang w:val="ro-RO"/>
        </w:rPr>
        <w:t>, din secţiunea pod Burdujeni.</w:t>
      </w:r>
    </w:p>
    <w:p w:rsidR="0021520F" w:rsidRPr="00B45D94" w:rsidRDefault="0021520F" w:rsidP="00D2177F">
      <w:pPr>
        <w:widowControl w:val="0"/>
        <w:spacing w:after="0" w:line="240" w:lineRule="auto"/>
        <w:ind w:firstLine="709"/>
        <w:jc w:val="both"/>
        <w:rPr>
          <w:rFonts w:ascii="Arial" w:hAnsi="Arial" w:cs="Arial"/>
          <w:sz w:val="10"/>
          <w:szCs w:val="1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7"/>
        <w:gridCol w:w="5020"/>
      </w:tblGrid>
      <w:tr w:rsidR="0021520F" w:rsidRPr="002C24BE" w:rsidTr="006E2485">
        <w:tc>
          <w:tcPr>
            <w:tcW w:w="9997" w:type="dxa"/>
            <w:gridSpan w:val="2"/>
          </w:tcPr>
          <w:p w:rsidR="0021520F" w:rsidRPr="002C24BE" w:rsidRDefault="0021520F" w:rsidP="0021520F">
            <w:pPr>
              <w:widowControl w:val="0"/>
              <w:spacing w:after="0" w:line="240" w:lineRule="auto"/>
              <w:jc w:val="center"/>
              <w:rPr>
                <w:rFonts w:ascii="Arial" w:hAnsi="Arial" w:cs="Arial"/>
                <w:lang w:val="ro-RO"/>
              </w:rPr>
            </w:pPr>
            <w:r w:rsidRPr="002C24BE">
              <w:rPr>
                <w:rFonts w:ascii="Arial" w:hAnsi="Arial" w:cs="Arial"/>
                <w:lang w:val="ro-RO"/>
              </w:rPr>
              <w:t>Fig. IX.3.1.1. Variația mediilor anuale ale activității beta globale</w:t>
            </w:r>
          </w:p>
          <w:p w:rsidR="0021520F" w:rsidRPr="002C24BE" w:rsidRDefault="0021520F" w:rsidP="0021520F">
            <w:pPr>
              <w:widowControl w:val="0"/>
              <w:spacing w:after="0" w:line="240" w:lineRule="auto"/>
              <w:jc w:val="center"/>
              <w:rPr>
                <w:rFonts w:ascii="Arial" w:hAnsi="Arial" w:cs="Arial"/>
                <w:lang w:val="ro-RO"/>
              </w:rPr>
            </w:pPr>
            <w:r w:rsidRPr="002C24BE">
              <w:rPr>
                <w:rFonts w:ascii="Arial" w:hAnsi="Arial" w:cs="Arial"/>
                <w:lang w:val="ro-RO"/>
              </w:rPr>
              <w:t>a probelor de apă brută</w:t>
            </w:r>
            <w:r w:rsidRPr="002C24BE">
              <w:rPr>
                <w:rFonts w:ascii="Arial" w:hAnsi="Arial" w:cs="Arial"/>
                <w:i/>
                <w:lang w:val="ro-RO"/>
              </w:rPr>
              <w:t xml:space="preserve"> </w:t>
            </w:r>
            <w:r w:rsidRPr="002C24BE">
              <w:rPr>
                <w:rFonts w:ascii="Arial" w:hAnsi="Arial" w:cs="Arial"/>
                <w:lang w:val="ro-RO"/>
              </w:rPr>
              <w:t>din râul Suceava</w:t>
            </w:r>
            <w:r w:rsidR="006F6446" w:rsidRPr="002C24BE">
              <w:rPr>
                <w:rFonts w:ascii="Arial" w:hAnsi="Arial" w:cs="Arial"/>
                <w:lang w:val="ro-RO"/>
              </w:rPr>
              <w:t>, în perioada 201</w:t>
            </w:r>
            <w:r w:rsidR="007B6BD1" w:rsidRPr="002C24BE">
              <w:rPr>
                <w:rFonts w:ascii="Arial" w:hAnsi="Arial" w:cs="Arial"/>
                <w:lang w:val="ro-RO"/>
              </w:rPr>
              <w:t>3</w:t>
            </w:r>
            <w:r w:rsidRPr="002C24BE">
              <w:rPr>
                <w:rFonts w:ascii="Arial" w:hAnsi="Arial" w:cs="Arial"/>
                <w:lang w:val="ro-RO"/>
              </w:rPr>
              <w:t xml:space="preserve"> –</w:t>
            </w:r>
            <w:r w:rsidR="00DC66C1">
              <w:rPr>
                <w:rFonts w:ascii="Arial" w:hAnsi="Arial" w:cs="Arial"/>
                <w:lang w:val="ro-RO"/>
              </w:rPr>
              <w:t xml:space="preserve"> 2017</w:t>
            </w:r>
          </w:p>
          <w:p w:rsidR="0021520F" w:rsidRPr="00315BF1" w:rsidRDefault="0021520F" w:rsidP="0021520F">
            <w:pPr>
              <w:widowControl w:val="0"/>
              <w:spacing w:after="0" w:line="240" w:lineRule="auto"/>
              <w:jc w:val="center"/>
              <w:rPr>
                <w:rFonts w:ascii="Arial" w:hAnsi="Arial" w:cs="Arial"/>
                <w:sz w:val="10"/>
                <w:szCs w:val="10"/>
                <w:lang w:val="ro-RO"/>
              </w:rPr>
            </w:pPr>
          </w:p>
        </w:tc>
      </w:tr>
      <w:tr w:rsidR="0021520F" w:rsidRPr="002C24BE" w:rsidTr="00DB0C98">
        <w:tc>
          <w:tcPr>
            <w:tcW w:w="4977" w:type="dxa"/>
          </w:tcPr>
          <w:p w:rsidR="0021520F" w:rsidRPr="002C24BE" w:rsidRDefault="00F359CD" w:rsidP="0021520F">
            <w:pPr>
              <w:widowControl w:val="0"/>
              <w:spacing w:after="0" w:line="240" w:lineRule="auto"/>
              <w:jc w:val="center"/>
              <w:rPr>
                <w:rFonts w:ascii="Arial" w:hAnsi="Arial" w:cs="Arial"/>
                <w:b/>
                <w:i/>
                <w:sz w:val="24"/>
                <w:szCs w:val="24"/>
                <w:lang w:val="ro-RO"/>
              </w:rPr>
            </w:pPr>
            <w:r w:rsidRPr="002C24BE">
              <w:rPr>
                <w:rFonts w:ascii="Arial" w:hAnsi="Arial" w:cs="Arial"/>
                <w:b/>
                <w:i/>
                <w:lang w:val="ro-RO"/>
              </w:rPr>
              <w:t xml:space="preserve">a. </w:t>
            </w:r>
            <w:r w:rsidR="0021520F" w:rsidRPr="002C24BE">
              <w:rPr>
                <w:rFonts w:ascii="Arial" w:hAnsi="Arial" w:cs="Arial"/>
                <w:b/>
                <w:i/>
                <w:lang w:val="ro-RO"/>
              </w:rPr>
              <w:t>măsurare imediată</w:t>
            </w:r>
          </w:p>
        </w:tc>
        <w:tc>
          <w:tcPr>
            <w:tcW w:w="5020" w:type="dxa"/>
          </w:tcPr>
          <w:p w:rsidR="0021520F" w:rsidRPr="002C24BE" w:rsidRDefault="00F359CD" w:rsidP="0021520F">
            <w:pPr>
              <w:widowControl w:val="0"/>
              <w:spacing w:after="0" w:line="240" w:lineRule="auto"/>
              <w:jc w:val="center"/>
              <w:rPr>
                <w:rFonts w:ascii="Arial" w:hAnsi="Arial" w:cs="Arial"/>
                <w:b/>
                <w:i/>
                <w:sz w:val="24"/>
                <w:szCs w:val="24"/>
                <w:lang w:val="ro-RO"/>
              </w:rPr>
            </w:pPr>
            <w:r w:rsidRPr="002C24BE">
              <w:rPr>
                <w:rFonts w:ascii="Arial" w:hAnsi="Arial" w:cs="Arial"/>
                <w:b/>
                <w:i/>
                <w:lang w:val="ro-RO"/>
              </w:rPr>
              <w:t xml:space="preserve">b. </w:t>
            </w:r>
            <w:r w:rsidR="0021520F" w:rsidRPr="002C24BE">
              <w:rPr>
                <w:rFonts w:ascii="Arial" w:hAnsi="Arial" w:cs="Arial"/>
                <w:b/>
                <w:i/>
                <w:lang w:val="ro-RO"/>
              </w:rPr>
              <w:t>măsurare întârziată (la 5 zile)</w:t>
            </w:r>
          </w:p>
        </w:tc>
      </w:tr>
      <w:tr w:rsidR="0021520F" w:rsidRPr="002C24BE" w:rsidTr="00DB0C98">
        <w:tc>
          <w:tcPr>
            <w:tcW w:w="4977" w:type="dxa"/>
          </w:tcPr>
          <w:p w:rsidR="0021520F" w:rsidRPr="002C24BE" w:rsidRDefault="0021520F" w:rsidP="0021520F">
            <w:pPr>
              <w:widowControl w:val="0"/>
              <w:spacing w:after="0" w:line="240" w:lineRule="auto"/>
              <w:jc w:val="center"/>
              <w:rPr>
                <w:rFonts w:ascii="Arial" w:hAnsi="Arial" w:cs="Arial"/>
                <w:sz w:val="24"/>
                <w:szCs w:val="24"/>
                <w:lang w:val="ro-RO"/>
              </w:rPr>
            </w:pPr>
            <w:r w:rsidRPr="002C24BE">
              <w:rPr>
                <w:rFonts w:ascii="Arial" w:hAnsi="Arial" w:cs="Arial"/>
                <w:noProof/>
                <w:lang w:val="ro-RO" w:eastAsia="ro-RO"/>
              </w:rPr>
              <w:drawing>
                <wp:inline distT="0" distB="0" distL="0" distR="0">
                  <wp:extent cx="3114675" cy="140970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020" w:type="dxa"/>
          </w:tcPr>
          <w:p w:rsidR="0021520F" w:rsidRPr="002C24BE" w:rsidRDefault="0021520F" w:rsidP="0021520F">
            <w:pPr>
              <w:widowControl w:val="0"/>
              <w:spacing w:after="0" w:line="240" w:lineRule="auto"/>
              <w:jc w:val="center"/>
              <w:rPr>
                <w:rFonts w:ascii="Arial" w:hAnsi="Arial" w:cs="Arial"/>
                <w:sz w:val="24"/>
                <w:szCs w:val="24"/>
                <w:lang w:val="ro-RO"/>
              </w:rPr>
            </w:pPr>
            <w:r w:rsidRPr="002C24BE">
              <w:rPr>
                <w:rFonts w:ascii="Arial" w:hAnsi="Arial" w:cs="Arial"/>
                <w:noProof/>
                <w:lang w:val="ro-RO" w:eastAsia="ro-RO"/>
              </w:rPr>
              <w:drawing>
                <wp:inline distT="0" distB="0" distL="0" distR="0">
                  <wp:extent cx="3143250" cy="1409700"/>
                  <wp:effectExtent l="0" t="0" r="0" b="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DB0C98" w:rsidRPr="00315BF1" w:rsidRDefault="00DB0C98" w:rsidP="00DB0C98">
      <w:pPr>
        <w:pStyle w:val="Default"/>
        <w:widowControl w:val="0"/>
        <w:rPr>
          <w:b/>
          <w:i/>
          <w:color w:val="auto"/>
          <w:sz w:val="10"/>
          <w:szCs w:val="10"/>
        </w:rPr>
      </w:pPr>
    </w:p>
    <w:p w:rsidR="00434530" w:rsidRPr="002C24BE" w:rsidRDefault="00434530" w:rsidP="00434530">
      <w:pPr>
        <w:pStyle w:val="Default"/>
        <w:widowControl w:val="0"/>
        <w:jc w:val="both"/>
        <w:rPr>
          <w:b/>
          <w:i/>
          <w:color w:val="auto"/>
          <w:sz w:val="22"/>
          <w:szCs w:val="22"/>
        </w:rPr>
      </w:pPr>
      <w:r w:rsidRPr="002C24BE">
        <w:rPr>
          <w:b/>
          <w:i/>
          <w:color w:val="auto"/>
          <w:sz w:val="22"/>
          <w:szCs w:val="22"/>
        </w:rPr>
        <w:t xml:space="preserve">Note </w:t>
      </w:r>
      <w:r w:rsidRPr="002C24BE">
        <w:rPr>
          <w:i/>
          <w:color w:val="auto"/>
          <w:sz w:val="22"/>
          <w:szCs w:val="22"/>
        </w:rPr>
        <w:t xml:space="preserve">la fig. </w:t>
      </w:r>
      <w:r w:rsidRPr="002C24BE">
        <w:rPr>
          <w:b/>
          <w:i/>
          <w:color w:val="auto"/>
          <w:sz w:val="22"/>
          <w:szCs w:val="22"/>
        </w:rPr>
        <w:t>IX.3.1.1. a şi b</w:t>
      </w:r>
      <w:r w:rsidRPr="002C24BE">
        <w:rPr>
          <w:i/>
          <w:color w:val="auto"/>
          <w:sz w:val="22"/>
          <w:szCs w:val="22"/>
        </w:rPr>
        <w:t>:</w:t>
      </w:r>
    </w:p>
    <w:p w:rsidR="003E355B" w:rsidRPr="002C24BE" w:rsidRDefault="003E355B" w:rsidP="003E355B">
      <w:pPr>
        <w:pStyle w:val="Default"/>
        <w:widowControl w:val="0"/>
        <w:jc w:val="both"/>
        <w:rPr>
          <w:i/>
          <w:color w:val="auto"/>
          <w:sz w:val="22"/>
          <w:szCs w:val="22"/>
        </w:rPr>
      </w:pPr>
      <w:r>
        <w:rPr>
          <w:i/>
          <w:color w:val="auto"/>
          <w:sz w:val="22"/>
          <w:szCs w:val="22"/>
        </w:rPr>
        <w:t>1</w:t>
      </w:r>
      <w:r w:rsidRPr="002C24BE">
        <w:rPr>
          <w:i/>
          <w:color w:val="auto"/>
          <w:sz w:val="22"/>
          <w:szCs w:val="22"/>
        </w:rPr>
        <w:t xml:space="preserve">. </w:t>
      </w:r>
      <w:r w:rsidRPr="002C24BE">
        <w:rPr>
          <w:b/>
          <w:i/>
          <w:color w:val="auto"/>
          <w:sz w:val="22"/>
          <w:szCs w:val="22"/>
        </w:rPr>
        <w:t>Limita de avertizare</w:t>
      </w:r>
      <w:r w:rsidRPr="002C24BE">
        <w:rPr>
          <w:i/>
          <w:color w:val="auto"/>
          <w:sz w:val="22"/>
          <w:szCs w:val="22"/>
        </w:rPr>
        <w:t xml:space="preserve"> pentru apa de suprafaţă prin analiza beta globală imediată este de </w:t>
      </w:r>
      <w:r w:rsidRPr="002C24BE">
        <w:rPr>
          <w:b/>
          <w:i/>
          <w:color w:val="auto"/>
          <w:sz w:val="22"/>
          <w:szCs w:val="22"/>
        </w:rPr>
        <w:t>5 Bq/l</w:t>
      </w:r>
      <w:r>
        <w:rPr>
          <w:b/>
          <w:i/>
          <w:color w:val="auto"/>
          <w:sz w:val="22"/>
          <w:szCs w:val="22"/>
        </w:rPr>
        <w:t xml:space="preserve"> </w:t>
      </w:r>
      <w:r w:rsidRPr="002C24BE">
        <w:rPr>
          <w:i/>
          <w:color w:val="auto"/>
          <w:sz w:val="22"/>
          <w:szCs w:val="22"/>
        </w:rPr>
        <w:t>(conform O.M. nr. 1978/2010)</w:t>
      </w:r>
    </w:p>
    <w:p w:rsidR="00434530" w:rsidRPr="002C24BE" w:rsidRDefault="003E355B" w:rsidP="00434530">
      <w:pPr>
        <w:pStyle w:val="Default"/>
        <w:widowControl w:val="0"/>
        <w:jc w:val="both"/>
        <w:rPr>
          <w:i/>
          <w:color w:val="auto"/>
          <w:sz w:val="22"/>
          <w:szCs w:val="22"/>
        </w:rPr>
      </w:pPr>
      <w:r>
        <w:rPr>
          <w:i/>
          <w:color w:val="auto"/>
          <w:sz w:val="22"/>
          <w:szCs w:val="22"/>
        </w:rPr>
        <w:t>2</w:t>
      </w:r>
      <w:r w:rsidR="00434530" w:rsidRPr="002C24BE">
        <w:rPr>
          <w:i/>
          <w:color w:val="auto"/>
          <w:sz w:val="22"/>
          <w:szCs w:val="22"/>
        </w:rPr>
        <w:t xml:space="preserve">. </w:t>
      </w:r>
      <w:r w:rsidR="00592851" w:rsidRPr="002C24BE">
        <w:rPr>
          <w:i/>
          <w:color w:val="auto"/>
          <w:sz w:val="22"/>
          <w:szCs w:val="22"/>
        </w:rPr>
        <w:t>În</w:t>
      </w:r>
      <w:r w:rsidR="00434530" w:rsidRPr="002C24BE">
        <w:rPr>
          <w:i/>
          <w:color w:val="auto"/>
          <w:sz w:val="22"/>
          <w:szCs w:val="22"/>
        </w:rPr>
        <w:t xml:space="preserve"> cazurile în care valoarea zilnică măsurată a fost sub valoarea minim detectabilă a aparatului, în calculul mediei s-a utilizat valoarea minim detectabilă (limita de detecţie).</w:t>
      </w:r>
    </w:p>
    <w:p w:rsidR="004B576B" w:rsidRPr="00315BF1" w:rsidRDefault="004B576B" w:rsidP="00D2177F">
      <w:pPr>
        <w:pStyle w:val="Default"/>
        <w:widowControl w:val="0"/>
        <w:jc w:val="both"/>
        <w:rPr>
          <w:i/>
          <w:color w:val="auto"/>
          <w:sz w:val="14"/>
          <w:szCs w:val="14"/>
        </w:rPr>
      </w:pPr>
    </w:p>
    <w:p w:rsidR="00792B0E" w:rsidRPr="002C24BE" w:rsidRDefault="00792B0E" w:rsidP="00792B0E">
      <w:pPr>
        <w:pStyle w:val="Default"/>
        <w:widowControl w:val="0"/>
        <w:ind w:firstLine="720"/>
        <w:jc w:val="both"/>
      </w:pPr>
      <w:r w:rsidRPr="002C24BE">
        <w:t xml:space="preserve">Din figura IX.3.1.1. se </w:t>
      </w:r>
      <w:r w:rsidR="007F304F" w:rsidRPr="002C24BE">
        <w:t xml:space="preserve">observă o </w:t>
      </w:r>
      <w:r w:rsidR="00F56B24" w:rsidRPr="002C24BE">
        <w:t xml:space="preserve">ușoară </w:t>
      </w:r>
      <w:r w:rsidR="007F304F" w:rsidRPr="002C24BE">
        <w:t>tendinţă</w:t>
      </w:r>
      <w:r w:rsidR="00E778DC" w:rsidRPr="002C24BE">
        <w:t xml:space="preserve"> de</w:t>
      </w:r>
      <w:r w:rsidR="001D4C9E" w:rsidRPr="002C24BE">
        <w:t xml:space="preserve"> scădere</w:t>
      </w:r>
      <w:r w:rsidRPr="002C24BE">
        <w:t xml:space="preserve"> a radioactivităţii beta globale a apei râului Suceava, în intervalul </w:t>
      </w:r>
      <w:r w:rsidR="006F6446" w:rsidRPr="002C24BE">
        <w:t>201</w:t>
      </w:r>
      <w:r w:rsidR="00345126" w:rsidRPr="002C24BE">
        <w:t>3</w:t>
      </w:r>
      <w:r w:rsidR="00106661" w:rsidRPr="002C24BE">
        <w:t xml:space="preserve"> </w:t>
      </w:r>
      <w:r w:rsidR="00345126" w:rsidRPr="002C24BE">
        <w:t>-</w:t>
      </w:r>
      <w:r w:rsidR="00106661" w:rsidRPr="002C24BE">
        <w:t xml:space="preserve"> </w:t>
      </w:r>
      <w:r w:rsidR="00DC66C1">
        <w:t>2017</w:t>
      </w:r>
      <w:r w:rsidR="00082B8C" w:rsidRPr="002C24BE">
        <w:t>,</w:t>
      </w:r>
      <w:r w:rsidR="00F56B24" w:rsidRPr="002C24BE">
        <w:t xml:space="preserve"> atât</w:t>
      </w:r>
      <w:r w:rsidR="00E778DC" w:rsidRPr="002C24BE">
        <w:t xml:space="preserve"> la măsurarea imediată</w:t>
      </w:r>
      <w:r w:rsidRPr="002C24BE">
        <w:t xml:space="preserve"> </w:t>
      </w:r>
      <w:r w:rsidR="00F56B24" w:rsidRPr="002C24BE">
        <w:t xml:space="preserve">cât şi </w:t>
      </w:r>
      <w:r w:rsidRPr="002C24BE">
        <w:t>la cea întârziată (radioactivitatea artificială).</w:t>
      </w:r>
    </w:p>
    <w:p w:rsidR="00792B0E" w:rsidRPr="00315BF1" w:rsidRDefault="00792B0E" w:rsidP="00D2177F">
      <w:pPr>
        <w:pStyle w:val="Default"/>
        <w:widowControl w:val="0"/>
        <w:jc w:val="both"/>
        <w:rPr>
          <w:i/>
          <w:color w:val="auto"/>
          <w:sz w:val="12"/>
          <w:szCs w:val="12"/>
        </w:rPr>
      </w:pPr>
    </w:p>
    <w:p w:rsidR="00B45D94" w:rsidRDefault="00B45D94" w:rsidP="00D2177F">
      <w:pPr>
        <w:pStyle w:val="Default"/>
        <w:widowControl w:val="0"/>
        <w:rPr>
          <w:b/>
          <w:i/>
          <w:color w:val="auto"/>
        </w:rPr>
      </w:pPr>
    </w:p>
    <w:p w:rsidR="004B576B" w:rsidRPr="002C24BE" w:rsidRDefault="004B576B" w:rsidP="00D2177F">
      <w:pPr>
        <w:pStyle w:val="Default"/>
        <w:widowControl w:val="0"/>
        <w:rPr>
          <w:b/>
          <w:i/>
          <w:color w:val="auto"/>
        </w:rPr>
      </w:pPr>
      <w:r w:rsidRPr="002C24BE">
        <w:rPr>
          <w:b/>
          <w:i/>
          <w:color w:val="auto"/>
        </w:rPr>
        <w:lastRenderedPageBreak/>
        <w:t>IX.3.2. Program</w:t>
      </w:r>
      <w:r w:rsidR="007F5A54" w:rsidRPr="002C24BE">
        <w:rPr>
          <w:b/>
          <w:i/>
          <w:color w:val="auto"/>
        </w:rPr>
        <w:t>ul</w:t>
      </w:r>
      <w:r w:rsidRPr="002C24BE">
        <w:rPr>
          <w:b/>
          <w:i/>
          <w:color w:val="auto"/>
        </w:rPr>
        <w:t xml:space="preserve"> special</w:t>
      </w:r>
    </w:p>
    <w:p w:rsidR="004B576B" w:rsidRPr="002C24BE" w:rsidRDefault="004B576B" w:rsidP="00D2177F">
      <w:pPr>
        <w:pStyle w:val="Default"/>
        <w:widowControl w:val="0"/>
        <w:rPr>
          <w:b/>
          <w:i/>
          <w:color w:val="auto"/>
          <w:sz w:val="10"/>
          <w:szCs w:val="10"/>
        </w:rPr>
      </w:pPr>
    </w:p>
    <w:p w:rsidR="004B576B" w:rsidRPr="002C24BE" w:rsidRDefault="004B576B" w:rsidP="006842D6">
      <w:pPr>
        <w:pStyle w:val="ListParagraph"/>
        <w:widowControl w:val="0"/>
        <w:numPr>
          <w:ilvl w:val="0"/>
          <w:numId w:val="20"/>
        </w:numPr>
        <w:jc w:val="both"/>
        <w:rPr>
          <w:rFonts w:ascii="Arial" w:hAnsi="Arial" w:cs="Arial"/>
          <w:i/>
          <w:lang w:val="ro-RO"/>
        </w:rPr>
      </w:pPr>
      <w:r w:rsidRPr="002C24BE">
        <w:rPr>
          <w:rFonts w:ascii="Arial" w:hAnsi="Arial" w:cs="Arial"/>
          <w:i/>
          <w:sz w:val="24"/>
          <w:szCs w:val="24"/>
          <w:u w:val="single"/>
          <w:lang w:val="ro-RO"/>
        </w:rPr>
        <w:t>Ape de suprafaţă</w:t>
      </w:r>
    </w:p>
    <w:p w:rsidR="004B576B" w:rsidRPr="009B3079" w:rsidRDefault="004B576B" w:rsidP="00D2177F">
      <w:pPr>
        <w:widowControl w:val="0"/>
        <w:spacing w:after="0"/>
        <w:ind w:firstLine="708"/>
        <w:jc w:val="both"/>
        <w:rPr>
          <w:rFonts w:ascii="Arial" w:hAnsi="Arial" w:cs="Arial"/>
          <w:sz w:val="10"/>
          <w:szCs w:val="10"/>
          <w:lang w:val="ro-RO"/>
        </w:rPr>
      </w:pPr>
    </w:p>
    <w:p w:rsidR="00102E21" w:rsidRDefault="00BE27A7" w:rsidP="00BE27A7">
      <w:pPr>
        <w:widowControl w:val="0"/>
        <w:spacing w:after="0" w:line="240" w:lineRule="auto"/>
        <w:jc w:val="center"/>
        <w:rPr>
          <w:rFonts w:ascii="Arial" w:hAnsi="Arial" w:cs="Arial"/>
          <w:lang w:val="ro-RO"/>
        </w:rPr>
      </w:pPr>
      <w:r w:rsidRPr="00CD5A99">
        <w:rPr>
          <w:rFonts w:ascii="Arial" w:hAnsi="Arial" w:cs="Arial"/>
          <w:lang w:val="ro-RO"/>
        </w:rPr>
        <w:t>Fig. IX.3.2.1. Ape de suprafaţă</w:t>
      </w:r>
      <w:r w:rsidR="00CD5A99">
        <w:rPr>
          <w:rFonts w:ascii="Arial" w:hAnsi="Arial" w:cs="Arial"/>
          <w:lang w:val="ro-RO"/>
        </w:rPr>
        <w:t xml:space="preserve"> </w:t>
      </w:r>
      <w:r w:rsidRPr="00CD5A99">
        <w:rPr>
          <w:rFonts w:ascii="Arial" w:hAnsi="Arial" w:cs="Arial"/>
          <w:lang w:val="ro-RO"/>
        </w:rPr>
        <w:t>–</w:t>
      </w:r>
      <w:r w:rsidR="00CD5A99">
        <w:rPr>
          <w:rFonts w:ascii="Arial" w:hAnsi="Arial" w:cs="Arial"/>
          <w:lang w:val="ro-RO"/>
        </w:rPr>
        <w:t xml:space="preserve"> </w:t>
      </w:r>
      <w:r w:rsidRPr="00CD5A99">
        <w:rPr>
          <w:rFonts w:ascii="Arial" w:hAnsi="Arial" w:cs="Arial"/>
          <w:lang w:val="ro-RO"/>
        </w:rPr>
        <w:t>medii anuale ale activităţi</w:t>
      </w:r>
      <w:r w:rsidR="00102E21">
        <w:rPr>
          <w:rFonts w:ascii="Arial" w:hAnsi="Arial" w:cs="Arial"/>
          <w:lang w:val="ro-RO"/>
        </w:rPr>
        <w:t>lor</w:t>
      </w:r>
      <w:r w:rsidRPr="00CD5A99">
        <w:rPr>
          <w:rFonts w:ascii="Arial" w:hAnsi="Arial" w:cs="Arial"/>
          <w:lang w:val="ro-RO"/>
        </w:rPr>
        <w:t xml:space="preserve"> beta globale în perioada 2013 - 2017 </w:t>
      </w:r>
    </w:p>
    <w:p w:rsidR="00BE27A7" w:rsidRPr="002C24BE" w:rsidRDefault="00BE27A7" w:rsidP="00BE27A7">
      <w:pPr>
        <w:widowControl w:val="0"/>
        <w:spacing w:after="0" w:line="240" w:lineRule="auto"/>
        <w:jc w:val="center"/>
        <w:rPr>
          <w:rFonts w:ascii="Arial" w:hAnsi="Arial" w:cs="Arial"/>
          <w:lang w:val="ro-RO"/>
        </w:rPr>
      </w:pPr>
      <w:r w:rsidRPr="00CD5A99">
        <w:rPr>
          <w:rFonts w:ascii="Arial" w:hAnsi="Arial" w:cs="Arial"/>
          <w:lang w:val="ro-RO"/>
        </w:rPr>
        <w:t>– măsurători la 5 zile de la prelevare</w:t>
      </w:r>
      <w:r w:rsidR="00CD5A99" w:rsidRPr="00CD5A99">
        <w:rPr>
          <w:rFonts w:ascii="Arial" w:hAnsi="Arial" w:cs="Arial"/>
          <w:lang w:val="ro-RO"/>
        </w:rPr>
        <w:t xml:space="preserve"> probe semestriale</w:t>
      </w:r>
      <w:r w:rsidR="00AB08D4">
        <w:rPr>
          <w:rFonts w:ascii="Arial" w:hAnsi="Arial" w:cs="Arial"/>
          <w:lang w:val="ro-RO"/>
        </w:rPr>
        <w:t xml:space="preserve"> sau</w:t>
      </w:r>
      <w:r w:rsidR="00CD5A99" w:rsidRPr="00CD5A99">
        <w:rPr>
          <w:rFonts w:ascii="Arial" w:hAnsi="Arial" w:cs="Arial"/>
          <w:lang w:val="ro-RO"/>
        </w:rPr>
        <w:t xml:space="preserve"> anuale</w:t>
      </w:r>
    </w:p>
    <w:p w:rsidR="00F3515F" w:rsidRPr="002C24BE" w:rsidRDefault="00F3515F" w:rsidP="00F3515F">
      <w:pPr>
        <w:pStyle w:val="Default"/>
        <w:widowControl w:val="0"/>
        <w:rPr>
          <w:b/>
          <w:i/>
          <w:noProof/>
          <w:color w:val="auto"/>
          <w:lang w:eastAsia="ro-RO"/>
        </w:rPr>
      </w:pPr>
      <w:r w:rsidRPr="002C24BE">
        <w:rPr>
          <w:b/>
          <w:i/>
          <w:noProof/>
          <w:color w:val="auto"/>
          <w:lang w:eastAsia="ro-RO"/>
        </w:rPr>
        <w:drawing>
          <wp:inline distT="0" distB="0" distL="0" distR="0">
            <wp:extent cx="6219825" cy="2438400"/>
            <wp:effectExtent l="0" t="0" r="0" b="0"/>
            <wp:docPr id="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067F3" w:rsidRPr="002C24BE" w:rsidRDefault="00F3520F" w:rsidP="009B1563">
      <w:pPr>
        <w:pStyle w:val="Default"/>
        <w:widowControl w:val="0"/>
        <w:jc w:val="both"/>
        <w:rPr>
          <w:i/>
          <w:color w:val="auto"/>
          <w:sz w:val="22"/>
          <w:szCs w:val="22"/>
        </w:rPr>
      </w:pPr>
      <w:r w:rsidRPr="002C24BE">
        <w:rPr>
          <w:b/>
          <w:i/>
          <w:color w:val="auto"/>
          <w:sz w:val="22"/>
          <w:szCs w:val="22"/>
        </w:rPr>
        <w:t>Not</w:t>
      </w:r>
      <w:r w:rsidR="00B73345">
        <w:rPr>
          <w:b/>
          <w:i/>
          <w:color w:val="auto"/>
          <w:sz w:val="22"/>
          <w:szCs w:val="22"/>
        </w:rPr>
        <w:t>e</w:t>
      </w:r>
      <w:r w:rsidR="00D445D0" w:rsidRPr="002C24BE">
        <w:rPr>
          <w:i/>
          <w:color w:val="auto"/>
          <w:sz w:val="22"/>
          <w:szCs w:val="22"/>
        </w:rPr>
        <w:t>:</w:t>
      </w:r>
      <w:r w:rsidR="008E160E" w:rsidRPr="002C24BE">
        <w:rPr>
          <w:i/>
          <w:color w:val="auto"/>
          <w:sz w:val="22"/>
          <w:szCs w:val="22"/>
        </w:rPr>
        <w:t xml:space="preserve"> </w:t>
      </w:r>
    </w:p>
    <w:p w:rsidR="00DB0C98" w:rsidRPr="002C24BE" w:rsidRDefault="00DB0C98" w:rsidP="00DB0C98">
      <w:pPr>
        <w:pStyle w:val="Default"/>
        <w:widowControl w:val="0"/>
        <w:jc w:val="both"/>
        <w:rPr>
          <w:i/>
          <w:color w:val="auto"/>
          <w:sz w:val="22"/>
          <w:szCs w:val="22"/>
        </w:rPr>
      </w:pPr>
      <w:r>
        <w:rPr>
          <w:i/>
          <w:color w:val="auto"/>
          <w:sz w:val="22"/>
          <w:szCs w:val="22"/>
        </w:rPr>
        <w:t>1</w:t>
      </w:r>
      <w:r w:rsidRPr="002C24BE">
        <w:rPr>
          <w:i/>
          <w:color w:val="auto"/>
          <w:sz w:val="22"/>
          <w:szCs w:val="22"/>
        </w:rPr>
        <w:t xml:space="preserve">. </w:t>
      </w:r>
      <w:r w:rsidRPr="002C24BE">
        <w:rPr>
          <w:b/>
          <w:i/>
          <w:color w:val="auto"/>
          <w:sz w:val="22"/>
          <w:szCs w:val="22"/>
        </w:rPr>
        <w:t>Limita de avertizare</w:t>
      </w:r>
      <w:r w:rsidRPr="002C24BE">
        <w:rPr>
          <w:i/>
          <w:color w:val="auto"/>
          <w:sz w:val="22"/>
          <w:szCs w:val="22"/>
        </w:rPr>
        <w:t xml:space="preserve"> pentru apa de suprafaţă prin analiza beta globală imediată (conform O.M. </w:t>
      </w:r>
      <w:r w:rsidR="009B3079">
        <w:rPr>
          <w:i/>
          <w:color w:val="auto"/>
          <w:sz w:val="22"/>
          <w:szCs w:val="22"/>
        </w:rPr>
        <w:t>nr. 1978/2010)</w:t>
      </w:r>
      <w:r w:rsidRPr="002C24BE">
        <w:rPr>
          <w:i/>
          <w:color w:val="auto"/>
          <w:sz w:val="22"/>
          <w:szCs w:val="22"/>
        </w:rPr>
        <w:t xml:space="preserve"> este de </w:t>
      </w:r>
      <w:r w:rsidRPr="002C24BE">
        <w:rPr>
          <w:b/>
          <w:i/>
          <w:color w:val="auto"/>
          <w:sz w:val="22"/>
          <w:szCs w:val="22"/>
        </w:rPr>
        <w:t>5 Bq/l.</w:t>
      </w:r>
    </w:p>
    <w:p w:rsidR="009B1563" w:rsidRPr="002C24BE" w:rsidRDefault="00DB0C98" w:rsidP="009B1563">
      <w:pPr>
        <w:pStyle w:val="Default"/>
        <w:widowControl w:val="0"/>
        <w:jc w:val="both"/>
        <w:rPr>
          <w:i/>
          <w:color w:val="auto"/>
          <w:sz w:val="22"/>
          <w:szCs w:val="22"/>
        </w:rPr>
      </w:pPr>
      <w:r>
        <w:rPr>
          <w:i/>
          <w:color w:val="auto"/>
          <w:sz w:val="22"/>
          <w:szCs w:val="22"/>
        </w:rPr>
        <w:t>2</w:t>
      </w:r>
      <w:r w:rsidR="00C067F3" w:rsidRPr="002C24BE">
        <w:rPr>
          <w:i/>
          <w:color w:val="auto"/>
          <w:sz w:val="22"/>
          <w:szCs w:val="22"/>
        </w:rPr>
        <w:t>. L</w:t>
      </w:r>
      <w:r w:rsidR="008E160E" w:rsidRPr="002C24BE">
        <w:rPr>
          <w:i/>
          <w:color w:val="auto"/>
          <w:sz w:val="22"/>
          <w:szCs w:val="22"/>
        </w:rPr>
        <w:t xml:space="preserve">a unele probe valoarea măsurată a fost sub minima detectabilă a aparatului, caz în care </w:t>
      </w:r>
      <w:r w:rsidR="00202111">
        <w:rPr>
          <w:i/>
          <w:color w:val="auto"/>
          <w:sz w:val="22"/>
          <w:szCs w:val="22"/>
        </w:rPr>
        <w:t>s-a luat în considerare</w:t>
      </w:r>
      <w:r w:rsidR="008E160E" w:rsidRPr="002C24BE">
        <w:rPr>
          <w:i/>
          <w:color w:val="auto"/>
          <w:sz w:val="22"/>
          <w:szCs w:val="22"/>
        </w:rPr>
        <w:t xml:space="preserve"> </w:t>
      </w:r>
      <w:r w:rsidR="009B1563" w:rsidRPr="002C24BE">
        <w:rPr>
          <w:i/>
          <w:color w:val="auto"/>
          <w:sz w:val="22"/>
          <w:szCs w:val="22"/>
        </w:rPr>
        <w:t xml:space="preserve">valoarea minim detectabilă </w:t>
      </w:r>
      <w:r w:rsidR="008E160E" w:rsidRPr="002C24BE">
        <w:rPr>
          <w:i/>
          <w:color w:val="auto"/>
          <w:sz w:val="22"/>
          <w:szCs w:val="22"/>
        </w:rPr>
        <w:t xml:space="preserve">din data măsurării </w:t>
      </w:r>
    </w:p>
    <w:p w:rsidR="00F3520F" w:rsidRPr="002C24BE" w:rsidRDefault="00F3520F" w:rsidP="00390931">
      <w:pPr>
        <w:widowControl w:val="0"/>
        <w:spacing w:after="0" w:line="240" w:lineRule="auto"/>
        <w:ind w:firstLine="709"/>
        <w:jc w:val="both"/>
        <w:rPr>
          <w:rFonts w:ascii="Arial" w:hAnsi="Arial" w:cs="Arial"/>
          <w:sz w:val="10"/>
          <w:szCs w:val="10"/>
          <w:lang w:val="ro-RO"/>
        </w:rPr>
      </w:pPr>
    </w:p>
    <w:p w:rsidR="001120AD" w:rsidRDefault="00B45D94" w:rsidP="00390931">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Din figura</w:t>
      </w:r>
      <w:r w:rsidR="009F1456">
        <w:rPr>
          <w:rFonts w:ascii="Arial" w:hAnsi="Arial" w:cs="Arial"/>
          <w:sz w:val="24"/>
          <w:szCs w:val="24"/>
          <w:lang w:val="ro-RO"/>
        </w:rPr>
        <w:t xml:space="preserve"> </w:t>
      </w:r>
      <w:r w:rsidRPr="00B45D94">
        <w:rPr>
          <w:rFonts w:ascii="Arial" w:hAnsi="Arial" w:cs="Arial"/>
          <w:sz w:val="24"/>
          <w:szCs w:val="24"/>
          <w:lang w:val="ro-RO"/>
        </w:rPr>
        <w:t>IX.3.2.1.</w:t>
      </w:r>
      <w:r w:rsidRPr="00CD5A99">
        <w:rPr>
          <w:rFonts w:ascii="Arial" w:hAnsi="Arial" w:cs="Arial"/>
          <w:lang w:val="ro-RO"/>
        </w:rPr>
        <w:t xml:space="preserve"> </w:t>
      </w:r>
      <w:r w:rsidR="009F1456">
        <w:rPr>
          <w:rFonts w:ascii="Arial" w:hAnsi="Arial" w:cs="Arial"/>
          <w:sz w:val="24"/>
          <w:szCs w:val="24"/>
          <w:lang w:val="ro-RO"/>
        </w:rPr>
        <w:t>s</w:t>
      </w:r>
      <w:r w:rsidR="00390931" w:rsidRPr="002C24BE">
        <w:rPr>
          <w:rFonts w:ascii="Arial" w:hAnsi="Arial" w:cs="Arial"/>
          <w:sz w:val="24"/>
          <w:szCs w:val="24"/>
          <w:lang w:val="ro-RO"/>
        </w:rPr>
        <w:t>e constată că valorile</w:t>
      </w:r>
      <w:r w:rsidR="001120AD">
        <w:rPr>
          <w:rFonts w:ascii="Arial" w:hAnsi="Arial" w:cs="Arial"/>
          <w:sz w:val="24"/>
          <w:szCs w:val="24"/>
          <w:lang w:val="ro-RO"/>
        </w:rPr>
        <w:t>, aflate mult sub limita de avertizare, au</w:t>
      </w:r>
      <w:r w:rsidR="00390931" w:rsidRPr="002C24BE">
        <w:rPr>
          <w:rFonts w:ascii="Arial" w:hAnsi="Arial" w:cs="Arial"/>
          <w:sz w:val="24"/>
          <w:szCs w:val="24"/>
          <w:lang w:val="ro-RO"/>
        </w:rPr>
        <w:t xml:space="preserve"> </w:t>
      </w:r>
      <w:r>
        <w:rPr>
          <w:rFonts w:ascii="Arial" w:hAnsi="Arial" w:cs="Arial"/>
          <w:sz w:val="24"/>
          <w:szCs w:val="24"/>
          <w:lang w:val="ro-RO"/>
        </w:rPr>
        <w:t xml:space="preserve">o variabilitate normală de la an la an și chiar o tendință de reducere a radioactivității beta globale </w:t>
      </w:r>
      <w:r w:rsidR="001120AD">
        <w:rPr>
          <w:rFonts w:ascii="Arial" w:hAnsi="Arial" w:cs="Arial"/>
          <w:sz w:val="24"/>
          <w:szCs w:val="24"/>
          <w:lang w:val="ro-RO"/>
        </w:rPr>
        <w:t xml:space="preserve">pe pârâul Crucea, la intrare în loc. Crucea și aval confl. cu pr. Troaca Găvanului. </w:t>
      </w:r>
    </w:p>
    <w:p w:rsidR="00390931" w:rsidRPr="002C24BE" w:rsidRDefault="001120AD" w:rsidP="00390931">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Valorile medii anuale la probele prelevate din zonele cu fondul natural modificat antropic,  sunt</w:t>
      </w:r>
      <w:r w:rsidR="00F3520F" w:rsidRPr="002C24BE">
        <w:rPr>
          <w:rFonts w:ascii="Arial" w:hAnsi="Arial" w:cs="Arial"/>
          <w:sz w:val="24"/>
          <w:szCs w:val="24"/>
          <w:lang w:val="ro-RO"/>
        </w:rPr>
        <w:t xml:space="preserve"> </w:t>
      </w:r>
      <w:r w:rsidR="00390931" w:rsidRPr="002C24BE">
        <w:rPr>
          <w:rFonts w:ascii="Arial" w:hAnsi="Arial" w:cs="Arial"/>
          <w:sz w:val="24"/>
          <w:szCs w:val="24"/>
          <w:lang w:val="ro-RO"/>
        </w:rPr>
        <w:t xml:space="preserve">comparabile cu </w:t>
      </w:r>
      <w:r w:rsidR="00FF35FA">
        <w:rPr>
          <w:rFonts w:ascii="Arial" w:hAnsi="Arial" w:cs="Arial"/>
          <w:sz w:val="24"/>
          <w:szCs w:val="24"/>
          <w:lang w:val="ro-RO"/>
        </w:rPr>
        <w:t>valori</w:t>
      </w:r>
      <w:r w:rsidR="00390931" w:rsidRPr="002C24BE">
        <w:rPr>
          <w:rFonts w:ascii="Arial" w:hAnsi="Arial" w:cs="Arial"/>
          <w:sz w:val="24"/>
          <w:szCs w:val="24"/>
          <w:lang w:val="ro-RO"/>
        </w:rPr>
        <w:t>le măsurate</w:t>
      </w:r>
      <w:r w:rsidR="009B3079">
        <w:rPr>
          <w:rFonts w:ascii="Arial" w:hAnsi="Arial" w:cs="Arial"/>
          <w:sz w:val="24"/>
          <w:szCs w:val="24"/>
          <w:lang w:val="ro-RO"/>
        </w:rPr>
        <w:t xml:space="preserve"> </w:t>
      </w:r>
      <w:r w:rsidR="00390931" w:rsidRPr="002C24BE">
        <w:rPr>
          <w:rFonts w:ascii="Arial" w:hAnsi="Arial" w:cs="Arial"/>
          <w:sz w:val="24"/>
          <w:szCs w:val="24"/>
          <w:lang w:val="ro-RO"/>
        </w:rPr>
        <w:t xml:space="preserve">la </w:t>
      </w:r>
      <w:r w:rsidR="009B3079">
        <w:rPr>
          <w:rFonts w:ascii="Arial" w:hAnsi="Arial" w:cs="Arial"/>
          <w:sz w:val="24"/>
          <w:szCs w:val="24"/>
          <w:lang w:val="ro-RO"/>
        </w:rPr>
        <w:t xml:space="preserve">probele prelevate zilnic din </w:t>
      </w:r>
      <w:r w:rsidR="00390931" w:rsidRPr="002C24BE">
        <w:rPr>
          <w:rFonts w:ascii="Arial" w:hAnsi="Arial" w:cs="Arial"/>
          <w:sz w:val="24"/>
          <w:szCs w:val="24"/>
          <w:lang w:val="ro-RO"/>
        </w:rPr>
        <w:t>râul Suceava (considerat martor)</w:t>
      </w:r>
      <w:r w:rsidR="00F3520F" w:rsidRPr="002C24BE">
        <w:rPr>
          <w:rFonts w:ascii="Arial" w:hAnsi="Arial" w:cs="Arial"/>
          <w:sz w:val="24"/>
          <w:szCs w:val="24"/>
          <w:lang w:val="ro-RO"/>
        </w:rPr>
        <w:t xml:space="preserve"> </w:t>
      </w:r>
      <w:r w:rsidR="009B3079">
        <w:rPr>
          <w:rFonts w:ascii="Arial" w:hAnsi="Arial" w:cs="Arial"/>
          <w:sz w:val="24"/>
          <w:szCs w:val="24"/>
          <w:lang w:val="ro-RO"/>
        </w:rPr>
        <w:t>în cadrul programului standard de supraveghere</w:t>
      </w:r>
      <w:r w:rsidR="009B3079" w:rsidRPr="002C24BE">
        <w:rPr>
          <w:rFonts w:ascii="Arial" w:hAnsi="Arial" w:cs="Arial"/>
          <w:sz w:val="24"/>
          <w:szCs w:val="24"/>
          <w:lang w:val="ro-RO"/>
        </w:rPr>
        <w:t xml:space="preserve"> </w:t>
      </w:r>
      <w:r w:rsidR="009B3079">
        <w:rPr>
          <w:rFonts w:ascii="Arial" w:hAnsi="Arial" w:cs="Arial"/>
          <w:sz w:val="24"/>
          <w:szCs w:val="24"/>
          <w:lang w:val="ro-RO"/>
        </w:rPr>
        <w:t>(</w:t>
      </w:r>
      <w:r w:rsidR="00F3520F" w:rsidRPr="002C24BE">
        <w:rPr>
          <w:rFonts w:ascii="Arial" w:hAnsi="Arial" w:cs="Arial"/>
          <w:sz w:val="24"/>
          <w:szCs w:val="24"/>
          <w:lang w:val="ro-RO"/>
        </w:rPr>
        <w:t>vezi</w:t>
      </w:r>
      <w:r w:rsidR="00FF35FA">
        <w:rPr>
          <w:rFonts w:ascii="Arial" w:hAnsi="Arial" w:cs="Arial"/>
          <w:sz w:val="24"/>
          <w:szCs w:val="24"/>
          <w:lang w:val="ro-RO"/>
        </w:rPr>
        <w:t xml:space="preserve"> și</w:t>
      </w:r>
      <w:r w:rsidR="00F3520F" w:rsidRPr="002C24BE">
        <w:rPr>
          <w:rFonts w:ascii="Arial" w:hAnsi="Arial" w:cs="Arial"/>
          <w:sz w:val="24"/>
          <w:szCs w:val="24"/>
          <w:lang w:val="ro-RO"/>
        </w:rPr>
        <w:t xml:space="preserve"> fig. IX.3.1.1.b</w:t>
      </w:r>
      <w:r w:rsidR="009B3079">
        <w:rPr>
          <w:rFonts w:ascii="Arial" w:hAnsi="Arial" w:cs="Arial"/>
          <w:sz w:val="24"/>
          <w:szCs w:val="24"/>
          <w:lang w:val="ro-RO"/>
        </w:rPr>
        <w:t>)</w:t>
      </w:r>
      <w:r w:rsidR="00F3520F" w:rsidRPr="002C24BE">
        <w:rPr>
          <w:rFonts w:ascii="Arial" w:hAnsi="Arial" w:cs="Arial"/>
          <w:sz w:val="24"/>
          <w:szCs w:val="24"/>
          <w:lang w:val="ro-RO"/>
        </w:rPr>
        <w:t>.</w:t>
      </w:r>
    </w:p>
    <w:p w:rsidR="00F3520F" w:rsidRPr="002C24BE" w:rsidRDefault="00F3520F" w:rsidP="00390931">
      <w:pPr>
        <w:widowControl w:val="0"/>
        <w:spacing w:after="0" w:line="240" w:lineRule="auto"/>
        <w:ind w:firstLine="709"/>
        <w:jc w:val="both"/>
        <w:rPr>
          <w:rFonts w:ascii="Arial" w:hAnsi="Arial" w:cs="Arial"/>
          <w:sz w:val="12"/>
          <w:szCs w:val="12"/>
          <w:lang w:val="ro-RO"/>
        </w:rPr>
      </w:pPr>
    </w:p>
    <w:p w:rsidR="004B576B" w:rsidRPr="002C24BE" w:rsidRDefault="004B576B" w:rsidP="006842D6">
      <w:pPr>
        <w:pStyle w:val="ListParagraph"/>
        <w:widowControl w:val="0"/>
        <w:numPr>
          <w:ilvl w:val="0"/>
          <w:numId w:val="20"/>
        </w:numPr>
        <w:jc w:val="both"/>
        <w:rPr>
          <w:rFonts w:ascii="Arial" w:hAnsi="Arial" w:cs="Arial"/>
          <w:bCs/>
          <w:i/>
          <w:sz w:val="24"/>
          <w:szCs w:val="24"/>
          <w:u w:val="single"/>
          <w:lang w:val="ro-RO"/>
        </w:rPr>
      </w:pPr>
      <w:r w:rsidRPr="002C24BE">
        <w:rPr>
          <w:rFonts w:ascii="Arial" w:hAnsi="Arial" w:cs="Arial"/>
          <w:bCs/>
          <w:i/>
          <w:sz w:val="24"/>
          <w:szCs w:val="24"/>
          <w:u w:val="single"/>
          <w:lang w:val="ro-RO"/>
        </w:rPr>
        <w:t>Ape subterane</w:t>
      </w:r>
    </w:p>
    <w:p w:rsidR="004B576B" w:rsidRPr="002C24BE" w:rsidRDefault="004B576B" w:rsidP="00D2177F">
      <w:pPr>
        <w:widowControl w:val="0"/>
        <w:spacing w:after="0" w:line="240" w:lineRule="auto"/>
        <w:ind w:firstLine="708"/>
        <w:jc w:val="both"/>
        <w:rPr>
          <w:rFonts w:ascii="Arial" w:hAnsi="Arial" w:cs="Arial"/>
          <w:sz w:val="10"/>
          <w:szCs w:val="10"/>
          <w:lang w:val="ro-RO"/>
        </w:rPr>
      </w:pPr>
    </w:p>
    <w:p w:rsidR="00F3520F" w:rsidRPr="002C24BE" w:rsidRDefault="004B576B" w:rsidP="006842D6">
      <w:pPr>
        <w:widowControl w:val="0"/>
        <w:spacing w:after="0" w:line="240" w:lineRule="auto"/>
        <w:jc w:val="center"/>
        <w:rPr>
          <w:rFonts w:ascii="Arial" w:hAnsi="Arial" w:cs="Arial"/>
          <w:lang w:val="ro-RO"/>
        </w:rPr>
      </w:pPr>
      <w:r w:rsidRPr="002C24BE">
        <w:rPr>
          <w:rFonts w:ascii="Arial" w:hAnsi="Arial" w:cs="Arial"/>
          <w:lang w:val="ro-RO"/>
        </w:rPr>
        <w:t>Fig. IX.3.2.</w:t>
      </w:r>
      <w:r w:rsidR="00F00B57">
        <w:rPr>
          <w:rFonts w:ascii="Arial" w:hAnsi="Arial" w:cs="Arial"/>
          <w:lang w:val="ro-RO"/>
        </w:rPr>
        <w:t>2</w:t>
      </w:r>
      <w:r w:rsidR="00102E21">
        <w:rPr>
          <w:rFonts w:ascii="Arial" w:hAnsi="Arial" w:cs="Arial"/>
          <w:lang w:val="ro-RO"/>
        </w:rPr>
        <w:t>. Apă freatică –</w:t>
      </w:r>
      <w:r w:rsidR="00F00B57">
        <w:rPr>
          <w:rFonts w:ascii="Arial" w:hAnsi="Arial" w:cs="Arial"/>
          <w:lang w:val="ro-RO"/>
        </w:rPr>
        <w:t xml:space="preserve"> </w:t>
      </w:r>
      <w:r w:rsidR="00F00B57" w:rsidRPr="00CD5A99">
        <w:rPr>
          <w:rFonts w:ascii="Arial" w:hAnsi="Arial" w:cs="Arial"/>
          <w:lang w:val="ro-RO"/>
        </w:rPr>
        <w:t>medii anuale ale activităţilor beta globale în perioada 2013 - 2017</w:t>
      </w:r>
      <w:r w:rsidR="006842D6" w:rsidRPr="002C24BE">
        <w:rPr>
          <w:rFonts w:ascii="Arial" w:hAnsi="Arial" w:cs="Arial"/>
          <w:lang w:val="ro-RO"/>
        </w:rPr>
        <w:t xml:space="preserve"> </w:t>
      </w:r>
    </w:p>
    <w:p w:rsidR="004B576B" w:rsidRPr="002C24BE" w:rsidRDefault="00F3520F" w:rsidP="006842D6">
      <w:pPr>
        <w:widowControl w:val="0"/>
        <w:spacing w:after="0" w:line="240" w:lineRule="auto"/>
        <w:jc w:val="center"/>
        <w:rPr>
          <w:rFonts w:ascii="Arial" w:hAnsi="Arial" w:cs="Arial"/>
          <w:lang w:val="ro-RO"/>
        </w:rPr>
      </w:pPr>
      <w:r w:rsidRPr="002C24BE">
        <w:rPr>
          <w:rFonts w:ascii="Arial" w:hAnsi="Arial" w:cs="Arial"/>
          <w:lang w:val="ro-RO"/>
        </w:rPr>
        <w:t xml:space="preserve">– măsurători la 5 zile de la prelevare </w:t>
      </w:r>
      <w:r w:rsidR="00F00B57" w:rsidRPr="002C24BE">
        <w:rPr>
          <w:rFonts w:ascii="Arial" w:hAnsi="Arial" w:cs="Arial"/>
          <w:lang w:val="ro-RO"/>
        </w:rPr>
        <w:t xml:space="preserve">probe </w:t>
      </w:r>
      <w:r w:rsidR="00F00B57">
        <w:rPr>
          <w:rFonts w:ascii="Arial" w:hAnsi="Arial" w:cs="Arial"/>
          <w:lang w:val="ro-RO"/>
        </w:rPr>
        <w:t xml:space="preserve">trimestriale, </w:t>
      </w:r>
      <w:r w:rsidR="00F00B57" w:rsidRPr="002C24BE">
        <w:rPr>
          <w:rFonts w:ascii="Arial" w:hAnsi="Arial" w:cs="Arial"/>
          <w:lang w:val="ro-RO"/>
        </w:rPr>
        <w:t>semestriale</w:t>
      </w:r>
      <w:r w:rsidR="00102E21">
        <w:rPr>
          <w:rFonts w:ascii="Arial" w:hAnsi="Arial" w:cs="Arial"/>
          <w:lang w:val="ro-RO"/>
        </w:rPr>
        <w:t xml:space="preserve"> sau</w:t>
      </w:r>
      <w:r w:rsidR="00102E21" w:rsidRPr="00CD5A99">
        <w:rPr>
          <w:rFonts w:ascii="Arial" w:hAnsi="Arial" w:cs="Arial"/>
          <w:lang w:val="ro-RO"/>
        </w:rPr>
        <w:t xml:space="preserve"> anuale</w:t>
      </w:r>
    </w:p>
    <w:p w:rsidR="00F00B57" w:rsidRPr="002C24BE" w:rsidRDefault="00F00B57" w:rsidP="00F00B57">
      <w:pPr>
        <w:widowControl w:val="0"/>
        <w:spacing w:after="0" w:line="240" w:lineRule="auto"/>
        <w:jc w:val="center"/>
        <w:rPr>
          <w:rFonts w:ascii="Arial" w:hAnsi="Arial" w:cs="Arial"/>
          <w:lang w:val="ro-RO"/>
        </w:rPr>
      </w:pPr>
      <w:r w:rsidRPr="002C24BE">
        <w:rPr>
          <w:b/>
          <w:i/>
          <w:noProof/>
          <w:lang w:val="ro-RO" w:eastAsia="ro-RO"/>
        </w:rPr>
        <w:drawing>
          <wp:inline distT="0" distB="0" distL="0" distR="0">
            <wp:extent cx="6257925" cy="2466975"/>
            <wp:effectExtent l="0" t="0" r="0" b="0"/>
            <wp:docPr id="1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71D1F" w:rsidRDefault="0052675D" w:rsidP="0052675D">
      <w:pPr>
        <w:pStyle w:val="Default"/>
        <w:widowControl w:val="0"/>
        <w:jc w:val="both"/>
        <w:rPr>
          <w:i/>
          <w:color w:val="auto"/>
          <w:sz w:val="22"/>
          <w:szCs w:val="22"/>
        </w:rPr>
      </w:pPr>
      <w:r w:rsidRPr="001A24EB">
        <w:rPr>
          <w:b/>
          <w:i/>
          <w:color w:val="auto"/>
          <w:sz w:val="22"/>
          <w:szCs w:val="22"/>
        </w:rPr>
        <w:t>Not</w:t>
      </w:r>
      <w:r w:rsidR="00D71D1F">
        <w:rPr>
          <w:b/>
          <w:i/>
          <w:color w:val="auto"/>
          <w:sz w:val="22"/>
          <w:szCs w:val="22"/>
        </w:rPr>
        <w:t>e</w:t>
      </w:r>
      <w:r w:rsidRPr="001A24EB">
        <w:rPr>
          <w:i/>
          <w:color w:val="auto"/>
          <w:sz w:val="22"/>
          <w:szCs w:val="22"/>
        </w:rPr>
        <w:t xml:space="preserve">: </w:t>
      </w:r>
    </w:p>
    <w:p w:rsidR="00745D5F" w:rsidRPr="00D71D1F" w:rsidRDefault="00D71D1F" w:rsidP="00745D5F">
      <w:pPr>
        <w:pStyle w:val="Default"/>
        <w:widowControl w:val="0"/>
        <w:jc w:val="both"/>
        <w:rPr>
          <w:i/>
          <w:color w:val="auto"/>
          <w:sz w:val="22"/>
          <w:szCs w:val="22"/>
        </w:rPr>
      </w:pPr>
      <w:r w:rsidRPr="00745D5F">
        <w:rPr>
          <w:i/>
          <w:sz w:val="22"/>
          <w:szCs w:val="22"/>
        </w:rPr>
        <w:t xml:space="preserve">1. </w:t>
      </w:r>
      <w:r w:rsidR="00745D5F" w:rsidRPr="00745D5F">
        <w:rPr>
          <w:i/>
          <w:sz w:val="22"/>
          <w:szCs w:val="22"/>
        </w:rPr>
        <w:t xml:space="preserve">Conform anexei 3 la </w:t>
      </w:r>
      <w:r w:rsidR="00745D5F">
        <w:rPr>
          <w:i/>
          <w:sz w:val="22"/>
          <w:szCs w:val="22"/>
        </w:rPr>
        <w:t>Legea</w:t>
      </w:r>
      <w:r w:rsidRPr="00D71D1F">
        <w:rPr>
          <w:i/>
          <w:sz w:val="22"/>
          <w:szCs w:val="22"/>
        </w:rPr>
        <w:t xml:space="preserve"> nr. 301/2015 privind stabilirea cerinţelor de protecţie a sănătăţii populaţiei în ceea ce priveşte substanţele radioactive din apa potabilă, </w:t>
      </w:r>
      <w:r w:rsidR="00745D5F">
        <w:rPr>
          <w:i/>
        </w:rPr>
        <w:t>d</w:t>
      </w:r>
      <w:r w:rsidR="00745D5F" w:rsidRPr="00D71D1F">
        <w:rPr>
          <w:i/>
          <w:color w:val="auto"/>
          <w:sz w:val="22"/>
          <w:szCs w:val="22"/>
        </w:rPr>
        <w:t xml:space="preserve">acă valorile activităţii alfa globală şi beta </w:t>
      </w:r>
      <w:r w:rsidR="00745D5F" w:rsidRPr="00745D5F">
        <w:rPr>
          <w:i/>
          <w:color w:val="auto"/>
          <w:sz w:val="22"/>
          <w:szCs w:val="22"/>
        </w:rPr>
        <w:t xml:space="preserve">reziduală, </w:t>
      </w:r>
      <w:r w:rsidR="00745D5F" w:rsidRPr="00D71D1F">
        <w:rPr>
          <w:i/>
          <w:color w:val="auto"/>
          <w:sz w:val="22"/>
          <w:szCs w:val="22"/>
        </w:rPr>
        <w:t xml:space="preserve">sunt mai mici de 0,1 Bq/l şi, respectiv, 1,0 Bq/l după scăderea aportului de </w:t>
      </w:r>
      <w:r w:rsidR="00745D5F" w:rsidRPr="00D71D1F">
        <w:rPr>
          <w:i/>
          <w:color w:val="auto"/>
          <w:sz w:val="22"/>
          <w:szCs w:val="22"/>
          <w:vertAlign w:val="superscript"/>
        </w:rPr>
        <w:t>40</w:t>
      </w:r>
      <w:r w:rsidR="00745D5F" w:rsidRPr="00D71D1F">
        <w:rPr>
          <w:i/>
          <w:color w:val="auto"/>
          <w:sz w:val="22"/>
          <w:szCs w:val="22"/>
        </w:rPr>
        <w:t xml:space="preserve">K, se poate considera că doza efectivă totală de referinţă este inferioară parametrului valoric </w:t>
      </w:r>
      <w:r w:rsidR="00745D5F">
        <w:rPr>
          <w:i/>
          <w:color w:val="auto"/>
          <w:sz w:val="22"/>
          <w:szCs w:val="22"/>
        </w:rPr>
        <w:t xml:space="preserve">al </w:t>
      </w:r>
      <w:r w:rsidR="00745D5F">
        <w:rPr>
          <w:i/>
          <w:color w:val="auto"/>
          <w:sz w:val="22"/>
          <w:szCs w:val="22"/>
        </w:rPr>
        <w:lastRenderedPageBreak/>
        <w:t>dozei efective</w:t>
      </w:r>
      <w:r w:rsidR="00745D5F" w:rsidRPr="00745D5F">
        <w:rPr>
          <w:i/>
          <w:color w:val="auto"/>
          <w:sz w:val="22"/>
          <w:szCs w:val="22"/>
        </w:rPr>
        <w:t xml:space="preserve"> total</w:t>
      </w:r>
      <w:r w:rsidR="00745D5F">
        <w:rPr>
          <w:i/>
          <w:color w:val="auto"/>
          <w:sz w:val="22"/>
          <w:szCs w:val="22"/>
        </w:rPr>
        <w:t>e</w:t>
      </w:r>
      <w:r w:rsidR="00745D5F" w:rsidRPr="00745D5F">
        <w:rPr>
          <w:i/>
          <w:color w:val="auto"/>
          <w:sz w:val="22"/>
          <w:szCs w:val="22"/>
        </w:rPr>
        <w:t xml:space="preserve"> de referinţă</w:t>
      </w:r>
      <w:r w:rsidR="00745D5F">
        <w:rPr>
          <w:rFonts w:ascii="Courier New" w:hAnsi="Courier New" w:cs="Courier New"/>
          <w:lang w:eastAsia="ro-RO"/>
        </w:rPr>
        <w:t xml:space="preserve"> </w:t>
      </w:r>
      <w:r w:rsidR="00745D5F" w:rsidRPr="00D71D1F">
        <w:rPr>
          <w:i/>
          <w:color w:val="auto"/>
          <w:sz w:val="22"/>
          <w:szCs w:val="22"/>
        </w:rPr>
        <w:t>de 0,1 mSv</w:t>
      </w:r>
      <w:r w:rsidR="00745D5F">
        <w:rPr>
          <w:i/>
          <w:color w:val="auto"/>
          <w:sz w:val="22"/>
          <w:szCs w:val="22"/>
        </w:rPr>
        <w:t>. D</w:t>
      </w:r>
      <w:r w:rsidR="00745D5F" w:rsidRPr="00D71D1F">
        <w:rPr>
          <w:i/>
          <w:color w:val="auto"/>
          <w:sz w:val="22"/>
          <w:szCs w:val="22"/>
        </w:rPr>
        <w:t>acă valoarea activităţii alfa globală depăşeşte 0,1 Bq/l sau dacă activitatea beta reziduală depăşeşte 1,0 Bq/l, este necesară analiza radionuclizilor specifici.</w:t>
      </w:r>
    </w:p>
    <w:p w:rsidR="0052675D" w:rsidRDefault="00745D5F" w:rsidP="0052675D">
      <w:pPr>
        <w:pStyle w:val="Default"/>
        <w:widowControl w:val="0"/>
        <w:jc w:val="both"/>
        <w:rPr>
          <w:i/>
          <w:color w:val="auto"/>
          <w:sz w:val="22"/>
          <w:szCs w:val="22"/>
        </w:rPr>
      </w:pPr>
      <w:r>
        <w:rPr>
          <w:i/>
          <w:color w:val="auto"/>
          <w:sz w:val="22"/>
          <w:szCs w:val="22"/>
        </w:rPr>
        <w:t xml:space="preserve">2. </w:t>
      </w:r>
      <w:r w:rsidR="00886EAC" w:rsidRPr="001A24EB">
        <w:rPr>
          <w:i/>
          <w:color w:val="auto"/>
          <w:sz w:val="22"/>
          <w:szCs w:val="22"/>
        </w:rPr>
        <w:t>L</w:t>
      </w:r>
      <w:r w:rsidR="008E160E" w:rsidRPr="001A24EB">
        <w:rPr>
          <w:i/>
          <w:color w:val="auto"/>
          <w:sz w:val="22"/>
          <w:szCs w:val="22"/>
        </w:rPr>
        <w:t xml:space="preserve">a unele probe valoarea măsurată a fost sub minima detectabilă a aparatului, caz în care </w:t>
      </w:r>
      <w:r w:rsidR="00202111">
        <w:rPr>
          <w:i/>
          <w:color w:val="auto"/>
          <w:sz w:val="22"/>
          <w:szCs w:val="22"/>
        </w:rPr>
        <w:t xml:space="preserve">s-a luat în considerare </w:t>
      </w:r>
      <w:r w:rsidR="008E160E" w:rsidRPr="001A24EB">
        <w:rPr>
          <w:i/>
          <w:color w:val="auto"/>
          <w:sz w:val="22"/>
          <w:szCs w:val="22"/>
        </w:rPr>
        <w:t>valoarea minim</w:t>
      </w:r>
      <w:r w:rsidR="00291D19" w:rsidRPr="001A24EB">
        <w:rPr>
          <w:i/>
          <w:color w:val="auto"/>
          <w:sz w:val="22"/>
          <w:szCs w:val="22"/>
        </w:rPr>
        <w:t xml:space="preserve"> detectabilă din data măsurării.</w:t>
      </w:r>
    </w:p>
    <w:p w:rsidR="00745D5F" w:rsidRPr="00745D5F" w:rsidRDefault="00745D5F" w:rsidP="00D71D1F">
      <w:pPr>
        <w:widowControl w:val="0"/>
        <w:spacing w:after="0" w:line="240" w:lineRule="auto"/>
        <w:ind w:firstLine="709"/>
        <w:jc w:val="both"/>
        <w:rPr>
          <w:rFonts w:ascii="Arial" w:hAnsi="Arial" w:cs="Arial"/>
          <w:sz w:val="10"/>
          <w:szCs w:val="10"/>
          <w:lang w:val="ro-RO"/>
        </w:rPr>
      </w:pPr>
    </w:p>
    <w:p w:rsidR="00D71D1F" w:rsidRPr="00745D5F" w:rsidRDefault="00D71D1F" w:rsidP="00D71D1F">
      <w:pPr>
        <w:widowControl w:val="0"/>
        <w:spacing w:after="0" w:line="240" w:lineRule="auto"/>
        <w:ind w:firstLine="709"/>
        <w:jc w:val="both"/>
        <w:rPr>
          <w:rFonts w:ascii="Arial" w:hAnsi="Arial" w:cs="Arial"/>
          <w:sz w:val="24"/>
          <w:szCs w:val="24"/>
          <w:lang w:val="ro-RO"/>
        </w:rPr>
      </w:pPr>
      <w:r w:rsidRPr="00745D5F">
        <w:rPr>
          <w:rFonts w:ascii="Arial" w:hAnsi="Arial" w:cs="Arial"/>
          <w:sz w:val="24"/>
          <w:szCs w:val="24"/>
          <w:lang w:val="ro-RO"/>
        </w:rPr>
        <w:t>Valorile beta</w:t>
      </w:r>
      <w:r w:rsidR="00745D5F" w:rsidRPr="00745D5F">
        <w:rPr>
          <w:rFonts w:ascii="Arial" w:hAnsi="Arial" w:cs="Arial"/>
          <w:sz w:val="24"/>
          <w:szCs w:val="24"/>
          <w:lang w:val="ro-RO"/>
        </w:rPr>
        <w:t xml:space="preserve"> globale măsurate întârziat la probele de apă subterană</w:t>
      </w:r>
      <w:r w:rsidR="00745D5F">
        <w:rPr>
          <w:rFonts w:ascii="Arial" w:hAnsi="Arial" w:cs="Arial"/>
          <w:sz w:val="24"/>
          <w:szCs w:val="24"/>
          <w:lang w:val="ro-RO"/>
        </w:rPr>
        <w:t xml:space="preserve"> (</w:t>
      </w:r>
      <w:r w:rsidR="00745D5F" w:rsidRPr="00745D5F">
        <w:rPr>
          <w:rFonts w:ascii="Arial" w:hAnsi="Arial" w:cs="Arial"/>
          <w:sz w:val="24"/>
          <w:szCs w:val="24"/>
          <w:lang w:val="ro-RO"/>
        </w:rPr>
        <w:t>fig. IX.3.2.2</w:t>
      </w:r>
      <w:r w:rsidR="00745D5F">
        <w:rPr>
          <w:rFonts w:ascii="Arial" w:hAnsi="Arial" w:cs="Arial"/>
          <w:sz w:val="24"/>
          <w:szCs w:val="24"/>
          <w:lang w:val="ro-RO"/>
        </w:rPr>
        <w:t>), ca și cele</w:t>
      </w:r>
      <w:r w:rsidRPr="00745D5F">
        <w:rPr>
          <w:rFonts w:ascii="Arial" w:hAnsi="Arial" w:cs="Arial"/>
          <w:sz w:val="24"/>
          <w:szCs w:val="24"/>
          <w:lang w:val="ro-RO"/>
        </w:rPr>
        <w:t xml:space="preserve"> alfa globale</w:t>
      </w:r>
      <w:r w:rsidR="00745D5F">
        <w:rPr>
          <w:rFonts w:ascii="Arial" w:hAnsi="Arial" w:cs="Arial"/>
          <w:sz w:val="24"/>
          <w:szCs w:val="24"/>
          <w:lang w:val="ro-RO"/>
        </w:rPr>
        <w:t>,</w:t>
      </w:r>
      <w:r w:rsidRPr="00745D5F">
        <w:rPr>
          <w:rFonts w:ascii="Arial" w:hAnsi="Arial" w:cs="Arial"/>
          <w:sz w:val="24"/>
          <w:szCs w:val="24"/>
          <w:lang w:val="ro-RO"/>
        </w:rPr>
        <w:t xml:space="preserve"> s-au situat sub valorile indicate </w:t>
      </w:r>
      <w:r w:rsidR="00745D5F">
        <w:rPr>
          <w:rFonts w:ascii="Arial" w:hAnsi="Arial" w:cs="Arial"/>
          <w:sz w:val="24"/>
          <w:szCs w:val="24"/>
          <w:lang w:val="ro-RO"/>
        </w:rPr>
        <w:t>la Nota 1 de mai sus, în tot intervalul analizat</w:t>
      </w:r>
      <w:r w:rsidRPr="00745D5F">
        <w:rPr>
          <w:rFonts w:ascii="Arial" w:hAnsi="Arial" w:cs="Arial"/>
          <w:sz w:val="24"/>
          <w:szCs w:val="24"/>
          <w:lang w:val="ro-RO"/>
        </w:rPr>
        <w:t xml:space="preserve">, fără a se scădea concentraţia de activitate a radionuclidului </w:t>
      </w:r>
      <w:r w:rsidRPr="00745D5F">
        <w:rPr>
          <w:rFonts w:ascii="Arial" w:hAnsi="Arial" w:cs="Arial"/>
          <w:sz w:val="24"/>
          <w:szCs w:val="24"/>
          <w:vertAlign w:val="superscript"/>
          <w:lang w:val="ro-RO"/>
        </w:rPr>
        <w:t>40</w:t>
      </w:r>
      <w:r w:rsidRPr="00745D5F">
        <w:rPr>
          <w:rFonts w:ascii="Arial" w:hAnsi="Arial" w:cs="Arial"/>
          <w:sz w:val="24"/>
          <w:szCs w:val="24"/>
          <w:lang w:val="ro-RO"/>
        </w:rPr>
        <w:t xml:space="preserve">K (care nu se determină în lab. APM Suceava). </w:t>
      </w:r>
    </w:p>
    <w:p w:rsidR="00390931" w:rsidRPr="00B768AA" w:rsidRDefault="00390931" w:rsidP="00D2177F">
      <w:pPr>
        <w:pStyle w:val="Default"/>
        <w:widowControl w:val="0"/>
        <w:rPr>
          <w:b/>
          <w:bCs/>
          <w:iCs/>
          <w:color w:val="auto"/>
          <w:sz w:val="20"/>
          <w:szCs w:val="20"/>
        </w:rPr>
      </w:pPr>
    </w:p>
    <w:p w:rsidR="004B576B" w:rsidRPr="002C24BE" w:rsidRDefault="004B576B" w:rsidP="00D2177F">
      <w:pPr>
        <w:pStyle w:val="Default"/>
        <w:widowControl w:val="0"/>
        <w:rPr>
          <w:b/>
          <w:bCs/>
          <w:iCs/>
          <w:color w:val="auto"/>
        </w:rPr>
      </w:pPr>
      <w:r w:rsidRPr="00741A76">
        <w:rPr>
          <w:b/>
          <w:bCs/>
          <w:iCs/>
          <w:color w:val="auto"/>
        </w:rPr>
        <w:t>IX.4. Radioactivitatea solului</w:t>
      </w:r>
      <w:r w:rsidRPr="002C24BE">
        <w:rPr>
          <w:b/>
          <w:bCs/>
          <w:iCs/>
          <w:color w:val="auto"/>
        </w:rPr>
        <w:t xml:space="preserve"> </w:t>
      </w:r>
    </w:p>
    <w:p w:rsidR="0006443E" w:rsidRPr="00B768AA" w:rsidRDefault="0006443E" w:rsidP="0006443E">
      <w:pPr>
        <w:pStyle w:val="Default"/>
        <w:widowControl w:val="0"/>
        <w:rPr>
          <w:color w:val="auto"/>
          <w:sz w:val="16"/>
          <w:szCs w:val="16"/>
        </w:rPr>
      </w:pPr>
    </w:p>
    <w:p w:rsidR="004B576B" w:rsidRPr="002C24BE" w:rsidRDefault="004B576B" w:rsidP="00D2177F">
      <w:pPr>
        <w:pStyle w:val="Default"/>
        <w:widowControl w:val="0"/>
        <w:rPr>
          <w:b/>
          <w:i/>
          <w:color w:val="auto"/>
        </w:rPr>
      </w:pPr>
      <w:r w:rsidRPr="008F0D23">
        <w:rPr>
          <w:b/>
          <w:i/>
          <w:color w:val="auto"/>
        </w:rPr>
        <w:t>IX.4.1. Program standard</w:t>
      </w:r>
    </w:p>
    <w:p w:rsidR="004B576B" w:rsidRPr="002C24BE" w:rsidRDefault="004B576B" w:rsidP="00D2177F">
      <w:pPr>
        <w:pStyle w:val="Default"/>
        <w:widowControl w:val="0"/>
        <w:rPr>
          <w:b/>
          <w:i/>
          <w:color w:val="auto"/>
          <w:sz w:val="10"/>
          <w:szCs w:val="10"/>
        </w:rPr>
      </w:pPr>
    </w:p>
    <w:p w:rsidR="008F0D23" w:rsidRDefault="004B576B" w:rsidP="00D2177F">
      <w:pPr>
        <w:pStyle w:val="BodyText3"/>
        <w:widowControl w:val="0"/>
        <w:spacing w:after="0"/>
        <w:ind w:firstLine="720"/>
        <w:jc w:val="both"/>
        <w:rPr>
          <w:rFonts w:ascii="Arial" w:hAnsi="Arial" w:cs="Arial"/>
          <w:sz w:val="24"/>
          <w:szCs w:val="24"/>
          <w:lang w:val="ro-RO"/>
        </w:rPr>
      </w:pPr>
      <w:r w:rsidRPr="002C24BE">
        <w:rPr>
          <w:rFonts w:ascii="Arial" w:hAnsi="Arial" w:cs="Arial"/>
          <w:sz w:val="24"/>
          <w:szCs w:val="24"/>
          <w:lang w:val="ro-RO"/>
        </w:rPr>
        <w:t>P</w:t>
      </w:r>
      <w:r w:rsidR="00390931" w:rsidRPr="002C24BE">
        <w:rPr>
          <w:rFonts w:ascii="Arial" w:hAnsi="Arial" w:cs="Arial"/>
          <w:sz w:val="24"/>
          <w:szCs w:val="24"/>
          <w:lang w:val="ro-RO"/>
        </w:rPr>
        <w:t xml:space="preserve">entru supravegherea radioactivităţii solului, </w:t>
      </w:r>
      <w:r w:rsidR="00666E22" w:rsidRPr="002C24BE">
        <w:rPr>
          <w:rFonts w:ascii="Arial" w:hAnsi="Arial" w:cs="Arial"/>
          <w:sz w:val="24"/>
          <w:szCs w:val="24"/>
          <w:lang w:val="ro-RO"/>
        </w:rPr>
        <w:t>sunt</w:t>
      </w:r>
      <w:r w:rsidR="00390931" w:rsidRPr="002C24BE">
        <w:rPr>
          <w:rFonts w:ascii="Arial" w:hAnsi="Arial" w:cs="Arial"/>
          <w:sz w:val="24"/>
          <w:szCs w:val="24"/>
          <w:lang w:val="ro-RO"/>
        </w:rPr>
        <w:t xml:space="preserve"> prelevate </w:t>
      </w:r>
      <w:r w:rsidR="008F0D23" w:rsidRPr="002C24BE">
        <w:rPr>
          <w:rFonts w:ascii="Arial" w:hAnsi="Arial" w:cs="Arial"/>
          <w:sz w:val="24"/>
          <w:szCs w:val="24"/>
          <w:lang w:val="ro-RO"/>
        </w:rPr>
        <w:t>probe de sol necultivat</w:t>
      </w:r>
      <w:r w:rsidR="008F0D23">
        <w:rPr>
          <w:rFonts w:ascii="Arial" w:hAnsi="Arial" w:cs="Arial"/>
          <w:sz w:val="24"/>
          <w:szCs w:val="24"/>
          <w:lang w:val="ro-RO"/>
        </w:rPr>
        <w:t xml:space="preserve"> </w:t>
      </w:r>
      <w:r w:rsidR="008F0D23" w:rsidRPr="002C24BE">
        <w:rPr>
          <w:rFonts w:ascii="Arial" w:hAnsi="Arial" w:cs="Arial"/>
          <w:sz w:val="24"/>
          <w:szCs w:val="24"/>
          <w:lang w:val="ro-RO"/>
        </w:rPr>
        <w:t>cu frecvenţă săptămânală</w:t>
      </w:r>
      <w:r w:rsidR="008F0D23">
        <w:rPr>
          <w:rFonts w:ascii="Arial" w:hAnsi="Arial" w:cs="Arial"/>
          <w:sz w:val="24"/>
          <w:szCs w:val="24"/>
          <w:lang w:val="ro-RO"/>
        </w:rPr>
        <w:t xml:space="preserve"> </w:t>
      </w:r>
      <w:r w:rsidR="00390931" w:rsidRPr="002C24BE">
        <w:rPr>
          <w:rFonts w:ascii="Arial" w:hAnsi="Arial" w:cs="Arial"/>
          <w:sz w:val="24"/>
          <w:szCs w:val="24"/>
          <w:lang w:val="ro-RO"/>
        </w:rPr>
        <w:t>(excep</w:t>
      </w:r>
      <w:r w:rsidR="008F0D23">
        <w:rPr>
          <w:rFonts w:ascii="Arial" w:hAnsi="Arial" w:cs="Arial"/>
          <w:sz w:val="24"/>
          <w:szCs w:val="24"/>
          <w:lang w:val="ro-RO"/>
        </w:rPr>
        <w:t>tând perioade de îngheţ la sol),</w:t>
      </w:r>
      <w:r w:rsidRPr="002C24BE">
        <w:rPr>
          <w:rFonts w:ascii="Arial" w:hAnsi="Arial" w:cs="Arial"/>
          <w:sz w:val="24"/>
          <w:szCs w:val="24"/>
          <w:lang w:val="ro-RO"/>
        </w:rPr>
        <w:t xml:space="preserve"> din </w:t>
      </w:r>
      <w:r w:rsidR="005B160F">
        <w:rPr>
          <w:rFonts w:ascii="Arial" w:hAnsi="Arial" w:cs="Arial"/>
          <w:sz w:val="24"/>
          <w:szCs w:val="24"/>
          <w:lang w:val="ro-RO"/>
        </w:rPr>
        <w:t>amplasamentul</w:t>
      </w:r>
      <w:r w:rsidRPr="002C24BE">
        <w:rPr>
          <w:rFonts w:ascii="Arial" w:hAnsi="Arial" w:cs="Arial"/>
          <w:sz w:val="24"/>
          <w:szCs w:val="24"/>
          <w:lang w:val="ro-RO"/>
        </w:rPr>
        <w:t xml:space="preserve"> </w:t>
      </w:r>
      <w:r w:rsidR="008F0D23">
        <w:rPr>
          <w:rFonts w:ascii="Arial" w:hAnsi="Arial" w:cs="Arial"/>
          <w:sz w:val="24"/>
          <w:szCs w:val="24"/>
          <w:lang w:val="ro-RO"/>
        </w:rPr>
        <w:t>APM</w:t>
      </w:r>
      <w:r w:rsidRPr="002C24BE">
        <w:rPr>
          <w:rFonts w:ascii="Arial" w:hAnsi="Arial" w:cs="Arial"/>
          <w:sz w:val="24"/>
          <w:szCs w:val="24"/>
          <w:lang w:val="ro-RO"/>
        </w:rPr>
        <w:t xml:space="preserve"> Suceava</w:t>
      </w:r>
      <w:r w:rsidR="008F0D23">
        <w:rPr>
          <w:rFonts w:ascii="Arial" w:hAnsi="Arial" w:cs="Arial"/>
          <w:sz w:val="24"/>
          <w:szCs w:val="24"/>
          <w:lang w:val="ro-RO"/>
        </w:rPr>
        <w:t>,</w:t>
      </w:r>
      <w:r w:rsidRPr="002C24BE">
        <w:rPr>
          <w:rFonts w:ascii="Arial" w:hAnsi="Arial" w:cs="Arial"/>
          <w:sz w:val="24"/>
          <w:szCs w:val="24"/>
          <w:lang w:val="ro-RO"/>
        </w:rPr>
        <w:t xml:space="preserve"> din cartierul Obcini, str. Bistriţei</w:t>
      </w:r>
      <w:r w:rsidR="00390931" w:rsidRPr="002C24BE">
        <w:rPr>
          <w:rFonts w:ascii="Arial" w:hAnsi="Arial" w:cs="Arial"/>
          <w:sz w:val="24"/>
          <w:szCs w:val="24"/>
          <w:lang w:val="ro-RO"/>
        </w:rPr>
        <w:t xml:space="preserve"> nr. 1</w:t>
      </w:r>
      <w:r w:rsidRPr="002C24BE">
        <w:rPr>
          <w:rFonts w:ascii="Arial" w:hAnsi="Arial" w:cs="Arial"/>
          <w:sz w:val="24"/>
          <w:szCs w:val="24"/>
          <w:lang w:val="ro-RO"/>
        </w:rPr>
        <w:t xml:space="preserve">A, </w:t>
      </w:r>
      <w:r w:rsidR="00390931" w:rsidRPr="002C24BE">
        <w:rPr>
          <w:rFonts w:ascii="Arial" w:hAnsi="Arial" w:cs="Arial"/>
          <w:sz w:val="24"/>
          <w:szCs w:val="24"/>
          <w:lang w:val="ro-RO"/>
        </w:rPr>
        <w:t>Suceava.</w:t>
      </w:r>
      <w:r w:rsidR="00AC63CE" w:rsidRPr="002C24BE">
        <w:rPr>
          <w:rFonts w:ascii="Arial" w:hAnsi="Arial" w:cs="Arial"/>
          <w:sz w:val="24"/>
          <w:szCs w:val="24"/>
          <w:lang w:val="ro-RO"/>
        </w:rPr>
        <w:t xml:space="preserve"> </w:t>
      </w:r>
    </w:p>
    <w:p w:rsidR="004B576B" w:rsidRDefault="00390931" w:rsidP="00D2177F">
      <w:pPr>
        <w:pStyle w:val="BodyText3"/>
        <w:widowControl w:val="0"/>
        <w:spacing w:after="0"/>
        <w:ind w:firstLine="720"/>
        <w:jc w:val="both"/>
        <w:rPr>
          <w:rFonts w:ascii="Arial" w:hAnsi="Arial" w:cs="Arial"/>
          <w:sz w:val="24"/>
          <w:szCs w:val="24"/>
          <w:lang w:val="ro-RO"/>
        </w:rPr>
      </w:pPr>
      <w:r w:rsidRPr="002C24BE">
        <w:rPr>
          <w:rFonts w:ascii="Arial" w:hAnsi="Arial" w:cs="Arial"/>
          <w:sz w:val="24"/>
          <w:szCs w:val="24"/>
          <w:lang w:val="ro-RO"/>
        </w:rPr>
        <w:t>M</w:t>
      </w:r>
      <w:r w:rsidR="004B576B" w:rsidRPr="002C24BE">
        <w:rPr>
          <w:rFonts w:ascii="Arial" w:hAnsi="Arial" w:cs="Arial"/>
          <w:sz w:val="24"/>
          <w:szCs w:val="24"/>
          <w:lang w:val="ro-RO"/>
        </w:rPr>
        <w:t xml:space="preserve">ăsurarea </w:t>
      </w:r>
      <w:r w:rsidRPr="002C24BE">
        <w:rPr>
          <w:rFonts w:ascii="Arial" w:hAnsi="Arial" w:cs="Arial"/>
          <w:sz w:val="24"/>
          <w:szCs w:val="24"/>
          <w:lang w:val="ro-RO"/>
        </w:rPr>
        <w:t xml:space="preserve">activităţii beta globale a probelor </w:t>
      </w:r>
      <w:r w:rsidR="00666E22" w:rsidRPr="002C24BE">
        <w:rPr>
          <w:rFonts w:ascii="Arial" w:hAnsi="Arial" w:cs="Arial"/>
          <w:sz w:val="24"/>
          <w:szCs w:val="24"/>
          <w:lang w:val="ro-RO"/>
        </w:rPr>
        <w:t xml:space="preserve">de sol </w:t>
      </w:r>
      <w:r w:rsidRPr="002C24BE">
        <w:rPr>
          <w:rFonts w:ascii="Arial" w:hAnsi="Arial" w:cs="Arial"/>
          <w:sz w:val="24"/>
          <w:szCs w:val="24"/>
          <w:lang w:val="ro-RO"/>
        </w:rPr>
        <w:t>s</w:t>
      </w:r>
      <w:r w:rsidR="001A24EB">
        <w:rPr>
          <w:rFonts w:ascii="Arial" w:hAnsi="Arial" w:cs="Arial"/>
          <w:sz w:val="24"/>
          <w:szCs w:val="24"/>
          <w:lang w:val="ro-RO"/>
        </w:rPr>
        <w:t>e</w:t>
      </w:r>
      <w:r w:rsidRPr="002C24BE">
        <w:rPr>
          <w:rFonts w:ascii="Arial" w:hAnsi="Arial" w:cs="Arial"/>
          <w:sz w:val="24"/>
          <w:szCs w:val="24"/>
          <w:lang w:val="ro-RO"/>
        </w:rPr>
        <w:t xml:space="preserve"> </w:t>
      </w:r>
      <w:r w:rsidR="004B576B" w:rsidRPr="002C24BE">
        <w:rPr>
          <w:rFonts w:ascii="Arial" w:hAnsi="Arial" w:cs="Arial"/>
          <w:sz w:val="24"/>
          <w:szCs w:val="24"/>
          <w:lang w:val="ro-RO"/>
        </w:rPr>
        <w:t>f</w:t>
      </w:r>
      <w:r w:rsidR="001A24EB">
        <w:rPr>
          <w:rFonts w:ascii="Arial" w:hAnsi="Arial" w:cs="Arial"/>
          <w:sz w:val="24"/>
          <w:szCs w:val="24"/>
          <w:lang w:val="ro-RO"/>
        </w:rPr>
        <w:t>ace</w:t>
      </w:r>
      <w:r w:rsidR="004B576B" w:rsidRPr="002C24BE">
        <w:rPr>
          <w:rFonts w:ascii="Arial" w:hAnsi="Arial" w:cs="Arial"/>
          <w:sz w:val="24"/>
          <w:szCs w:val="24"/>
          <w:lang w:val="ro-RO"/>
        </w:rPr>
        <w:t xml:space="preserve"> la 5 zile de la prelevare</w:t>
      </w:r>
      <w:r w:rsidRPr="002C24BE">
        <w:rPr>
          <w:rFonts w:ascii="Arial" w:hAnsi="Arial" w:cs="Arial"/>
          <w:sz w:val="24"/>
          <w:szCs w:val="24"/>
          <w:lang w:val="ro-RO"/>
        </w:rPr>
        <w:t xml:space="preserve"> – măsurători întârziate</w:t>
      </w:r>
      <w:r w:rsidR="004B576B" w:rsidRPr="002C24BE">
        <w:rPr>
          <w:rFonts w:ascii="Arial" w:hAnsi="Arial" w:cs="Arial"/>
          <w:sz w:val="24"/>
          <w:szCs w:val="24"/>
          <w:lang w:val="ro-RO"/>
        </w:rPr>
        <w:t>.</w:t>
      </w:r>
      <w:r w:rsidR="006C60BD">
        <w:rPr>
          <w:rFonts w:ascii="Arial" w:hAnsi="Arial" w:cs="Arial"/>
          <w:sz w:val="24"/>
          <w:szCs w:val="24"/>
          <w:lang w:val="ro-RO"/>
        </w:rPr>
        <w:t xml:space="preserve"> </w:t>
      </w:r>
      <w:r w:rsidR="006C60BD" w:rsidRPr="006C60BD">
        <w:rPr>
          <w:rFonts w:ascii="Arial" w:hAnsi="Arial" w:cs="Arial"/>
          <w:sz w:val="24"/>
          <w:szCs w:val="24"/>
          <w:lang w:val="ro-RO"/>
        </w:rPr>
        <w:t>Rezultatele sunt exprimate la masa uscată</w:t>
      </w:r>
      <w:r w:rsidR="006C60BD">
        <w:rPr>
          <w:rFonts w:ascii="Arial" w:hAnsi="Arial" w:cs="Arial"/>
          <w:sz w:val="24"/>
          <w:szCs w:val="24"/>
          <w:lang w:val="ro-RO"/>
        </w:rPr>
        <w:t>.</w:t>
      </w:r>
    </w:p>
    <w:p w:rsidR="00A750B5" w:rsidRPr="00A750B5" w:rsidRDefault="00A750B5" w:rsidP="00D2177F">
      <w:pPr>
        <w:pStyle w:val="BodyText3"/>
        <w:widowControl w:val="0"/>
        <w:spacing w:after="0"/>
        <w:ind w:firstLine="720"/>
        <w:jc w:val="both"/>
        <w:rPr>
          <w:rFonts w:ascii="Arial" w:hAnsi="Arial" w:cs="Arial"/>
          <w:sz w:val="6"/>
          <w:szCs w:val="6"/>
          <w:lang w:val="ro-RO"/>
        </w:rPr>
      </w:pPr>
    </w:p>
    <w:p w:rsidR="004B576B" w:rsidRPr="0006443E" w:rsidRDefault="004B576B" w:rsidP="00D2177F">
      <w:pPr>
        <w:pStyle w:val="BodyText3"/>
        <w:widowControl w:val="0"/>
        <w:spacing w:after="0"/>
        <w:ind w:firstLine="720"/>
        <w:jc w:val="both"/>
        <w:rPr>
          <w:rFonts w:ascii="Arial" w:hAnsi="Arial" w:cs="Arial"/>
          <w:sz w:val="6"/>
          <w:szCs w:val="6"/>
          <w:lang w:val="ro-RO"/>
        </w:rPr>
      </w:pPr>
    </w:p>
    <w:p w:rsidR="005536A2" w:rsidRPr="002C24BE" w:rsidRDefault="005536A2" w:rsidP="005536A2">
      <w:pPr>
        <w:widowControl w:val="0"/>
        <w:spacing w:after="0" w:line="240" w:lineRule="auto"/>
        <w:jc w:val="center"/>
        <w:rPr>
          <w:rFonts w:ascii="Arial" w:hAnsi="Arial" w:cs="Arial"/>
          <w:lang w:val="ro-RO"/>
        </w:rPr>
      </w:pPr>
      <w:r w:rsidRPr="002C24BE">
        <w:rPr>
          <w:rFonts w:ascii="Arial" w:hAnsi="Arial" w:cs="Arial"/>
          <w:lang w:val="ro-RO"/>
        </w:rPr>
        <w:t>Fig. IX.4.1.1. Variația mediilor</w:t>
      </w:r>
      <w:r w:rsidRPr="005536A2">
        <w:rPr>
          <w:rFonts w:ascii="Arial" w:hAnsi="Arial" w:cs="Arial"/>
          <w:lang w:val="ro-RO"/>
        </w:rPr>
        <w:t xml:space="preserve"> </w:t>
      </w:r>
      <w:r w:rsidR="00216D4A" w:rsidRPr="002C24BE">
        <w:rPr>
          <w:rFonts w:ascii="Arial" w:hAnsi="Arial" w:cs="Arial"/>
          <w:lang w:val="ro-RO"/>
        </w:rPr>
        <w:t xml:space="preserve">și maximelor anuale </w:t>
      </w:r>
      <w:r w:rsidRPr="002C24BE">
        <w:rPr>
          <w:rFonts w:ascii="Arial" w:hAnsi="Arial" w:cs="Arial"/>
          <w:lang w:val="ro-RO"/>
        </w:rPr>
        <w:t xml:space="preserve">ale activității beta globale a probelor de sol necultivat </w:t>
      </w:r>
      <w:r w:rsidR="00216D4A">
        <w:rPr>
          <w:rFonts w:ascii="Arial" w:hAnsi="Arial" w:cs="Arial"/>
          <w:lang w:val="ro-RO"/>
        </w:rPr>
        <w:t xml:space="preserve"> </w:t>
      </w:r>
      <w:r w:rsidR="00C447E5" w:rsidRPr="002C24BE">
        <w:rPr>
          <w:rFonts w:ascii="Arial" w:hAnsi="Arial" w:cs="Arial"/>
          <w:lang w:val="ro-RO"/>
        </w:rPr>
        <w:t xml:space="preserve">în perioada 2013 </w:t>
      </w:r>
      <w:r w:rsidR="00C447E5">
        <w:rPr>
          <w:rFonts w:ascii="Arial" w:hAnsi="Arial" w:cs="Arial"/>
          <w:lang w:val="ro-RO"/>
        </w:rPr>
        <w:t>- 2017</w:t>
      </w:r>
      <w:r w:rsidR="00C447E5" w:rsidRPr="002C24BE">
        <w:rPr>
          <w:rFonts w:ascii="Arial" w:hAnsi="Arial" w:cs="Arial"/>
          <w:lang w:val="ro-RO"/>
        </w:rPr>
        <w:t xml:space="preserve"> </w:t>
      </w:r>
      <w:r w:rsidRPr="002C24BE">
        <w:rPr>
          <w:rFonts w:ascii="Arial" w:hAnsi="Arial" w:cs="Arial"/>
          <w:lang w:val="ro-RO"/>
        </w:rPr>
        <w:t>– măsurători la 5 zile de la prelevare</w:t>
      </w:r>
      <w:r w:rsidR="00C447E5">
        <w:rPr>
          <w:rFonts w:ascii="Arial" w:hAnsi="Arial" w:cs="Arial"/>
          <w:lang w:val="ro-RO"/>
        </w:rPr>
        <w:t>a săptămânală</w:t>
      </w:r>
      <w:r w:rsidRPr="002C24BE">
        <w:rPr>
          <w:rFonts w:ascii="Arial" w:hAnsi="Arial" w:cs="Arial"/>
          <w:lang w:val="ro-RO"/>
        </w:rPr>
        <w:t xml:space="preserve"> </w:t>
      </w:r>
    </w:p>
    <w:p w:rsidR="005536A2" w:rsidRPr="00C447E5" w:rsidRDefault="005536A2" w:rsidP="00512C20">
      <w:pPr>
        <w:widowControl w:val="0"/>
        <w:tabs>
          <w:tab w:val="left" w:pos="6262"/>
        </w:tabs>
        <w:spacing w:after="0" w:line="240" w:lineRule="auto"/>
        <w:jc w:val="center"/>
        <w:rPr>
          <w:rFonts w:ascii="Arial" w:hAnsi="Arial" w:cs="Arial"/>
          <w:sz w:val="10"/>
          <w:szCs w:val="10"/>
          <w:lang w:val="ro-RO"/>
        </w:rPr>
      </w:pPr>
    </w:p>
    <w:p w:rsidR="009C1B45" w:rsidRPr="002C24BE" w:rsidRDefault="009C1B45" w:rsidP="00B768AA">
      <w:pPr>
        <w:widowControl w:val="0"/>
        <w:tabs>
          <w:tab w:val="left" w:pos="6262"/>
        </w:tabs>
        <w:spacing w:after="0" w:line="240" w:lineRule="auto"/>
        <w:jc w:val="center"/>
        <w:rPr>
          <w:rFonts w:ascii="Arial" w:hAnsi="Arial" w:cs="Arial"/>
          <w:lang w:val="ro-RO"/>
        </w:rPr>
      </w:pPr>
      <w:r w:rsidRPr="002C24BE">
        <w:rPr>
          <w:rFonts w:ascii="Arial" w:hAnsi="Arial" w:cs="Arial"/>
          <w:noProof/>
          <w:lang w:val="ro-RO" w:eastAsia="ro-RO"/>
        </w:rPr>
        <w:drawing>
          <wp:inline distT="0" distB="0" distL="0" distR="0">
            <wp:extent cx="5553075" cy="1047750"/>
            <wp:effectExtent l="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5071" w:rsidRPr="00202111" w:rsidRDefault="00D85071" w:rsidP="00D2177F">
      <w:pPr>
        <w:pStyle w:val="Default"/>
        <w:widowControl w:val="0"/>
        <w:rPr>
          <w:color w:val="auto"/>
          <w:sz w:val="10"/>
          <w:szCs w:val="10"/>
        </w:rPr>
      </w:pPr>
    </w:p>
    <w:p w:rsidR="004B576B" w:rsidRPr="002C24BE" w:rsidRDefault="004B576B" w:rsidP="00D2177F">
      <w:pPr>
        <w:pStyle w:val="Default"/>
        <w:widowControl w:val="0"/>
        <w:rPr>
          <w:b/>
          <w:i/>
          <w:color w:val="auto"/>
        </w:rPr>
      </w:pPr>
      <w:r w:rsidRPr="002C24BE">
        <w:rPr>
          <w:b/>
          <w:i/>
          <w:color w:val="auto"/>
        </w:rPr>
        <w:t>IX.4.2. Program special</w:t>
      </w:r>
    </w:p>
    <w:p w:rsidR="004B576B" w:rsidRPr="002C24BE" w:rsidRDefault="004B576B" w:rsidP="00D2177F">
      <w:pPr>
        <w:pStyle w:val="Default"/>
        <w:widowControl w:val="0"/>
        <w:rPr>
          <w:b/>
          <w:i/>
          <w:color w:val="auto"/>
          <w:sz w:val="10"/>
          <w:szCs w:val="10"/>
        </w:rPr>
      </w:pPr>
    </w:p>
    <w:p w:rsidR="00C447E5" w:rsidRPr="002C24BE" w:rsidRDefault="004B576B" w:rsidP="00C447E5">
      <w:pPr>
        <w:widowControl w:val="0"/>
        <w:spacing w:after="0" w:line="240" w:lineRule="auto"/>
        <w:jc w:val="center"/>
        <w:rPr>
          <w:rFonts w:ascii="Arial" w:hAnsi="Arial" w:cs="Arial"/>
          <w:lang w:val="ro-RO"/>
        </w:rPr>
      </w:pPr>
      <w:r w:rsidRPr="002C24BE">
        <w:rPr>
          <w:rFonts w:ascii="Arial" w:hAnsi="Arial" w:cs="Arial"/>
          <w:lang w:val="ro-RO"/>
        </w:rPr>
        <w:t xml:space="preserve">Fig. IX.4.2.1. Sol necultivat – </w:t>
      </w:r>
      <w:r w:rsidR="00C447E5" w:rsidRPr="00CD5A99">
        <w:rPr>
          <w:rFonts w:ascii="Arial" w:hAnsi="Arial" w:cs="Arial"/>
          <w:lang w:val="ro-RO"/>
        </w:rPr>
        <w:t>medii anuale ale activităţilor beta globale în perioada 2013 - 2017</w:t>
      </w:r>
      <w:r w:rsidR="00C447E5" w:rsidRPr="002C24BE">
        <w:rPr>
          <w:rFonts w:ascii="Arial" w:hAnsi="Arial" w:cs="Arial"/>
          <w:lang w:val="ro-RO"/>
        </w:rPr>
        <w:t xml:space="preserve"> </w:t>
      </w:r>
    </w:p>
    <w:p w:rsidR="00C447E5" w:rsidRPr="002C24BE" w:rsidRDefault="00C447E5" w:rsidP="00C447E5">
      <w:pPr>
        <w:widowControl w:val="0"/>
        <w:spacing w:after="0" w:line="240" w:lineRule="auto"/>
        <w:jc w:val="center"/>
        <w:rPr>
          <w:rFonts w:ascii="Arial" w:hAnsi="Arial" w:cs="Arial"/>
          <w:lang w:val="ro-RO"/>
        </w:rPr>
      </w:pPr>
      <w:r w:rsidRPr="002C24BE">
        <w:rPr>
          <w:rFonts w:ascii="Arial" w:hAnsi="Arial" w:cs="Arial"/>
          <w:lang w:val="ro-RO"/>
        </w:rPr>
        <w:t>– măsurători la 5 zile de la prelevare probe</w:t>
      </w:r>
      <w:r>
        <w:rPr>
          <w:rFonts w:ascii="Arial" w:hAnsi="Arial" w:cs="Arial"/>
          <w:lang w:val="ro-RO"/>
        </w:rPr>
        <w:t xml:space="preserve"> </w:t>
      </w:r>
      <w:r w:rsidRPr="002C24BE">
        <w:rPr>
          <w:rFonts w:ascii="Arial" w:hAnsi="Arial" w:cs="Arial"/>
          <w:lang w:val="ro-RO"/>
        </w:rPr>
        <w:t>semestriale</w:t>
      </w:r>
      <w:r>
        <w:rPr>
          <w:rFonts w:ascii="Arial" w:hAnsi="Arial" w:cs="Arial"/>
          <w:lang w:val="ro-RO"/>
        </w:rPr>
        <w:t xml:space="preserve"> sau</w:t>
      </w:r>
      <w:r w:rsidRPr="00CD5A99">
        <w:rPr>
          <w:rFonts w:ascii="Arial" w:hAnsi="Arial" w:cs="Arial"/>
          <w:lang w:val="ro-RO"/>
        </w:rPr>
        <w:t xml:space="preserve"> anuale</w:t>
      </w:r>
    </w:p>
    <w:p w:rsidR="004B576B" w:rsidRPr="002C24BE" w:rsidRDefault="004B576B" w:rsidP="000D3B9D">
      <w:pPr>
        <w:pStyle w:val="Default"/>
        <w:widowControl w:val="0"/>
        <w:jc w:val="center"/>
      </w:pPr>
      <w:r w:rsidRPr="002C24BE">
        <w:rPr>
          <w:b/>
          <w:i/>
          <w:noProof/>
          <w:color w:val="auto"/>
          <w:lang w:eastAsia="ro-RO"/>
        </w:rPr>
        <w:drawing>
          <wp:inline distT="0" distB="0" distL="0" distR="0">
            <wp:extent cx="6343650" cy="1352550"/>
            <wp:effectExtent l="0" t="0" r="0" b="0"/>
            <wp:docPr id="3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71BE8" w:rsidRDefault="00271BE8" w:rsidP="00D2177F">
      <w:pPr>
        <w:pStyle w:val="Default"/>
        <w:widowControl w:val="0"/>
        <w:rPr>
          <w:b/>
          <w:bCs/>
          <w:iCs/>
          <w:color w:val="auto"/>
          <w:sz w:val="10"/>
          <w:szCs w:val="10"/>
        </w:rPr>
      </w:pPr>
    </w:p>
    <w:p w:rsidR="00202111" w:rsidRDefault="00C447E5" w:rsidP="00C447E5">
      <w:pPr>
        <w:pStyle w:val="BodyText3"/>
        <w:widowControl w:val="0"/>
        <w:spacing w:after="0"/>
        <w:ind w:firstLine="720"/>
        <w:jc w:val="both"/>
        <w:rPr>
          <w:rFonts w:ascii="Arial" w:hAnsi="Arial" w:cs="Arial"/>
          <w:sz w:val="24"/>
          <w:szCs w:val="24"/>
          <w:lang w:val="ro-RO"/>
        </w:rPr>
      </w:pPr>
      <w:r w:rsidRPr="002C24BE">
        <w:rPr>
          <w:rFonts w:ascii="Arial" w:hAnsi="Arial" w:cs="Arial"/>
          <w:sz w:val="24"/>
          <w:szCs w:val="24"/>
          <w:lang w:val="ro-RO"/>
        </w:rPr>
        <w:t xml:space="preserve">Analizând fig  IX.4.2.1. comparativ cu  fig. IX.4.1.1, se constată că activităţile beta globale </w:t>
      </w:r>
      <w:r w:rsidR="00EB0313">
        <w:rPr>
          <w:rFonts w:ascii="Arial" w:hAnsi="Arial" w:cs="Arial"/>
          <w:sz w:val="24"/>
          <w:szCs w:val="24"/>
          <w:lang w:val="ro-RO"/>
        </w:rPr>
        <w:t xml:space="preserve">medii anuale </w:t>
      </w:r>
      <w:r w:rsidRPr="002C24BE">
        <w:rPr>
          <w:rFonts w:ascii="Arial" w:hAnsi="Arial" w:cs="Arial"/>
          <w:sz w:val="24"/>
          <w:szCs w:val="24"/>
          <w:lang w:val="ro-RO"/>
        </w:rPr>
        <w:t>a</w:t>
      </w:r>
      <w:r w:rsidR="00202111">
        <w:rPr>
          <w:rFonts w:ascii="Arial" w:hAnsi="Arial" w:cs="Arial"/>
          <w:sz w:val="24"/>
          <w:szCs w:val="24"/>
          <w:lang w:val="ro-RO"/>
        </w:rPr>
        <w:t>le</w:t>
      </w:r>
      <w:r w:rsidRPr="002C24BE">
        <w:rPr>
          <w:rFonts w:ascii="Arial" w:hAnsi="Arial" w:cs="Arial"/>
          <w:sz w:val="24"/>
          <w:szCs w:val="24"/>
          <w:lang w:val="ro-RO"/>
        </w:rPr>
        <w:t xml:space="preserve"> probelor de sol prelevate în cadrul programului special</w:t>
      </w:r>
      <w:r w:rsidR="00EB0313">
        <w:rPr>
          <w:rFonts w:ascii="Arial" w:hAnsi="Arial" w:cs="Arial"/>
          <w:sz w:val="24"/>
          <w:szCs w:val="24"/>
          <w:lang w:val="ro-RO"/>
        </w:rPr>
        <w:t xml:space="preserve"> </w:t>
      </w:r>
      <w:r w:rsidRPr="002C24BE">
        <w:rPr>
          <w:rFonts w:ascii="Arial" w:hAnsi="Arial" w:cs="Arial"/>
          <w:sz w:val="24"/>
          <w:szCs w:val="24"/>
          <w:lang w:val="ro-RO"/>
        </w:rPr>
        <w:t>sunt comparabile cu cele măsurate la solul prelevat din municipiul Suceava (</w:t>
      </w:r>
      <w:r w:rsidR="00EB0313">
        <w:rPr>
          <w:rFonts w:ascii="Arial" w:hAnsi="Arial" w:cs="Arial"/>
          <w:sz w:val="24"/>
          <w:szCs w:val="24"/>
          <w:lang w:val="ro-RO"/>
        </w:rPr>
        <w:t>considerat martor)</w:t>
      </w:r>
      <w:r w:rsidRPr="002C24BE">
        <w:rPr>
          <w:rFonts w:ascii="Arial" w:hAnsi="Arial" w:cs="Arial"/>
          <w:sz w:val="24"/>
          <w:szCs w:val="24"/>
          <w:lang w:val="ro-RO"/>
        </w:rPr>
        <w:t xml:space="preserve">. </w:t>
      </w:r>
    </w:p>
    <w:p w:rsidR="009A71AF" w:rsidRDefault="009A71AF" w:rsidP="009A71AF">
      <w:pPr>
        <w:pStyle w:val="BodyText3"/>
        <w:widowControl w:val="0"/>
        <w:spacing w:after="0"/>
        <w:ind w:firstLine="720"/>
        <w:jc w:val="both"/>
        <w:rPr>
          <w:rFonts w:ascii="Arial" w:hAnsi="Arial" w:cs="Arial"/>
          <w:sz w:val="24"/>
          <w:szCs w:val="24"/>
          <w:lang w:val="ro-RO"/>
        </w:rPr>
      </w:pPr>
      <w:r w:rsidRPr="009A71AF">
        <w:rPr>
          <w:rFonts w:ascii="Arial" w:hAnsi="Arial" w:cs="Arial"/>
          <w:sz w:val="24"/>
          <w:szCs w:val="24"/>
          <w:lang w:val="ro-RO"/>
        </w:rPr>
        <w:t>N</w:t>
      </w:r>
      <w:r w:rsidR="00A24ACF" w:rsidRPr="009A71AF">
        <w:rPr>
          <w:rFonts w:ascii="Arial" w:hAnsi="Arial" w:cs="Arial"/>
          <w:sz w:val="24"/>
          <w:szCs w:val="24"/>
          <w:lang w:val="ro-RO"/>
        </w:rPr>
        <w:t xml:space="preserve">u se constată modificări semnificative ale radioactivității beta globale a solului din zonele supravegheate prin programul special, nici față de zona martor, nici de la un an la altul, în perioada analizată. </w:t>
      </w:r>
      <w:r w:rsidRPr="002C24BE">
        <w:rPr>
          <w:rFonts w:ascii="Arial" w:hAnsi="Arial" w:cs="Arial"/>
          <w:sz w:val="24"/>
          <w:szCs w:val="24"/>
          <w:lang w:val="ro-RO"/>
        </w:rPr>
        <w:t>Condiţiile meteorologice din perioada anterioară prelevărilor (ex. precipitaţii abundente sau seceta prelungită) influenţează radioactivitatea solului de la un moment dat.</w:t>
      </w:r>
    </w:p>
    <w:p w:rsidR="00202111" w:rsidRPr="00202111" w:rsidRDefault="00202111" w:rsidP="00C447E5">
      <w:pPr>
        <w:pStyle w:val="BodyText3"/>
        <w:widowControl w:val="0"/>
        <w:spacing w:after="0"/>
        <w:ind w:firstLine="720"/>
        <w:jc w:val="both"/>
        <w:rPr>
          <w:rFonts w:ascii="Arial" w:hAnsi="Arial" w:cs="Arial"/>
          <w:sz w:val="20"/>
          <w:szCs w:val="20"/>
          <w:lang w:val="ro-RO"/>
        </w:rPr>
      </w:pPr>
    </w:p>
    <w:p w:rsidR="004B576B" w:rsidRPr="002C24BE" w:rsidRDefault="004B576B" w:rsidP="00D2177F">
      <w:pPr>
        <w:pStyle w:val="Default"/>
        <w:widowControl w:val="0"/>
        <w:rPr>
          <w:b/>
          <w:bCs/>
          <w:iCs/>
          <w:color w:val="auto"/>
        </w:rPr>
      </w:pPr>
      <w:r w:rsidRPr="002C24BE">
        <w:rPr>
          <w:b/>
          <w:bCs/>
          <w:iCs/>
          <w:color w:val="auto"/>
        </w:rPr>
        <w:t xml:space="preserve">IX.5. Radioactivitatea vegetaţiei </w:t>
      </w:r>
    </w:p>
    <w:p w:rsidR="0006443E" w:rsidRPr="0006443E" w:rsidRDefault="0006443E" w:rsidP="0006443E">
      <w:pPr>
        <w:pStyle w:val="Default"/>
        <w:widowControl w:val="0"/>
        <w:rPr>
          <w:color w:val="auto"/>
          <w:sz w:val="12"/>
          <w:szCs w:val="12"/>
        </w:rPr>
      </w:pPr>
    </w:p>
    <w:p w:rsidR="004B576B" w:rsidRPr="002C24BE" w:rsidRDefault="004B576B" w:rsidP="00D2177F">
      <w:pPr>
        <w:pStyle w:val="Default"/>
        <w:widowControl w:val="0"/>
        <w:rPr>
          <w:b/>
          <w:i/>
          <w:color w:val="auto"/>
        </w:rPr>
      </w:pPr>
      <w:r w:rsidRPr="002C24BE">
        <w:rPr>
          <w:b/>
          <w:i/>
          <w:color w:val="auto"/>
        </w:rPr>
        <w:t>IX.5.1. Program standard</w:t>
      </w:r>
    </w:p>
    <w:p w:rsidR="004B576B" w:rsidRPr="002C24BE" w:rsidRDefault="004B576B" w:rsidP="00D2177F">
      <w:pPr>
        <w:pStyle w:val="Default"/>
        <w:widowControl w:val="0"/>
        <w:rPr>
          <w:b/>
          <w:color w:val="auto"/>
          <w:sz w:val="10"/>
          <w:szCs w:val="10"/>
        </w:rPr>
      </w:pPr>
    </w:p>
    <w:p w:rsidR="004B576B" w:rsidRPr="002C24BE" w:rsidRDefault="004B576B" w:rsidP="00666E22">
      <w:pPr>
        <w:pStyle w:val="Default"/>
        <w:widowControl w:val="0"/>
        <w:ind w:firstLine="720"/>
        <w:jc w:val="both"/>
      </w:pPr>
      <w:r w:rsidRPr="002C24BE">
        <w:t xml:space="preserve">Probele de vegetaţie spontană (iarbă) </w:t>
      </w:r>
      <w:r w:rsidR="00666E22" w:rsidRPr="002C24BE">
        <w:t>sunt</w:t>
      </w:r>
      <w:r w:rsidRPr="002C24BE">
        <w:t xml:space="preserve"> prelevate </w:t>
      </w:r>
      <w:r w:rsidR="00666E22" w:rsidRPr="002C24BE">
        <w:t xml:space="preserve">cu frecvenţă săptămânală, </w:t>
      </w:r>
      <w:r w:rsidRPr="002C24BE">
        <w:t xml:space="preserve">în perioada aprilie - octombrie, din </w:t>
      </w:r>
      <w:r w:rsidR="005B160F">
        <w:t>amplasamentul</w:t>
      </w:r>
      <w:r w:rsidR="005B160F" w:rsidRPr="002C24BE">
        <w:t xml:space="preserve"> </w:t>
      </w:r>
      <w:r w:rsidR="005B160F">
        <w:t>APM</w:t>
      </w:r>
      <w:r w:rsidRPr="002C24BE">
        <w:t xml:space="preserve"> Suceava, din cartierul Obcini, str. </w:t>
      </w:r>
      <w:r w:rsidRPr="002C24BE">
        <w:lastRenderedPageBreak/>
        <w:t>Bistriţei</w:t>
      </w:r>
      <w:r w:rsidR="00666E22" w:rsidRPr="002C24BE">
        <w:t xml:space="preserve"> 1A</w:t>
      </w:r>
      <w:r w:rsidRPr="002C24BE">
        <w:t xml:space="preserve">, </w:t>
      </w:r>
      <w:r w:rsidR="00666E22" w:rsidRPr="002C24BE">
        <w:t>Suceava. Măsurarea activităţii beta globale a probelor de vegetaţie s-a făcut la 5 zile de la prelevare – măsurători întârziate.</w:t>
      </w:r>
      <w:r w:rsidR="006C60BD">
        <w:t xml:space="preserve"> Rezultatele sunt exprimate la masa verde.</w:t>
      </w:r>
    </w:p>
    <w:p w:rsidR="004B576B" w:rsidRPr="0006443E" w:rsidRDefault="004B576B" w:rsidP="00D2177F">
      <w:pPr>
        <w:pStyle w:val="Default"/>
        <w:widowControl w:val="0"/>
        <w:ind w:firstLine="720"/>
        <w:rPr>
          <w:b/>
          <w:color w:val="auto"/>
          <w:sz w:val="6"/>
          <w:szCs w:val="6"/>
        </w:rPr>
      </w:pPr>
    </w:p>
    <w:p w:rsidR="00B2251B" w:rsidRPr="002C24BE" w:rsidRDefault="004B576B" w:rsidP="00B2251B">
      <w:pPr>
        <w:widowControl w:val="0"/>
        <w:spacing w:after="0" w:line="240" w:lineRule="auto"/>
        <w:jc w:val="center"/>
        <w:rPr>
          <w:rFonts w:ascii="Arial" w:hAnsi="Arial" w:cs="Arial"/>
          <w:lang w:val="ro-RO"/>
        </w:rPr>
      </w:pPr>
      <w:r w:rsidRPr="002C24BE">
        <w:rPr>
          <w:rFonts w:ascii="Arial" w:hAnsi="Arial" w:cs="Arial"/>
          <w:lang w:val="ro-RO"/>
        </w:rPr>
        <w:t>Fig. IX.5.1.1. Variația mediilor și maximelor anuale ale activității beta globale</w:t>
      </w:r>
      <w:r w:rsidR="00B2251B" w:rsidRPr="002C24BE">
        <w:rPr>
          <w:rFonts w:ascii="Arial" w:hAnsi="Arial" w:cs="Arial"/>
          <w:lang w:val="ro-RO"/>
        </w:rPr>
        <w:t xml:space="preserve"> </w:t>
      </w:r>
      <w:r w:rsidRPr="002C24BE">
        <w:rPr>
          <w:rFonts w:ascii="Arial" w:hAnsi="Arial" w:cs="Arial"/>
          <w:lang w:val="ro-RO"/>
        </w:rPr>
        <w:t xml:space="preserve">a probelor </w:t>
      </w:r>
    </w:p>
    <w:p w:rsidR="004B576B" w:rsidRPr="002C24BE" w:rsidRDefault="004B576B" w:rsidP="00B2251B">
      <w:pPr>
        <w:widowControl w:val="0"/>
        <w:spacing w:after="0" w:line="240" w:lineRule="auto"/>
        <w:jc w:val="center"/>
        <w:rPr>
          <w:rFonts w:ascii="Arial" w:hAnsi="Arial" w:cs="Arial"/>
          <w:lang w:val="ro-RO"/>
        </w:rPr>
      </w:pPr>
      <w:r w:rsidRPr="002C24BE">
        <w:rPr>
          <w:rFonts w:ascii="Arial" w:hAnsi="Arial" w:cs="Arial"/>
          <w:lang w:val="ro-RO"/>
        </w:rPr>
        <w:t>de</w:t>
      </w:r>
      <w:r w:rsidR="00666E22" w:rsidRPr="002C24BE">
        <w:rPr>
          <w:rFonts w:ascii="Arial" w:hAnsi="Arial" w:cs="Arial"/>
          <w:lang w:val="ro-RO"/>
        </w:rPr>
        <w:t xml:space="preserve"> </w:t>
      </w:r>
      <w:r w:rsidRPr="002C24BE">
        <w:rPr>
          <w:rFonts w:ascii="Arial" w:hAnsi="Arial" w:cs="Arial"/>
          <w:lang w:val="ro-RO"/>
        </w:rPr>
        <w:t>vegetaţie spontană</w:t>
      </w:r>
      <w:r w:rsidR="00B2251B" w:rsidRPr="002C24BE">
        <w:rPr>
          <w:rFonts w:ascii="Arial" w:hAnsi="Arial" w:cs="Arial"/>
          <w:lang w:val="ro-RO"/>
        </w:rPr>
        <w:t xml:space="preserve"> – măsurători la 5 zile de la prelevare</w:t>
      </w:r>
      <w:r w:rsidR="00EE4084" w:rsidRPr="002C24BE">
        <w:rPr>
          <w:rFonts w:ascii="Arial" w:hAnsi="Arial" w:cs="Arial"/>
          <w:lang w:val="ro-RO"/>
        </w:rPr>
        <w:t>, în perioada 2013</w:t>
      </w:r>
      <w:r w:rsidRPr="002C24BE">
        <w:rPr>
          <w:rFonts w:ascii="Arial" w:hAnsi="Arial" w:cs="Arial"/>
          <w:lang w:val="ro-RO"/>
        </w:rPr>
        <w:t xml:space="preserve"> –</w:t>
      </w:r>
      <w:r w:rsidR="00192E1B">
        <w:rPr>
          <w:rFonts w:ascii="Arial" w:hAnsi="Arial" w:cs="Arial"/>
          <w:lang w:val="ro-RO"/>
        </w:rPr>
        <w:t xml:space="preserve"> 2017</w:t>
      </w:r>
    </w:p>
    <w:p w:rsidR="004B576B" w:rsidRPr="002C24BE" w:rsidRDefault="004B576B" w:rsidP="00D2177F">
      <w:pPr>
        <w:widowControl w:val="0"/>
        <w:spacing w:after="0" w:line="240" w:lineRule="auto"/>
        <w:jc w:val="center"/>
        <w:rPr>
          <w:rFonts w:ascii="Arial" w:hAnsi="Arial" w:cs="Arial"/>
          <w:sz w:val="10"/>
          <w:szCs w:val="10"/>
          <w:lang w:val="ro-RO"/>
        </w:rPr>
      </w:pPr>
    </w:p>
    <w:p w:rsidR="004B576B" w:rsidRPr="002C24BE" w:rsidRDefault="004B576B" w:rsidP="00AB6E65">
      <w:pPr>
        <w:widowControl w:val="0"/>
        <w:tabs>
          <w:tab w:val="left" w:pos="6262"/>
        </w:tabs>
        <w:spacing w:after="0" w:line="240" w:lineRule="auto"/>
        <w:jc w:val="center"/>
        <w:rPr>
          <w:rFonts w:ascii="Arial" w:hAnsi="Arial" w:cs="Arial"/>
          <w:lang w:val="ro-RO"/>
        </w:rPr>
      </w:pPr>
      <w:r w:rsidRPr="002C24BE">
        <w:rPr>
          <w:rFonts w:ascii="Arial" w:hAnsi="Arial" w:cs="Arial"/>
          <w:noProof/>
          <w:lang w:val="ro-RO" w:eastAsia="ro-RO"/>
        </w:rPr>
        <w:drawing>
          <wp:inline distT="0" distB="0" distL="0" distR="0">
            <wp:extent cx="5743575" cy="962025"/>
            <wp:effectExtent l="0" t="0" r="0" b="0"/>
            <wp:docPr id="3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72E97" w:rsidRPr="0006443E" w:rsidRDefault="00872E97" w:rsidP="00872E97">
      <w:pPr>
        <w:pStyle w:val="Default"/>
        <w:widowControl w:val="0"/>
        <w:jc w:val="both"/>
        <w:rPr>
          <w:b/>
          <w:i/>
          <w:color w:val="auto"/>
          <w:sz w:val="10"/>
          <w:szCs w:val="10"/>
        </w:rPr>
      </w:pPr>
    </w:p>
    <w:p w:rsidR="004B576B" w:rsidRPr="002C24BE" w:rsidRDefault="004B576B" w:rsidP="00D2177F">
      <w:pPr>
        <w:pStyle w:val="Default"/>
        <w:widowControl w:val="0"/>
        <w:rPr>
          <w:b/>
          <w:i/>
          <w:color w:val="auto"/>
        </w:rPr>
      </w:pPr>
      <w:r w:rsidRPr="002C24BE">
        <w:rPr>
          <w:b/>
          <w:i/>
          <w:color w:val="auto"/>
        </w:rPr>
        <w:t>IX.5.2. Program special</w:t>
      </w:r>
    </w:p>
    <w:p w:rsidR="004B576B" w:rsidRPr="002C24BE" w:rsidRDefault="004B576B" w:rsidP="00D2177F">
      <w:pPr>
        <w:pStyle w:val="Default"/>
        <w:widowControl w:val="0"/>
        <w:rPr>
          <w:b/>
          <w:i/>
          <w:color w:val="auto"/>
          <w:sz w:val="10"/>
          <w:szCs w:val="10"/>
        </w:rPr>
      </w:pPr>
    </w:p>
    <w:p w:rsidR="006C60BD" w:rsidRDefault="004B576B" w:rsidP="006C60BD">
      <w:pPr>
        <w:widowControl w:val="0"/>
        <w:spacing w:after="0" w:line="240" w:lineRule="auto"/>
        <w:jc w:val="center"/>
        <w:rPr>
          <w:rFonts w:ascii="Arial" w:hAnsi="Arial" w:cs="Arial"/>
          <w:lang w:val="ro-RO"/>
        </w:rPr>
      </w:pPr>
      <w:r w:rsidRPr="002C24BE">
        <w:rPr>
          <w:rFonts w:ascii="Arial" w:hAnsi="Arial" w:cs="Arial"/>
          <w:lang w:val="ro-RO"/>
        </w:rPr>
        <w:t>Fig. IX.5.2.1. Vegetaţie spontană –</w:t>
      </w:r>
      <w:r w:rsidR="006C60BD" w:rsidRPr="002C24BE">
        <w:rPr>
          <w:rFonts w:ascii="Arial" w:hAnsi="Arial" w:cs="Arial"/>
          <w:lang w:val="ro-RO"/>
        </w:rPr>
        <w:t xml:space="preserve"> </w:t>
      </w:r>
      <w:r w:rsidR="006C60BD" w:rsidRPr="00CD5A99">
        <w:rPr>
          <w:rFonts w:ascii="Arial" w:hAnsi="Arial" w:cs="Arial"/>
          <w:lang w:val="ro-RO"/>
        </w:rPr>
        <w:t xml:space="preserve">medii anuale ale activităţilor beta globale în perioada </w:t>
      </w:r>
    </w:p>
    <w:p w:rsidR="006C60BD" w:rsidRDefault="006C60BD" w:rsidP="006C60BD">
      <w:pPr>
        <w:widowControl w:val="0"/>
        <w:spacing w:after="0" w:line="240" w:lineRule="auto"/>
        <w:jc w:val="center"/>
        <w:rPr>
          <w:rFonts w:ascii="Arial" w:hAnsi="Arial" w:cs="Arial"/>
          <w:lang w:val="ro-RO"/>
        </w:rPr>
      </w:pPr>
      <w:r w:rsidRPr="00CD5A99">
        <w:rPr>
          <w:rFonts w:ascii="Arial" w:hAnsi="Arial" w:cs="Arial"/>
          <w:lang w:val="ro-RO"/>
        </w:rPr>
        <w:t>2013 - 2017</w:t>
      </w:r>
      <w:r w:rsidRPr="002C24BE">
        <w:rPr>
          <w:rFonts w:ascii="Arial" w:hAnsi="Arial" w:cs="Arial"/>
          <w:lang w:val="ro-RO"/>
        </w:rPr>
        <w:t xml:space="preserve"> – măsurători la 5 zile de la prelevare probe</w:t>
      </w:r>
      <w:r>
        <w:rPr>
          <w:rFonts w:ascii="Arial" w:hAnsi="Arial" w:cs="Arial"/>
          <w:lang w:val="ro-RO"/>
        </w:rPr>
        <w:t xml:space="preserve"> </w:t>
      </w:r>
      <w:r w:rsidRPr="002C24BE">
        <w:rPr>
          <w:rFonts w:ascii="Arial" w:hAnsi="Arial" w:cs="Arial"/>
          <w:lang w:val="ro-RO"/>
        </w:rPr>
        <w:t>semestriale</w:t>
      </w:r>
      <w:r>
        <w:rPr>
          <w:rFonts w:ascii="Arial" w:hAnsi="Arial" w:cs="Arial"/>
          <w:lang w:val="ro-RO"/>
        </w:rPr>
        <w:t xml:space="preserve"> sau</w:t>
      </w:r>
      <w:r w:rsidRPr="00CD5A99">
        <w:rPr>
          <w:rFonts w:ascii="Arial" w:hAnsi="Arial" w:cs="Arial"/>
          <w:lang w:val="ro-RO"/>
        </w:rPr>
        <w:t xml:space="preserve"> anuale</w:t>
      </w:r>
    </w:p>
    <w:p w:rsidR="002F1C9A" w:rsidRPr="002F1C9A" w:rsidRDefault="002F1C9A" w:rsidP="006C60BD">
      <w:pPr>
        <w:widowControl w:val="0"/>
        <w:spacing w:after="0" w:line="240" w:lineRule="auto"/>
        <w:jc w:val="center"/>
        <w:rPr>
          <w:rFonts w:ascii="Arial" w:hAnsi="Arial" w:cs="Arial"/>
          <w:sz w:val="10"/>
          <w:szCs w:val="10"/>
          <w:lang w:val="ro-RO"/>
        </w:rPr>
      </w:pPr>
    </w:p>
    <w:p w:rsidR="004B576B" w:rsidRPr="002C24BE" w:rsidRDefault="001D78DF" w:rsidP="00EB0313">
      <w:pPr>
        <w:widowControl w:val="0"/>
        <w:spacing w:after="0" w:line="240" w:lineRule="auto"/>
        <w:rPr>
          <w:rFonts w:ascii="Arial" w:hAnsi="Arial" w:cs="Arial"/>
          <w:sz w:val="10"/>
          <w:szCs w:val="10"/>
          <w:lang w:val="ro-RO"/>
        </w:rPr>
      </w:pPr>
      <w:r w:rsidRPr="002C24BE">
        <w:rPr>
          <w:rFonts w:ascii="Arial" w:hAnsi="Arial" w:cs="Arial"/>
          <w:noProof/>
          <w:sz w:val="10"/>
          <w:szCs w:val="10"/>
          <w:lang w:val="ro-RO" w:eastAsia="ro-RO"/>
        </w:rPr>
        <w:drawing>
          <wp:inline distT="0" distB="0" distL="0" distR="0">
            <wp:extent cx="6181725" cy="1362075"/>
            <wp:effectExtent l="0" t="0" r="0" b="0"/>
            <wp:docPr id="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B0313" w:rsidRPr="00EB0313" w:rsidRDefault="00EB0313" w:rsidP="006C60BD">
      <w:pPr>
        <w:pStyle w:val="Default"/>
        <w:widowControl w:val="0"/>
        <w:ind w:firstLine="720"/>
        <w:jc w:val="both"/>
        <w:rPr>
          <w:sz w:val="10"/>
          <w:szCs w:val="10"/>
        </w:rPr>
      </w:pPr>
    </w:p>
    <w:p w:rsidR="00EB0313" w:rsidRDefault="00B2251B" w:rsidP="006C60BD">
      <w:pPr>
        <w:pStyle w:val="Default"/>
        <w:widowControl w:val="0"/>
        <w:ind w:firstLine="720"/>
        <w:jc w:val="both"/>
      </w:pPr>
      <w:r w:rsidRPr="002C24BE">
        <w:t>Analizând fig  IX.5.2</w:t>
      </w:r>
      <w:r w:rsidR="008643FB" w:rsidRPr="002C24BE">
        <w:t xml:space="preserve">.1. comparativ cu </w:t>
      </w:r>
      <w:r w:rsidRPr="002C24BE">
        <w:t xml:space="preserve">fig. IX.5.1.1. se constată că activităţile beta globale </w:t>
      </w:r>
      <w:r w:rsidR="00EB0313">
        <w:t xml:space="preserve">medii anuale </w:t>
      </w:r>
      <w:r w:rsidRPr="002C24BE">
        <w:t>a</w:t>
      </w:r>
      <w:r w:rsidR="00EB0313">
        <w:t>le</w:t>
      </w:r>
      <w:r w:rsidRPr="002C24BE">
        <w:t xml:space="preserve"> probelor de vegetaţie spontană prelevate în cadrul programului special sunt comparabile</w:t>
      </w:r>
      <w:r w:rsidR="00EB0313">
        <w:t xml:space="preserve"> </w:t>
      </w:r>
      <w:r w:rsidR="00EB0313" w:rsidRPr="002C24BE">
        <w:t xml:space="preserve">cu cele măsurate la </w:t>
      </w:r>
      <w:r w:rsidR="00EB0313">
        <w:t>vegetația</w:t>
      </w:r>
      <w:r w:rsidR="00EB0313" w:rsidRPr="002C24BE">
        <w:t xml:space="preserve"> prelevat</w:t>
      </w:r>
      <w:r w:rsidR="00EB0313">
        <w:t>ă</w:t>
      </w:r>
      <w:r w:rsidR="00EB0313" w:rsidRPr="002C24BE">
        <w:t xml:space="preserve"> din </w:t>
      </w:r>
      <w:r w:rsidR="00EB0313">
        <w:t>punctul sediu APM</w:t>
      </w:r>
      <w:r w:rsidR="00EB0313" w:rsidRPr="002C24BE">
        <w:t xml:space="preserve"> Suceava (</w:t>
      </w:r>
      <w:r w:rsidR="00EB0313">
        <w:t>considerat martor)</w:t>
      </w:r>
      <w:r w:rsidR="00EB0313" w:rsidRPr="002C24BE">
        <w:t>.</w:t>
      </w:r>
      <w:r w:rsidRPr="002C24BE">
        <w:t xml:space="preserve"> </w:t>
      </w:r>
    </w:p>
    <w:p w:rsidR="006C60BD" w:rsidRDefault="00A24ACF" w:rsidP="006C60BD">
      <w:pPr>
        <w:pStyle w:val="Default"/>
        <w:widowControl w:val="0"/>
        <w:ind w:firstLine="720"/>
        <w:jc w:val="both"/>
        <w:rPr>
          <w:color w:val="auto"/>
        </w:rPr>
      </w:pPr>
      <w:r>
        <w:t>N</w:t>
      </w:r>
      <w:r w:rsidR="00B2251B" w:rsidRPr="002C24BE">
        <w:t>u se constatată modific</w:t>
      </w:r>
      <w:r>
        <w:t>ări</w:t>
      </w:r>
      <w:r w:rsidR="00B2251B" w:rsidRPr="002C24BE">
        <w:t xml:space="preserve"> semnificativ</w:t>
      </w:r>
      <w:r>
        <w:t>e</w:t>
      </w:r>
      <w:r w:rsidR="00B2251B" w:rsidRPr="002C24BE">
        <w:t xml:space="preserve"> a</w:t>
      </w:r>
      <w:r>
        <w:t>le</w:t>
      </w:r>
      <w:r w:rsidR="00B2251B" w:rsidRPr="002C24BE">
        <w:t xml:space="preserve"> </w:t>
      </w:r>
      <w:r w:rsidR="00EB0313">
        <w:t>radioactivității beta globale a</w:t>
      </w:r>
      <w:r w:rsidR="00B2251B" w:rsidRPr="002C24BE">
        <w:t xml:space="preserve"> vegetaţi</w:t>
      </w:r>
      <w:r w:rsidR="00EB0313">
        <w:t>ei</w:t>
      </w:r>
      <w:r w:rsidR="00B2251B" w:rsidRPr="002C24BE">
        <w:t xml:space="preserve"> spontan</w:t>
      </w:r>
      <w:r w:rsidR="00EB0313">
        <w:t>e</w:t>
      </w:r>
      <w:r w:rsidR="00B2251B" w:rsidRPr="002C24BE">
        <w:t xml:space="preserve"> </w:t>
      </w:r>
      <w:r w:rsidR="00ED41D1" w:rsidRPr="002C24BE">
        <w:t>di</w:t>
      </w:r>
      <w:r w:rsidR="00B2251B" w:rsidRPr="002C24BE">
        <w:t>n zonele supravegheate prin programul special</w:t>
      </w:r>
      <w:r w:rsidR="00EB0313">
        <w:t>, nici față de zona martor, nici de la un an la altul</w:t>
      </w:r>
      <w:r w:rsidR="00B2251B" w:rsidRPr="002C24BE">
        <w:t>.</w:t>
      </w:r>
      <w:r w:rsidR="006C60BD" w:rsidRPr="006C60BD">
        <w:rPr>
          <w:color w:val="auto"/>
        </w:rPr>
        <w:t xml:space="preserve"> </w:t>
      </w:r>
    </w:p>
    <w:p w:rsidR="00B2251B" w:rsidRPr="002C24BE" w:rsidRDefault="00B2251B" w:rsidP="0006443E">
      <w:pPr>
        <w:pStyle w:val="BodyText3"/>
        <w:widowControl w:val="0"/>
        <w:spacing w:after="0"/>
        <w:ind w:firstLine="720"/>
        <w:jc w:val="both"/>
      </w:pPr>
    </w:p>
    <w:sectPr w:rsidR="00B2251B" w:rsidRPr="002C24BE" w:rsidSect="00326B38">
      <w:headerReference w:type="default" r:id="rId32"/>
      <w:footerReference w:type="default" r:id="rId33"/>
      <w:pgSz w:w="11907" w:h="16839" w:code="9"/>
      <w:pgMar w:top="624" w:right="708" w:bottom="1021" w:left="1418" w:header="709" w:footer="709" w:gutter="0"/>
      <w:pgNumType w:start="1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66" w:rsidRDefault="00F94166" w:rsidP="0010560A">
      <w:pPr>
        <w:spacing w:after="0" w:line="240" w:lineRule="auto"/>
      </w:pPr>
      <w:r>
        <w:separator/>
      </w:r>
    </w:p>
  </w:endnote>
  <w:endnote w:type="continuationSeparator" w:id="0">
    <w:p w:rsidR="00F94166" w:rsidRDefault="00F9416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7734"/>
      <w:docPartObj>
        <w:docPartGallery w:val="Page Numbers (Bottom of Page)"/>
        <w:docPartUnique/>
      </w:docPartObj>
    </w:sdtPr>
    <w:sdtContent>
      <w:p w:rsidR="00C447E5" w:rsidRPr="00592851" w:rsidRDefault="00431CC6" w:rsidP="00592851">
        <w:pPr>
          <w:pStyle w:val="Footer"/>
          <w:jc w:val="center"/>
        </w:pPr>
        <w:r w:rsidRPr="004B576B">
          <w:rPr>
            <w:rFonts w:ascii="Arial" w:hAnsi="Arial" w:cs="Arial"/>
            <w:sz w:val="20"/>
            <w:szCs w:val="20"/>
          </w:rPr>
          <w:fldChar w:fldCharType="begin"/>
        </w:r>
        <w:r w:rsidR="00C447E5" w:rsidRPr="004B576B">
          <w:rPr>
            <w:rFonts w:ascii="Arial" w:hAnsi="Arial" w:cs="Arial"/>
            <w:sz w:val="20"/>
            <w:szCs w:val="20"/>
          </w:rPr>
          <w:instrText xml:space="preserve"> PAGE   \* MERGEFORMAT </w:instrText>
        </w:r>
        <w:r w:rsidRPr="004B576B">
          <w:rPr>
            <w:rFonts w:ascii="Arial" w:hAnsi="Arial" w:cs="Arial"/>
            <w:sz w:val="20"/>
            <w:szCs w:val="20"/>
          </w:rPr>
          <w:fldChar w:fldCharType="separate"/>
        </w:r>
        <w:r w:rsidR="000D47C4">
          <w:rPr>
            <w:rFonts w:ascii="Arial" w:hAnsi="Arial" w:cs="Arial"/>
            <w:noProof/>
            <w:sz w:val="20"/>
            <w:szCs w:val="20"/>
          </w:rPr>
          <w:t>116</w:t>
        </w:r>
        <w:r w:rsidRPr="004B576B">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66" w:rsidRDefault="00F94166" w:rsidP="0010560A">
      <w:pPr>
        <w:spacing w:after="0" w:line="240" w:lineRule="auto"/>
      </w:pPr>
      <w:r>
        <w:separator/>
      </w:r>
    </w:p>
  </w:footnote>
  <w:footnote w:type="continuationSeparator" w:id="0">
    <w:p w:rsidR="00F94166" w:rsidRDefault="00F94166" w:rsidP="0010560A">
      <w:pPr>
        <w:spacing w:after="0" w:line="240" w:lineRule="auto"/>
      </w:pPr>
      <w:r>
        <w:continuationSeparator/>
      </w:r>
    </w:p>
  </w:footnote>
  <w:footnote w:id="1">
    <w:p w:rsidR="00C447E5" w:rsidRPr="000D47C4" w:rsidRDefault="00C447E5" w:rsidP="000563E7">
      <w:pPr>
        <w:pStyle w:val="FootnoteText"/>
        <w:rPr>
          <w:rFonts w:ascii="Arial" w:hAnsi="Arial" w:cs="Arial"/>
          <w:lang w:val="ro-RO"/>
        </w:rPr>
      </w:pPr>
      <w:r w:rsidRPr="000D47C4">
        <w:rPr>
          <w:rStyle w:val="FootnoteReference"/>
          <w:rFonts w:ascii="Arial" w:hAnsi="Arial" w:cs="Arial"/>
        </w:rPr>
        <w:footnoteRef/>
      </w:r>
      <w:r w:rsidRPr="000D47C4">
        <w:rPr>
          <w:rFonts w:ascii="Arial" w:hAnsi="Arial" w:cs="Arial"/>
        </w:rPr>
        <w:t xml:space="preserve"> </w:t>
      </w:r>
      <w:r w:rsidRPr="000D47C4">
        <w:rPr>
          <w:rFonts w:ascii="Arial" w:hAnsi="Arial" w:cs="Arial"/>
          <w:lang w:val="ro-RO"/>
        </w:rPr>
        <w:t>Raportul privind starea mediului în România în anul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E5" w:rsidRPr="005E7D7A" w:rsidRDefault="00C447E5" w:rsidP="00350FCC">
    <w:pPr>
      <w:pStyle w:val="Header"/>
      <w:rPr>
        <w:rFonts w:ascii="Arial" w:hAnsi="Arial" w:cs="Arial"/>
        <w:b/>
        <w:i/>
        <w:sz w:val="20"/>
        <w:lang w:val="ro-RO"/>
      </w:rPr>
    </w:pPr>
    <w:r w:rsidRPr="005E7D7A">
      <w:rPr>
        <w:rFonts w:ascii="Arial" w:hAnsi="Arial" w:cs="Arial"/>
        <w:b/>
        <w:i/>
        <w:sz w:val="20"/>
        <w:lang w:val="ro-RO"/>
      </w:rPr>
      <w:t>Raport privind starea mediului în judeţul Suceava în anul 201</w:t>
    </w:r>
    <w:r>
      <w:rPr>
        <w:rFonts w:ascii="Arial" w:hAnsi="Arial" w:cs="Arial"/>
        <w:b/>
        <w:i/>
        <w:sz w:val="20"/>
        <w:lang w:val="ro-RO"/>
      </w:rPr>
      <w:t>7</w:t>
    </w:r>
  </w:p>
  <w:p w:rsidR="00C447E5" w:rsidRDefault="00431CC6" w:rsidP="00350FCC">
    <w:pPr>
      <w:pStyle w:val="Header"/>
      <w:tabs>
        <w:tab w:val="left" w:pos="2880"/>
      </w:tabs>
    </w:pPr>
    <w:r w:rsidRPr="00431CC6">
      <w:rPr>
        <w:noProof/>
        <w:lang w:val="en-AU"/>
      </w:rPr>
      <w:pict>
        <v:line id="_x0000_s2061" style="position:absolute;flip:y;z-index:251660288" from=".9pt,3.45pt" to="495.3pt,3.45pt"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444"/>
    <w:multiLevelType w:val="hybridMultilevel"/>
    <w:tmpl w:val="8FAAE6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0D530E"/>
    <w:multiLevelType w:val="hybridMultilevel"/>
    <w:tmpl w:val="40CA01A8"/>
    <w:lvl w:ilvl="0" w:tplc="04180015">
      <w:start w:val="1"/>
      <w:numFmt w:val="upp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2E872BAA"/>
    <w:multiLevelType w:val="hybridMultilevel"/>
    <w:tmpl w:val="FDC8955C"/>
    <w:lvl w:ilvl="0" w:tplc="8842D3C0">
      <w:start w:val="1"/>
      <w:numFmt w:val="lowerLetter"/>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28C6994"/>
    <w:multiLevelType w:val="hybridMultilevel"/>
    <w:tmpl w:val="843A0F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34D60E2"/>
    <w:multiLevelType w:val="hybridMultilevel"/>
    <w:tmpl w:val="E8E2D11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4E3E717D"/>
    <w:multiLevelType w:val="hybridMultilevel"/>
    <w:tmpl w:val="4B3475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0620138"/>
    <w:multiLevelType w:val="hybridMultilevel"/>
    <w:tmpl w:val="CC78B72E"/>
    <w:lvl w:ilvl="0" w:tplc="F22067D4">
      <w:start w:val="1"/>
      <w:numFmt w:val="lowerLetter"/>
      <w:lvlText w:val="%1)"/>
      <w:lvlJc w:val="left"/>
      <w:pPr>
        <w:ind w:left="360" w:hanging="360"/>
      </w:pPr>
      <w:rPr>
        <w:rFonts w:hint="default"/>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96C594A"/>
    <w:multiLevelType w:val="hybridMultilevel"/>
    <w:tmpl w:val="DC8C9B6E"/>
    <w:lvl w:ilvl="0" w:tplc="C0365A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647D6B3A"/>
    <w:multiLevelType w:val="hybridMultilevel"/>
    <w:tmpl w:val="D1DC5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5F47E5D"/>
    <w:multiLevelType w:val="hybridMultilevel"/>
    <w:tmpl w:val="F4749F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7">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7321AD0"/>
    <w:multiLevelType w:val="hybridMultilevel"/>
    <w:tmpl w:val="996E97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82042C6"/>
    <w:multiLevelType w:val="hybridMultilevel"/>
    <w:tmpl w:val="C48E0E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7FC907DB"/>
    <w:multiLevelType w:val="hybridMultilevel"/>
    <w:tmpl w:val="95DEF9B8"/>
    <w:lvl w:ilvl="0" w:tplc="EFCE33D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2"/>
  </w:num>
  <w:num w:numId="3">
    <w:abstractNumId w:val="5"/>
  </w:num>
  <w:num w:numId="4">
    <w:abstractNumId w:val="11"/>
  </w:num>
  <w:num w:numId="5">
    <w:abstractNumId w:val="1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4"/>
  </w:num>
  <w:num w:numId="10">
    <w:abstractNumId w:val="3"/>
  </w:num>
  <w:num w:numId="11">
    <w:abstractNumId w:val="10"/>
  </w:num>
  <w:num w:numId="12">
    <w:abstractNumId w:val="12"/>
  </w:num>
  <w:num w:numId="13">
    <w:abstractNumId w:val="18"/>
  </w:num>
  <w:num w:numId="14">
    <w:abstractNumId w:val="1"/>
  </w:num>
  <w:num w:numId="15">
    <w:abstractNumId w:val="21"/>
  </w:num>
  <w:num w:numId="16">
    <w:abstractNumId w:val="6"/>
  </w:num>
  <w:num w:numId="17">
    <w:abstractNumId w:val="7"/>
  </w:num>
  <w:num w:numId="18">
    <w:abstractNumId w:val="19"/>
  </w:num>
  <w:num w:numId="19">
    <w:abstractNumId w:val="4"/>
  </w:num>
  <w:num w:numId="20">
    <w:abstractNumId w:val="9"/>
  </w:num>
  <w:num w:numId="21">
    <w:abstractNumId w:val="0"/>
  </w:num>
  <w:num w:numId="22">
    <w:abstractNumId w:val="13"/>
  </w:num>
  <w:num w:numId="23">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7826">
      <o:colormru v:ext="edit" colors="#00214e"/>
      <o:colormenu v:ext="edit" fillcolor="none" strokecolor="none"/>
    </o:shapedefaults>
    <o:shapelayout v:ext="edit">
      <o:idmap v:ext="edit" data="2"/>
    </o:shapelayout>
  </w:hdrShapeDefaults>
  <w:footnotePr>
    <w:footnote w:id="-1"/>
    <w:footnote w:id="0"/>
  </w:footnotePr>
  <w:endnotePr>
    <w:endnote w:id="-1"/>
    <w:endnote w:id="0"/>
  </w:endnotePr>
  <w:compat/>
  <w:rsids>
    <w:rsidRoot w:val="0010560A"/>
    <w:rsid w:val="000011F8"/>
    <w:rsid w:val="00001A64"/>
    <w:rsid w:val="00004DB0"/>
    <w:rsid w:val="00005422"/>
    <w:rsid w:val="000119E7"/>
    <w:rsid w:val="00011C18"/>
    <w:rsid w:val="00011C4D"/>
    <w:rsid w:val="00012C33"/>
    <w:rsid w:val="00014459"/>
    <w:rsid w:val="00014F99"/>
    <w:rsid w:val="00016371"/>
    <w:rsid w:val="0002072E"/>
    <w:rsid w:val="00020E63"/>
    <w:rsid w:val="00023B1A"/>
    <w:rsid w:val="00023D48"/>
    <w:rsid w:val="00032F3D"/>
    <w:rsid w:val="0003323B"/>
    <w:rsid w:val="000336A1"/>
    <w:rsid w:val="000375DB"/>
    <w:rsid w:val="000419B5"/>
    <w:rsid w:val="00044C51"/>
    <w:rsid w:val="000450B6"/>
    <w:rsid w:val="000453AC"/>
    <w:rsid w:val="00046049"/>
    <w:rsid w:val="00052E68"/>
    <w:rsid w:val="00053C91"/>
    <w:rsid w:val="00055043"/>
    <w:rsid w:val="00055878"/>
    <w:rsid w:val="000563E7"/>
    <w:rsid w:val="000567A2"/>
    <w:rsid w:val="0006005F"/>
    <w:rsid w:val="000604C5"/>
    <w:rsid w:val="0006443E"/>
    <w:rsid w:val="000679FE"/>
    <w:rsid w:val="00073AF7"/>
    <w:rsid w:val="0007594F"/>
    <w:rsid w:val="00082B8C"/>
    <w:rsid w:val="000866DE"/>
    <w:rsid w:val="00086B9A"/>
    <w:rsid w:val="0008763A"/>
    <w:rsid w:val="00091956"/>
    <w:rsid w:val="00093049"/>
    <w:rsid w:val="000943EF"/>
    <w:rsid w:val="00095760"/>
    <w:rsid w:val="00095B0F"/>
    <w:rsid w:val="000961A9"/>
    <w:rsid w:val="00097FA1"/>
    <w:rsid w:val="000A32BD"/>
    <w:rsid w:val="000A4071"/>
    <w:rsid w:val="000A6385"/>
    <w:rsid w:val="000A6A40"/>
    <w:rsid w:val="000A78A6"/>
    <w:rsid w:val="000A7BFA"/>
    <w:rsid w:val="000B358E"/>
    <w:rsid w:val="000B3CD7"/>
    <w:rsid w:val="000B4DB8"/>
    <w:rsid w:val="000B4E57"/>
    <w:rsid w:val="000B574C"/>
    <w:rsid w:val="000B6C47"/>
    <w:rsid w:val="000B7629"/>
    <w:rsid w:val="000C4375"/>
    <w:rsid w:val="000C44C2"/>
    <w:rsid w:val="000C48A9"/>
    <w:rsid w:val="000D026C"/>
    <w:rsid w:val="000D0742"/>
    <w:rsid w:val="000D0ED4"/>
    <w:rsid w:val="000D3B9D"/>
    <w:rsid w:val="000D47C4"/>
    <w:rsid w:val="000D592A"/>
    <w:rsid w:val="000D6CE3"/>
    <w:rsid w:val="000D778F"/>
    <w:rsid w:val="000D7D64"/>
    <w:rsid w:val="000E3BD5"/>
    <w:rsid w:val="000E649C"/>
    <w:rsid w:val="000E78F5"/>
    <w:rsid w:val="000F0457"/>
    <w:rsid w:val="000F2209"/>
    <w:rsid w:val="000F3C03"/>
    <w:rsid w:val="000F4697"/>
    <w:rsid w:val="000F5694"/>
    <w:rsid w:val="000F58BE"/>
    <w:rsid w:val="000F644B"/>
    <w:rsid w:val="000F6504"/>
    <w:rsid w:val="00102E21"/>
    <w:rsid w:val="00105529"/>
    <w:rsid w:val="0010560A"/>
    <w:rsid w:val="00106661"/>
    <w:rsid w:val="001120AD"/>
    <w:rsid w:val="00117887"/>
    <w:rsid w:val="00117CBE"/>
    <w:rsid w:val="00122B31"/>
    <w:rsid w:val="00122F9E"/>
    <w:rsid w:val="00123691"/>
    <w:rsid w:val="001245E4"/>
    <w:rsid w:val="001265E9"/>
    <w:rsid w:val="00126E75"/>
    <w:rsid w:val="001274F0"/>
    <w:rsid w:val="00130855"/>
    <w:rsid w:val="00130C75"/>
    <w:rsid w:val="00134C6E"/>
    <w:rsid w:val="00136F14"/>
    <w:rsid w:val="00140DBC"/>
    <w:rsid w:val="0014126D"/>
    <w:rsid w:val="00141DDF"/>
    <w:rsid w:val="001459E3"/>
    <w:rsid w:val="00145F7D"/>
    <w:rsid w:val="00147879"/>
    <w:rsid w:val="00151F34"/>
    <w:rsid w:val="001521C9"/>
    <w:rsid w:val="00153A6A"/>
    <w:rsid w:val="001545D1"/>
    <w:rsid w:val="00154661"/>
    <w:rsid w:val="001608C5"/>
    <w:rsid w:val="0016105B"/>
    <w:rsid w:val="00163FDA"/>
    <w:rsid w:val="0016641C"/>
    <w:rsid w:val="00167E06"/>
    <w:rsid w:val="0017069E"/>
    <w:rsid w:val="00170A1D"/>
    <w:rsid w:val="001715CC"/>
    <w:rsid w:val="00174C53"/>
    <w:rsid w:val="00175717"/>
    <w:rsid w:val="00177CD0"/>
    <w:rsid w:val="0018054A"/>
    <w:rsid w:val="00183869"/>
    <w:rsid w:val="001856E6"/>
    <w:rsid w:val="00185B64"/>
    <w:rsid w:val="00185F91"/>
    <w:rsid w:val="0018628D"/>
    <w:rsid w:val="001909FB"/>
    <w:rsid w:val="00191402"/>
    <w:rsid w:val="00192E1B"/>
    <w:rsid w:val="0019497B"/>
    <w:rsid w:val="00196E7C"/>
    <w:rsid w:val="0019704A"/>
    <w:rsid w:val="001A0621"/>
    <w:rsid w:val="001A091E"/>
    <w:rsid w:val="001A24EB"/>
    <w:rsid w:val="001A349E"/>
    <w:rsid w:val="001A5D74"/>
    <w:rsid w:val="001B0834"/>
    <w:rsid w:val="001B2D69"/>
    <w:rsid w:val="001B3588"/>
    <w:rsid w:val="001B538D"/>
    <w:rsid w:val="001B749C"/>
    <w:rsid w:val="001B7DF4"/>
    <w:rsid w:val="001C57C0"/>
    <w:rsid w:val="001D0270"/>
    <w:rsid w:val="001D2ABD"/>
    <w:rsid w:val="001D4C9E"/>
    <w:rsid w:val="001D78DF"/>
    <w:rsid w:val="001E065E"/>
    <w:rsid w:val="001E10DA"/>
    <w:rsid w:val="001E2421"/>
    <w:rsid w:val="001E57EA"/>
    <w:rsid w:val="001E7A3F"/>
    <w:rsid w:val="001F28FB"/>
    <w:rsid w:val="001F3D91"/>
    <w:rsid w:val="00202111"/>
    <w:rsid w:val="00203102"/>
    <w:rsid w:val="00204620"/>
    <w:rsid w:val="00206333"/>
    <w:rsid w:val="0020653B"/>
    <w:rsid w:val="00207904"/>
    <w:rsid w:val="00211649"/>
    <w:rsid w:val="0021520F"/>
    <w:rsid w:val="002164AA"/>
    <w:rsid w:val="00216D4A"/>
    <w:rsid w:val="002176F5"/>
    <w:rsid w:val="00223708"/>
    <w:rsid w:val="0022521F"/>
    <w:rsid w:val="00232324"/>
    <w:rsid w:val="00236BAE"/>
    <w:rsid w:val="002408DA"/>
    <w:rsid w:val="002430C8"/>
    <w:rsid w:val="0024360E"/>
    <w:rsid w:val="00243A95"/>
    <w:rsid w:val="00243CF2"/>
    <w:rsid w:val="00244DBE"/>
    <w:rsid w:val="00245448"/>
    <w:rsid w:val="00246FC0"/>
    <w:rsid w:val="00247A83"/>
    <w:rsid w:val="002505C9"/>
    <w:rsid w:val="00250CA5"/>
    <w:rsid w:val="00256E13"/>
    <w:rsid w:val="002572FB"/>
    <w:rsid w:val="002577D6"/>
    <w:rsid w:val="002611AA"/>
    <w:rsid w:val="00262473"/>
    <w:rsid w:val="0026519B"/>
    <w:rsid w:val="00271BE8"/>
    <w:rsid w:val="00271D10"/>
    <w:rsid w:val="00271D46"/>
    <w:rsid w:val="00274875"/>
    <w:rsid w:val="0027558A"/>
    <w:rsid w:val="0028053B"/>
    <w:rsid w:val="00280E00"/>
    <w:rsid w:val="0028205E"/>
    <w:rsid w:val="00283466"/>
    <w:rsid w:val="00283595"/>
    <w:rsid w:val="00284FE2"/>
    <w:rsid w:val="00286C08"/>
    <w:rsid w:val="00287C5B"/>
    <w:rsid w:val="00287F25"/>
    <w:rsid w:val="0029170F"/>
    <w:rsid w:val="00291D19"/>
    <w:rsid w:val="002931DB"/>
    <w:rsid w:val="002939E9"/>
    <w:rsid w:val="00293FE2"/>
    <w:rsid w:val="002969EB"/>
    <w:rsid w:val="0029736E"/>
    <w:rsid w:val="002A35D4"/>
    <w:rsid w:val="002A3CAC"/>
    <w:rsid w:val="002A4CF3"/>
    <w:rsid w:val="002A6323"/>
    <w:rsid w:val="002B108D"/>
    <w:rsid w:val="002B1145"/>
    <w:rsid w:val="002B14B8"/>
    <w:rsid w:val="002B182E"/>
    <w:rsid w:val="002B3B49"/>
    <w:rsid w:val="002B5DC9"/>
    <w:rsid w:val="002C24BE"/>
    <w:rsid w:val="002C3198"/>
    <w:rsid w:val="002C4FAD"/>
    <w:rsid w:val="002D17D0"/>
    <w:rsid w:val="002D3148"/>
    <w:rsid w:val="002D5AC6"/>
    <w:rsid w:val="002D73C9"/>
    <w:rsid w:val="002D7960"/>
    <w:rsid w:val="002E006E"/>
    <w:rsid w:val="002E18E8"/>
    <w:rsid w:val="002E512C"/>
    <w:rsid w:val="002E6270"/>
    <w:rsid w:val="002E68D6"/>
    <w:rsid w:val="002E7F45"/>
    <w:rsid w:val="002F05A5"/>
    <w:rsid w:val="002F11B6"/>
    <w:rsid w:val="002F1C9A"/>
    <w:rsid w:val="002F5BCB"/>
    <w:rsid w:val="002F799B"/>
    <w:rsid w:val="00305227"/>
    <w:rsid w:val="00305A46"/>
    <w:rsid w:val="00305F8D"/>
    <w:rsid w:val="00312392"/>
    <w:rsid w:val="00315BF1"/>
    <w:rsid w:val="00317232"/>
    <w:rsid w:val="00320333"/>
    <w:rsid w:val="00320B7E"/>
    <w:rsid w:val="00321DCE"/>
    <w:rsid w:val="003256DC"/>
    <w:rsid w:val="00326B38"/>
    <w:rsid w:val="00327C84"/>
    <w:rsid w:val="00330564"/>
    <w:rsid w:val="003319AB"/>
    <w:rsid w:val="00334DE6"/>
    <w:rsid w:val="0033525D"/>
    <w:rsid w:val="0033682D"/>
    <w:rsid w:val="003404FC"/>
    <w:rsid w:val="00343B7C"/>
    <w:rsid w:val="00344CA1"/>
    <w:rsid w:val="00344E28"/>
    <w:rsid w:val="00345126"/>
    <w:rsid w:val="00345E82"/>
    <w:rsid w:val="00347395"/>
    <w:rsid w:val="00350FCC"/>
    <w:rsid w:val="00355F8F"/>
    <w:rsid w:val="003561B8"/>
    <w:rsid w:val="00362E9A"/>
    <w:rsid w:val="00363924"/>
    <w:rsid w:val="00365527"/>
    <w:rsid w:val="003668DC"/>
    <w:rsid w:val="00370603"/>
    <w:rsid w:val="00370C52"/>
    <w:rsid w:val="00371640"/>
    <w:rsid w:val="00373D29"/>
    <w:rsid w:val="00374A17"/>
    <w:rsid w:val="0037715E"/>
    <w:rsid w:val="00377782"/>
    <w:rsid w:val="003820CB"/>
    <w:rsid w:val="00383DC2"/>
    <w:rsid w:val="003855E2"/>
    <w:rsid w:val="00385DDA"/>
    <w:rsid w:val="00386CBE"/>
    <w:rsid w:val="00387679"/>
    <w:rsid w:val="00387688"/>
    <w:rsid w:val="00390931"/>
    <w:rsid w:val="00391312"/>
    <w:rsid w:val="00394E35"/>
    <w:rsid w:val="003970D1"/>
    <w:rsid w:val="003A2D3C"/>
    <w:rsid w:val="003A4B75"/>
    <w:rsid w:val="003A52BC"/>
    <w:rsid w:val="003A6088"/>
    <w:rsid w:val="003C0C26"/>
    <w:rsid w:val="003C14A9"/>
    <w:rsid w:val="003C23EE"/>
    <w:rsid w:val="003C6148"/>
    <w:rsid w:val="003D0948"/>
    <w:rsid w:val="003D0F72"/>
    <w:rsid w:val="003D6EAE"/>
    <w:rsid w:val="003D6F2E"/>
    <w:rsid w:val="003E355B"/>
    <w:rsid w:val="003E3F41"/>
    <w:rsid w:val="003E6727"/>
    <w:rsid w:val="003E6903"/>
    <w:rsid w:val="003F19EA"/>
    <w:rsid w:val="003F2B25"/>
    <w:rsid w:val="003F3DFD"/>
    <w:rsid w:val="003F4A7B"/>
    <w:rsid w:val="00404709"/>
    <w:rsid w:val="00404AC3"/>
    <w:rsid w:val="00405608"/>
    <w:rsid w:val="00406BE7"/>
    <w:rsid w:val="004108C0"/>
    <w:rsid w:val="004153F6"/>
    <w:rsid w:val="00415FC4"/>
    <w:rsid w:val="004161BF"/>
    <w:rsid w:val="0041758B"/>
    <w:rsid w:val="00422B76"/>
    <w:rsid w:val="00431CC6"/>
    <w:rsid w:val="00431FA7"/>
    <w:rsid w:val="00434530"/>
    <w:rsid w:val="00434B2A"/>
    <w:rsid w:val="00435A2E"/>
    <w:rsid w:val="00437B77"/>
    <w:rsid w:val="00447FCD"/>
    <w:rsid w:val="004507A7"/>
    <w:rsid w:val="00450E53"/>
    <w:rsid w:val="00455313"/>
    <w:rsid w:val="00455F7E"/>
    <w:rsid w:val="0046005C"/>
    <w:rsid w:val="004615D9"/>
    <w:rsid w:val="00462D98"/>
    <w:rsid w:val="004646A5"/>
    <w:rsid w:val="0046680B"/>
    <w:rsid w:val="00467182"/>
    <w:rsid w:val="004700D1"/>
    <w:rsid w:val="004719B8"/>
    <w:rsid w:val="00473A03"/>
    <w:rsid w:val="00473CE4"/>
    <w:rsid w:val="00475201"/>
    <w:rsid w:val="004753A7"/>
    <w:rsid w:val="004765EB"/>
    <w:rsid w:val="00477FD2"/>
    <w:rsid w:val="00482CE8"/>
    <w:rsid w:val="00483E0F"/>
    <w:rsid w:val="00484E7B"/>
    <w:rsid w:val="0048559E"/>
    <w:rsid w:val="00487046"/>
    <w:rsid w:val="0049011B"/>
    <w:rsid w:val="004912CA"/>
    <w:rsid w:val="00493A08"/>
    <w:rsid w:val="00493BD8"/>
    <w:rsid w:val="00493C66"/>
    <w:rsid w:val="0049648B"/>
    <w:rsid w:val="00496AAD"/>
    <w:rsid w:val="004976D8"/>
    <w:rsid w:val="00497B0D"/>
    <w:rsid w:val="004A12E5"/>
    <w:rsid w:val="004A231B"/>
    <w:rsid w:val="004A3A25"/>
    <w:rsid w:val="004A4747"/>
    <w:rsid w:val="004B07AA"/>
    <w:rsid w:val="004B123F"/>
    <w:rsid w:val="004B319D"/>
    <w:rsid w:val="004B576B"/>
    <w:rsid w:val="004B7C7C"/>
    <w:rsid w:val="004C11ED"/>
    <w:rsid w:val="004C1F9E"/>
    <w:rsid w:val="004C4E8D"/>
    <w:rsid w:val="004C538C"/>
    <w:rsid w:val="004D32F3"/>
    <w:rsid w:val="004E14A0"/>
    <w:rsid w:val="004E2E7F"/>
    <w:rsid w:val="004E5A4A"/>
    <w:rsid w:val="004F2F8F"/>
    <w:rsid w:val="004F3DF5"/>
    <w:rsid w:val="0050114D"/>
    <w:rsid w:val="005014EE"/>
    <w:rsid w:val="0050214F"/>
    <w:rsid w:val="005026E9"/>
    <w:rsid w:val="0050345B"/>
    <w:rsid w:val="0050643F"/>
    <w:rsid w:val="00510032"/>
    <w:rsid w:val="00510BE5"/>
    <w:rsid w:val="00511B1F"/>
    <w:rsid w:val="00511F6B"/>
    <w:rsid w:val="00512BE9"/>
    <w:rsid w:val="00512C20"/>
    <w:rsid w:val="005156AE"/>
    <w:rsid w:val="005163D2"/>
    <w:rsid w:val="005205EF"/>
    <w:rsid w:val="00521AA1"/>
    <w:rsid w:val="00524303"/>
    <w:rsid w:val="0052675D"/>
    <w:rsid w:val="00527190"/>
    <w:rsid w:val="00530FC1"/>
    <w:rsid w:val="00532353"/>
    <w:rsid w:val="0053287C"/>
    <w:rsid w:val="0053425A"/>
    <w:rsid w:val="00537A28"/>
    <w:rsid w:val="00540B06"/>
    <w:rsid w:val="0054472A"/>
    <w:rsid w:val="0055018D"/>
    <w:rsid w:val="005510E2"/>
    <w:rsid w:val="005536A2"/>
    <w:rsid w:val="00553BA6"/>
    <w:rsid w:val="00555354"/>
    <w:rsid w:val="00555B18"/>
    <w:rsid w:val="0055737E"/>
    <w:rsid w:val="0055779C"/>
    <w:rsid w:val="00560A6B"/>
    <w:rsid w:val="00564AA4"/>
    <w:rsid w:val="005671B8"/>
    <w:rsid w:val="00571253"/>
    <w:rsid w:val="00575325"/>
    <w:rsid w:val="00585047"/>
    <w:rsid w:val="00586D0A"/>
    <w:rsid w:val="00592851"/>
    <w:rsid w:val="0059286F"/>
    <w:rsid w:val="005A255E"/>
    <w:rsid w:val="005A3AD4"/>
    <w:rsid w:val="005A3E32"/>
    <w:rsid w:val="005A57F1"/>
    <w:rsid w:val="005A68D1"/>
    <w:rsid w:val="005A6F41"/>
    <w:rsid w:val="005A774A"/>
    <w:rsid w:val="005B09B7"/>
    <w:rsid w:val="005B160F"/>
    <w:rsid w:val="005B20C8"/>
    <w:rsid w:val="005B3AC3"/>
    <w:rsid w:val="005B7C3E"/>
    <w:rsid w:val="005C1E73"/>
    <w:rsid w:val="005C716F"/>
    <w:rsid w:val="005D033F"/>
    <w:rsid w:val="005D3599"/>
    <w:rsid w:val="005D3948"/>
    <w:rsid w:val="005D3DB5"/>
    <w:rsid w:val="005D3E79"/>
    <w:rsid w:val="005E4661"/>
    <w:rsid w:val="005F4527"/>
    <w:rsid w:val="005F4757"/>
    <w:rsid w:val="005F48C4"/>
    <w:rsid w:val="00600F0E"/>
    <w:rsid w:val="00606F59"/>
    <w:rsid w:val="00610D4E"/>
    <w:rsid w:val="00612955"/>
    <w:rsid w:val="0061677F"/>
    <w:rsid w:val="00617F2C"/>
    <w:rsid w:val="00623602"/>
    <w:rsid w:val="006241A9"/>
    <w:rsid w:val="0062530E"/>
    <w:rsid w:val="006275E0"/>
    <w:rsid w:val="00632117"/>
    <w:rsid w:val="0063255B"/>
    <w:rsid w:val="00632B08"/>
    <w:rsid w:val="00633F84"/>
    <w:rsid w:val="00635F00"/>
    <w:rsid w:val="00637AB5"/>
    <w:rsid w:val="0064173B"/>
    <w:rsid w:val="0064299E"/>
    <w:rsid w:val="0064599E"/>
    <w:rsid w:val="00646EE0"/>
    <w:rsid w:val="0065147F"/>
    <w:rsid w:val="00654F2F"/>
    <w:rsid w:val="0066391F"/>
    <w:rsid w:val="00666E22"/>
    <w:rsid w:val="00667BDA"/>
    <w:rsid w:val="006720C3"/>
    <w:rsid w:val="006745A4"/>
    <w:rsid w:val="006748C3"/>
    <w:rsid w:val="0067553A"/>
    <w:rsid w:val="00677AD1"/>
    <w:rsid w:val="006807A1"/>
    <w:rsid w:val="00681627"/>
    <w:rsid w:val="00683C23"/>
    <w:rsid w:val="006842D6"/>
    <w:rsid w:val="0068596F"/>
    <w:rsid w:val="006873FA"/>
    <w:rsid w:val="00693D04"/>
    <w:rsid w:val="006976DF"/>
    <w:rsid w:val="006A293A"/>
    <w:rsid w:val="006A2BC2"/>
    <w:rsid w:val="006A7827"/>
    <w:rsid w:val="006A7BD0"/>
    <w:rsid w:val="006B052B"/>
    <w:rsid w:val="006B1C3A"/>
    <w:rsid w:val="006B26AE"/>
    <w:rsid w:val="006B3F65"/>
    <w:rsid w:val="006B4B7D"/>
    <w:rsid w:val="006B50B0"/>
    <w:rsid w:val="006B520D"/>
    <w:rsid w:val="006B558F"/>
    <w:rsid w:val="006B5EE1"/>
    <w:rsid w:val="006B6CBF"/>
    <w:rsid w:val="006C097B"/>
    <w:rsid w:val="006C1E07"/>
    <w:rsid w:val="006C2AA7"/>
    <w:rsid w:val="006C2F9C"/>
    <w:rsid w:val="006C4E2F"/>
    <w:rsid w:val="006C60BD"/>
    <w:rsid w:val="006D49F0"/>
    <w:rsid w:val="006D4EF3"/>
    <w:rsid w:val="006D5FD8"/>
    <w:rsid w:val="006D71C3"/>
    <w:rsid w:val="006E1E1E"/>
    <w:rsid w:val="006E2485"/>
    <w:rsid w:val="006E2B9D"/>
    <w:rsid w:val="006E6440"/>
    <w:rsid w:val="006F0581"/>
    <w:rsid w:val="006F0FEB"/>
    <w:rsid w:val="006F1C5F"/>
    <w:rsid w:val="006F1C78"/>
    <w:rsid w:val="006F4016"/>
    <w:rsid w:val="006F6446"/>
    <w:rsid w:val="00702379"/>
    <w:rsid w:val="007046B3"/>
    <w:rsid w:val="0070585F"/>
    <w:rsid w:val="00706555"/>
    <w:rsid w:val="00706D8A"/>
    <w:rsid w:val="00706F60"/>
    <w:rsid w:val="00710082"/>
    <w:rsid w:val="00710914"/>
    <w:rsid w:val="00710F6B"/>
    <w:rsid w:val="007147EC"/>
    <w:rsid w:val="0071538C"/>
    <w:rsid w:val="007153B4"/>
    <w:rsid w:val="00717899"/>
    <w:rsid w:val="00717969"/>
    <w:rsid w:val="0072602B"/>
    <w:rsid w:val="00726667"/>
    <w:rsid w:val="007301A9"/>
    <w:rsid w:val="00731D4A"/>
    <w:rsid w:val="00732105"/>
    <w:rsid w:val="00732205"/>
    <w:rsid w:val="00733021"/>
    <w:rsid w:val="00736DC4"/>
    <w:rsid w:val="0073782D"/>
    <w:rsid w:val="007404C6"/>
    <w:rsid w:val="00740D94"/>
    <w:rsid w:val="00741A76"/>
    <w:rsid w:val="007433CA"/>
    <w:rsid w:val="0074498E"/>
    <w:rsid w:val="00745D2A"/>
    <w:rsid w:val="00745D5F"/>
    <w:rsid w:val="00746CA1"/>
    <w:rsid w:val="00747B0C"/>
    <w:rsid w:val="00753E85"/>
    <w:rsid w:val="007612CB"/>
    <w:rsid w:val="007633B1"/>
    <w:rsid w:val="00763D92"/>
    <w:rsid w:val="0076525B"/>
    <w:rsid w:val="007743E9"/>
    <w:rsid w:val="00776505"/>
    <w:rsid w:val="0078025D"/>
    <w:rsid w:val="007813E3"/>
    <w:rsid w:val="007836EB"/>
    <w:rsid w:val="007839E2"/>
    <w:rsid w:val="00792B0E"/>
    <w:rsid w:val="00795CB7"/>
    <w:rsid w:val="007A3AF5"/>
    <w:rsid w:val="007A4FF5"/>
    <w:rsid w:val="007A52C4"/>
    <w:rsid w:val="007A5779"/>
    <w:rsid w:val="007B18ED"/>
    <w:rsid w:val="007B4913"/>
    <w:rsid w:val="007B4B18"/>
    <w:rsid w:val="007B6BD1"/>
    <w:rsid w:val="007C388B"/>
    <w:rsid w:val="007C3BF2"/>
    <w:rsid w:val="007C495F"/>
    <w:rsid w:val="007C72E9"/>
    <w:rsid w:val="007C7C03"/>
    <w:rsid w:val="007D027A"/>
    <w:rsid w:val="007D459B"/>
    <w:rsid w:val="007E13C8"/>
    <w:rsid w:val="007E616F"/>
    <w:rsid w:val="007E780C"/>
    <w:rsid w:val="007F2C29"/>
    <w:rsid w:val="007F304F"/>
    <w:rsid w:val="007F5A54"/>
    <w:rsid w:val="007F6112"/>
    <w:rsid w:val="0080111E"/>
    <w:rsid w:val="00802338"/>
    <w:rsid w:val="008027FA"/>
    <w:rsid w:val="00803E30"/>
    <w:rsid w:val="008047C0"/>
    <w:rsid w:val="008073BD"/>
    <w:rsid w:val="00811026"/>
    <w:rsid w:val="00813195"/>
    <w:rsid w:val="008148D9"/>
    <w:rsid w:val="00815B1E"/>
    <w:rsid w:val="00816CC5"/>
    <w:rsid w:val="00820A05"/>
    <w:rsid w:val="0082189D"/>
    <w:rsid w:val="008361F3"/>
    <w:rsid w:val="008362A7"/>
    <w:rsid w:val="0084070F"/>
    <w:rsid w:val="00845020"/>
    <w:rsid w:val="0084548F"/>
    <w:rsid w:val="00851170"/>
    <w:rsid w:val="0085289E"/>
    <w:rsid w:val="0085563C"/>
    <w:rsid w:val="008556FC"/>
    <w:rsid w:val="00856DAE"/>
    <w:rsid w:val="00856FF9"/>
    <w:rsid w:val="00857A43"/>
    <w:rsid w:val="00860135"/>
    <w:rsid w:val="00862E37"/>
    <w:rsid w:val="008643FB"/>
    <w:rsid w:val="008650AA"/>
    <w:rsid w:val="008662E9"/>
    <w:rsid w:val="0087104B"/>
    <w:rsid w:val="00872E97"/>
    <w:rsid w:val="00875E88"/>
    <w:rsid w:val="0087721A"/>
    <w:rsid w:val="0087735A"/>
    <w:rsid w:val="008775AF"/>
    <w:rsid w:val="0088598F"/>
    <w:rsid w:val="00886EAC"/>
    <w:rsid w:val="00887519"/>
    <w:rsid w:val="00887A8C"/>
    <w:rsid w:val="00890CA4"/>
    <w:rsid w:val="008918CC"/>
    <w:rsid w:val="00893A04"/>
    <w:rsid w:val="00894587"/>
    <w:rsid w:val="008971B7"/>
    <w:rsid w:val="0089789D"/>
    <w:rsid w:val="008A11F7"/>
    <w:rsid w:val="008A18B6"/>
    <w:rsid w:val="008A1902"/>
    <w:rsid w:val="008A2899"/>
    <w:rsid w:val="008A6362"/>
    <w:rsid w:val="008B0960"/>
    <w:rsid w:val="008B37A7"/>
    <w:rsid w:val="008B52E1"/>
    <w:rsid w:val="008B57D6"/>
    <w:rsid w:val="008B6682"/>
    <w:rsid w:val="008C40DD"/>
    <w:rsid w:val="008C66B8"/>
    <w:rsid w:val="008D3D0D"/>
    <w:rsid w:val="008D5696"/>
    <w:rsid w:val="008D7863"/>
    <w:rsid w:val="008D7EC8"/>
    <w:rsid w:val="008E160E"/>
    <w:rsid w:val="008E4885"/>
    <w:rsid w:val="008F0D23"/>
    <w:rsid w:val="008F1968"/>
    <w:rsid w:val="008F1C8A"/>
    <w:rsid w:val="008F532B"/>
    <w:rsid w:val="008F631B"/>
    <w:rsid w:val="008F7960"/>
    <w:rsid w:val="00901CFA"/>
    <w:rsid w:val="009038BB"/>
    <w:rsid w:val="00914914"/>
    <w:rsid w:val="00916993"/>
    <w:rsid w:val="00920396"/>
    <w:rsid w:val="00923B7C"/>
    <w:rsid w:val="009247DF"/>
    <w:rsid w:val="00931AE5"/>
    <w:rsid w:val="0093208D"/>
    <w:rsid w:val="009326D9"/>
    <w:rsid w:val="00933190"/>
    <w:rsid w:val="00933232"/>
    <w:rsid w:val="00937DCA"/>
    <w:rsid w:val="009400F8"/>
    <w:rsid w:val="0094047F"/>
    <w:rsid w:val="009415F2"/>
    <w:rsid w:val="00942233"/>
    <w:rsid w:val="00943E4D"/>
    <w:rsid w:val="0095443D"/>
    <w:rsid w:val="009544FB"/>
    <w:rsid w:val="00957825"/>
    <w:rsid w:val="0096099E"/>
    <w:rsid w:val="00961846"/>
    <w:rsid w:val="0096451B"/>
    <w:rsid w:val="009655DE"/>
    <w:rsid w:val="00965D2C"/>
    <w:rsid w:val="00970AD4"/>
    <w:rsid w:val="0097167A"/>
    <w:rsid w:val="00976A01"/>
    <w:rsid w:val="0098175E"/>
    <w:rsid w:val="00983C72"/>
    <w:rsid w:val="00987110"/>
    <w:rsid w:val="00987449"/>
    <w:rsid w:val="00993479"/>
    <w:rsid w:val="0099518F"/>
    <w:rsid w:val="00995951"/>
    <w:rsid w:val="009A1BA1"/>
    <w:rsid w:val="009A5F14"/>
    <w:rsid w:val="009A60B9"/>
    <w:rsid w:val="009A66A2"/>
    <w:rsid w:val="009A71AF"/>
    <w:rsid w:val="009B0B55"/>
    <w:rsid w:val="009B1563"/>
    <w:rsid w:val="009B29AD"/>
    <w:rsid w:val="009B2AA1"/>
    <w:rsid w:val="009B3079"/>
    <w:rsid w:val="009B3D8F"/>
    <w:rsid w:val="009B4193"/>
    <w:rsid w:val="009B648B"/>
    <w:rsid w:val="009B683E"/>
    <w:rsid w:val="009B6A79"/>
    <w:rsid w:val="009C1B45"/>
    <w:rsid w:val="009C2625"/>
    <w:rsid w:val="009C26AA"/>
    <w:rsid w:val="009C3852"/>
    <w:rsid w:val="009C5CD6"/>
    <w:rsid w:val="009C5D73"/>
    <w:rsid w:val="009D04FC"/>
    <w:rsid w:val="009D1139"/>
    <w:rsid w:val="009D35EE"/>
    <w:rsid w:val="009E2EA8"/>
    <w:rsid w:val="009F1456"/>
    <w:rsid w:val="009F21BF"/>
    <w:rsid w:val="009F231F"/>
    <w:rsid w:val="009F2A62"/>
    <w:rsid w:val="009F3C8F"/>
    <w:rsid w:val="009F4F54"/>
    <w:rsid w:val="009F5473"/>
    <w:rsid w:val="009F7B7C"/>
    <w:rsid w:val="009F7E84"/>
    <w:rsid w:val="00A00BA6"/>
    <w:rsid w:val="00A00C3D"/>
    <w:rsid w:val="00A03DE2"/>
    <w:rsid w:val="00A045B3"/>
    <w:rsid w:val="00A07BFA"/>
    <w:rsid w:val="00A10FB7"/>
    <w:rsid w:val="00A12076"/>
    <w:rsid w:val="00A12D23"/>
    <w:rsid w:val="00A15581"/>
    <w:rsid w:val="00A161AA"/>
    <w:rsid w:val="00A161E6"/>
    <w:rsid w:val="00A16D8A"/>
    <w:rsid w:val="00A16DE8"/>
    <w:rsid w:val="00A213AF"/>
    <w:rsid w:val="00A22244"/>
    <w:rsid w:val="00A22CBE"/>
    <w:rsid w:val="00A236F2"/>
    <w:rsid w:val="00A24ACF"/>
    <w:rsid w:val="00A251F1"/>
    <w:rsid w:val="00A26A77"/>
    <w:rsid w:val="00A26CCA"/>
    <w:rsid w:val="00A27361"/>
    <w:rsid w:val="00A30B33"/>
    <w:rsid w:val="00A31B58"/>
    <w:rsid w:val="00A37264"/>
    <w:rsid w:val="00A37490"/>
    <w:rsid w:val="00A37E3D"/>
    <w:rsid w:val="00A4061E"/>
    <w:rsid w:val="00A40D82"/>
    <w:rsid w:val="00A42589"/>
    <w:rsid w:val="00A43A3C"/>
    <w:rsid w:val="00A43BB7"/>
    <w:rsid w:val="00A47D00"/>
    <w:rsid w:val="00A51DC9"/>
    <w:rsid w:val="00A5226A"/>
    <w:rsid w:val="00A5369A"/>
    <w:rsid w:val="00A53B2A"/>
    <w:rsid w:val="00A54B8A"/>
    <w:rsid w:val="00A60DCF"/>
    <w:rsid w:val="00A6159F"/>
    <w:rsid w:val="00A63925"/>
    <w:rsid w:val="00A644E5"/>
    <w:rsid w:val="00A6455A"/>
    <w:rsid w:val="00A64CCB"/>
    <w:rsid w:val="00A65479"/>
    <w:rsid w:val="00A660D8"/>
    <w:rsid w:val="00A66DBF"/>
    <w:rsid w:val="00A70A56"/>
    <w:rsid w:val="00A70BE8"/>
    <w:rsid w:val="00A74752"/>
    <w:rsid w:val="00A750B5"/>
    <w:rsid w:val="00A7660F"/>
    <w:rsid w:val="00A77EEC"/>
    <w:rsid w:val="00A87E0A"/>
    <w:rsid w:val="00A91263"/>
    <w:rsid w:val="00A9333B"/>
    <w:rsid w:val="00A93DFF"/>
    <w:rsid w:val="00A96D60"/>
    <w:rsid w:val="00A97AF5"/>
    <w:rsid w:val="00AA4F63"/>
    <w:rsid w:val="00AA5147"/>
    <w:rsid w:val="00AA714E"/>
    <w:rsid w:val="00AB0330"/>
    <w:rsid w:val="00AB0866"/>
    <w:rsid w:val="00AB08D4"/>
    <w:rsid w:val="00AB55BF"/>
    <w:rsid w:val="00AB6E65"/>
    <w:rsid w:val="00AC19A6"/>
    <w:rsid w:val="00AC1E00"/>
    <w:rsid w:val="00AC39FA"/>
    <w:rsid w:val="00AC3DB0"/>
    <w:rsid w:val="00AC4C66"/>
    <w:rsid w:val="00AC4E76"/>
    <w:rsid w:val="00AC63CE"/>
    <w:rsid w:val="00AC7D11"/>
    <w:rsid w:val="00AD02BC"/>
    <w:rsid w:val="00AD08C7"/>
    <w:rsid w:val="00AD1171"/>
    <w:rsid w:val="00AD1C4E"/>
    <w:rsid w:val="00AD502D"/>
    <w:rsid w:val="00AD5473"/>
    <w:rsid w:val="00AD5FA1"/>
    <w:rsid w:val="00AD634F"/>
    <w:rsid w:val="00AD762E"/>
    <w:rsid w:val="00AE0DEE"/>
    <w:rsid w:val="00AE2C94"/>
    <w:rsid w:val="00AE2E23"/>
    <w:rsid w:val="00AE5938"/>
    <w:rsid w:val="00AF7521"/>
    <w:rsid w:val="00AF7804"/>
    <w:rsid w:val="00B01E53"/>
    <w:rsid w:val="00B01EDA"/>
    <w:rsid w:val="00B03B20"/>
    <w:rsid w:val="00B04F31"/>
    <w:rsid w:val="00B05E39"/>
    <w:rsid w:val="00B07278"/>
    <w:rsid w:val="00B07E8D"/>
    <w:rsid w:val="00B141E4"/>
    <w:rsid w:val="00B1445B"/>
    <w:rsid w:val="00B15AE2"/>
    <w:rsid w:val="00B21719"/>
    <w:rsid w:val="00B21B08"/>
    <w:rsid w:val="00B223E2"/>
    <w:rsid w:val="00B2251B"/>
    <w:rsid w:val="00B230D5"/>
    <w:rsid w:val="00B24CD4"/>
    <w:rsid w:val="00B27506"/>
    <w:rsid w:val="00B27E1B"/>
    <w:rsid w:val="00B3113C"/>
    <w:rsid w:val="00B31238"/>
    <w:rsid w:val="00B31CA3"/>
    <w:rsid w:val="00B3334D"/>
    <w:rsid w:val="00B34615"/>
    <w:rsid w:val="00B36068"/>
    <w:rsid w:val="00B37A07"/>
    <w:rsid w:val="00B40691"/>
    <w:rsid w:val="00B40F0E"/>
    <w:rsid w:val="00B41A08"/>
    <w:rsid w:val="00B42606"/>
    <w:rsid w:val="00B42D39"/>
    <w:rsid w:val="00B45D94"/>
    <w:rsid w:val="00B475C5"/>
    <w:rsid w:val="00B51A05"/>
    <w:rsid w:val="00B529F3"/>
    <w:rsid w:val="00B53C3D"/>
    <w:rsid w:val="00B5419E"/>
    <w:rsid w:val="00B60CCE"/>
    <w:rsid w:val="00B6279C"/>
    <w:rsid w:val="00B63E46"/>
    <w:rsid w:val="00B64D56"/>
    <w:rsid w:val="00B65501"/>
    <w:rsid w:val="00B65EFE"/>
    <w:rsid w:val="00B6765D"/>
    <w:rsid w:val="00B7012E"/>
    <w:rsid w:val="00B723A6"/>
    <w:rsid w:val="00B73345"/>
    <w:rsid w:val="00B75725"/>
    <w:rsid w:val="00B75E21"/>
    <w:rsid w:val="00B768AA"/>
    <w:rsid w:val="00B82024"/>
    <w:rsid w:val="00B826B2"/>
    <w:rsid w:val="00B832DC"/>
    <w:rsid w:val="00B93860"/>
    <w:rsid w:val="00B950E9"/>
    <w:rsid w:val="00B95A31"/>
    <w:rsid w:val="00B964A4"/>
    <w:rsid w:val="00BA1421"/>
    <w:rsid w:val="00BA1D59"/>
    <w:rsid w:val="00BA5160"/>
    <w:rsid w:val="00BA5C27"/>
    <w:rsid w:val="00BB0CB3"/>
    <w:rsid w:val="00BB1AC3"/>
    <w:rsid w:val="00BB1F56"/>
    <w:rsid w:val="00BB4244"/>
    <w:rsid w:val="00BB7D0C"/>
    <w:rsid w:val="00BC1A0A"/>
    <w:rsid w:val="00BC1E2F"/>
    <w:rsid w:val="00BC4CF3"/>
    <w:rsid w:val="00BD165F"/>
    <w:rsid w:val="00BD3677"/>
    <w:rsid w:val="00BD44BB"/>
    <w:rsid w:val="00BD5E3A"/>
    <w:rsid w:val="00BE0C45"/>
    <w:rsid w:val="00BE228F"/>
    <w:rsid w:val="00BE27A7"/>
    <w:rsid w:val="00BE2B81"/>
    <w:rsid w:val="00BE519F"/>
    <w:rsid w:val="00BE6810"/>
    <w:rsid w:val="00BE7A9B"/>
    <w:rsid w:val="00BF43F8"/>
    <w:rsid w:val="00BF4CA5"/>
    <w:rsid w:val="00BF566E"/>
    <w:rsid w:val="00C01167"/>
    <w:rsid w:val="00C0118A"/>
    <w:rsid w:val="00C02153"/>
    <w:rsid w:val="00C064E7"/>
    <w:rsid w:val="00C067F3"/>
    <w:rsid w:val="00C11FCF"/>
    <w:rsid w:val="00C1508C"/>
    <w:rsid w:val="00C15414"/>
    <w:rsid w:val="00C15D36"/>
    <w:rsid w:val="00C170C1"/>
    <w:rsid w:val="00C201EA"/>
    <w:rsid w:val="00C204C6"/>
    <w:rsid w:val="00C25050"/>
    <w:rsid w:val="00C25CD5"/>
    <w:rsid w:val="00C27803"/>
    <w:rsid w:val="00C27BE3"/>
    <w:rsid w:val="00C31C20"/>
    <w:rsid w:val="00C32169"/>
    <w:rsid w:val="00C36DA2"/>
    <w:rsid w:val="00C4392F"/>
    <w:rsid w:val="00C447E5"/>
    <w:rsid w:val="00C46ADD"/>
    <w:rsid w:val="00C47447"/>
    <w:rsid w:val="00C4746D"/>
    <w:rsid w:val="00C5274B"/>
    <w:rsid w:val="00C54080"/>
    <w:rsid w:val="00C56086"/>
    <w:rsid w:val="00C60BF4"/>
    <w:rsid w:val="00C6259D"/>
    <w:rsid w:val="00C62ED2"/>
    <w:rsid w:val="00C639A0"/>
    <w:rsid w:val="00C63F5E"/>
    <w:rsid w:val="00C6462A"/>
    <w:rsid w:val="00C6745B"/>
    <w:rsid w:val="00C70496"/>
    <w:rsid w:val="00C72E79"/>
    <w:rsid w:val="00C73EAB"/>
    <w:rsid w:val="00C77ADD"/>
    <w:rsid w:val="00C77D0B"/>
    <w:rsid w:val="00C80BA2"/>
    <w:rsid w:val="00C82841"/>
    <w:rsid w:val="00C83093"/>
    <w:rsid w:val="00C85273"/>
    <w:rsid w:val="00C939E3"/>
    <w:rsid w:val="00C93B55"/>
    <w:rsid w:val="00C95543"/>
    <w:rsid w:val="00CA5899"/>
    <w:rsid w:val="00CA7673"/>
    <w:rsid w:val="00CB184D"/>
    <w:rsid w:val="00CB59A0"/>
    <w:rsid w:val="00CB739D"/>
    <w:rsid w:val="00CC1446"/>
    <w:rsid w:val="00CC18FD"/>
    <w:rsid w:val="00CC19DB"/>
    <w:rsid w:val="00CC3746"/>
    <w:rsid w:val="00CC43CA"/>
    <w:rsid w:val="00CC4B6B"/>
    <w:rsid w:val="00CC5FEA"/>
    <w:rsid w:val="00CC6602"/>
    <w:rsid w:val="00CD0F7F"/>
    <w:rsid w:val="00CD19E3"/>
    <w:rsid w:val="00CD35A2"/>
    <w:rsid w:val="00CD517A"/>
    <w:rsid w:val="00CD53D9"/>
    <w:rsid w:val="00CD5A99"/>
    <w:rsid w:val="00CD68A1"/>
    <w:rsid w:val="00CE01C2"/>
    <w:rsid w:val="00CE2BD5"/>
    <w:rsid w:val="00CE6B70"/>
    <w:rsid w:val="00CF5D99"/>
    <w:rsid w:val="00CF7034"/>
    <w:rsid w:val="00D14AF3"/>
    <w:rsid w:val="00D14D3C"/>
    <w:rsid w:val="00D1631D"/>
    <w:rsid w:val="00D17308"/>
    <w:rsid w:val="00D176A7"/>
    <w:rsid w:val="00D2177F"/>
    <w:rsid w:val="00D21A04"/>
    <w:rsid w:val="00D278D2"/>
    <w:rsid w:val="00D3222B"/>
    <w:rsid w:val="00D32624"/>
    <w:rsid w:val="00D32B09"/>
    <w:rsid w:val="00D3467F"/>
    <w:rsid w:val="00D351F4"/>
    <w:rsid w:val="00D366AE"/>
    <w:rsid w:val="00D430CC"/>
    <w:rsid w:val="00D445D0"/>
    <w:rsid w:val="00D457FB"/>
    <w:rsid w:val="00D45BCE"/>
    <w:rsid w:val="00D46254"/>
    <w:rsid w:val="00D472E5"/>
    <w:rsid w:val="00D51FCF"/>
    <w:rsid w:val="00D53201"/>
    <w:rsid w:val="00D53D84"/>
    <w:rsid w:val="00D56ACD"/>
    <w:rsid w:val="00D6003D"/>
    <w:rsid w:val="00D60DDC"/>
    <w:rsid w:val="00D65884"/>
    <w:rsid w:val="00D71D1F"/>
    <w:rsid w:val="00D76857"/>
    <w:rsid w:val="00D809DD"/>
    <w:rsid w:val="00D8111B"/>
    <w:rsid w:val="00D8202C"/>
    <w:rsid w:val="00D85071"/>
    <w:rsid w:val="00D853B9"/>
    <w:rsid w:val="00D934F0"/>
    <w:rsid w:val="00D9358A"/>
    <w:rsid w:val="00D935EF"/>
    <w:rsid w:val="00D9419D"/>
    <w:rsid w:val="00D944B3"/>
    <w:rsid w:val="00D95D3E"/>
    <w:rsid w:val="00D96B28"/>
    <w:rsid w:val="00DA0F09"/>
    <w:rsid w:val="00DA3186"/>
    <w:rsid w:val="00DA33DB"/>
    <w:rsid w:val="00DA3507"/>
    <w:rsid w:val="00DA3DE6"/>
    <w:rsid w:val="00DB0C98"/>
    <w:rsid w:val="00DB45CE"/>
    <w:rsid w:val="00DB4761"/>
    <w:rsid w:val="00DB5F76"/>
    <w:rsid w:val="00DB6EE3"/>
    <w:rsid w:val="00DB78CF"/>
    <w:rsid w:val="00DC3F5F"/>
    <w:rsid w:val="00DC66C1"/>
    <w:rsid w:val="00DC679A"/>
    <w:rsid w:val="00DC6EDD"/>
    <w:rsid w:val="00DD032B"/>
    <w:rsid w:val="00DD22CD"/>
    <w:rsid w:val="00DD2804"/>
    <w:rsid w:val="00DD341A"/>
    <w:rsid w:val="00DD5A01"/>
    <w:rsid w:val="00DE1A7F"/>
    <w:rsid w:val="00DE258E"/>
    <w:rsid w:val="00DE3D2D"/>
    <w:rsid w:val="00DE593D"/>
    <w:rsid w:val="00DE5AAE"/>
    <w:rsid w:val="00DE6C93"/>
    <w:rsid w:val="00DF0095"/>
    <w:rsid w:val="00DF1C71"/>
    <w:rsid w:val="00DF342D"/>
    <w:rsid w:val="00DF49B9"/>
    <w:rsid w:val="00DF5AC4"/>
    <w:rsid w:val="00E05ED6"/>
    <w:rsid w:val="00E1349F"/>
    <w:rsid w:val="00E1773E"/>
    <w:rsid w:val="00E20CF7"/>
    <w:rsid w:val="00E22AB1"/>
    <w:rsid w:val="00E24554"/>
    <w:rsid w:val="00E260D9"/>
    <w:rsid w:val="00E26E9E"/>
    <w:rsid w:val="00E27731"/>
    <w:rsid w:val="00E27965"/>
    <w:rsid w:val="00E3286F"/>
    <w:rsid w:val="00E35CAF"/>
    <w:rsid w:val="00E365D3"/>
    <w:rsid w:val="00E374C2"/>
    <w:rsid w:val="00E41891"/>
    <w:rsid w:val="00E44021"/>
    <w:rsid w:val="00E457A0"/>
    <w:rsid w:val="00E45ADB"/>
    <w:rsid w:val="00E50B79"/>
    <w:rsid w:val="00E648C4"/>
    <w:rsid w:val="00E6583A"/>
    <w:rsid w:val="00E660B7"/>
    <w:rsid w:val="00E67CE1"/>
    <w:rsid w:val="00E7104C"/>
    <w:rsid w:val="00E72053"/>
    <w:rsid w:val="00E73B0A"/>
    <w:rsid w:val="00E7499D"/>
    <w:rsid w:val="00E74B2C"/>
    <w:rsid w:val="00E778DC"/>
    <w:rsid w:val="00E77F82"/>
    <w:rsid w:val="00E840BF"/>
    <w:rsid w:val="00E961DD"/>
    <w:rsid w:val="00E97B5C"/>
    <w:rsid w:val="00EA099D"/>
    <w:rsid w:val="00EA0C44"/>
    <w:rsid w:val="00EA2969"/>
    <w:rsid w:val="00EA38D8"/>
    <w:rsid w:val="00EA7C55"/>
    <w:rsid w:val="00EB0313"/>
    <w:rsid w:val="00EB291F"/>
    <w:rsid w:val="00EB4E34"/>
    <w:rsid w:val="00EB793E"/>
    <w:rsid w:val="00EC0515"/>
    <w:rsid w:val="00EC0E4B"/>
    <w:rsid w:val="00EC1082"/>
    <w:rsid w:val="00EC248E"/>
    <w:rsid w:val="00EC3901"/>
    <w:rsid w:val="00EC5DE1"/>
    <w:rsid w:val="00ED0040"/>
    <w:rsid w:val="00ED41D1"/>
    <w:rsid w:val="00ED4800"/>
    <w:rsid w:val="00ED52E5"/>
    <w:rsid w:val="00ED56DC"/>
    <w:rsid w:val="00EE4084"/>
    <w:rsid w:val="00EE5A3C"/>
    <w:rsid w:val="00EF2CD7"/>
    <w:rsid w:val="00EF3614"/>
    <w:rsid w:val="00EF567D"/>
    <w:rsid w:val="00EF65D5"/>
    <w:rsid w:val="00EF6F56"/>
    <w:rsid w:val="00EF7697"/>
    <w:rsid w:val="00EF7E29"/>
    <w:rsid w:val="00F00B57"/>
    <w:rsid w:val="00F01A66"/>
    <w:rsid w:val="00F037B3"/>
    <w:rsid w:val="00F11C33"/>
    <w:rsid w:val="00F132F3"/>
    <w:rsid w:val="00F160C7"/>
    <w:rsid w:val="00F17AAB"/>
    <w:rsid w:val="00F17EA7"/>
    <w:rsid w:val="00F208D2"/>
    <w:rsid w:val="00F20BB9"/>
    <w:rsid w:val="00F20FBB"/>
    <w:rsid w:val="00F230FB"/>
    <w:rsid w:val="00F24021"/>
    <w:rsid w:val="00F25089"/>
    <w:rsid w:val="00F251AD"/>
    <w:rsid w:val="00F2777B"/>
    <w:rsid w:val="00F27EDD"/>
    <w:rsid w:val="00F3515F"/>
    <w:rsid w:val="00F3520F"/>
    <w:rsid w:val="00F359CD"/>
    <w:rsid w:val="00F36C6B"/>
    <w:rsid w:val="00F40DF3"/>
    <w:rsid w:val="00F40EE1"/>
    <w:rsid w:val="00F454FF"/>
    <w:rsid w:val="00F460ED"/>
    <w:rsid w:val="00F548B8"/>
    <w:rsid w:val="00F56B24"/>
    <w:rsid w:val="00F5763D"/>
    <w:rsid w:val="00F639DD"/>
    <w:rsid w:val="00F679E1"/>
    <w:rsid w:val="00F704FB"/>
    <w:rsid w:val="00F71352"/>
    <w:rsid w:val="00F760E8"/>
    <w:rsid w:val="00F76DD4"/>
    <w:rsid w:val="00F81B11"/>
    <w:rsid w:val="00F8329E"/>
    <w:rsid w:val="00F846A5"/>
    <w:rsid w:val="00F86B42"/>
    <w:rsid w:val="00F87CC8"/>
    <w:rsid w:val="00F93BE8"/>
    <w:rsid w:val="00F93F72"/>
    <w:rsid w:val="00F94166"/>
    <w:rsid w:val="00F9445C"/>
    <w:rsid w:val="00F944BF"/>
    <w:rsid w:val="00F94C51"/>
    <w:rsid w:val="00F956A3"/>
    <w:rsid w:val="00F9639F"/>
    <w:rsid w:val="00F964E0"/>
    <w:rsid w:val="00F978A8"/>
    <w:rsid w:val="00FA16C8"/>
    <w:rsid w:val="00FA40C7"/>
    <w:rsid w:val="00FA4466"/>
    <w:rsid w:val="00FA5C85"/>
    <w:rsid w:val="00FB2461"/>
    <w:rsid w:val="00FB2FE8"/>
    <w:rsid w:val="00FB5429"/>
    <w:rsid w:val="00FC05F7"/>
    <w:rsid w:val="00FC23A6"/>
    <w:rsid w:val="00FC4BDA"/>
    <w:rsid w:val="00FC5BF9"/>
    <w:rsid w:val="00FC64D1"/>
    <w:rsid w:val="00FD0692"/>
    <w:rsid w:val="00FD0868"/>
    <w:rsid w:val="00FD0B82"/>
    <w:rsid w:val="00FD5456"/>
    <w:rsid w:val="00FD785B"/>
    <w:rsid w:val="00FD7FB3"/>
    <w:rsid w:val="00FE092A"/>
    <w:rsid w:val="00FE26F9"/>
    <w:rsid w:val="00FE2A3B"/>
    <w:rsid w:val="00FE3DF6"/>
    <w:rsid w:val="00FF35F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colormru v:ext="edit" colors="#00214e"/>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uiPriority w:val="1"/>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paragraph" w:customStyle="1" w:styleId="Default">
    <w:name w:val="Default"/>
    <w:rsid w:val="0008763A"/>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rsid w:val="004B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61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59F"/>
    <w:rPr>
      <w:lang w:val="en-US" w:eastAsia="en-US"/>
    </w:rPr>
  </w:style>
  <w:style w:type="character" w:styleId="FootnoteReference">
    <w:name w:val="footnote reference"/>
    <w:basedOn w:val="DefaultParagraphFont"/>
    <w:uiPriority w:val="99"/>
    <w:semiHidden/>
    <w:unhideWhenUsed/>
    <w:rsid w:val="00A6159F"/>
    <w:rPr>
      <w:vertAlign w:val="superscript"/>
    </w:rPr>
  </w:style>
  <w:style w:type="paragraph" w:styleId="Caption">
    <w:name w:val="caption"/>
    <w:basedOn w:val="Normal"/>
    <w:next w:val="Normal"/>
    <w:uiPriority w:val="35"/>
    <w:unhideWhenUsed/>
    <w:qFormat/>
    <w:rsid w:val="00553BA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341416325295619"/>
          <c:y val="3.8374452782441386E-2"/>
          <c:w val="0.63965118795251374"/>
          <c:h val="0.75893758627080565"/>
        </c:manualLayout>
      </c:layout>
      <c:areaChart>
        <c:grouping val="standard"/>
        <c:ser>
          <c:idx val="1"/>
          <c:order val="1"/>
          <c:tx>
            <c:strRef>
              <c:f>Sheet1!$C$1</c:f>
              <c:strCache>
                <c:ptCount val="1"/>
                <c:pt idx="0">
                  <c:v>maxima anuală</c:v>
                </c:pt>
              </c:strCache>
            </c:strRef>
          </c:tx>
          <c:spPr>
            <a:solidFill>
              <a:schemeClr val="accent1">
                <a:lumMod val="40000"/>
                <a:lumOff val="60000"/>
              </a:schemeClr>
            </a:solidFill>
            <a:ln>
              <a:noFill/>
            </a:ln>
            <a:effectLst>
              <a:outerShdw blurRad="50800" dist="50800" dir="5400000" algn="ctr" rotWithShape="0">
                <a:schemeClr val="accent1">
                  <a:lumMod val="60000"/>
                  <a:lumOff val="40000"/>
                </a:schemeClr>
              </a:outerShdw>
            </a:effectLst>
          </c:spPr>
          <c:cat>
            <c:numRef>
              <c:f>Sheet1!$A$2:$A$6</c:f>
              <c:numCache>
                <c:formatCode>General</c:formatCode>
                <c:ptCount val="5"/>
                <c:pt idx="0">
                  <c:v>2013</c:v>
                </c:pt>
                <c:pt idx="1">
                  <c:v>2014</c:v>
                </c:pt>
                <c:pt idx="2">
                  <c:v>2015</c:v>
                </c:pt>
                <c:pt idx="3">
                  <c:v>2016</c:v>
                </c:pt>
                <c:pt idx="4">
                  <c:v>2017</c:v>
                </c:pt>
              </c:numCache>
            </c:numRef>
          </c:cat>
          <c:val>
            <c:numRef>
              <c:f>Sheet1!$C$2:$C$6</c:f>
              <c:numCache>
                <c:formatCode>0.000</c:formatCode>
                <c:ptCount val="5"/>
                <c:pt idx="0">
                  <c:v>0.15700000000000044</c:v>
                </c:pt>
                <c:pt idx="1">
                  <c:v>0.16000000000000023</c:v>
                </c:pt>
                <c:pt idx="2">
                  <c:v>0.15300000000000041</c:v>
                </c:pt>
                <c:pt idx="3">
                  <c:v>0.16300000000000026</c:v>
                </c:pt>
                <c:pt idx="4">
                  <c:v>0.16500000000000029</c:v>
                </c:pt>
              </c:numCache>
            </c:numRef>
          </c:val>
        </c:ser>
        <c:axId val="126726528"/>
        <c:axId val="126728064"/>
      </c:areaChart>
      <c:lineChart>
        <c:grouping val="standar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0.000</c:formatCode>
                <c:ptCount val="5"/>
                <c:pt idx="0">
                  <c:v>0.1120000000000001</c:v>
                </c:pt>
                <c:pt idx="1">
                  <c:v>0.1120000000000001</c:v>
                </c:pt>
                <c:pt idx="2">
                  <c:v>0.1120000000000001</c:v>
                </c:pt>
                <c:pt idx="3">
                  <c:v>0.1120000000000001</c:v>
                </c:pt>
                <c:pt idx="4">
                  <c:v>0.1120000000000001</c:v>
                </c:pt>
              </c:numCache>
            </c:numRef>
          </c:val>
        </c:ser>
        <c:ser>
          <c:idx val="2"/>
          <c:order val="2"/>
          <c:tx>
            <c:strRef>
              <c:f>Sheet1!$D$1</c:f>
              <c:strCache>
                <c:ptCount val="1"/>
                <c:pt idx="0">
                  <c:v>limita avertizare</c:v>
                </c:pt>
              </c:strCache>
            </c:strRef>
          </c:tx>
          <c:spPr>
            <a:ln w="44450">
              <a:solidFill>
                <a:srgbClr val="FF0000"/>
              </a:solidFill>
            </a:ln>
          </c:spPr>
          <c:marker>
            <c:symbol val="none"/>
          </c:marker>
          <c:dLbls>
            <c:delete val="1"/>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1</c:v>
                </c:pt>
                <c:pt idx="1">
                  <c:v>1</c:v>
                </c:pt>
                <c:pt idx="2">
                  <c:v>1</c:v>
                </c:pt>
                <c:pt idx="3">
                  <c:v>1</c:v>
                </c:pt>
                <c:pt idx="4">
                  <c:v>1</c:v>
                </c:pt>
              </c:numCache>
            </c:numRef>
          </c:val>
        </c:ser>
        <c:dLbls>
          <c:showVal val="1"/>
        </c:dLbls>
        <c:marker val="1"/>
        <c:axId val="126726528"/>
        <c:axId val="126728064"/>
      </c:lineChart>
      <c:catAx>
        <c:axId val="126726528"/>
        <c:scaling>
          <c:orientation val="minMax"/>
        </c:scaling>
        <c:axPos val="b"/>
        <c:numFmt formatCode="General" sourceLinked="1"/>
        <c:majorTickMark val="none"/>
        <c:tickLblPos val="nextTo"/>
        <c:txPr>
          <a:bodyPr/>
          <a:lstStyle/>
          <a:p>
            <a:pPr>
              <a:defRPr lang="en-GB" b="0"/>
            </a:pPr>
            <a:endParaRPr lang="ro-RO"/>
          </a:p>
        </c:txPr>
        <c:crossAx val="126728064"/>
        <c:crossesAt val="0"/>
        <c:auto val="1"/>
        <c:lblAlgn val="ctr"/>
        <c:lblOffset val="300"/>
      </c:catAx>
      <c:valAx>
        <c:axId val="126728064"/>
        <c:scaling>
          <c:orientation val="minMax"/>
          <c:max val="1"/>
          <c:min val="0"/>
        </c:scaling>
        <c:axPos val="l"/>
        <c:majorGridlines/>
        <c:title>
          <c:tx>
            <c:rich>
              <a:bodyPr rot="0" vert="horz"/>
              <a:lstStyle/>
              <a:p>
                <a:pPr>
                  <a:defRPr lang="en-GB" b="1"/>
                </a:pPr>
                <a:r>
                  <a:rPr lang="ro-RO" b="1"/>
                  <a:t>µSv/h </a:t>
                </a:r>
              </a:p>
            </c:rich>
          </c:tx>
          <c:layout>
            <c:manualLayout>
              <c:xMode val="edge"/>
              <c:yMode val="edge"/>
              <c:x val="1.5620225678455492E-3"/>
              <c:y val="0.11390653478985127"/>
            </c:manualLayout>
          </c:layout>
        </c:title>
        <c:numFmt formatCode="#,##0.0" sourceLinked="0"/>
        <c:majorTickMark val="none"/>
        <c:tickLblPos val="nextTo"/>
        <c:spPr>
          <a:ln w="9525">
            <a:noFill/>
          </a:ln>
        </c:spPr>
        <c:txPr>
          <a:bodyPr/>
          <a:lstStyle/>
          <a:p>
            <a:pPr>
              <a:defRPr lang="en-GB"/>
            </a:pPr>
            <a:endParaRPr lang="ro-RO"/>
          </a:p>
        </c:txPr>
        <c:crossAx val="126726528"/>
        <c:crosses val="autoZero"/>
        <c:crossBetween val="between"/>
        <c:majorUnit val="0.2"/>
      </c:valAx>
      <c:spPr>
        <a:noFill/>
        <a:ln>
          <a:solidFill>
            <a:schemeClr val="bg1">
              <a:lumMod val="65000"/>
            </a:schemeClr>
          </a:solidFill>
        </a:ln>
      </c:spPr>
    </c:plotArea>
    <c:legend>
      <c:legendPos val="r"/>
      <c:layout>
        <c:manualLayout>
          <c:xMode val="edge"/>
          <c:yMode val="edge"/>
          <c:x val="0.78103828632826511"/>
          <c:y val="0.1265300533599627"/>
          <c:w val="0.21896171367173711"/>
          <c:h val="0.5783269756878846"/>
        </c:manualLayout>
      </c:layout>
      <c:txPr>
        <a:bodyPr/>
        <a:lstStyle/>
        <a:p>
          <a:pPr>
            <a:defRPr lang="en-GB"/>
          </a:pPr>
          <a:endParaRPr lang="ro-RO"/>
        </a:p>
      </c:txPr>
    </c:legend>
    <c:plotVisOnly val="1"/>
    <c:dispBlanksAs val="gap"/>
  </c:chart>
  <c:spPr>
    <a:noFill/>
    <a:ln>
      <a:noFill/>
    </a:ln>
    <a:effectLst>
      <a:outerShdw dist="50800" sx="1000" sy="1000" algn="ctr" rotWithShape="0">
        <a:sysClr val="windowText" lastClr="000000"/>
      </a:outerShdw>
    </a:effectLst>
  </c:spPr>
  <c:txPr>
    <a:bodyPr/>
    <a:lstStyle/>
    <a:p>
      <a:pPr>
        <a:defRPr sz="900">
          <a:latin typeface="Arial" pitchFamily="34" charset="0"/>
          <a:cs typeface="Arial" pitchFamily="34"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451257471498285"/>
          <c:y val="3.7218591448749436E-2"/>
          <c:w val="0.7591533377266485"/>
          <c:h val="0.80504554577736398"/>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0.22</c:v>
                </c:pt>
                <c:pt idx="1">
                  <c:v>0.21000000000000021</c:v>
                </c:pt>
                <c:pt idx="2">
                  <c:v>0.25</c:v>
                </c:pt>
                <c:pt idx="3">
                  <c:v>0.21000000000000021</c:v>
                </c:pt>
                <c:pt idx="4">
                  <c:v>0.21000000000000021</c:v>
                </c:pt>
              </c:numCache>
            </c:numRef>
          </c:val>
        </c:ser>
        <c:dLbls>
          <c:showVal val="1"/>
        </c:dLbls>
        <c:axId val="136999680"/>
        <c:axId val="137001216"/>
      </c:barChart>
      <c:catAx>
        <c:axId val="136999680"/>
        <c:scaling>
          <c:orientation val="minMax"/>
        </c:scaling>
        <c:axPos val="b"/>
        <c:numFmt formatCode="General" sourceLinked="1"/>
        <c:majorTickMark val="none"/>
        <c:tickLblPos val="nextTo"/>
        <c:txPr>
          <a:bodyPr/>
          <a:lstStyle/>
          <a:p>
            <a:pPr>
              <a:defRPr lang="en-GB"/>
            </a:pPr>
            <a:endParaRPr lang="ro-RO"/>
          </a:p>
        </c:txPr>
        <c:crossAx val="137001216"/>
        <c:crosses val="autoZero"/>
        <c:auto val="1"/>
        <c:lblAlgn val="ctr"/>
        <c:lblOffset val="100"/>
      </c:catAx>
      <c:valAx>
        <c:axId val="137001216"/>
        <c:scaling>
          <c:orientation val="minMax"/>
          <c:max val="0.5"/>
        </c:scaling>
        <c:axPos val="l"/>
        <c:majorGridlines/>
        <c:title>
          <c:tx>
            <c:rich>
              <a:bodyPr rot="0" vert="horz"/>
              <a:lstStyle/>
              <a:p>
                <a:pPr>
                  <a:defRPr lang="en-GB" b="1"/>
                </a:pPr>
                <a:r>
                  <a:rPr lang="ro-RO" b="1"/>
                  <a:t>Bq/m</a:t>
                </a:r>
                <a:r>
                  <a:rPr lang="ro-RO" b="1" baseline="30000"/>
                  <a:t>3</a:t>
                </a:r>
              </a:p>
            </c:rich>
          </c:tx>
          <c:layout>
            <c:manualLayout>
              <c:xMode val="edge"/>
              <c:yMode val="edge"/>
              <c:x val="1.9551209622452855E-3"/>
              <c:y val="4.6776194349929023E-2"/>
            </c:manualLayout>
          </c:layout>
        </c:title>
        <c:numFmt formatCode="#,##0.0" sourceLinked="0"/>
        <c:majorTickMark val="none"/>
        <c:tickLblPos val="nextTo"/>
        <c:txPr>
          <a:bodyPr/>
          <a:lstStyle/>
          <a:p>
            <a:pPr>
              <a:defRPr lang="en-GB"/>
            </a:pPr>
            <a:endParaRPr lang="ro-RO"/>
          </a:p>
        </c:txPr>
        <c:crossAx val="136999680"/>
        <c:crosses val="autoZero"/>
        <c:crossBetween val="between"/>
        <c:majorUnit val="0.1"/>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1206844627150837"/>
          <c:y val="3.5507381898807935E-2"/>
          <c:w val="0.74700513377053912"/>
          <c:h val="0.75202099737533024"/>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formatCode="0.00">
                  <c:v>0.1</c:v>
                </c:pt>
                <c:pt idx="1">
                  <c:v>0.11</c:v>
                </c:pt>
                <c:pt idx="2">
                  <c:v>0.12000000000000002</c:v>
                </c:pt>
                <c:pt idx="3">
                  <c:v>9.0000000000000024E-2</c:v>
                </c:pt>
                <c:pt idx="4">
                  <c:v>9.0000000000000024E-2</c:v>
                </c:pt>
              </c:numCache>
            </c:numRef>
          </c:val>
        </c:ser>
        <c:dLbls>
          <c:showVal val="1"/>
        </c:dLbls>
        <c:axId val="134501888"/>
        <c:axId val="134503424"/>
      </c:barChart>
      <c:catAx>
        <c:axId val="134501888"/>
        <c:scaling>
          <c:orientation val="minMax"/>
        </c:scaling>
        <c:axPos val="b"/>
        <c:numFmt formatCode="General" sourceLinked="1"/>
        <c:majorTickMark val="none"/>
        <c:tickLblPos val="nextTo"/>
        <c:txPr>
          <a:bodyPr/>
          <a:lstStyle/>
          <a:p>
            <a:pPr>
              <a:defRPr lang="en-GB"/>
            </a:pPr>
            <a:endParaRPr lang="ro-RO"/>
          </a:p>
        </c:txPr>
        <c:crossAx val="134503424"/>
        <c:crossesAt val="0"/>
        <c:auto val="1"/>
        <c:lblAlgn val="ctr"/>
        <c:lblOffset val="100"/>
      </c:catAx>
      <c:valAx>
        <c:axId val="134503424"/>
        <c:scaling>
          <c:orientation val="minMax"/>
          <c:max val="0.5"/>
          <c:min val="0"/>
        </c:scaling>
        <c:axPos val="l"/>
        <c:majorGridlines/>
        <c:title>
          <c:tx>
            <c:rich>
              <a:bodyPr rot="0" vert="horz"/>
              <a:lstStyle/>
              <a:p>
                <a:pPr>
                  <a:defRPr lang="en-GB" b="1"/>
                </a:pPr>
                <a:r>
                  <a:rPr lang="ro-RO" b="1"/>
                  <a:t>Bq/m</a:t>
                </a:r>
                <a:r>
                  <a:rPr lang="ro-RO" b="1" baseline="30000"/>
                  <a:t>3</a:t>
                </a:r>
              </a:p>
            </c:rich>
          </c:tx>
          <c:layout>
            <c:manualLayout>
              <c:xMode val="edge"/>
              <c:yMode val="edge"/>
              <c:x val="1.3335913081530862E-3"/>
              <c:y val="6.7370065376081395E-2"/>
            </c:manualLayout>
          </c:layout>
        </c:title>
        <c:numFmt formatCode="#,##0.0" sourceLinked="0"/>
        <c:majorTickMark val="none"/>
        <c:tickLblPos val="nextTo"/>
        <c:txPr>
          <a:bodyPr/>
          <a:lstStyle/>
          <a:p>
            <a:pPr>
              <a:defRPr lang="en-GB"/>
            </a:pPr>
            <a:endParaRPr lang="ro-RO"/>
          </a:p>
        </c:txPr>
        <c:crossAx val="134501888"/>
        <c:crosses val="autoZero"/>
        <c:crossBetween val="between"/>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5055774913243486"/>
          <c:y val="3.677551545959009E-2"/>
          <c:w val="0.6605813953707097"/>
          <c:h val="0.63815212705805968"/>
        </c:manualLayout>
      </c:layout>
      <c:barChart>
        <c:barDir val="col"/>
        <c:grouping val="clustered"/>
        <c:ser>
          <c:idx val="0"/>
          <c:order val="0"/>
          <c:tx>
            <c:strRef>
              <c:f>Sheet1!$B$1</c:f>
              <c:strCache>
                <c:ptCount val="1"/>
                <c:pt idx="0">
                  <c:v>aspiraţie 02-07</c:v>
                </c:pt>
              </c:strCache>
            </c:strRef>
          </c:tx>
          <c:spPr>
            <a:solidFill>
              <a:schemeClr val="tx2">
                <a:lumMod val="60000"/>
                <a:lumOff val="40000"/>
              </a:schemeClr>
            </a:solidFill>
          </c:spPr>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6.6</c:v>
                </c:pt>
                <c:pt idx="1">
                  <c:v>6.7</c:v>
                </c:pt>
                <c:pt idx="2">
                  <c:v>6.9</c:v>
                </c:pt>
                <c:pt idx="3">
                  <c:v>6.8</c:v>
                </c:pt>
                <c:pt idx="4">
                  <c:v>6.6</c:v>
                </c:pt>
                <c:pt idx="5">
                  <c:v>6.8</c:v>
                </c:pt>
                <c:pt idx="6">
                  <c:v>7</c:v>
                </c:pt>
                <c:pt idx="7">
                  <c:v>6.8</c:v>
                </c:pt>
                <c:pt idx="8">
                  <c:v>6.7</c:v>
                </c:pt>
                <c:pt idx="9">
                  <c:v>9.7000000000000011</c:v>
                </c:pt>
                <c:pt idx="10">
                  <c:v>6.5</c:v>
                </c:pt>
                <c:pt idx="11">
                  <c:v>6.5</c:v>
                </c:pt>
              </c:numCache>
            </c:numRef>
          </c:val>
        </c:ser>
        <c:ser>
          <c:idx val="1"/>
          <c:order val="1"/>
          <c:tx>
            <c:strRef>
              <c:f>Sheet1!$C$1</c:f>
              <c:strCache>
                <c:ptCount val="1"/>
                <c:pt idx="0">
                  <c:v>aspiraţie 08-13</c:v>
                </c:pt>
              </c:strCache>
            </c:strRef>
          </c:tx>
          <c:spPr>
            <a:solidFill>
              <a:schemeClr val="accent5">
                <a:lumMod val="60000"/>
                <a:lumOff val="40000"/>
              </a:schemeClr>
            </a:solidFill>
          </c:spPr>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6.7</c:v>
                </c:pt>
                <c:pt idx="1">
                  <c:v>6.8</c:v>
                </c:pt>
                <c:pt idx="2">
                  <c:v>7</c:v>
                </c:pt>
                <c:pt idx="3">
                  <c:v>6.8</c:v>
                </c:pt>
                <c:pt idx="4">
                  <c:v>6.7</c:v>
                </c:pt>
                <c:pt idx="5">
                  <c:v>6.9</c:v>
                </c:pt>
                <c:pt idx="6">
                  <c:v>7</c:v>
                </c:pt>
                <c:pt idx="7">
                  <c:v>6.9</c:v>
                </c:pt>
                <c:pt idx="8">
                  <c:v>6.8</c:v>
                </c:pt>
                <c:pt idx="9">
                  <c:v>6.7</c:v>
                </c:pt>
                <c:pt idx="10">
                  <c:v>6.5</c:v>
                </c:pt>
                <c:pt idx="11">
                  <c:v>6.5</c:v>
                </c:pt>
              </c:numCache>
            </c:numRef>
          </c:val>
        </c:ser>
        <c:axId val="137763840"/>
        <c:axId val="137765632"/>
      </c:barChart>
      <c:catAx>
        <c:axId val="137763840"/>
        <c:scaling>
          <c:orientation val="minMax"/>
        </c:scaling>
        <c:axPos val="b"/>
        <c:numFmt formatCode="dd/mm/yyyy" sourceLinked="1"/>
        <c:majorTickMark val="none"/>
        <c:tickLblPos val="nextTo"/>
        <c:crossAx val="137765632"/>
        <c:crosses val="autoZero"/>
        <c:auto val="1"/>
        <c:lblAlgn val="ctr"/>
        <c:lblOffset val="100"/>
      </c:catAx>
      <c:valAx>
        <c:axId val="137765632"/>
        <c:scaling>
          <c:orientation val="minMax"/>
        </c:scaling>
        <c:axPos val="l"/>
        <c:majorGridlines/>
        <c:title>
          <c:tx>
            <c:rich>
              <a:bodyPr rot="0" vert="horz"/>
              <a:lstStyle/>
              <a:p>
                <a:pPr>
                  <a:defRPr b="1"/>
                </a:pPr>
                <a:r>
                  <a:rPr lang="ro-RO" b="1"/>
                  <a:t>mBq/m</a:t>
                </a:r>
                <a:r>
                  <a:rPr lang="ro-RO" b="1" baseline="30000"/>
                  <a:t>3</a:t>
                </a:r>
              </a:p>
            </c:rich>
          </c:tx>
          <c:layout>
            <c:manualLayout>
              <c:xMode val="edge"/>
              <c:yMode val="edge"/>
              <c:x val="1.235781368844846E-2"/>
              <c:y val="8.7552586193468368E-2"/>
            </c:manualLayout>
          </c:layout>
        </c:title>
        <c:numFmt formatCode="#,##0.0" sourceLinked="0"/>
        <c:majorTickMark val="none"/>
        <c:tickLblPos val="nextTo"/>
        <c:crossAx val="137763840"/>
        <c:crosses val="autoZero"/>
        <c:crossBetween val="between"/>
        <c:majorUnit val="2"/>
      </c:valAx>
      <c:spPr>
        <a:ln>
          <a:solidFill>
            <a:sysClr val="window" lastClr="FFFFFF">
              <a:lumMod val="65000"/>
            </a:sysClr>
          </a:solidFill>
        </a:ln>
      </c:spPr>
    </c:plotArea>
    <c:legend>
      <c:legendPos val="r"/>
      <c:layout>
        <c:manualLayout>
          <c:xMode val="edge"/>
          <c:yMode val="edge"/>
          <c:x val="0.82087149031734163"/>
          <c:y val="0.18150339476879379"/>
          <c:w val="0.16699435140188842"/>
          <c:h val="0.38077642213689988"/>
        </c:manualLayout>
      </c:layout>
    </c:legend>
    <c:plotVisOnly val="1"/>
    <c:dispBlanksAs val="zero"/>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2364364631428357"/>
          <c:y val="5.7220233245884801E-2"/>
          <c:w val="0.72717198647387959"/>
          <c:h val="0.69660464416470513"/>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0.0</c:formatCode>
                <c:ptCount val="5"/>
                <c:pt idx="0">
                  <c:v>7.57</c:v>
                </c:pt>
                <c:pt idx="1">
                  <c:v>6.9</c:v>
                </c:pt>
                <c:pt idx="2">
                  <c:v>6.6</c:v>
                </c:pt>
                <c:pt idx="3">
                  <c:v>6.6</c:v>
                </c:pt>
                <c:pt idx="4">
                  <c:v>7</c:v>
                </c:pt>
              </c:numCache>
            </c:numRef>
          </c:val>
        </c:ser>
        <c:dLbls>
          <c:showVal val="1"/>
        </c:dLbls>
        <c:axId val="137572736"/>
        <c:axId val="137574272"/>
      </c:barChart>
      <c:catAx>
        <c:axId val="137572736"/>
        <c:scaling>
          <c:orientation val="minMax"/>
        </c:scaling>
        <c:axPos val="b"/>
        <c:numFmt formatCode="General" sourceLinked="1"/>
        <c:majorTickMark val="none"/>
        <c:tickLblPos val="low"/>
        <c:txPr>
          <a:bodyPr/>
          <a:lstStyle/>
          <a:p>
            <a:pPr>
              <a:defRPr lang="en-GB"/>
            </a:pPr>
            <a:endParaRPr lang="ro-RO"/>
          </a:p>
        </c:txPr>
        <c:crossAx val="137574272"/>
        <c:crosses val="autoZero"/>
        <c:auto val="1"/>
        <c:lblAlgn val="ctr"/>
        <c:lblOffset val="200"/>
      </c:catAx>
      <c:valAx>
        <c:axId val="137574272"/>
        <c:scaling>
          <c:orientation val="minMax"/>
          <c:max val="10"/>
          <c:min val="0"/>
        </c:scaling>
        <c:axPos val="l"/>
        <c:majorGridlines/>
        <c:title>
          <c:tx>
            <c:rich>
              <a:bodyPr rot="0" vert="horz"/>
              <a:lstStyle/>
              <a:p>
                <a:pPr>
                  <a:defRPr lang="en-GB" b="1"/>
                </a:pPr>
                <a:r>
                  <a:rPr lang="ro-RO" b="1"/>
                  <a:t>mBq/m</a:t>
                </a:r>
                <a:r>
                  <a:rPr lang="ro-RO" b="1" baseline="30000"/>
                  <a:t>3</a:t>
                </a:r>
              </a:p>
            </c:rich>
          </c:tx>
          <c:layout>
            <c:manualLayout>
              <c:xMode val="edge"/>
              <c:yMode val="edge"/>
              <c:x val="1.4096675415573043E-3"/>
              <c:y val="4.9592466938559475E-2"/>
            </c:manualLayout>
          </c:layout>
        </c:title>
        <c:numFmt formatCode="0" sourceLinked="0"/>
        <c:majorTickMark val="none"/>
        <c:tickLblPos val="nextTo"/>
        <c:txPr>
          <a:bodyPr/>
          <a:lstStyle/>
          <a:p>
            <a:pPr>
              <a:defRPr lang="en-GB"/>
            </a:pPr>
            <a:endParaRPr lang="ro-RO"/>
          </a:p>
        </c:txPr>
        <c:crossAx val="137572736"/>
        <c:crosses val="autoZero"/>
        <c:crossBetween val="between"/>
        <c:majorUnit val="2"/>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3331074894707929"/>
          <c:y val="7.6067100308113714E-2"/>
          <c:w val="0.71371238478911059"/>
          <c:h val="0.67990590798791661"/>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0.0</c:formatCode>
                <c:ptCount val="5"/>
                <c:pt idx="0">
                  <c:v>7.59</c:v>
                </c:pt>
                <c:pt idx="1">
                  <c:v>6.9</c:v>
                </c:pt>
                <c:pt idx="2">
                  <c:v>6.7</c:v>
                </c:pt>
                <c:pt idx="3">
                  <c:v>6.7</c:v>
                </c:pt>
                <c:pt idx="4">
                  <c:v>6.8</c:v>
                </c:pt>
              </c:numCache>
            </c:numRef>
          </c:val>
        </c:ser>
        <c:dLbls>
          <c:showVal val="1"/>
        </c:dLbls>
        <c:axId val="136995968"/>
        <c:axId val="136997504"/>
      </c:barChart>
      <c:catAx>
        <c:axId val="136995968"/>
        <c:scaling>
          <c:orientation val="minMax"/>
        </c:scaling>
        <c:axPos val="b"/>
        <c:numFmt formatCode="General" sourceLinked="1"/>
        <c:majorTickMark val="none"/>
        <c:tickLblPos val="nextTo"/>
        <c:txPr>
          <a:bodyPr/>
          <a:lstStyle/>
          <a:p>
            <a:pPr>
              <a:defRPr lang="en-GB"/>
            </a:pPr>
            <a:endParaRPr lang="ro-RO"/>
          </a:p>
        </c:txPr>
        <c:crossAx val="136997504"/>
        <c:crosses val="autoZero"/>
        <c:auto val="1"/>
        <c:lblAlgn val="ctr"/>
        <c:lblOffset val="200"/>
      </c:catAx>
      <c:valAx>
        <c:axId val="136997504"/>
        <c:scaling>
          <c:orientation val="minMax"/>
          <c:max val="20"/>
        </c:scaling>
        <c:axPos val="l"/>
        <c:majorGridlines/>
        <c:title>
          <c:tx>
            <c:rich>
              <a:bodyPr rot="0" vert="horz"/>
              <a:lstStyle/>
              <a:p>
                <a:pPr>
                  <a:defRPr lang="en-GB" b="1"/>
                </a:pPr>
                <a:r>
                  <a:rPr lang="ro-RO" b="1"/>
                  <a:t>mBq/m</a:t>
                </a:r>
                <a:r>
                  <a:rPr lang="ro-RO" b="1" baseline="30000"/>
                  <a:t>3</a:t>
                </a:r>
              </a:p>
            </c:rich>
          </c:tx>
          <c:layout>
            <c:manualLayout>
              <c:xMode val="edge"/>
              <c:yMode val="edge"/>
              <c:x val="1.1645099046548664E-3"/>
              <c:y val="3.6680973180129882E-2"/>
            </c:manualLayout>
          </c:layout>
        </c:title>
        <c:numFmt formatCode="0" sourceLinked="0"/>
        <c:majorTickMark val="none"/>
        <c:tickLblPos val="nextTo"/>
        <c:txPr>
          <a:bodyPr/>
          <a:lstStyle/>
          <a:p>
            <a:pPr>
              <a:defRPr lang="en-GB"/>
            </a:pPr>
            <a:endParaRPr lang="ro-RO"/>
          </a:p>
        </c:txPr>
        <c:crossAx val="136995968"/>
        <c:crosses val="autoZero"/>
        <c:crossBetween val="between"/>
        <c:majorUnit val="5"/>
      </c:valAx>
      <c:spPr>
        <a:ln>
          <a:solidFill>
            <a:sysClr val="window" lastClr="FFFFFF">
              <a:lumMod val="50000"/>
            </a:sys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style val="6"/>
  <c:chart>
    <c:autoTitleDeleted val="1"/>
    <c:plotArea>
      <c:layout>
        <c:manualLayout>
          <c:layoutTarget val="inner"/>
          <c:xMode val="edge"/>
          <c:yMode val="edge"/>
          <c:x val="0.22455626380035829"/>
          <c:y val="5.9928662763308452E-2"/>
          <c:w val="0.75654276548763544"/>
          <c:h val="0.778999687976068"/>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0.0</c:formatCode>
                <c:ptCount val="5"/>
                <c:pt idx="0">
                  <c:v>1.36</c:v>
                </c:pt>
                <c:pt idx="1">
                  <c:v>1.42</c:v>
                </c:pt>
                <c:pt idx="2">
                  <c:v>1.3</c:v>
                </c:pt>
                <c:pt idx="3">
                  <c:v>1.5</c:v>
                </c:pt>
                <c:pt idx="4">
                  <c:v>1.2</c:v>
                </c:pt>
              </c:numCache>
            </c:numRef>
          </c:val>
        </c:ser>
        <c:dLbls>
          <c:showVal val="1"/>
        </c:dLbls>
        <c:axId val="137881472"/>
        <c:axId val="137883008"/>
      </c:barChart>
      <c:catAx>
        <c:axId val="137881472"/>
        <c:scaling>
          <c:orientation val="minMax"/>
        </c:scaling>
        <c:axPos val="b"/>
        <c:numFmt formatCode="General" sourceLinked="1"/>
        <c:majorTickMark val="none"/>
        <c:tickLblPos val="nextTo"/>
        <c:txPr>
          <a:bodyPr/>
          <a:lstStyle/>
          <a:p>
            <a:pPr>
              <a:defRPr lang="en-GB"/>
            </a:pPr>
            <a:endParaRPr lang="ro-RO"/>
          </a:p>
        </c:txPr>
        <c:crossAx val="137883008"/>
        <c:crosses val="autoZero"/>
        <c:auto val="1"/>
        <c:lblAlgn val="ctr"/>
        <c:lblOffset val="100"/>
      </c:catAx>
      <c:valAx>
        <c:axId val="137883008"/>
        <c:scaling>
          <c:orientation val="minMax"/>
          <c:max val="2"/>
          <c:min val="0"/>
        </c:scaling>
        <c:axPos val="l"/>
        <c:majorGridlines/>
        <c:title>
          <c:tx>
            <c:rich>
              <a:bodyPr rot="0" vert="horz"/>
              <a:lstStyle/>
              <a:p>
                <a:pPr>
                  <a:defRPr lang="en-GB" b="1"/>
                </a:pPr>
                <a:r>
                  <a:rPr lang="ro-RO" b="1"/>
                  <a:t>Bq/m</a:t>
                </a:r>
                <a:r>
                  <a:rPr lang="ro-RO" b="1" baseline="30000"/>
                  <a:t>2</a:t>
                </a:r>
                <a:r>
                  <a:rPr lang="ro-RO" b="1"/>
                  <a:t>zi</a:t>
                </a:r>
              </a:p>
            </c:rich>
          </c:tx>
          <c:layout>
            <c:manualLayout>
              <c:xMode val="edge"/>
              <c:yMode val="edge"/>
              <c:x val="8.8011298055394246E-4"/>
              <c:y val="8.7755070862698764E-2"/>
            </c:manualLayout>
          </c:layout>
        </c:title>
        <c:numFmt formatCode="0.0" sourceLinked="0"/>
        <c:majorTickMark val="none"/>
        <c:tickLblPos val="nextTo"/>
        <c:txPr>
          <a:bodyPr/>
          <a:lstStyle/>
          <a:p>
            <a:pPr>
              <a:defRPr lang="en-GB"/>
            </a:pPr>
            <a:endParaRPr lang="ro-RO"/>
          </a:p>
        </c:txPr>
        <c:crossAx val="137881472"/>
        <c:crosses val="autoZero"/>
        <c:crossBetween val="between"/>
        <c:majorUnit val="0.5"/>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style val="6"/>
  <c:chart>
    <c:autoTitleDeleted val="1"/>
    <c:plotArea>
      <c:layout>
        <c:manualLayout>
          <c:layoutTarget val="inner"/>
          <c:xMode val="edge"/>
          <c:yMode val="edge"/>
          <c:x val="0.24528258419108326"/>
          <c:y val="6.5057172201300931E-2"/>
          <c:w val="0.72247854598112538"/>
          <c:h val="0.75841742004471668"/>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0.78</c:v>
                </c:pt>
                <c:pt idx="1">
                  <c:v>0.74000000000000188</c:v>
                </c:pt>
                <c:pt idx="2">
                  <c:v>0.67000000000000248</c:v>
                </c:pt>
                <c:pt idx="3">
                  <c:v>0.72000000000000064</c:v>
                </c:pt>
                <c:pt idx="4">
                  <c:v>0.65000000000000224</c:v>
                </c:pt>
              </c:numCache>
            </c:numRef>
          </c:val>
        </c:ser>
        <c:dLbls>
          <c:showVal val="1"/>
        </c:dLbls>
        <c:axId val="136989312"/>
        <c:axId val="137773440"/>
      </c:barChart>
      <c:catAx>
        <c:axId val="136989312"/>
        <c:scaling>
          <c:orientation val="minMax"/>
        </c:scaling>
        <c:axPos val="b"/>
        <c:numFmt formatCode="General" sourceLinked="1"/>
        <c:majorTickMark val="none"/>
        <c:tickLblPos val="nextTo"/>
        <c:txPr>
          <a:bodyPr/>
          <a:lstStyle/>
          <a:p>
            <a:pPr>
              <a:defRPr lang="en-GB"/>
            </a:pPr>
            <a:endParaRPr lang="ro-RO"/>
          </a:p>
        </c:txPr>
        <c:crossAx val="137773440"/>
        <c:crosses val="autoZero"/>
        <c:auto val="1"/>
        <c:lblAlgn val="ctr"/>
        <c:lblOffset val="100"/>
      </c:catAx>
      <c:valAx>
        <c:axId val="137773440"/>
        <c:scaling>
          <c:orientation val="minMax"/>
          <c:max val="2"/>
          <c:min val="0"/>
        </c:scaling>
        <c:axPos val="l"/>
        <c:majorGridlines/>
        <c:title>
          <c:tx>
            <c:rich>
              <a:bodyPr rot="0" vert="horz"/>
              <a:lstStyle/>
              <a:p>
                <a:pPr>
                  <a:defRPr lang="en-GB" b="1"/>
                </a:pPr>
                <a:r>
                  <a:rPr lang="ro-RO" b="1" baseline="0"/>
                  <a:t>Bq/m</a:t>
                </a:r>
                <a:r>
                  <a:rPr lang="ro-RO" b="1" baseline="30000"/>
                  <a:t>2</a:t>
                </a:r>
                <a:r>
                  <a:rPr lang="ro-RO" b="1" baseline="0"/>
                  <a:t>zi</a:t>
                </a:r>
              </a:p>
            </c:rich>
          </c:tx>
          <c:layout>
            <c:manualLayout>
              <c:xMode val="edge"/>
              <c:yMode val="edge"/>
              <c:x val="1.0378676696751059E-2"/>
              <c:y val="0.10468358679695362"/>
            </c:manualLayout>
          </c:layout>
        </c:title>
        <c:numFmt formatCode="#,##0.0" sourceLinked="0"/>
        <c:majorTickMark val="none"/>
        <c:tickLblPos val="nextTo"/>
        <c:txPr>
          <a:bodyPr/>
          <a:lstStyle/>
          <a:p>
            <a:pPr>
              <a:defRPr lang="en-GB"/>
            </a:pPr>
            <a:endParaRPr lang="ro-RO"/>
          </a:p>
        </c:txPr>
        <c:crossAx val="136989312"/>
        <c:crosses val="autoZero"/>
        <c:crossBetween val="between"/>
        <c:majorUnit val="0.5"/>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style val="3"/>
  <c:chart>
    <c:autoTitleDeleted val="1"/>
    <c:plotArea>
      <c:layout>
        <c:manualLayout>
          <c:layoutTarget val="inner"/>
          <c:xMode val="edge"/>
          <c:yMode val="edge"/>
          <c:x val="0.18059345047411093"/>
          <c:y val="6.7850364785901188E-2"/>
          <c:w val="0.76183979918724753"/>
          <c:h val="0.77720686874924949"/>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0.29000000000000031</c:v>
                </c:pt>
                <c:pt idx="1">
                  <c:v>0.26</c:v>
                </c:pt>
                <c:pt idx="2">
                  <c:v>0.25</c:v>
                </c:pt>
                <c:pt idx="3">
                  <c:v>0.25</c:v>
                </c:pt>
                <c:pt idx="4">
                  <c:v>0.24000000000000021</c:v>
                </c:pt>
              </c:numCache>
            </c:numRef>
          </c:val>
        </c:ser>
        <c:dLbls>
          <c:showVal val="1"/>
        </c:dLbls>
        <c:axId val="137026944"/>
        <c:axId val="137815168"/>
      </c:barChart>
      <c:catAx>
        <c:axId val="137026944"/>
        <c:scaling>
          <c:orientation val="minMax"/>
        </c:scaling>
        <c:axPos val="b"/>
        <c:numFmt formatCode="General" sourceLinked="1"/>
        <c:majorTickMark val="none"/>
        <c:tickLblPos val="nextTo"/>
        <c:txPr>
          <a:bodyPr/>
          <a:lstStyle/>
          <a:p>
            <a:pPr>
              <a:defRPr lang="en-GB"/>
            </a:pPr>
            <a:endParaRPr lang="ro-RO"/>
          </a:p>
        </c:txPr>
        <c:crossAx val="137815168"/>
        <c:crossesAt val="0"/>
        <c:auto val="1"/>
        <c:lblAlgn val="ctr"/>
        <c:lblOffset val="100"/>
      </c:catAx>
      <c:valAx>
        <c:axId val="137815168"/>
        <c:scaling>
          <c:orientation val="minMax"/>
          <c:max val="0.5"/>
          <c:min val="0"/>
        </c:scaling>
        <c:axPos val="l"/>
        <c:majorGridlines/>
        <c:title>
          <c:tx>
            <c:rich>
              <a:bodyPr rot="0" vert="horz"/>
              <a:lstStyle/>
              <a:p>
                <a:pPr>
                  <a:defRPr lang="en-GB" b="1"/>
                </a:pPr>
                <a:r>
                  <a:rPr lang="ro-RO" b="1"/>
                  <a:t>Bq/l</a:t>
                </a:r>
              </a:p>
            </c:rich>
          </c:tx>
          <c:layout>
            <c:manualLayout>
              <c:xMode val="edge"/>
              <c:yMode val="edge"/>
              <c:x val="8.8020390888162738E-4"/>
              <c:y val="9.4126502888611768E-2"/>
            </c:manualLayout>
          </c:layout>
        </c:title>
        <c:numFmt formatCode="#,##0.0" sourceLinked="0"/>
        <c:majorTickMark val="none"/>
        <c:tickLblPos val="nextTo"/>
        <c:txPr>
          <a:bodyPr/>
          <a:lstStyle/>
          <a:p>
            <a:pPr>
              <a:defRPr lang="en-GB"/>
            </a:pPr>
            <a:endParaRPr lang="ro-RO"/>
          </a:p>
        </c:txPr>
        <c:crossAx val="137026944"/>
        <c:crosses val="autoZero"/>
        <c:crossBetween val="between"/>
        <c:majorUnit val="0.1"/>
        <c:minorUnit val="0.1"/>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style val="3"/>
  <c:chart>
    <c:autoTitleDeleted val="1"/>
    <c:plotArea>
      <c:layout>
        <c:manualLayout>
          <c:layoutTarget val="inner"/>
          <c:xMode val="edge"/>
          <c:yMode val="edge"/>
          <c:x val="0.18031117453181991"/>
          <c:y val="7.1457949741360549E-2"/>
          <c:w val="0.76334430923407548"/>
          <c:h val="0.77799804436210374"/>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formatCode="0.00">
                  <c:v>0.2</c:v>
                </c:pt>
                <c:pt idx="1">
                  <c:v>0.18000000000000024</c:v>
                </c:pt>
                <c:pt idx="2">
                  <c:v>0.18000000000000024</c:v>
                </c:pt>
                <c:pt idx="3">
                  <c:v>0.17</c:v>
                </c:pt>
                <c:pt idx="4">
                  <c:v>0.17</c:v>
                </c:pt>
              </c:numCache>
            </c:numRef>
          </c:val>
        </c:ser>
        <c:dLbls>
          <c:showVal val="1"/>
        </c:dLbls>
        <c:axId val="138006912"/>
        <c:axId val="138008448"/>
      </c:barChart>
      <c:catAx>
        <c:axId val="138006912"/>
        <c:scaling>
          <c:orientation val="minMax"/>
        </c:scaling>
        <c:axPos val="b"/>
        <c:numFmt formatCode="General" sourceLinked="1"/>
        <c:majorTickMark val="none"/>
        <c:tickLblPos val="nextTo"/>
        <c:txPr>
          <a:bodyPr/>
          <a:lstStyle/>
          <a:p>
            <a:pPr>
              <a:defRPr lang="en-GB"/>
            </a:pPr>
            <a:endParaRPr lang="ro-RO"/>
          </a:p>
        </c:txPr>
        <c:crossAx val="138008448"/>
        <c:crossesAt val="0"/>
        <c:auto val="1"/>
        <c:lblAlgn val="ctr"/>
        <c:lblOffset val="100"/>
      </c:catAx>
      <c:valAx>
        <c:axId val="138008448"/>
        <c:scaling>
          <c:orientation val="minMax"/>
          <c:max val="0.5"/>
          <c:min val="0"/>
        </c:scaling>
        <c:axPos val="l"/>
        <c:majorGridlines/>
        <c:title>
          <c:tx>
            <c:rich>
              <a:bodyPr rot="0" vert="horz"/>
              <a:lstStyle/>
              <a:p>
                <a:pPr>
                  <a:defRPr lang="en-GB" b="1"/>
                </a:pPr>
                <a:r>
                  <a:rPr lang="ro-RO" b="1"/>
                  <a:t>Bq/l</a:t>
                </a:r>
              </a:p>
            </c:rich>
          </c:tx>
          <c:layout>
            <c:manualLayout>
              <c:xMode val="edge"/>
              <c:yMode val="edge"/>
              <c:x val="1.8134063463513081E-3"/>
              <c:y val="8.4726118255900026E-2"/>
            </c:manualLayout>
          </c:layout>
        </c:title>
        <c:numFmt formatCode="#,##0.0" sourceLinked="0"/>
        <c:majorTickMark val="none"/>
        <c:tickLblPos val="nextTo"/>
        <c:txPr>
          <a:bodyPr/>
          <a:lstStyle/>
          <a:p>
            <a:pPr>
              <a:defRPr lang="en-GB"/>
            </a:pPr>
            <a:endParaRPr lang="ro-RO"/>
          </a:p>
        </c:txPr>
        <c:crossAx val="138006912"/>
        <c:crosses val="autoZero"/>
        <c:crossBetween val="between"/>
        <c:majorUnit val="0.1"/>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9.3560349366743192E-2"/>
          <c:y val="3.1893709364760811E-2"/>
          <c:w val="0.77576073281804703"/>
          <c:h val="0.4464657152230973"/>
        </c:manualLayout>
      </c:layout>
      <c:barChart>
        <c:barDir val="col"/>
        <c:grouping val="clustered"/>
        <c:ser>
          <c:idx val="0"/>
          <c:order val="0"/>
          <c:tx>
            <c:strRef>
              <c:f>Sheet1!$B$1</c:f>
              <c:strCache>
                <c:ptCount val="1"/>
                <c:pt idx="0">
                  <c:v>2013</c:v>
                </c:pt>
              </c:strCache>
            </c:strRef>
          </c:tx>
          <c:cat>
            <c:strRef>
              <c:f>Sheet1!$A$2:$A$10</c:f>
              <c:strCache>
                <c:ptCount val="9"/>
                <c:pt idx="0">
                  <c:v>Pr. Crucea, la intrarea în loc. Crucea</c:v>
                </c:pt>
                <c:pt idx="1">
                  <c:v>Pr. Crucea, aval confl. cu pr. Troaca Găvanului</c:v>
                </c:pt>
                <c:pt idx="2">
                  <c:v>Pr. Suha, amonte confl. cu pr. Botuşana</c:v>
                </c:pt>
                <c:pt idx="3">
                  <c:v>Pr. Suha, aval confl. cu pr. Botuşana</c:v>
                </c:pt>
                <c:pt idx="4">
                  <c:v>Râul Bistriţa, amonte de confl. cu pârâul Crucea</c:v>
                </c:pt>
                <c:pt idx="5">
                  <c:v>Râul Bistriţa, aval de confl. cu pârâul Crucea</c:v>
                </c:pt>
                <c:pt idx="6">
                  <c:v>Pr. Botuşana, aval 500 m de lucrările miniere</c:v>
                </c:pt>
                <c:pt idx="7">
                  <c:v>Pârâul Puzdra, aval G11 bis Puzdra</c:v>
                </c:pt>
                <c:pt idx="8">
                  <c:v>Râu Suceava, aval haldă CET</c:v>
                </c:pt>
              </c:strCache>
            </c:strRef>
          </c:cat>
          <c:val>
            <c:numRef>
              <c:f>Sheet1!$B$2:$B$10</c:f>
              <c:numCache>
                <c:formatCode>0.00</c:formatCode>
                <c:ptCount val="9"/>
                <c:pt idx="0">
                  <c:v>0.47045000000000031</c:v>
                </c:pt>
                <c:pt idx="1">
                  <c:v>0.69129999999999991</c:v>
                </c:pt>
                <c:pt idx="2">
                  <c:v>0.20085</c:v>
                </c:pt>
                <c:pt idx="3">
                  <c:v>0.20085</c:v>
                </c:pt>
                <c:pt idx="4">
                  <c:v>0.21440000000000026</c:v>
                </c:pt>
                <c:pt idx="5">
                  <c:v>0.27260000000000001</c:v>
                </c:pt>
                <c:pt idx="6">
                  <c:v>0.19575000000000001</c:v>
                </c:pt>
                <c:pt idx="7">
                  <c:v>0.1953</c:v>
                </c:pt>
                <c:pt idx="8">
                  <c:v>0.18450000000000019</c:v>
                </c:pt>
              </c:numCache>
            </c:numRef>
          </c:val>
        </c:ser>
        <c:ser>
          <c:idx val="1"/>
          <c:order val="1"/>
          <c:tx>
            <c:strRef>
              <c:f>Sheet1!$C$1</c:f>
              <c:strCache>
                <c:ptCount val="1"/>
                <c:pt idx="0">
                  <c:v>2014</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Sheet1!$A$2:$A$10</c:f>
              <c:strCache>
                <c:ptCount val="9"/>
                <c:pt idx="0">
                  <c:v>Pr. Crucea, la intrarea în loc. Crucea</c:v>
                </c:pt>
                <c:pt idx="1">
                  <c:v>Pr. Crucea, aval confl. cu pr. Troaca Găvanului</c:v>
                </c:pt>
                <c:pt idx="2">
                  <c:v>Pr. Suha, amonte confl. cu pr. Botuşana</c:v>
                </c:pt>
                <c:pt idx="3">
                  <c:v>Pr. Suha, aval confl. cu pr. Botuşana</c:v>
                </c:pt>
                <c:pt idx="4">
                  <c:v>Râul Bistriţa, amonte de confl. cu pârâul Crucea</c:v>
                </c:pt>
                <c:pt idx="5">
                  <c:v>Râul Bistriţa, aval de confl. cu pârâul Crucea</c:v>
                </c:pt>
                <c:pt idx="6">
                  <c:v>Pr. Botuşana, aval 500 m de lucrările miniere</c:v>
                </c:pt>
                <c:pt idx="7">
                  <c:v>Pârâul Puzdra, aval G11 bis Puzdra</c:v>
                </c:pt>
                <c:pt idx="8">
                  <c:v>Râu Suceava, aval haldă CET</c:v>
                </c:pt>
              </c:strCache>
            </c:strRef>
          </c:cat>
          <c:val>
            <c:numRef>
              <c:f>Sheet1!$C$2:$C$10</c:f>
              <c:numCache>
                <c:formatCode>0.00</c:formatCode>
                <c:ptCount val="9"/>
                <c:pt idx="0">
                  <c:v>0.30970000000000031</c:v>
                </c:pt>
                <c:pt idx="1">
                  <c:v>0.41285000000000038</c:v>
                </c:pt>
                <c:pt idx="2">
                  <c:v>0.34510000000000002</c:v>
                </c:pt>
                <c:pt idx="3">
                  <c:v>0.51829999999999998</c:v>
                </c:pt>
                <c:pt idx="4">
                  <c:v>0.23855000000000001</c:v>
                </c:pt>
                <c:pt idx="5">
                  <c:v>0.29865000000000008</c:v>
                </c:pt>
                <c:pt idx="6">
                  <c:v>0.17700000000000018</c:v>
                </c:pt>
                <c:pt idx="7">
                  <c:v>0.17950000000000019</c:v>
                </c:pt>
                <c:pt idx="8">
                  <c:v>0.2026</c:v>
                </c:pt>
              </c:numCache>
            </c:numRef>
          </c:val>
        </c:ser>
        <c:ser>
          <c:idx val="2"/>
          <c:order val="2"/>
          <c:tx>
            <c:strRef>
              <c:f>Sheet1!$D$1</c:f>
              <c:strCache>
                <c:ptCount val="1"/>
                <c:pt idx="0">
                  <c:v>2015</c:v>
                </c:pt>
              </c:strCache>
            </c:strRef>
          </c:tx>
          <c:cat>
            <c:strRef>
              <c:f>Sheet1!$A$2:$A$10</c:f>
              <c:strCache>
                <c:ptCount val="9"/>
                <c:pt idx="0">
                  <c:v>Pr. Crucea, la intrarea în loc. Crucea</c:v>
                </c:pt>
                <c:pt idx="1">
                  <c:v>Pr. Crucea, aval confl. cu pr. Troaca Găvanului</c:v>
                </c:pt>
                <c:pt idx="2">
                  <c:v>Pr. Suha, amonte confl. cu pr. Botuşana</c:v>
                </c:pt>
                <c:pt idx="3">
                  <c:v>Pr. Suha, aval confl. cu pr. Botuşana</c:v>
                </c:pt>
                <c:pt idx="4">
                  <c:v>Râul Bistriţa, amonte de confl. cu pârâul Crucea</c:v>
                </c:pt>
                <c:pt idx="5">
                  <c:v>Râul Bistriţa, aval de confl. cu pârâul Crucea</c:v>
                </c:pt>
                <c:pt idx="6">
                  <c:v>Pr. Botuşana, aval 500 m de lucrările miniere</c:v>
                </c:pt>
                <c:pt idx="7">
                  <c:v>Pârâul Puzdra, aval G11 bis Puzdra</c:v>
                </c:pt>
                <c:pt idx="8">
                  <c:v>Râu Suceava, aval haldă CET</c:v>
                </c:pt>
              </c:strCache>
            </c:strRef>
          </c:cat>
          <c:val>
            <c:numRef>
              <c:f>Sheet1!$D$2:$D$10</c:f>
              <c:numCache>
                <c:formatCode>0.00</c:formatCode>
                <c:ptCount val="9"/>
                <c:pt idx="0">
                  <c:v>0.21805000000000019</c:v>
                </c:pt>
                <c:pt idx="1">
                  <c:v>0.24820000000000017</c:v>
                </c:pt>
                <c:pt idx="2">
                  <c:v>0.19195000000000001</c:v>
                </c:pt>
                <c:pt idx="3">
                  <c:v>0.17675000000000018</c:v>
                </c:pt>
                <c:pt idx="4">
                  <c:v>0.17345000000000019</c:v>
                </c:pt>
                <c:pt idx="5">
                  <c:v>0.17345000000000019</c:v>
                </c:pt>
                <c:pt idx="6">
                  <c:v>0.17775000000000019</c:v>
                </c:pt>
                <c:pt idx="7">
                  <c:v>0.17600000000000018</c:v>
                </c:pt>
                <c:pt idx="8">
                  <c:v>0.17169999999999999</c:v>
                </c:pt>
              </c:numCache>
            </c:numRef>
          </c:val>
        </c:ser>
        <c:ser>
          <c:idx val="3"/>
          <c:order val="3"/>
          <c:tx>
            <c:strRef>
              <c:f>Sheet1!$E$1</c:f>
              <c:strCache>
                <c:ptCount val="1"/>
                <c:pt idx="0">
                  <c:v>2016</c:v>
                </c:pt>
              </c:strCache>
            </c:strRef>
          </c:tx>
          <c:cat>
            <c:strRef>
              <c:f>Sheet1!$A$2:$A$10</c:f>
              <c:strCache>
                <c:ptCount val="9"/>
                <c:pt idx="0">
                  <c:v>Pr. Crucea, la intrarea în loc. Crucea</c:v>
                </c:pt>
                <c:pt idx="1">
                  <c:v>Pr. Crucea, aval confl. cu pr. Troaca Găvanului</c:v>
                </c:pt>
                <c:pt idx="2">
                  <c:v>Pr. Suha, amonte confl. cu pr. Botuşana</c:v>
                </c:pt>
                <c:pt idx="3">
                  <c:v>Pr. Suha, aval confl. cu pr. Botuşana</c:v>
                </c:pt>
                <c:pt idx="4">
                  <c:v>Râul Bistriţa, amonte de confl. cu pârâul Crucea</c:v>
                </c:pt>
                <c:pt idx="5">
                  <c:v>Râul Bistriţa, aval de confl. cu pârâul Crucea</c:v>
                </c:pt>
                <c:pt idx="6">
                  <c:v>Pr. Botuşana, aval 500 m de lucrările miniere</c:v>
                </c:pt>
                <c:pt idx="7">
                  <c:v>Pârâul Puzdra, aval G11 bis Puzdra</c:v>
                </c:pt>
                <c:pt idx="8">
                  <c:v>Râu Suceava, aval haldă CET</c:v>
                </c:pt>
              </c:strCache>
            </c:strRef>
          </c:cat>
          <c:val>
            <c:numRef>
              <c:f>Sheet1!$E$2:$E$10</c:f>
              <c:numCache>
                <c:formatCode>0.00</c:formatCode>
                <c:ptCount val="9"/>
                <c:pt idx="0">
                  <c:v>0.19525000000000001</c:v>
                </c:pt>
                <c:pt idx="1">
                  <c:v>0.19519999999999998</c:v>
                </c:pt>
                <c:pt idx="2">
                  <c:v>0.17640000000000022</c:v>
                </c:pt>
                <c:pt idx="3">
                  <c:v>0.17640000000000022</c:v>
                </c:pt>
                <c:pt idx="4">
                  <c:v>0.17165</c:v>
                </c:pt>
                <c:pt idx="5">
                  <c:v>0.17165</c:v>
                </c:pt>
                <c:pt idx="6">
                  <c:v>0.18185000000000001</c:v>
                </c:pt>
                <c:pt idx="7">
                  <c:v>0.2273</c:v>
                </c:pt>
                <c:pt idx="8">
                  <c:v>0.17240000000000019</c:v>
                </c:pt>
              </c:numCache>
            </c:numRef>
          </c:val>
        </c:ser>
        <c:ser>
          <c:idx val="4"/>
          <c:order val="4"/>
          <c:tx>
            <c:strRef>
              <c:f>Sheet1!$F$1</c:f>
              <c:strCache>
                <c:ptCount val="1"/>
                <c:pt idx="0">
                  <c:v>2017</c:v>
                </c:pt>
              </c:strCache>
            </c:strRef>
          </c:tx>
          <c:cat>
            <c:strRef>
              <c:f>Sheet1!$A$2:$A$10</c:f>
              <c:strCache>
                <c:ptCount val="9"/>
                <c:pt idx="0">
                  <c:v>Pr. Crucea, la intrarea în loc. Crucea</c:v>
                </c:pt>
                <c:pt idx="1">
                  <c:v>Pr. Crucea, aval confl. cu pr. Troaca Găvanului</c:v>
                </c:pt>
                <c:pt idx="2">
                  <c:v>Pr. Suha, amonte confl. cu pr. Botuşana</c:v>
                </c:pt>
                <c:pt idx="3">
                  <c:v>Pr. Suha, aval confl. cu pr. Botuşana</c:v>
                </c:pt>
                <c:pt idx="4">
                  <c:v>Râul Bistriţa, amonte de confl. cu pârâul Crucea</c:v>
                </c:pt>
                <c:pt idx="5">
                  <c:v>Râul Bistriţa, aval de confl. cu pârâul Crucea</c:v>
                </c:pt>
                <c:pt idx="6">
                  <c:v>Pr. Botuşana, aval 500 m de lucrările miniere</c:v>
                </c:pt>
                <c:pt idx="7">
                  <c:v>Pârâul Puzdra, aval G11 bis Puzdra</c:v>
                </c:pt>
                <c:pt idx="8">
                  <c:v>Râu Suceava, aval haldă CET</c:v>
                </c:pt>
              </c:strCache>
            </c:strRef>
          </c:cat>
          <c:val>
            <c:numRef>
              <c:f>Sheet1!$F$2:$F$10</c:f>
              <c:numCache>
                <c:formatCode>0.00</c:formatCode>
                <c:ptCount val="9"/>
                <c:pt idx="0">
                  <c:v>0.21390000000000026</c:v>
                </c:pt>
                <c:pt idx="1">
                  <c:v>0.25705</c:v>
                </c:pt>
                <c:pt idx="2">
                  <c:v>0.2571</c:v>
                </c:pt>
                <c:pt idx="3">
                  <c:v>0.42645000000000038</c:v>
                </c:pt>
                <c:pt idx="4">
                  <c:v>0.17280000000000001</c:v>
                </c:pt>
                <c:pt idx="5">
                  <c:v>0.31565000000000032</c:v>
                </c:pt>
                <c:pt idx="6">
                  <c:v>0.17595000000000019</c:v>
                </c:pt>
                <c:pt idx="7">
                  <c:v>0.28330000000000038</c:v>
                </c:pt>
                <c:pt idx="8">
                  <c:v>0.17319999999999999</c:v>
                </c:pt>
              </c:numCache>
            </c:numRef>
          </c:val>
        </c:ser>
        <c:gapWidth val="214"/>
        <c:axId val="138064256"/>
        <c:axId val="138066176"/>
      </c:barChart>
      <c:catAx>
        <c:axId val="138064256"/>
        <c:scaling>
          <c:orientation val="minMax"/>
        </c:scaling>
        <c:axPos val="b"/>
        <c:title>
          <c:tx>
            <c:rich>
              <a:bodyPr/>
              <a:lstStyle/>
              <a:p>
                <a:pPr>
                  <a:defRPr lang="en-GB" b="1"/>
                </a:pPr>
                <a:r>
                  <a:rPr lang="ro-RO" b="1"/>
                  <a:t>Bq/l</a:t>
                </a:r>
              </a:p>
            </c:rich>
          </c:tx>
          <c:layout>
            <c:manualLayout>
              <c:xMode val="edge"/>
              <c:yMode val="edge"/>
              <c:x val="6.8185198136603794E-4"/>
              <c:y val="7.7653278951642049E-2"/>
            </c:manualLayout>
          </c:layout>
        </c:title>
        <c:majorTickMark val="none"/>
        <c:tickLblPos val="nextTo"/>
        <c:txPr>
          <a:bodyPr rot="-5400000"/>
          <a:lstStyle/>
          <a:p>
            <a:pPr>
              <a:defRPr lang="en-GB" sz="800"/>
            </a:pPr>
            <a:endParaRPr lang="ro-RO"/>
          </a:p>
        </c:txPr>
        <c:crossAx val="138066176"/>
        <c:crosses val="autoZero"/>
        <c:auto val="1"/>
        <c:lblAlgn val="ctr"/>
        <c:lblOffset val="100"/>
      </c:catAx>
      <c:valAx>
        <c:axId val="138066176"/>
        <c:scaling>
          <c:orientation val="minMax"/>
          <c:max val="1"/>
          <c:min val="0"/>
        </c:scaling>
        <c:axPos val="l"/>
        <c:majorGridlines/>
        <c:numFmt formatCode="0.0" sourceLinked="0"/>
        <c:majorTickMark val="none"/>
        <c:tickLblPos val="nextTo"/>
        <c:txPr>
          <a:bodyPr/>
          <a:lstStyle/>
          <a:p>
            <a:pPr>
              <a:defRPr lang="en-GB"/>
            </a:pPr>
            <a:endParaRPr lang="ro-RO"/>
          </a:p>
        </c:txPr>
        <c:crossAx val="138064256"/>
        <c:crosses val="autoZero"/>
        <c:crossBetween val="between"/>
        <c:majorUnit val="0.2"/>
        <c:minorUnit val="0.05"/>
      </c:valAx>
      <c:spPr>
        <a:ln>
          <a:solidFill>
            <a:sysClr val="window" lastClr="FFFFFF">
              <a:lumMod val="50000"/>
            </a:sysClr>
          </a:solidFill>
        </a:ln>
      </c:spPr>
    </c:plotArea>
    <c:legend>
      <c:legendPos val="r"/>
      <c:layout>
        <c:manualLayout>
          <c:xMode val="edge"/>
          <c:yMode val="edge"/>
          <c:x val="0.89777429429284583"/>
          <c:y val="3.4318700358533585E-2"/>
          <c:w val="7.1597834344213934E-2"/>
          <c:h val="0.41535228018372738"/>
        </c:manualLayout>
      </c:layout>
      <c:txPr>
        <a:bodyPr/>
        <a:lstStyle/>
        <a:p>
          <a:pPr>
            <a:defRPr lang="en-GB"/>
          </a:pPr>
          <a:endParaRPr lang="ro-RO"/>
        </a:p>
      </c:txPr>
    </c:legend>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GB" sz="900"/>
            </a:pPr>
            <a:r>
              <a:rPr lang="ro-RO" sz="900"/>
              <a:t>Bq/m</a:t>
            </a:r>
            <a:r>
              <a:rPr lang="ro-RO" sz="900" baseline="30000"/>
              <a:t>3</a:t>
            </a:r>
          </a:p>
        </c:rich>
      </c:tx>
      <c:layout>
        <c:manualLayout>
          <c:xMode val="edge"/>
          <c:yMode val="edge"/>
          <c:x val="2.982303544923541E-2"/>
          <c:y val="6.2652108338280083E-2"/>
        </c:manualLayout>
      </c:layout>
    </c:title>
    <c:plotArea>
      <c:layout>
        <c:manualLayout>
          <c:layoutTarget val="inner"/>
          <c:xMode val="edge"/>
          <c:yMode val="edge"/>
          <c:x val="0.15655498944984841"/>
          <c:y val="3.7672495711801056E-2"/>
          <c:w val="0.60536874067212187"/>
          <c:h val="0.5684175291878335"/>
        </c:manualLayout>
      </c:layout>
      <c:areaChart>
        <c:grouping val="standard"/>
        <c:ser>
          <c:idx val="0"/>
          <c:order val="0"/>
          <c:tx>
            <c:strRef>
              <c:f>Sheet1!$B$1</c:f>
              <c:strCache>
                <c:ptCount val="1"/>
                <c:pt idx="0">
                  <c:v>aspiraţie 02-07</c:v>
                </c:pt>
              </c:strCache>
            </c:strRef>
          </c:tx>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1</c:v>
                </c:pt>
                <c:pt idx="1">
                  <c:v>1</c:v>
                </c:pt>
                <c:pt idx="2">
                  <c:v>1.1000000000000001</c:v>
                </c:pt>
                <c:pt idx="3">
                  <c:v>1.5</c:v>
                </c:pt>
                <c:pt idx="4">
                  <c:v>1.9000000000000001</c:v>
                </c:pt>
                <c:pt idx="5">
                  <c:v>1.4</c:v>
                </c:pt>
                <c:pt idx="6">
                  <c:v>3.1</c:v>
                </c:pt>
                <c:pt idx="7">
                  <c:v>3.6</c:v>
                </c:pt>
                <c:pt idx="8" formatCode="0.0">
                  <c:v>3.5</c:v>
                </c:pt>
                <c:pt idx="9">
                  <c:v>2.6</c:v>
                </c:pt>
                <c:pt idx="10">
                  <c:v>1.8</c:v>
                </c:pt>
                <c:pt idx="11">
                  <c:v>1</c:v>
                </c:pt>
              </c:numCache>
            </c:numRef>
          </c:val>
        </c:ser>
        <c:ser>
          <c:idx val="1"/>
          <c:order val="1"/>
          <c:tx>
            <c:strRef>
              <c:f>Sheet1!$C$1</c:f>
              <c:strCache>
                <c:ptCount val="1"/>
                <c:pt idx="0">
                  <c:v>aspiraţie 08-13</c:v>
                </c:pt>
              </c:strCache>
            </c:strRef>
          </c:tx>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1.1000000000000001</c:v>
                </c:pt>
                <c:pt idx="1">
                  <c:v>1.3</c:v>
                </c:pt>
                <c:pt idx="2" formatCode="0.0">
                  <c:v>0.8</c:v>
                </c:pt>
                <c:pt idx="3">
                  <c:v>0.60000000000000064</c:v>
                </c:pt>
                <c:pt idx="4">
                  <c:v>0.60000000000000064</c:v>
                </c:pt>
                <c:pt idx="5">
                  <c:v>0.60000000000000064</c:v>
                </c:pt>
                <c:pt idx="6" formatCode="0">
                  <c:v>1</c:v>
                </c:pt>
                <c:pt idx="7">
                  <c:v>1</c:v>
                </c:pt>
                <c:pt idx="8">
                  <c:v>1.3</c:v>
                </c:pt>
                <c:pt idx="9">
                  <c:v>1.1000000000000001</c:v>
                </c:pt>
                <c:pt idx="10" formatCode="0.0">
                  <c:v>1.8</c:v>
                </c:pt>
                <c:pt idx="11">
                  <c:v>1.1000000000000001</c:v>
                </c:pt>
              </c:numCache>
            </c:numRef>
          </c:val>
        </c:ser>
        <c:axId val="126793984"/>
        <c:axId val="126795776"/>
      </c:areaChart>
      <c:catAx>
        <c:axId val="126793984"/>
        <c:scaling>
          <c:orientation val="minMax"/>
        </c:scaling>
        <c:axPos val="b"/>
        <c:numFmt formatCode="dd\/mm\/yyyy" sourceLinked="1"/>
        <c:majorTickMark val="none"/>
        <c:tickLblPos val="nextTo"/>
        <c:txPr>
          <a:bodyPr/>
          <a:lstStyle/>
          <a:p>
            <a:pPr>
              <a:defRPr lang="en-GB"/>
            </a:pPr>
            <a:endParaRPr lang="ro-RO"/>
          </a:p>
        </c:txPr>
        <c:crossAx val="126795776"/>
        <c:crosses val="autoZero"/>
        <c:auto val="1"/>
        <c:lblAlgn val="ctr"/>
        <c:lblOffset val="100"/>
      </c:catAx>
      <c:valAx>
        <c:axId val="126795776"/>
        <c:scaling>
          <c:orientation val="minMax"/>
        </c:scaling>
        <c:axPos val="l"/>
        <c:majorGridlines/>
        <c:numFmt formatCode="General" sourceLinked="1"/>
        <c:majorTickMark val="none"/>
        <c:tickLblPos val="nextTo"/>
        <c:txPr>
          <a:bodyPr/>
          <a:lstStyle/>
          <a:p>
            <a:pPr>
              <a:defRPr lang="en-GB"/>
            </a:pPr>
            <a:endParaRPr lang="ro-RO"/>
          </a:p>
        </c:txPr>
        <c:crossAx val="126793984"/>
        <c:crosses val="autoZero"/>
        <c:crossBetween val="midCat"/>
        <c:majorUnit val="1"/>
      </c:valAx>
      <c:spPr>
        <a:ln>
          <a:solidFill>
            <a:schemeClr val="bg1">
              <a:lumMod val="65000"/>
            </a:schemeClr>
          </a:solidFill>
        </a:ln>
      </c:spPr>
    </c:plotArea>
    <c:legend>
      <c:legendPos val="r"/>
      <c:layout>
        <c:manualLayout>
          <c:xMode val="edge"/>
          <c:yMode val="edge"/>
          <c:x val="0.77415634810354583"/>
          <c:y val="0.11517503973975086"/>
          <c:w val="0.20801605681642849"/>
          <c:h val="0.40729109345371473"/>
        </c:manualLayout>
      </c:layout>
      <c:txPr>
        <a:bodyPr/>
        <a:lstStyle/>
        <a:p>
          <a:pPr>
            <a:defRPr lang="en-GB"/>
          </a:pPr>
          <a:endParaRPr lang="ro-RO"/>
        </a:p>
      </c:txPr>
    </c:legend>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style val="4"/>
  <c:chart>
    <c:autoTitleDeleted val="1"/>
    <c:plotArea>
      <c:layout>
        <c:manualLayout>
          <c:layoutTarget val="inner"/>
          <c:xMode val="edge"/>
          <c:yMode val="edge"/>
          <c:x val="8.4319482895688233E-2"/>
          <c:y val="4.7549791570171383E-2"/>
          <c:w val="0.82970072527916261"/>
          <c:h val="0.47898863993352264"/>
        </c:manualLayout>
      </c:layout>
      <c:barChart>
        <c:barDir val="col"/>
        <c:grouping val="clustered"/>
        <c:ser>
          <c:idx val="0"/>
          <c:order val="0"/>
          <c:tx>
            <c:strRef>
              <c:f>Sheet1!$B$1</c:f>
              <c:strCache>
                <c:ptCount val="1"/>
                <c:pt idx="0">
                  <c:v>2013</c:v>
                </c:pt>
              </c:strCache>
            </c:strRef>
          </c:tx>
          <c:cat>
            <c:strRef>
              <c:f>Sheet1!$A$2:$A$10</c:f>
              <c:strCache>
                <c:ptCount val="9"/>
                <c:pt idx="0">
                  <c:v>Prima fântână din E  loc. Crucea, în apropierea pr. Crucii</c:v>
                </c:pt>
                <c:pt idx="1">
                  <c:v>zona Botuşana</c:v>
                </c:pt>
                <c:pt idx="2">
                  <c:v>Prima fântână din Tărnicioara-pr. Suha</c:v>
                </c:pt>
                <c:pt idx="3">
                  <c:v>zona Argestru</c:v>
                </c:pt>
                <c:pt idx="4">
                  <c:v>Prima fântână intrare în loc. Hojda</c:v>
                </c:pt>
                <c:pt idx="5">
                  <c:v>Prima fântână situată în V loc. Gemenea (pr. Hojda)</c:v>
                </c:pt>
                <c:pt idx="6">
                  <c:v>Prima fântână din S loc. Gemenea (valea Cheii)</c:v>
                </c:pt>
                <c:pt idx="7">
                  <c:v>Prima fântână din E loc. Chiril</c:v>
                </c:pt>
                <c:pt idx="8">
                  <c:v>Foraj piezom.  între halda cenuşă CET şi r. Suceava</c:v>
                </c:pt>
              </c:strCache>
            </c:strRef>
          </c:cat>
          <c:val>
            <c:numRef>
              <c:f>Sheet1!$B$2:$B$10</c:f>
              <c:numCache>
                <c:formatCode>0.000</c:formatCode>
                <c:ptCount val="9"/>
                <c:pt idx="0">
                  <c:v>0.19619999999999999</c:v>
                </c:pt>
                <c:pt idx="1">
                  <c:v>0.19743333333333374</c:v>
                </c:pt>
                <c:pt idx="2">
                  <c:v>0.31395000000000056</c:v>
                </c:pt>
                <c:pt idx="3">
                  <c:v>0.38177500000000031</c:v>
                </c:pt>
                <c:pt idx="4">
                  <c:v>0.27560000000000001</c:v>
                </c:pt>
                <c:pt idx="5">
                  <c:v>0.37370000000000031</c:v>
                </c:pt>
                <c:pt idx="6">
                  <c:v>0.31760000000000038</c:v>
                </c:pt>
                <c:pt idx="7">
                  <c:v>0.20090000000000025</c:v>
                </c:pt>
                <c:pt idx="8">
                  <c:v>0.4052</c:v>
                </c:pt>
              </c:numCache>
            </c:numRef>
          </c:val>
        </c:ser>
        <c:ser>
          <c:idx val="1"/>
          <c:order val="1"/>
          <c:tx>
            <c:strRef>
              <c:f>Sheet1!$C$1</c:f>
              <c:strCache>
                <c:ptCount val="1"/>
                <c:pt idx="0">
                  <c:v>2014</c:v>
                </c:pt>
              </c:strCache>
            </c:strRef>
          </c:tx>
          <c:cat>
            <c:strRef>
              <c:f>Sheet1!$A$2:$A$10</c:f>
              <c:strCache>
                <c:ptCount val="9"/>
                <c:pt idx="0">
                  <c:v>Prima fântână din E  loc. Crucea, în apropierea pr. Crucii</c:v>
                </c:pt>
                <c:pt idx="1">
                  <c:v>zona Botuşana</c:v>
                </c:pt>
                <c:pt idx="2">
                  <c:v>Prima fântână din Tărnicioara-pr. Suha</c:v>
                </c:pt>
                <c:pt idx="3">
                  <c:v>zona Argestru</c:v>
                </c:pt>
                <c:pt idx="4">
                  <c:v>Prima fântână intrare în loc. Hojda</c:v>
                </c:pt>
                <c:pt idx="5">
                  <c:v>Prima fântână situată în V loc. Gemenea (pr. Hojda)</c:v>
                </c:pt>
                <c:pt idx="6">
                  <c:v>Prima fântână din S loc. Gemenea (valea Cheii)</c:v>
                </c:pt>
                <c:pt idx="7">
                  <c:v>Prima fântână din E loc. Chiril</c:v>
                </c:pt>
                <c:pt idx="8">
                  <c:v>Foraj piezom.  între halda cenuşă CET şi r. Suceava</c:v>
                </c:pt>
              </c:strCache>
            </c:strRef>
          </c:cat>
          <c:val>
            <c:numRef>
              <c:f>Sheet1!$C$2:$C$10</c:f>
              <c:numCache>
                <c:formatCode>0.000</c:formatCode>
                <c:ptCount val="9"/>
                <c:pt idx="0">
                  <c:v>0.29705000000000031</c:v>
                </c:pt>
                <c:pt idx="1">
                  <c:v>0.24335000000000001</c:v>
                </c:pt>
                <c:pt idx="2">
                  <c:v>0.22689999999999999</c:v>
                </c:pt>
                <c:pt idx="3">
                  <c:v>0.34642500000000032</c:v>
                </c:pt>
                <c:pt idx="4">
                  <c:v>0.17519999999999999</c:v>
                </c:pt>
                <c:pt idx="5">
                  <c:v>0.94470000000000065</c:v>
                </c:pt>
                <c:pt idx="6">
                  <c:v>0.17450000000000004</c:v>
                </c:pt>
                <c:pt idx="7">
                  <c:v>0.18380000000000021</c:v>
                </c:pt>
                <c:pt idx="8">
                  <c:v>0.18450000000000025</c:v>
                </c:pt>
              </c:numCache>
            </c:numRef>
          </c:val>
        </c:ser>
        <c:ser>
          <c:idx val="2"/>
          <c:order val="2"/>
          <c:tx>
            <c:strRef>
              <c:f>Sheet1!$D$1</c:f>
              <c:strCache>
                <c:ptCount val="1"/>
                <c:pt idx="0">
                  <c:v>2015</c:v>
                </c:pt>
              </c:strCache>
            </c:strRef>
          </c:tx>
          <c:cat>
            <c:strRef>
              <c:f>Sheet1!$A$2:$A$10</c:f>
              <c:strCache>
                <c:ptCount val="9"/>
                <c:pt idx="0">
                  <c:v>Prima fântână din E  loc. Crucea, în apropierea pr. Crucii</c:v>
                </c:pt>
                <c:pt idx="1">
                  <c:v>zona Botuşana</c:v>
                </c:pt>
                <c:pt idx="2">
                  <c:v>Prima fântână din Tărnicioara-pr. Suha</c:v>
                </c:pt>
                <c:pt idx="3">
                  <c:v>zona Argestru</c:v>
                </c:pt>
                <c:pt idx="4">
                  <c:v>Prima fântână intrare în loc. Hojda</c:v>
                </c:pt>
                <c:pt idx="5">
                  <c:v>Prima fântână situată în V loc. Gemenea (pr. Hojda)</c:v>
                </c:pt>
                <c:pt idx="6">
                  <c:v>Prima fântână din S loc. Gemenea (valea Cheii)</c:v>
                </c:pt>
                <c:pt idx="7">
                  <c:v>Prima fântână din E loc. Chiril</c:v>
                </c:pt>
                <c:pt idx="8">
                  <c:v>Foraj piezom.  între halda cenuşă CET şi r. Suceava</c:v>
                </c:pt>
              </c:strCache>
            </c:strRef>
          </c:cat>
          <c:val>
            <c:numRef>
              <c:f>Sheet1!$D$2:$D$10</c:f>
              <c:numCache>
                <c:formatCode>0.000</c:formatCode>
                <c:ptCount val="9"/>
                <c:pt idx="0">
                  <c:v>0.20730000000000001</c:v>
                </c:pt>
                <c:pt idx="1">
                  <c:v>0.17345000000000024</c:v>
                </c:pt>
                <c:pt idx="2">
                  <c:v>0.3190500000000005</c:v>
                </c:pt>
                <c:pt idx="3">
                  <c:v>0.40092500000000031</c:v>
                </c:pt>
                <c:pt idx="4">
                  <c:v>0.16950000000000001</c:v>
                </c:pt>
                <c:pt idx="5">
                  <c:v>0.21190000000000031</c:v>
                </c:pt>
                <c:pt idx="6">
                  <c:v>0.83900000000000063</c:v>
                </c:pt>
                <c:pt idx="7">
                  <c:v>0.18030000000000004</c:v>
                </c:pt>
                <c:pt idx="8">
                  <c:v>0.61180000000000101</c:v>
                </c:pt>
              </c:numCache>
            </c:numRef>
          </c:val>
        </c:ser>
        <c:ser>
          <c:idx val="3"/>
          <c:order val="3"/>
          <c:tx>
            <c:strRef>
              <c:f>Sheet1!$E$1</c:f>
              <c:strCache>
                <c:ptCount val="1"/>
                <c:pt idx="0">
                  <c:v>2016</c:v>
                </c:pt>
              </c:strCache>
            </c:strRef>
          </c:tx>
          <c:cat>
            <c:strRef>
              <c:f>Sheet1!$A$2:$A$10</c:f>
              <c:strCache>
                <c:ptCount val="9"/>
                <c:pt idx="0">
                  <c:v>Prima fântână din E  loc. Crucea, în apropierea pr. Crucii</c:v>
                </c:pt>
                <c:pt idx="1">
                  <c:v>zona Botuşana</c:v>
                </c:pt>
                <c:pt idx="2">
                  <c:v>Prima fântână din Tărnicioara-pr. Suha</c:v>
                </c:pt>
                <c:pt idx="3">
                  <c:v>zona Argestru</c:v>
                </c:pt>
                <c:pt idx="4">
                  <c:v>Prima fântână intrare în loc. Hojda</c:v>
                </c:pt>
                <c:pt idx="5">
                  <c:v>Prima fântână situată în V loc. Gemenea (pr. Hojda)</c:v>
                </c:pt>
                <c:pt idx="6">
                  <c:v>Prima fântână din S loc. Gemenea (valea Cheii)</c:v>
                </c:pt>
                <c:pt idx="7">
                  <c:v>Prima fântână din E loc. Chiril</c:v>
                </c:pt>
                <c:pt idx="8">
                  <c:v>Foraj piezom.  între halda cenuşă CET şi r. Suceava</c:v>
                </c:pt>
              </c:strCache>
            </c:strRef>
          </c:cat>
          <c:val>
            <c:numRef>
              <c:f>Sheet1!$E$2:$E$10</c:f>
              <c:numCache>
                <c:formatCode>0.000</c:formatCode>
                <c:ptCount val="9"/>
                <c:pt idx="0">
                  <c:v>0.17585000000000001</c:v>
                </c:pt>
                <c:pt idx="1">
                  <c:v>0.17640000000000028</c:v>
                </c:pt>
                <c:pt idx="2">
                  <c:v>0.17665</c:v>
                </c:pt>
                <c:pt idx="3">
                  <c:v>0.33332500000000093</c:v>
                </c:pt>
                <c:pt idx="4">
                  <c:v>0.69990000000000063</c:v>
                </c:pt>
                <c:pt idx="5">
                  <c:v>0.17390000000000028</c:v>
                </c:pt>
                <c:pt idx="6">
                  <c:v>0.17390000000000028</c:v>
                </c:pt>
                <c:pt idx="7">
                  <c:v>0.17090000000000025</c:v>
                </c:pt>
                <c:pt idx="8">
                  <c:v>0.17019999999999999</c:v>
                </c:pt>
              </c:numCache>
            </c:numRef>
          </c:val>
        </c:ser>
        <c:ser>
          <c:idx val="4"/>
          <c:order val="4"/>
          <c:tx>
            <c:strRef>
              <c:f>Sheet1!$F$1</c:f>
              <c:strCache>
                <c:ptCount val="1"/>
                <c:pt idx="0">
                  <c:v>2017</c:v>
                </c:pt>
              </c:strCache>
            </c:strRef>
          </c:tx>
          <c:cat>
            <c:strRef>
              <c:f>Sheet1!$A$2:$A$10</c:f>
              <c:strCache>
                <c:ptCount val="9"/>
                <c:pt idx="0">
                  <c:v>Prima fântână din E  loc. Crucea, în apropierea pr. Crucii</c:v>
                </c:pt>
                <c:pt idx="1">
                  <c:v>zona Botuşana</c:v>
                </c:pt>
                <c:pt idx="2">
                  <c:v>Prima fântână din Tărnicioara-pr. Suha</c:v>
                </c:pt>
                <c:pt idx="3">
                  <c:v>zona Argestru</c:v>
                </c:pt>
                <c:pt idx="4">
                  <c:v>Prima fântână intrare în loc. Hojda</c:v>
                </c:pt>
                <c:pt idx="5">
                  <c:v>Prima fântână situată în V loc. Gemenea (pr. Hojda)</c:v>
                </c:pt>
                <c:pt idx="6">
                  <c:v>Prima fântână din S loc. Gemenea (valea Cheii)</c:v>
                </c:pt>
                <c:pt idx="7">
                  <c:v>Prima fântână din E loc. Chiril</c:v>
                </c:pt>
                <c:pt idx="8">
                  <c:v>Foraj piezom.  între halda cenuşă CET şi r. Suceava</c:v>
                </c:pt>
              </c:strCache>
            </c:strRef>
          </c:cat>
          <c:val>
            <c:numRef>
              <c:f>Sheet1!$F$2:$F$10</c:f>
              <c:numCache>
                <c:formatCode>0.000</c:formatCode>
                <c:ptCount val="9"/>
                <c:pt idx="0">
                  <c:v>0.17205000000000001</c:v>
                </c:pt>
                <c:pt idx="1">
                  <c:v>0.17205000000000001</c:v>
                </c:pt>
                <c:pt idx="2">
                  <c:v>0.25824999999999998</c:v>
                </c:pt>
                <c:pt idx="3">
                  <c:v>0.23002500000000001</c:v>
                </c:pt>
                <c:pt idx="4">
                  <c:v>0.7802</c:v>
                </c:pt>
                <c:pt idx="5">
                  <c:v>0.17670000000000025</c:v>
                </c:pt>
                <c:pt idx="6">
                  <c:v>0.17670000000000025</c:v>
                </c:pt>
                <c:pt idx="7">
                  <c:v>0.19400000000000001</c:v>
                </c:pt>
                <c:pt idx="8">
                  <c:v>0.22950000000000001</c:v>
                </c:pt>
              </c:numCache>
            </c:numRef>
          </c:val>
        </c:ser>
        <c:gapWidth val="341"/>
        <c:axId val="138216192"/>
        <c:axId val="138218112"/>
      </c:barChart>
      <c:catAx>
        <c:axId val="138216192"/>
        <c:scaling>
          <c:orientation val="minMax"/>
        </c:scaling>
        <c:axPos val="b"/>
        <c:title>
          <c:tx>
            <c:rich>
              <a:bodyPr/>
              <a:lstStyle/>
              <a:p>
                <a:pPr>
                  <a:defRPr lang="en-GB" b="1"/>
                </a:pPr>
                <a:r>
                  <a:rPr lang="ro-RO" b="1"/>
                  <a:t>Bq/l</a:t>
                </a:r>
              </a:p>
            </c:rich>
          </c:tx>
          <c:layout>
            <c:manualLayout>
              <c:xMode val="edge"/>
              <c:yMode val="edge"/>
              <c:x val="9.3195705362090846E-4"/>
              <c:y val="2.9771223633538332E-2"/>
            </c:manualLayout>
          </c:layout>
        </c:title>
        <c:tickLblPos val="nextTo"/>
        <c:txPr>
          <a:bodyPr rot="-5400000" vert="horz"/>
          <a:lstStyle/>
          <a:p>
            <a:pPr>
              <a:defRPr lang="en-GB" sz="800"/>
            </a:pPr>
            <a:endParaRPr lang="ro-RO"/>
          </a:p>
        </c:txPr>
        <c:crossAx val="138218112"/>
        <c:crosses val="autoZero"/>
        <c:auto val="1"/>
        <c:lblAlgn val="ctr"/>
        <c:lblOffset val="100"/>
      </c:catAx>
      <c:valAx>
        <c:axId val="138218112"/>
        <c:scaling>
          <c:orientation val="minMax"/>
          <c:max val="1"/>
        </c:scaling>
        <c:axPos val="l"/>
        <c:majorGridlines/>
        <c:numFmt formatCode="#,##0.0" sourceLinked="0"/>
        <c:tickLblPos val="nextTo"/>
        <c:txPr>
          <a:bodyPr/>
          <a:lstStyle/>
          <a:p>
            <a:pPr>
              <a:defRPr lang="en-GB"/>
            </a:pPr>
            <a:endParaRPr lang="ro-RO"/>
          </a:p>
        </c:txPr>
        <c:crossAx val="138216192"/>
        <c:crosses val="autoZero"/>
        <c:crossBetween val="between"/>
        <c:majorUnit val="0.2"/>
      </c:valAx>
      <c:spPr>
        <a:ln>
          <a:solidFill>
            <a:sysClr val="window" lastClr="FFFFFF">
              <a:lumMod val="50000"/>
            </a:sysClr>
          </a:solidFill>
        </a:ln>
      </c:spPr>
    </c:plotArea>
    <c:legend>
      <c:legendPos val="r"/>
      <c:layout>
        <c:manualLayout>
          <c:xMode val="edge"/>
          <c:yMode val="edge"/>
          <c:x val="0.92373398530662987"/>
          <c:y val="6.8880429681389146E-2"/>
          <c:w val="7.1161926676973603E-2"/>
          <c:h val="0.41054124991132829"/>
        </c:manualLayout>
      </c:layout>
      <c:txPr>
        <a:bodyPr/>
        <a:lstStyle/>
        <a:p>
          <a:pPr>
            <a:defRPr lang="en-GB"/>
          </a:pPr>
          <a:endParaRPr lang="ro-RO"/>
        </a:p>
      </c:txPr>
    </c:legend>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style val="4"/>
  <c:chart>
    <c:autoTitleDeleted val="1"/>
    <c:plotArea>
      <c:layout>
        <c:manualLayout>
          <c:layoutTarget val="inner"/>
          <c:xMode val="edge"/>
          <c:yMode val="edge"/>
          <c:x val="0.18990703349045407"/>
          <c:y val="6.9696969696969702E-2"/>
          <c:w val="0.5962012038375134"/>
          <c:h val="0.67723120973514672"/>
        </c:manualLayout>
      </c:layout>
      <c:barChart>
        <c:barDir val="col"/>
        <c:grouping val="clustered"/>
        <c:ser>
          <c:idx val="0"/>
          <c:order val="0"/>
          <c:tx>
            <c:strRef>
              <c:f>Sheet1!$B$1</c:f>
              <c:strCache>
                <c:ptCount val="1"/>
                <c:pt idx="0">
                  <c:v>Media anuală</c:v>
                </c:pt>
              </c:strCache>
            </c:strRef>
          </c:tx>
          <c:spPr>
            <a:ln>
              <a:noFill/>
            </a:ln>
          </c:spP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536</c:v>
                </c:pt>
                <c:pt idx="1">
                  <c:v>597.20000000000005</c:v>
                </c:pt>
                <c:pt idx="2">
                  <c:v>609.79999999999995</c:v>
                </c:pt>
                <c:pt idx="3">
                  <c:v>722.2</c:v>
                </c:pt>
                <c:pt idx="4">
                  <c:v>839.3</c:v>
                </c:pt>
              </c:numCache>
            </c:numRef>
          </c:val>
        </c:ser>
        <c:ser>
          <c:idx val="1"/>
          <c:order val="1"/>
          <c:tx>
            <c:strRef>
              <c:f>Sheet1!$C$1</c:f>
              <c:strCache>
                <c:ptCount val="1"/>
                <c:pt idx="0">
                  <c:v>Maxima anuală</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734.9</c:v>
                </c:pt>
                <c:pt idx="1">
                  <c:v>891.2</c:v>
                </c:pt>
                <c:pt idx="2">
                  <c:v>995.7</c:v>
                </c:pt>
                <c:pt idx="3">
                  <c:v>1178.7</c:v>
                </c:pt>
                <c:pt idx="4">
                  <c:v>1221.8</c:v>
                </c:pt>
              </c:numCache>
            </c:numRef>
          </c:val>
        </c:ser>
        <c:gapWidth val="305"/>
        <c:axId val="138152576"/>
        <c:axId val="138248576"/>
      </c:barChart>
      <c:dateAx>
        <c:axId val="138152576"/>
        <c:scaling>
          <c:orientation val="minMax"/>
        </c:scaling>
        <c:axPos val="b"/>
        <c:numFmt formatCode="General" sourceLinked="1"/>
        <c:majorTickMark val="none"/>
        <c:tickLblPos val="nextTo"/>
        <c:txPr>
          <a:bodyPr/>
          <a:lstStyle/>
          <a:p>
            <a:pPr>
              <a:defRPr lang="en-GB"/>
            </a:pPr>
            <a:endParaRPr lang="ro-RO"/>
          </a:p>
        </c:txPr>
        <c:crossAx val="138248576"/>
        <c:crosses val="autoZero"/>
        <c:lblOffset val="100"/>
        <c:baseTimeUnit val="days"/>
      </c:dateAx>
      <c:valAx>
        <c:axId val="138248576"/>
        <c:scaling>
          <c:orientation val="minMax"/>
          <c:max val="2000"/>
          <c:min val="0"/>
        </c:scaling>
        <c:axPos val="l"/>
        <c:majorGridlines/>
        <c:title>
          <c:tx>
            <c:rich>
              <a:bodyPr rot="0" vert="horz"/>
              <a:lstStyle/>
              <a:p>
                <a:pPr>
                  <a:defRPr lang="en-GB" sz="800" b="1"/>
                </a:pPr>
                <a:r>
                  <a:rPr lang="ro-RO" sz="800" b="1"/>
                  <a:t>Bq/kg m.u.</a:t>
                </a:r>
              </a:p>
            </c:rich>
          </c:tx>
          <c:layout>
            <c:manualLayout>
              <c:xMode val="edge"/>
              <c:yMode val="edge"/>
              <c:x val="8.8012708018448207E-4"/>
              <c:y val="7.2223479716066949E-2"/>
            </c:manualLayout>
          </c:layout>
        </c:title>
        <c:numFmt formatCode="General" sourceLinked="1"/>
        <c:majorTickMark val="none"/>
        <c:tickLblPos val="nextTo"/>
        <c:txPr>
          <a:bodyPr/>
          <a:lstStyle/>
          <a:p>
            <a:pPr>
              <a:defRPr lang="en-GB"/>
            </a:pPr>
            <a:endParaRPr lang="ro-RO"/>
          </a:p>
        </c:txPr>
        <c:crossAx val="138152576"/>
        <c:crossesAt val="1"/>
        <c:crossBetween val="between"/>
        <c:majorUnit val="500"/>
      </c:valAx>
      <c:spPr>
        <a:ln>
          <a:solidFill>
            <a:sysClr val="window" lastClr="FFFFFF">
              <a:lumMod val="50000"/>
            </a:sysClr>
          </a:solidFill>
        </a:ln>
      </c:spPr>
    </c:plotArea>
    <c:legend>
      <c:legendPos val="r"/>
      <c:layout>
        <c:manualLayout>
          <c:xMode val="edge"/>
          <c:yMode val="edge"/>
          <c:x val="0.79449404158956971"/>
          <c:y val="0.2204457170126462"/>
          <c:w val="0.1917838314807562"/>
          <c:h val="0.41365402052016226"/>
        </c:manualLayout>
      </c:layout>
    </c:legend>
    <c:plotVisOnly val="1"/>
    <c:dispBlanksAs val="zero"/>
  </c:chart>
  <c:spPr>
    <a:noFill/>
    <a:ln>
      <a:noFill/>
    </a:ln>
  </c:spPr>
  <c:txPr>
    <a:bodyPr/>
    <a:lstStyle/>
    <a:p>
      <a:pPr>
        <a:defRPr>
          <a:latin typeface="Arial" pitchFamily="34" charset="0"/>
          <a:cs typeface="Arial" pitchFamily="34"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14368210730415437"/>
          <c:y val="5.1467857562580786E-2"/>
          <c:w val="0.74905850732622381"/>
          <c:h val="0.54377509149384651"/>
        </c:manualLayout>
      </c:layout>
      <c:barChart>
        <c:barDir val="col"/>
        <c:grouping val="clustered"/>
        <c:ser>
          <c:idx val="0"/>
          <c:order val="0"/>
          <c:tx>
            <c:strRef>
              <c:f>Sheet1!$B$1</c:f>
              <c:strCache>
                <c:ptCount val="1"/>
                <c:pt idx="0">
                  <c:v>2013</c:v>
                </c:pt>
              </c:strCache>
            </c:strRef>
          </c:tx>
          <c:cat>
            <c:strRef>
              <c:f>Sheet1!$A$2:$A$6</c:f>
              <c:strCache>
                <c:ptCount val="5"/>
                <c:pt idx="0">
                  <c:v>Loc. Crucea (în zona estică)</c:v>
                </c:pt>
                <c:pt idx="1">
                  <c:v>Primele case din Tărnicioara, la confl. pr. Botuşana cu pr. Suha</c:v>
                </c:pt>
                <c:pt idx="2">
                  <c:v>Limită incintă Staţia Tehnică Argestru</c:v>
                </c:pt>
                <c:pt idx="3">
                  <c:v>Limitrof drum transport minereu- Pod Zugreni</c:v>
                </c:pt>
                <c:pt idx="4">
                  <c:v>Limitrof haldă CET Suceava</c:v>
                </c:pt>
              </c:strCache>
            </c:strRef>
          </c:cat>
          <c:val>
            <c:numRef>
              <c:f>Sheet1!$B$2:$B$6</c:f>
              <c:numCache>
                <c:formatCode>0.0</c:formatCode>
                <c:ptCount val="5"/>
                <c:pt idx="0">
                  <c:v>1055.95</c:v>
                </c:pt>
                <c:pt idx="1">
                  <c:v>1295.45</c:v>
                </c:pt>
                <c:pt idx="2">
                  <c:v>1353.5</c:v>
                </c:pt>
                <c:pt idx="3">
                  <c:v>1202.75</c:v>
                </c:pt>
                <c:pt idx="4">
                  <c:v>1293.9000000000001</c:v>
                </c:pt>
              </c:numCache>
            </c:numRef>
          </c:val>
        </c:ser>
        <c:ser>
          <c:idx val="1"/>
          <c:order val="1"/>
          <c:tx>
            <c:strRef>
              <c:f>Sheet1!$C$1</c:f>
              <c:strCache>
                <c:ptCount val="1"/>
                <c:pt idx="0">
                  <c:v>2014</c:v>
                </c:pt>
              </c:strCache>
            </c:strRef>
          </c:tx>
          <c:cat>
            <c:strRef>
              <c:f>Sheet1!$A$2:$A$6</c:f>
              <c:strCache>
                <c:ptCount val="5"/>
                <c:pt idx="0">
                  <c:v>Loc. Crucea (în zona estică)</c:v>
                </c:pt>
                <c:pt idx="1">
                  <c:v>Primele case din Tărnicioara, la confl. pr. Botuşana cu pr. Suha</c:v>
                </c:pt>
                <c:pt idx="2">
                  <c:v>Limită incintă Staţia Tehnică Argestru</c:v>
                </c:pt>
                <c:pt idx="3">
                  <c:v>Limitrof drum transport minereu- Pod Zugreni</c:v>
                </c:pt>
                <c:pt idx="4">
                  <c:v>Limitrof haldă CET Suceava</c:v>
                </c:pt>
              </c:strCache>
            </c:strRef>
          </c:cat>
          <c:val>
            <c:numRef>
              <c:f>Sheet1!$C$2:$C$6</c:f>
              <c:numCache>
                <c:formatCode>0.0</c:formatCode>
                <c:ptCount val="5"/>
                <c:pt idx="0">
                  <c:v>939.44999999999948</c:v>
                </c:pt>
                <c:pt idx="1">
                  <c:v>985.44999999999948</c:v>
                </c:pt>
                <c:pt idx="2">
                  <c:v>639.4</c:v>
                </c:pt>
                <c:pt idx="3">
                  <c:v>1220.0999999999999</c:v>
                </c:pt>
                <c:pt idx="4">
                  <c:v>708.9</c:v>
                </c:pt>
              </c:numCache>
            </c:numRef>
          </c:val>
        </c:ser>
        <c:ser>
          <c:idx val="2"/>
          <c:order val="2"/>
          <c:tx>
            <c:strRef>
              <c:f>Sheet1!$D$1</c:f>
              <c:strCache>
                <c:ptCount val="1"/>
                <c:pt idx="0">
                  <c:v>2015</c:v>
                </c:pt>
              </c:strCache>
            </c:strRef>
          </c:tx>
          <c:cat>
            <c:strRef>
              <c:f>Sheet1!$A$2:$A$6</c:f>
              <c:strCache>
                <c:ptCount val="5"/>
                <c:pt idx="0">
                  <c:v>Loc. Crucea (în zona estică)</c:v>
                </c:pt>
                <c:pt idx="1">
                  <c:v>Primele case din Tărnicioara, la confl. pr. Botuşana cu pr. Suha</c:v>
                </c:pt>
                <c:pt idx="2">
                  <c:v>Limită incintă Staţia Tehnică Argestru</c:v>
                </c:pt>
                <c:pt idx="3">
                  <c:v>Limitrof drum transport minereu- Pod Zugreni</c:v>
                </c:pt>
                <c:pt idx="4">
                  <c:v>Limitrof haldă CET Suceava</c:v>
                </c:pt>
              </c:strCache>
            </c:strRef>
          </c:cat>
          <c:val>
            <c:numRef>
              <c:f>Sheet1!$D$2:$D$6</c:f>
              <c:numCache>
                <c:formatCode>0.0</c:formatCode>
                <c:ptCount val="5"/>
                <c:pt idx="0">
                  <c:v>687.3</c:v>
                </c:pt>
                <c:pt idx="1">
                  <c:v>738.75</c:v>
                </c:pt>
                <c:pt idx="2">
                  <c:v>661.8</c:v>
                </c:pt>
                <c:pt idx="3">
                  <c:v>635.25</c:v>
                </c:pt>
                <c:pt idx="4">
                  <c:v>1198.3</c:v>
                </c:pt>
              </c:numCache>
            </c:numRef>
          </c:val>
        </c:ser>
        <c:ser>
          <c:idx val="3"/>
          <c:order val="3"/>
          <c:tx>
            <c:strRef>
              <c:f>Sheet1!$E$1</c:f>
              <c:strCache>
                <c:ptCount val="1"/>
                <c:pt idx="0">
                  <c:v>2016</c:v>
                </c:pt>
              </c:strCache>
            </c:strRef>
          </c:tx>
          <c:cat>
            <c:strRef>
              <c:f>Sheet1!$A$2:$A$6</c:f>
              <c:strCache>
                <c:ptCount val="5"/>
                <c:pt idx="0">
                  <c:v>Loc. Crucea (în zona estică)</c:v>
                </c:pt>
                <c:pt idx="1">
                  <c:v>Primele case din Tărnicioara, la confl. pr. Botuşana cu pr. Suha</c:v>
                </c:pt>
                <c:pt idx="2">
                  <c:v>Limită incintă Staţia Tehnică Argestru</c:v>
                </c:pt>
                <c:pt idx="3">
                  <c:v>Limitrof drum transport minereu- Pod Zugreni</c:v>
                </c:pt>
                <c:pt idx="4">
                  <c:v>Limitrof haldă CET Suceava</c:v>
                </c:pt>
              </c:strCache>
            </c:strRef>
          </c:cat>
          <c:val>
            <c:numRef>
              <c:f>Sheet1!$E$2:$E$6</c:f>
              <c:numCache>
                <c:formatCode>0.0</c:formatCode>
                <c:ptCount val="5"/>
                <c:pt idx="0">
                  <c:v>997.90000000000009</c:v>
                </c:pt>
                <c:pt idx="1">
                  <c:v>844.65000000000009</c:v>
                </c:pt>
                <c:pt idx="2">
                  <c:v>1353.5</c:v>
                </c:pt>
                <c:pt idx="3">
                  <c:v>1125.7</c:v>
                </c:pt>
                <c:pt idx="4">
                  <c:v>698.7</c:v>
                </c:pt>
              </c:numCache>
            </c:numRef>
          </c:val>
        </c:ser>
        <c:ser>
          <c:idx val="4"/>
          <c:order val="4"/>
          <c:tx>
            <c:strRef>
              <c:f>Sheet1!$F$1</c:f>
              <c:strCache>
                <c:ptCount val="1"/>
                <c:pt idx="0">
                  <c:v>2017</c:v>
                </c:pt>
              </c:strCache>
            </c:strRef>
          </c:tx>
          <c:cat>
            <c:strRef>
              <c:f>Sheet1!$A$2:$A$6</c:f>
              <c:strCache>
                <c:ptCount val="5"/>
                <c:pt idx="0">
                  <c:v>Loc. Crucea (în zona estică)</c:v>
                </c:pt>
                <c:pt idx="1">
                  <c:v>Primele case din Tărnicioara, la confl. pr. Botuşana cu pr. Suha</c:v>
                </c:pt>
                <c:pt idx="2">
                  <c:v>Limită incintă Staţia Tehnică Argestru</c:v>
                </c:pt>
                <c:pt idx="3">
                  <c:v>Limitrof drum transport minereu- Pod Zugreni</c:v>
                </c:pt>
                <c:pt idx="4">
                  <c:v>Limitrof haldă CET Suceava</c:v>
                </c:pt>
              </c:strCache>
            </c:strRef>
          </c:cat>
          <c:val>
            <c:numRef>
              <c:f>Sheet1!$F$2:$F$6</c:f>
              <c:numCache>
                <c:formatCode>0.0</c:formatCode>
                <c:ptCount val="5"/>
                <c:pt idx="0">
                  <c:v>957.44999999999948</c:v>
                </c:pt>
                <c:pt idx="1">
                  <c:v>687.09999999999991</c:v>
                </c:pt>
                <c:pt idx="2">
                  <c:v>1353.5</c:v>
                </c:pt>
                <c:pt idx="3">
                  <c:v>823.65</c:v>
                </c:pt>
                <c:pt idx="4">
                  <c:v>715.3</c:v>
                </c:pt>
              </c:numCache>
            </c:numRef>
          </c:val>
        </c:ser>
        <c:gapWidth val="262"/>
        <c:axId val="138320896"/>
        <c:axId val="138327168"/>
      </c:barChart>
      <c:catAx>
        <c:axId val="138320896"/>
        <c:scaling>
          <c:orientation val="minMax"/>
        </c:scaling>
        <c:axPos val="b"/>
        <c:title>
          <c:tx>
            <c:rich>
              <a:bodyPr/>
              <a:lstStyle/>
              <a:p>
                <a:pPr>
                  <a:defRPr lang="en-GB" sz="800" b="1"/>
                </a:pPr>
                <a:r>
                  <a:rPr lang="ro-RO" sz="800" b="1"/>
                  <a:t>Bq/kg m.u.</a:t>
                </a:r>
              </a:p>
            </c:rich>
          </c:tx>
          <c:layout>
            <c:manualLayout>
              <c:xMode val="edge"/>
              <c:yMode val="edge"/>
              <c:x val="5.1011641562822684E-4"/>
              <c:y val="0.1474513990835892"/>
            </c:manualLayout>
          </c:layout>
        </c:title>
        <c:numFmt formatCode="General" sourceLinked="1"/>
        <c:tickLblPos val="nextTo"/>
        <c:txPr>
          <a:bodyPr rot="0" vert="horz"/>
          <a:lstStyle/>
          <a:p>
            <a:pPr>
              <a:defRPr lang="en-GB" sz="800"/>
            </a:pPr>
            <a:endParaRPr lang="ro-RO"/>
          </a:p>
        </c:txPr>
        <c:crossAx val="138327168"/>
        <c:crosses val="autoZero"/>
        <c:auto val="1"/>
        <c:lblAlgn val="ctr"/>
        <c:lblOffset val="100"/>
      </c:catAx>
      <c:valAx>
        <c:axId val="138327168"/>
        <c:scaling>
          <c:orientation val="minMax"/>
          <c:max val="2000"/>
          <c:min val="0"/>
        </c:scaling>
        <c:axPos val="l"/>
        <c:majorGridlines/>
        <c:numFmt formatCode="0" sourceLinked="0"/>
        <c:tickLblPos val="nextTo"/>
        <c:txPr>
          <a:bodyPr/>
          <a:lstStyle/>
          <a:p>
            <a:pPr>
              <a:defRPr lang="en-GB"/>
            </a:pPr>
            <a:endParaRPr lang="ro-RO"/>
          </a:p>
        </c:txPr>
        <c:crossAx val="138320896"/>
        <c:crosses val="autoZero"/>
        <c:crossBetween val="between"/>
        <c:majorUnit val="500"/>
      </c:valAx>
      <c:spPr>
        <a:ln>
          <a:solidFill>
            <a:sysClr val="window" lastClr="FFFFFF">
              <a:lumMod val="50000"/>
            </a:sysClr>
          </a:solidFill>
        </a:ln>
      </c:spPr>
    </c:plotArea>
    <c:legend>
      <c:legendPos val="r"/>
      <c:layout>
        <c:manualLayout>
          <c:xMode val="edge"/>
          <c:yMode val="edge"/>
          <c:x val="0.90501824659304975"/>
          <c:y val="6.6151134093312955E-2"/>
          <c:w val="7.020027901917672E-2"/>
          <c:h val="0.74880411075376163"/>
        </c:manualLayout>
      </c:layout>
      <c:txPr>
        <a:bodyPr/>
        <a:lstStyle/>
        <a:p>
          <a:pPr>
            <a:defRPr lang="en-GB"/>
          </a:pPr>
          <a:endParaRPr lang="ro-RO"/>
        </a:p>
      </c:txPr>
    </c:legend>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5"/>
  <c:chart>
    <c:autoTitleDeleted val="1"/>
    <c:plotArea>
      <c:layout>
        <c:manualLayout>
          <c:layoutTarget val="inner"/>
          <c:xMode val="edge"/>
          <c:yMode val="edge"/>
          <c:x val="0.15477298678069917"/>
          <c:y val="4.2062028222197123E-2"/>
          <c:w val="0.64227610852126049"/>
          <c:h val="0.76566252908275856"/>
        </c:manualLayout>
      </c:layout>
      <c:barChart>
        <c:barDir val="col"/>
        <c:grouping val="clustered"/>
        <c:ser>
          <c:idx val="1"/>
          <c:order val="1"/>
          <c:tx>
            <c:strRef>
              <c:f>Sheet1!$C$1</c:f>
              <c:strCache>
                <c:ptCount val="1"/>
                <c:pt idx="0">
                  <c:v>Maxima anuală</c:v>
                </c:pt>
              </c:strCache>
            </c:strRef>
          </c:tx>
          <c:spPr>
            <a:ln>
              <a:noFill/>
            </a:ln>
            <a:effectLst/>
          </c:spP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495.6</c:v>
                </c:pt>
                <c:pt idx="1">
                  <c:v>686.2</c:v>
                </c:pt>
                <c:pt idx="2">
                  <c:v>456.7</c:v>
                </c:pt>
                <c:pt idx="3">
                  <c:v>638.9</c:v>
                </c:pt>
                <c:pt idx="4">
                  <c:v>581.9</c:v>
                </c:pt>
              </c:numCache>
            </c:numRef>
          </c:val>
        </c:ser>
        <c:ser>
          <c:idx val="0"/>
          <c:order val="0"/>
          <c:tx>
            <c:strRef>
              <c:f>Sheet1!$B$1</c:f>
              <c:strCache>
                <c:ptCount val="1"/>
                <c:pt idx="0">
                  <c:v>Media anuală</c:v>
                </c:pt>
              </c:strCache>
            </c:strRef>
          </c:tx>
          <c:spPr>
            <a:ln>
              <a:noFill/>
            </a:ln>
          </c:spP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260.2</c:v>
                </c:pt>
                <c:pt idx="1">
                  <c:v>378.4</c:v>
                </c:pt>
                <c:pt idx="2">
                  <c:v>306.10000000000002</c:v>
                </c:pt>
                <c:pt idx="3" formatCode="0.0">
                  <c:v>316</c:v>
                </c:pt>
                <c:pt idx="4" formatCode="0.0">
                  <c:v>382.3</c:v>
                </c:pt>
              </c:numCache>
            </c:numRef>
          </c:val>
        </c:ser>
        <c:gapWidth val="298"/>
        <c:axId val="138400896"/>
        <c:axId val="138402432"/>
      </c:barChart>
      <c:catAx>
        <c:axId val="138400896"/>
        <c:scaling>
          <c:orientation val="minMax"/>
        </c:scaling>
        <c:axPos val="b"/>
        <c:numFmt formatCode="0" sourceLinked="0"/>
        <c:majorTickMark val="none"/>
        <c:tickLblPos val="nextTo"/>
        <c:txPr>
          <a:bodyPr/>
          <a:lstStyle/>
          <a:p>
            <a:pPr>
              <a:defRPr lang="en-GB"/>
            </a:pPr>
            <a:endParaRPr lang="ro-RO"/>
          </a:p>
        </c:txPr>
        <c:crossAx val="138402432"/>
        <c:crosses val="autoZero"/>
        <c:auto val="1"/>
        <c:lblAlgn val="ctr"/>
        <c:lblOffset val="100"/>
      </c:catAx>
      <c:valAx>
        <c:axId val="138402432"/>
        <c:scaling>
          <c:orientation val="minMax"/>
        </c:scaling>
        <c:axPos val="l"/>
        <c:majorGridlines/>
        <c:title>
          <c:tx>
            <c:rich>
              <a:bodyPr rot="0" vert="horz"/>
              <a:lstStyle/>
              <a:p>
                <a:pPr>
                  <a:defRPr lang="en-GB" sz="800" b="1"/>
                </a:pPr>
                <a:r>
                  <a:rPr lang="ro-RO" sz="800" b="1"/>
                  <a:t>Bq/kg</a:t>
                </a:r>
              </a:p>
              <a:p>
                <a:pPr>
                  <a:defRPr lang="en-GB" sz="800" b="1"/>
                </a:pPr>
                <a:r>
                  <a:rPr lang="ro-RO" sz="800" b="1"/>
                  <a:t> m.v.</a:t>
                </a:r>
              </a:p>
            </c:rich>
          </c:tx>
          <c:layout>
            <c:manualLayout>
              <c:xMode val="edge"/>
              <c:yMode val="edge"/>
              <c:x val="8.8017505104733419E-4"/>
              <c:y val="7.6731160780039789E-2"/>
            </c:manualLayout>
          </c:layout>
        </c:title>
        <c:numFmt formatCode="General" sourceLinked="1"/>
        <c:majorTickMark val="none"/>
        <c:tickLblPos val="nextTo"/>
        <c:txPr>
          <a:bodyPr/>
          <a:lstStyle/>
          <a:p>
            <a:pPr>
              <a:defRPr lang="en-GB"/>
            </a:pPr>
            <a:endParaRPr lang="ro-RO"/>
          </a:p>
        </c:txPr>
        <c:crossAx val="138400896"/>
        <c:crossesAt val="1"/>
        <c:crossBetween val="between"/>
        <c:majorUnit val="250"/>
      </c:valAx>
      <c:spPr>
        <a:ln>
          <a:solidFill>
            <a:sysClr val="window" lastClr="FFFFFF">
              <a:lumMod val="50000"/>
            </a:sysClr>
          </a:solidFill>
        </a:ln>
      </c:spPr>
    </c:plotArea>
    <c:legend>
      <c:legendPos val="r"/>
      <c:layout>
        <c:manualLayout>
          <c:xMode val="edge"/>
          <c:yMode val="edge"/>
          <c:x val="0.81637088941863922"/>
          <c:y val="0.22343806034146754"/>
          <c:w val="0.16820360141549498"/>
          <c:h val="0.42110963852290739"/>
        </c:manualLayout>
      </c:layout>
      <c:txPr>
        <a:bodyPr/>
        <a:lstStyle/>
        <a:p>
          <a:pPr>
            <a:defRPr lang="en-GB"/>
          </a:pPr>
          <a:endParaRPr lang="ro-RO"/>
        </a:p>
      </c:txPr>
    </c:legend>
    <c:plotVisOnly val="1"/>
    <c:dispBlanksAs val="zero"/>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0447050614141509"/>
          <c:y val="6.6876640419947508E-2"/>
          <c:w val="0.80481353728064953"/>
          <c:h val="0.47965107302763632"/>
        </c:manualLayout>
      </c:layout>
      <c:barChart>
        <c:barDir val="col"/>
        <c:grouping val="clustered"/>
        <c:ser>
          <c:idx val="0"/>
          <c:order val="0"/>
          <c:tx>
            <c:strRef>
              <c:f>Sheet1!$B$1</c:f>
              <c:strCache>
                <c:ptCount val="1"/>
                <c:pt idx="0">
                  <c:v>2013</c:v>
                </c:pt>
              </c:strCache>
            </c:strRef>
          </c:tx>
          <c:cat>
            <c:strRef>
              <c:f>Sheet1!$A$2:$A$6</c:f>
              <c:strCache>
                <c:ptCount val="5"/>
                <c:pt idx="0">
                  <c:v>Loc. Crucea - zona estică</c:v>
                </c:pt>
                <c:pt idx="1">
                  <c:v>Primele case Tărnicioara, la confl. pr. Botuşana cu pr. Suha</c:v>
                </c:pt>
                <c:pt idx="2">
                  <c:v>Limită incintă Staţia Tehnică Argestru</c:v>
                </c:pt>
                <c:pt idx="3">
                  <c:v>Limitrof drum transport minereu - pod Zugreni</c:v>
                </c:pt>
                <c:pt idx="4">
                  <c:v>Limitrof haldă CET Suceava</c:v>
                </c:pt>
              </c:strCache>
            </c:strRef>
          </c:cat>
          <c:val>
            <c:numRef>
              <c:f>Sheet1!$B$2:$B$6</c:f>
              <c:numCache>
                <c:formatCode>0.0</c:formatCode>
                <c:ptCount val="5"/>
                <c:pt idx="0">
                  <c:v>231.95000000000007</c:v>
                </c:pt>
                <c:pt idx="1">
                  <c:v>214.6</c:v>
                </c:pt>
                <c:pt idx="2">
                  <c:v>309.3</c:v>
                </c:pt>
                <c:pt idx="3">
                  <c:v>269.10000000000002</c:v>
                </c:pt>
                <c:pt idx="4">
                  <c:v>341</c:v>
                </c:pt>
              </c:numCache>
            </c:numRef>
          </c:val>
        </c:ser>
        <c:ser>
          <c:idx val="1"/>
          <c:order val="1"/>
          <c:tx>
            <c:strRef>
              <c:f>Sheet1!$C$1</c:f>
              <c:strCache>
                <c:ptCount val="1"/>
                <c:pt idx="0">
                  <c:v>2014</c:v>
                </c:pt>
              </c:strCache>
            </c:strRef>
          </c:tx>
          <c:cat>
            <c:strRef>
              <c:f>Sheet1!$A$2:$A$6</c:f>
              <c:strCache>
                <c:ptCount val="5"/>
                <c:pt idx="0">
                  <c:v>Loc. Crucea - zona estică</c:v>
                </c:pt>
                <c:pt idx="1">
                  <c:v>Primele case Tărnicioara, la confl. pr. Botuşana cu pr. Suha</c:v>
                </c:pt>
                <c:pt idx="2">
                  <c:v>Limită incintă Staţia Tehnică Argestru</c:v>
                </c:pt>
                <c:pt idx="3">
                  <c:v>Limitrof drum transport minereu - pod Zugreni</c:v>
                </c:pt>
                <c:pt idx="4">
                  <c:v>Limitrof haldă CET Suceava</c:v>
                </c:pt>
              </c:strCache>
            </c:strRef>
          </c:cat>
          <c:val>
            <c:numRef>
              <c:f>Sheet1!$C$2:$C$6</c:f>
              <c:numCache>
                <c:formatCode>0.0</c:formatCode>
                <c:ptCount val="5"/>
                <c:pt idx="0">
                  <c:v>254.35000000000025</c:v>
                </c:pt>
                <c:pt idx="1">
                  <c:v>340.2</c:v>
                </c:pt>
                <c:pt idx="2">
                  <c:v>163.1</c:v>
                </c:pt>
                <c:pt idx="3">
                  <c:v>385.5</c:v>
                </c:pt>
                <c:pt idx="4">
                  <c:v>166.7</c:v>
                </c:pt>
              </c:numCache>
            </c:numRef>
          </c:val>
        </c:ser>
        <c:ser>
          <c:idx val="2"/>
          <c:order val="2"/>
          <c:tx>
            <c:strRef>
              <c:f>Sheet1!$D$1</c:f>
              <c:strCache>
                <c:ptCount val="1"/>
                <c:pt idx="0">
                  <c:v>2015</c:v>
                </c:pt>
              </c:strCache>
            </c:strRef>
          </c:tx>
          <c:cat>
            <c:strRef>
              <c:f>Sheet1!$A$2:$A$6</c:f>
              <c:strCache>
                <c:ptCount val="5"/>
                <c:pt idx="0">
                  <c:v>Loc. Crucea - zona estică</c:v>
                </c:pt>
                <c:pt idx="1">
                  <c:v>Primele case Tărnicioara, la confl. pr. Botuşana cu pr. Suha</c:v>
                </c:pt>
                <c:pt idx="2">
                  <c:v>Limită incintă Staţia Tehnică Argestru</c:v>
                </c:pt>
                <c:pt idx="3">
                  <c:v>Limitrof drum transport minereu - pod Zugreni</c:v>
                </c:pt>
                <c:pt idx="4">
                  <c:v>Limitrof haldă CET Suceava</c:v>
                </c:pt>
              </c:strCache>
            </c:strRef>
          </c:cat>
          <c:val>
            <c:numRef>
              <c:f>Sheet1!$D$2:$D$6</c:f>
              <c:numCache>
                <c:formatCode>0.0</c:formatCode>
                <c:ptCount val="5"/>
                <c:pt idx="0">
                  <c:v>311.39999999999969</c:v>
                </c:pt>
                <c:pt idx="1">
                  <c:v>293.35000000000002</c:v>
                </c:pt>
                <c:pt idx="2">
                  <c:v>249.10000000000002</c:v>
                </c:pt>
                <c:pt idx="3">
                  <c:v>511.40000000000003</c:v>
                </c:pt>
                <c:pt idx="4">
                  <c:v>316.5</c:v>
                </c:pt>
              </c:numCache>
            </c:numRef>
          </c:val>
        </c:ser>
        <c:ser>
          <c:idx val="3"/>
          <c:order val="3"/>
          <c:tx>
            <c:strRef>
              <c:f>Sheet1!$E$1</c:f>
              <c:strCache>
                <c:ptCount val="1"/>
                <c:pt idx="0">
                  <c:v>2016</c:v>
                </c:pt>
              </c:strCache>
            </c:strRef>
          </c:tx>
          <c:cat>
            <c:strRef>
              <c:f>Sheet1!$A$2:$A$6</c:f>
              <c:strCache>
                <c:ptCount val="5"/>
                <c:pt idx="0">
                  <c:v>Loc. Crucea - zona estică</c:v>
                </c:pt>
                <c:pt idx="1">
                  <c:v>Primele case Tărnicioara, la confl. pr. Botuşana cu pr. Suha</c:v>
                </c:pt>
                <c:pt idx="2">
                  <c:v>Limită incintă Staţia Tehnică Argestru</c:v>
                </c:pt>
                <c:pt idx="3">
                  <c:v>Limitrof drum transport minereu - pod Zugreni</c:v>
                </c:pt>
                <c:pt idx="4">
                  <c:v>Limitrof haldă CET Suceava</c:v>
                </c:pt>
              </c:strCache>
            </c:strRef>
          </c:cat>
          <c:val>
            <c:numRef>
              <c:f>Sheet1!$E$2:$E$6</c:f>
              <c:numCache>
                <c:formatCode>0.0</c:formatCode>
                <c:ptCount val="5"/>
                <c:pt idx="0">
                  <c:v>296.79999999999939</c:v>
                </c:pt>
                <c:pt idx="1">
                  <c:v>300</c:v>
                </c:pt>
                <c:pt idx="2">
                  <c:v>309.3</c:v>
                </c:pt>
                <c:pt idx="3">
                  <c:v>225.95000000000007</c:v>
                </c:pt>
                <c:pt idx="4">
                  <c:v>338.4</c:v>
                </c:pt>
              </c:numCache>
            </c:numRef>
          </c:val>
        </c:ser>
        <c:ser>
          <c:idx val="4"/>
          <c:order val="4"/>
          <c:tx>
            <c:strRef>
              <c:f>Sheet1!$F$1</c:f>
              <c:strCache>
                <c:ptCount val="1"/>
                <c:pt idx="0">
                  <c:v>2017</c:v>
                </c:pt>
              </c:strCache>
            </c:strRef>
          </c:tx>
          <c:cat>
            <c:strRef>
              <c:f>Sheet1!$A$2:$A$6</c:f>
              <c:strCache>
                <c:ptCount val="5"/>
                <c:pt idx="0">
                  <c:v>Loc. Crucea - zona estică</c:v>
                </c:pt>
                <c:pt idx="1">
                  <c:v>Primele case Tărnicioara, la confl. pr. Botuşana cu pr. Suha</c:v>
                </c:pt>
                <c:pt idx="2">
                  <c:v>Limită incintă Staţia Tehnică Argestru</c:v>
                </c:pt>
                <c:pt idx="3">
                  <c:v>Limitrof drum transport minereu - pod Zugreni</c:v>
                </c:pt>
                <c:pt idx="4">
                  <c:v>Limitrof haldă CET Suceava</c:v>
                </c:pt>
              </c:strCache>
            </c:strRef>
          </c:cat>
          <c:val>
            <c:numRef>
              <c:f>Sheet1!$F$2:$F$6</c:f>
              <c:numCache>
                <c:formatCode>0.0</c:formatCode>
                <c:ptCount val="5"/>
                <c:pt idx="0">
                  <c:v>329.8</c:v>
                </c:pt>
                <c:pt idx="1">
                  <c:v>338.15000000000032</c:v>
                </c:pt>
                <c:pt idx="2">
                  <c:v>309.3</c:v>
                </c:pt>
                <c:pt idx="3">
                  <c:v>380.5</c:v>
                </c:pt>
                <c:pt idx="4">
                  <c:v>212</c:v>
                </c:pt>
              </c:numCache>
            </c:numRef>
          </c:val>
        </c:ser>
        <c:axId val="138286592"/>
        <c:axId val="138288512"/>
      </c:barChart>
      <c:catAx>
        <c:axId val="138286592"/>
        <c:scaling>
          <c:orientation val="minMax"/>
        </c:scaling>
        <c:axPos val="b"/>
        <c:title>
          <c:tx>
            <c:rich>
              <a:bodyPr/>
              <a:lstStyle/>
              <a:p>
                <a:pPr>
                  <a:defRPr lang="en-GB" sz="800" b="1"/>
                </a:pPr>
                <a:r>
                  <a:rPr lang="ro-RO" sz="800" b="1"/>
                  <a:t>Bq/kg</a:t>
                </a:r>
              </a:p>
              <a:p>
                <a:pPr>
                  <a:defRPr lang="en-GB" sz="800" b="1"/>
                </a:pPr>
                <a:r>
                  <a:rPr lang="ro-RO" sz="800" b="1"/>
                  <a:t> m.v.</a:t>
                </a:r>
              </a:p>
            </c:rich>
          </c:tx>
          <c:layout>
            <c:manualLayout>
              <c:xMode val="edge"/>
              <c:yMode val="edge"/>
              <c:x val="6.8706698445263894E-4"/>
              <c:y val="6.8025062980427625E-2"/>
            </c:manualLayout>
          </c:layout>
        </c:title>
        <c:numFmt formatCode="General" sourceLinked="1"/>
        <c:tickLblPos val="nextTo"/>
        <c:txPr>
          <a:bodyPr/>
          <a:lstStyle/>
          <a:p>
            <a:pPr>
              <a:defRPr lang="en-GB"/>
            </a:pPr>
            <a:endParaRPr lang="ro-RO"/>
          </a:p>
        </c:txPr>
        <c:crossAx val="138288512"/>
        <c:crosses val="autoZero"/>
        <c:auto val="1"/>
        <c:lblAlgn val="ctr"/>
        <c:lblOffset val="100"/>
      </c:catAx>
      <c:valAx>
        <c:axId val="138288512"/>
        <c:scaling>
          <c:orientation val="minMax"/>
          <c:max val="750"/>
        </c:scaling>
        <c:axPos val="l"/>
        <c:majorGridlines/>
        <c:numFmt formatCode="0" sourceLinked="0"/>
        <c:tickLblPos val="nextTo"/>
        <c:txPr>
          <a:bodyPr/>
          <a:lstStyle/>
          <a:p>
            <a:pPr>
              <a:defRPr lang="en-GB"/>
            </a:pPr>
            <a:endParaRPr lang="ro-RO"/>
          </a:p>
        </c:txPr>
        <c:crossAx val="138286592"/>
        <c:crosses val="autoZero"/>
        <c:crossBetween val="between"/>
        <c:majorUnit val="250"/>
      </c:valAx>
      <c:spPr>
        <a:ln>
          <a:solidFill>
            <a:sysClr val="window" lastClr="FFFFFF">
              <a:lumMod val="50000"/>
            </a:sysClr>
          </a:solidFill>
        </a:ln>
      </c:spPr>
    </c:plotArea>
    <c:legend>
      <c:legendPos val="r"/>
      <c:layout>
        <c:manualLayout>
          <c:xMode val="edge"/>
          <c:yMode val="edge"/>
          <c:x val="0.92422458062307533"/>
          <c:y val="3.814437305766228E-2"/>
          <c:w val="7.2039115295487899E-2"/>
          <c:h val="0.74356771837086799"/>
        </c:manualLayout>
      </c:layout>
      <c:txPr>
        <a:bodyPr/>
        <a:lstStyle/>
        <a:p>
          <a:pPr>
            <a:defRPr lang="en-GB"/>
          </a:pPr>
          <a:endParaRPr lang="ro-RO"/>
        </a:p>
      </c:txPr>
    </c:legend>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GB" sz="900"/>
            </a:pPr>
            <a:r>
              <a:rPr lang="ro-RO" sz="900"/>
              <a:t>Bq/m</a:t>
            </a:r>
            <a:r>
              <a:rPr lang="ro-RO" sz="900" baseline="30000"/>
              <a:t>3</a:t>
            </a:r>
          </a:p>
        </c:rich>
      </c:tx>
      <c:layout>
        <c:manualLayout>
          <c:xMode val="edge"/>
          <c:yMode val="edge"/>
          <c:x val="8.3366217422866208E-4"/>
          <c:y val="0.11978602509170012"/>
        </c:manualLayout>
      </c:layout>
    </c:title>
    <c:plotArea>
      <c:layout>
        <c:manualLayout>
          <c:layoutTarget val="inner"/>
          <c:xMode val="edge"/>
          <c:yMode val="edge"/>
          <c:x val="0.17019925933915792"/>
          <c:y val="2.574404468439824E-2"/>
          <c:w val="0.57484853103039735"/>
          <c:h val="0.73745637058525559"/>
        </c:manualLayout>
      </c:layout>
      <c:barChart>
        <c:barDir val="col"/>
        <c:grouping val="clustered"/>
        <c:ser>
          <c:idx val="0"/>
          <c:order val="0"/>
          <c:tx>
            <c:strRef>
              <c:f>Sheet1!$B$1</c:f>
              <c:strCache>
                <c:ptCount val="1"/>
                <c:pt idx="0">
                  <c:v>aspiraţie 02-07</c:v>
                </c:pt>
              </c:strCache>
            </c:strRef>
          </c:tx>
          <c:cat>
            <c:strRef>
              <c:f>Sheet1!$A$2:$A$6</c:f>
              <c:strCache>
                <c:ptCount val="5"/>
                <c:pt idx="0">
                  <c:v>2013</c:v>
                </c:pt>
                <c:pt idx="1">
                  <c:v>2014</c:v>
                </c:pt>
                <c:pt idx="2">
                  <c:v>2015</c:v>
                </c:pt>
                <c:pt idx="3">
                  <c:v>2016</c:v>
                </c:pt>
                <c:pt idx="4">
                  <c:v>2017</c:v>
                </c:pt>
              </c:strCache>
            </c:strRef>
          </c:cat>
          <c:val>
            <c:numRef>
              <c:f>Sheet1!$B$2:$B$6</c:f>
              <c:numCache>
                <c:formatCode>0.0</c:formatCode>
                <c:ptCount val="5"/>
                <c:pt idx="0">
                  <c:v>2.3389041095890377</c:v>
                </c:pt>
                <c:pt idx="1">
                  <c:v>2.2120547945205478</c:v>
                </c:pt>
                <c:pt idx="2">
                  <c:v>2.2999999999999998</c:v>
                </c:pt>
                <c:pt idx="3">
                  <c:v>1.9000000000000001</c:v>
                </c:pt>
                <c:pt idx="4">
                  <c:v>1.9000000000000001</c:v>
                </c:pt>
              </c:numCache>
            </c:numRef>
          </c:val>
        </c:ser>
        <c:ser>
          <c:idx val="1"/>
          <c:order val="1"/>
          <c:tx>
            <c:strRef>
              <c:f>Sheet1!$C$1</c:f>
              <c:strCache>
                <c:ptCount val="1"/>
                <c:pt idx="0">
                  <c:v>aspiraţie 08-13</c:v>
                </c:pt>
              </c:strCache>
            </c:strRef>
          </c:tx>
          <c:cat>
            <c:strRef>
              <c:f>Sheet1!$A$2:$A$6</c:f>
              <c:strCache>
                <c:ptCount val="5"/>
                <c:pt idx="0">
                  <c:v>2013</c:v>
                </c:pt>
                <c:pt idx="1">
                  <c:v>2014</c:v>
                </c:pt>
                <c:pt idx="2">
                  <c:v>2015</c:v>
                </c:pt>
                <c:pt idx="3">
                  <c:v>2016</c:v>
                </c:pt>
                <c:pt idx="4">
                  <c:v>2017</c:v>
                </c:pt>
              </c:strCache>
            </c:strRef>
          </c:cat>
          <c:val>
            <c:numRef>
              <c:f>Sheet1!$C$2:$C$6</c:f>
              <c:numCache>
                <c:formatCode>0.0</c:formatCode>
                <c:ptCount val="5"/>
                <c:pt idx="0">
                  <c:v>1.4104109589041094</c:v>
                </c:pt>
                <c:pt idx="1">
                  <c:v>1.426301369863014</c:v>
                </c:pt>
                <c:pt idx="2">
                  <c:v>1.3</c:v>
                </c:pt>
                <c:pt idx="3">
                  <c:v>1</c:v>
                </c:pt>
                <c:pt idx="4">
                  <c:v>1</c:v>
                </c:pt>
              </c:numCache>
            </c:numRef>
          </c:val>
        </c:ser>
        <c:gapWidth val="402"/>
        <c:axId val="126808448"/>
        <c:axId val="126809984"/>
      </c:barChart>
      <c:catAx>
        <c:axId val="126808448"/>
        <c:scaling>
          <c:orientation val="minMax"/>
        </c:scaling>
        <c:axPos val="b"/>
        <c:numFmt formatCode="@" sourceLinked="1"/>
        <c:majorTickMark val="none"/>
        <c:tickLblPos val="nextTo"/>
        <c:txPr>
          <a:bodyPr/>
          <a:lstStyle/>
          <a:p>
            <a:pPr>
              <a:defRPr lang="en-GB"/>
            </a:pPr>
            <a:endParaRPr lang="ro-RO"/>
          </a:p>
        </c:txPr>
        <c:crossAx val="126809984"/>
        <c:crosses val="autoZero"/>
        <c:auto val="1"/>
        <c:lblAlgn val="ctr"/>
        <c:lblOffset val="100"/>
      </c:catAx>
      <c:valAx>
        <c:axId val="126809984"/>
        <c:scaling>
          <c:orientation val="minMax"/>
        </c:scaling>
        <c:axPos val="l"/>
        <c:majorGridlines/>
        <c:numFmt formatCode="0" sourceLinked="0"/>
        <c:majorTickMark val="none"/>
        <c:tickLblPos val="nextTo"/>
        <c:txPr>
          <a:bodyPr/>
          <a:lstStyle/>
          <a:p>
            <a:pPr>
              <a:defRPr lang="en-GB"/>
            </a:pPr>
            <a:endParaRPr lang="ro-RO"/>
          </a:p>
        </c:txPr>
        <c:crossAx val="126808448"/>
        <c:crosses val="autoZero"/>
        <c:crossBetween val="between"/>
        <c:majorUnit val="1"/>
      </c:valAx>
      <c:spPr>
        <a:ln>
          <a:solidFill>
            <a:schemeClr val="bg1">
              <a:lumMod val="65000"/>
            </a:schemeClr>
          </a:solidFill>
        </a:ln>
      </c:spPr>
    </c:plotArea>
    <c:legend>
      <c:legendPos val="r"/>
      <c:layout>
        <c:manualLayout>
          <c:xMode val="edge"/>
          <c:yMode val="edge"/>
          <c:x val="0.76035831004995369"/>
          <c:y val="0.23391812865497091"/>
          <c:w val="0.21383523833714407"/>
          <c:h val="0.32467231672376934"/>
        </c:manualLayout>
      </c:layout>
      <c:txPr>
        <a:bodyPr/>
        <a:lstStyle/>
        <a:p>
          <a:pPr>
            <a:defRPr lang="en-GB"/>
          </a:pPr>
          <a:endParaRPr lang="ro-RO"/>
        </a:p>
      </c:txPr>
    </c:legend>
    <c:plotVisOnly val="1"/>
    <c:dispBlanksAs val="zero"/>
  </c:chart>
  <c:spPr>
    <a:ln>
      <a:noFill/>
    </a:ln>
  </c:spPr>
  <c:txPr>
    <a:bodyPr/>
    <a:lstStyle/>
    <a:p>
      <a:pPr>
        <a:defRPr sz="900">
          <a:latin typeface="Arial" pitchFamily="34" charset="0"/>
          <a:cs typeface="Arial" pitchFamily="34"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9944952456854628"/>
          <c:y val="7.2847905230554136E-2"/>
          <c:w val="0.77115617536565051"/>
          <c:h val="0.71587051618548114"/>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0.0</c:formatCode>
                <c:ptCount val="5"/>
                <c:pt idx="0">
                  <c:v>2.2999999999999998</c:v>
                </c:pt>
                <c:pt idx="1">
                  <c:v>2.2000000000000002</c:v>
                </c:pt>
                <c:pt idx="2">
                  <c:v>2.2999999999999998</c:v>
                </c:pt>
                <c:pt idx="3">
                  <c:v>1.9000000000000001</c:v>
                </c:pt>
                <c:pt idx="4">
                  <c:v>1.9000000000000001</c:v>
                </c:pt>
              </c:numCache>
            </c:numRef>
          </c:val>
        </c:ser>
        <c:dLbls>
          <c:showVal val="1"/>
        </c:dLbls>
        <c:axId val="134309376"/>
        <c:axId val="134310912"/>
      </c:barChart>
      <c:catAx>
        <c:axId val="134309376"/>
        <c:scaling>
          <c:orientation val="minMax"/>
        </c:scaling>
        <c:axPos val="b"/>
        <c:numFmt formatCode="General" sourceLinked="1"/>
        <c:majorTickMark val="none"/>
        <c:tickLblPos val="nextTo"/>
        <c:txPr>
          <a:bodyPr/>
          <a:lstStyle/>
          <a:p>
            <a:pPr>
              <a:defRPr lang="en-GB"/>
            </a:pPr>
            <a:endParaRPr lang="ro-RO"/>
          </a:p>
        </c:txPr>
        <c:crossAx val="134310912"/>
        <c:crosses val="autoZero"/>
        <c:auto val="1"/>
        <c:lblAlgn val="ctr"/>
        <c:lblOffset val="100"/>
      </c:catAx>
      <c:valAx>
        <c:axId val="134310912"/>
        <c:scaling>
          <c:orientation val="minMax"/>
          <c:max val="5"/>
        </c:scaling>
        <c:axPos val="l"/>
        <c:majorGridlines/>
        <c:title>
          <c:tx>
            <c:rich>
              <a:bodyPr rot="0" vert="horz"/>
              <a:lstStyle/>
              <a:p>
                <a:pPr>
                  <a:defRPr lang="en-GB" b="1"/>
                </a:pPr>
                <a:r>
                  <a:rPr lang="ro-RO" b="1"/>
                  <a:t>Bq/m</a:t>
                </a:r>
                <a:r>
                  <a:rPr lang="ro-RO" b="1" baseline="30000"/>
                  <a:t>3</a:t>
                </a:r>
              </a:p>
            </c:rich>
          </c:tx>
          <c:layout>
            <c:manualLayout>
              <c:xMode val="edge"/>
              <c:yMode val="edge"/>
              <c:x val="2.0835354168251092E-3"/>
              <c:y val="8.6694911269038027E-2"/>
            </c:manualLayout>
          </c:layout>
        </c:title>
        <c:numFmt formatCode="0" sourceLinked="0"/>
        <c:majorTickMark val="none"/>
        <c:tickLblPos val="nextTo"/>
        <c:txPr>
          <a:bodyPr/>
          <a:lstStyle/>
          <a:p>
            <a:pPr>
              <a:defRPr lang="en-GB"/>
            </a:pPr>
            <a:endParaRPr lang="ro-RO"/>
          </a:p>
        </c:txPr>
        <c:crossAx val="134309376"/>
        <c:crosses val="autoZero"/>
        <c:crossBetween val="between"/>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4685071055344"/>
          <c:y val="6.5504227720680569E-2"/>
          <c:w val="0.75629434660926964"/>
          <c:h val="0.72755155605549549"/>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formatCode="General">
                  <c:v>1.41</c:v>
                </c:pt>
                <c:pt idx="1">
                  <c:v>1.43</c:v>
                </c:pt>
                <c:pt idx="2">
                  <c:v>1.27</c:v>
                </c:pt>
                <c:pt idx="3">
                  <c:v>1</c:v>
                </c:pt>
                <c:pt idx="4">
                  <c:v>1.03</c:v>
                </c:pt>
              </c:numCache>
            </c:numRef>
          </c:val>
        </c:ser>
        <c:dLbls>
          <c:showVal val="1"/>
        </c:dLbls>
        <c:axId val="126802176"/>
        <c:axId val="134483968"/>
      </c:barChart>
      <c:catAx>
        <c:axId val="126802176"/>
        <c:scaling>
          <c:orientation val="minMax"/>
        </c:scaling>
        <c:axPos val="b"/>
        <c:numFmt formatCode="General" sourceLinked="1"/>
        <c:majorTickMark val="none"/>
        <c:tickLblPos val="nextTo"/>
        <c:txPr>
          <a:bodyPr/>
          <a:lstStyle/>
          <a:p>
            <a:pPr>
              <a:defRPr lang="en-GB"/>
            </a:pPr>
            <a:endParaRPr lang="ro-RO"/>
          </a:p>
        </c:txPr>
        <c:crossAx val="134483968"/>
        <c:crosses val="autoZero"/>
        <c:auto val="1"/>
        <c:lblAlgn val="ctr"/>
        <c:lblOffset val="100"/>
      </c:catAx>
      <c:valAx>
        <c:axId val="134483968"/>
        <c:scaling>
          <c:orientation val="minMax"/>
          <c:max val="5"/>
        </c:scaling>
        <c:axPos val="l"/>
        <c:majorGridlines/>
        <c:title>
          <c:tx>
            <c:rich>
              <a:bodyPr rot="0" vert="horz"/>
              <a:lstStyle/>
              <a:p>
                <a:pPr>
                  <a:defRPr lang="en-GB" b="1"/>
                </a:pPr>
                <a:r>
                  <a:rPr lang="ro-RO" b="1"/>
                  <a:t>Bq/m</a:t>
                </a:r>
                <a:r>
                  <a:rPr lang="ro-RO" b="1" baseline="30000"/>
                  <a:t>3</a:t>
                </a:r>
              </a:p>
            </c:rich>
          </c:tx>
          <c:layout>
            <c:manualLayout>
              <c:xMode val="edge"/>
              <c:yMode val="edge"/>
              <c:x val="1.9980207893633465E-3"/>
              <c:y val="7.9152813485470902E-2"/>
            </c:manualLayout>
          </c:layout>
        </c:title>
        <c:numFmt formatCode="General" sourceLinked="1"/>
        <c:majorTickMark val="none"/>
        <c:tickLblPos val="nextTo"/>
        <c:txPr>
          <a:bodyPr/>
          <a:lstStyle/>
          <a:p>
            <a:pPr>
              <a:defRPr lang="en-GB"/>
            </a:pPr>
            <a:endParaRPr lang="ro-RO"/>
          </a:p>
        </c:txPr>
        <c:crossAx val="126802176"/>
        <c:crosses val="autoZero"/>
        <c:crossBetween val="between"/>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style val="5"/>
  <c:chart>
    <c:autoTitleDeleted val="1"/>
    <c:plotArea>
      <c:layout>
        <c:manualLayout>
          <c:layoutTarget val="inner"/>
          <c:xMode val="edge"/>
          <c:yMode val="edge"/>
          <c:x val="0.15341237288304807"/>
          <c:y val="4.2029167247819237E-2"/>
          <c:w val="0.63512589443430256"/>
          <c:h val="0.6148445175819055"/>
        </c:manualLayout>
      </c:layout>
      <c:areaChart>
        <c:grouping val="standard"/>
        <c:ser>
          <c:idx val="0"/>
          <c:order val="0"/>
          <c:tx>
            <c:strRef>
              <c:f>Sheet1!$B$1</c:f>
              <c:strCache>
                <c:ptCount val="1"/>
                <c:pt idx="0">
                  <c:v>aspiraţie 02-07</c:v>
                </c:pt>
              </c:strCache>
            </c:strRef>
          </c:tx>
          <c:spPr>
            <a:solidFill>
              <a:schemeClr val="accent1">
                <a:lumMod val="60000"/>
                <a:lumOff val="40000"/>
              </a:schemeClr>
            </a:solidFill>
          </c:spPr>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0.0</c:formatCode>
                <c:ptCount val="12"/>
                <c:pt idx="0">
                  <c:v>3</c:v>
                </c:pt>
                <c:pt idx="1">
                  <c:v>2.9</c:v>
                </c:pt>
                <c:pt idx="2" formatCode="General">
                  <c:v>2.6</c:v>
                </c:pt>
                <c:pt idx="3" formatCode="General">
                  <c:v>3.4</c:v>
                </c:pt>
                <c:pt idx="4" formatCode="General">
                  <c:v>4.5999999999999996</c:v>
                </c:pt>
                <c:pt idx="5">
                  <c:v>3.4</c:v>
                </c:pt>
                <c:pt idx="6" formatCode="General">
                  <c:v>8.5</c:v>
                </c:pt>
                <c:pt idx="7" formatCode="General">
                  <c:v>9.7000000000000011</c:v>
                </c:pt>
                <c:pt idx="8">
                  <c:v>9.4</c:v>
                </c:pt>
                <c:pt idx="9">
                  <c:v>7</c:v>
                </c:pt>
                <c:pt idx="10">
                  <c:v>4.7</c:v>
                </c:pt>
                <c:pt idx="11" formatCode="General">
                  <c:v>2.6</c:v>
                </c:pt>
              </c:numCache>
            </c:numRef>
          </c:val>
        </c:ser>
        <c:ser>
          <c:idx val="1"/>
          <c:order val="1"/>
          <c:tx>
            <c:strRef>
              <c:f>Sheet1!$C$1</c:f>
              <c:strCache>
                <c:ptCount val="1"/>
                <c:pt idx="0">
                  <c:v>aspiraţie 08-13</c:v>
                </c:pt>
              </c:strCache>
            </c:strRef>
          </c:tx>
          <c:spPr>
            <a:solidFill>
              <a:schemeClr val="accent6"/>
            </a:solidFill>
          </c:spPr>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0.0</c:formatCode>
                <c:ptCount val="12"/>
                <c:pt idx="0">
                  <c:v>3.2</c:v>
                </c:pt>
                <c:pt idx="1">
                  <c:v>3.9</c:v>
                </c:pt>
                <c:pt idx="2">
                  <c:v>2</c:v>
                </c:pt>
                <c:pt idx="3" formatCode="General">
                  <c:v>1.2</c:v>
                </c:pt>
                <c:pt idx="4" formatCode="General">
                  <c:v>1.5</c:v>
                </c:pt>
                <c:pt idx="5" formatCode="General">
                  <c:v>1.4</c:v>
                </c:pt>
                <c:pt idx="6" formatCode="General">
                  <c:v>2.8</c:v>
                </c:pt>
                <c:pt idx="7" formatCode="General">
                  <c:v>2.7</c:v>
                </c:pt>
                <c:pt idx="8" formatCode="General">
                  <c:v>3.5</c:v>
                </c:pt>
                <c:pt idx="9" formatCode="General">
                  <c:v>2.9</c:v>
                </c:pt>
                <c:pt idx="10" formatCode="General">
                  <c:v>5.2</c:v>
                </c:pt>
                <c:pt idx="11" formatCode="General">
                  <c:v>3.1</c:v>
                </c:pt>
              </c:numCache>
            </c:numRef>
          </c:val>
        </c:ser>
        <c:axId val="126828544"/>
        <c:axId val="126830080"/>
      </c:areaChart>
      <c:catAx>
        <c:axId val="126828544"/>
        <c:scaling>
          <c:orientation val="minMax"/>
        </c:scaling>
        <c:axPos val="b"/>
        <c:numFmt formatCode="dd\/mm\/yyyy" sourceLinked="1"/>
        <c:majorTickMark val="none"/>
        <c:tickLblPos val="nextTo"/>
        <c:txPr>
          <a:bodyPr/>
          <a:lstStyle/>
          <a:p>
            <a:pPr>
              <a:defRPr lang="en-GB"/>
            </a:pPr>
            <a:endParaRPr lang="ro-RO"/>
          </a:p>
        </c:txPr>
        <c:crossAx val="126830080"/>
        <c:crosses val="autoZero"/>
        <c:auto val="1"/>
        <c:lblAlgn val="ctr"/>
        <c:lblOffset val="100"/>
      </c:catAx>
      <c:valAx>
        <c:axId val="126830080"/>
        <c:scaling>
          <c:orientation val="minMax"/>
        </c:scaling>
        <c:axPos val="l"/>
        <c:majorGridlines/>
        <c:title>
          <c:tx>
            <c:rich>
              <a:bodyPr rot="0" vert="horz"/>
              <a:lstStyle/>
              <a:p>
                <a:pPr>
                  <a:defRPr lang="en-GB" b="1"/>
                </a:pPr>
                <a:r>
                  <a:rPr lang="ro-RO" b="1"/>
                  <a:t>Bq/m</a:t>
                </a:r>
                <a:r>
                  <a:rPr lang="ro-RO" b="1" baseline="30000"/>
                  <a:t>3</a:t>
                </a:r>
              </a:p>
            </c:rich>
          </c:tx>
          <c:layout>
            <c:manualLayout>
              <c:xMode val="edge"/>
              <c:yMode val="edge"/>
              <c:x val="1.4533637400639726E-3"/>
              <c:y val="3.3839676290463812E-2"/>
            </c:manualLayout>
          </c:layout>
        </c:title>
        <c:numFmt formatCode="0.0" sourceLinked="1"/>
        <c:majorTickMark val="none"/>
        <c:tickLblPos val="nextTo"/>
        <c:txPr>
          <a:bodyPr/>
          <a:lstStyle/>
          <a:p>
            <a:pPr>
              <a:defRPr lang="en-GB"/>
            </a:pPr>
            <a:endParaRPr lang="ro-RO"/>
          </a:p>
        </c:txPr>
        <c:crossAx val="126828544"/>
        <c:crosses val="autoZero"/>
        <c:crossBetween val="midCat"/>
      </c:valAx>
      <c:spPr>
        <a:ln>
          <a:solidFill>
            <a:schemeClr val="bg1">
              <a:lumMod val="50000"/>
            </a:schemeClr>
          </a:solidFill>
        </a:ln>
      </c:spPr>
    </c:plotArea>
    <c:legend>
      <c:legendPos val="r"/>
      <c:layout>
        <c:manualLayout>
          <c:xMode val="edge"/>
          <c:yMode val="edge"/>
          <c:x val="0.79278305040767261"/>
          <c:y val="0.13495163104611926"/>
          <c:w val="0.20521381595361415"/>
          <c:h val="0.34783905795547881"/>
        </c:manualLayout>
      </c:layout>
      <c:txPr>
        <a:bodyPr/>
        <a:lstStyle/>
        <a:p>
          <a:pPr>
            <a:defRPr lang="en-GB"/>
          </a:pPr>
          <a:endParaRPr lang="ro-RO"/>
        </a:p>
      </c:txPr>
    </c:legend>
    <c:plotVisOnly val="1"/>
  </c:chart>
  <c:spPr>
    <a:ln>
      <a:noFill/>
    </a:ln>
  </c:spPr>
  <c:txPr>
    <a:bodyPr/>
    <a:lstStyle/>
    <a:p>
      <a:pPr>
        <a:defRPr sz="900">
          <a:latin typeface="Arial" pitchFamily="34" charset="0"/>
          <a:cs typeface="Arial" pitchFamily="34"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style val="5"/>
  <c:chart>
    <c:autoTitleDeleted val="1"/>
    <c:plotArea>
      <c:layout>
        <c:manualLayout>
          <c:layoutTarget val="inner"/>
          <c:xMode val="edge"/>
          <c:yMode val="edge"/>
          <c:x val="0.14568731738721341"/>
          <c:y val="5.643125030266332E-2"/>
          <c:w val="0.63515376615659125"/>
          <c:h val="0.51051998934915555"/>
        </c:manualLayout>
      </c:layout>
      <c:areaChart>
        <c:grouping val="standard"/>
        <c:ser>
          <c:idx val="0"/>
          <c:order val="0"/>
          <c:tx>
            <c:strRef>
              <c:f>Sheet1!$B$1</c:f>
              <c:strCache>
                <c:ptCount val="1"/>
                <c:pt idx="0">
                  <c:v>aspiraţie 02-07</c:v>
                </c:pt>
              </c:strCache>
            </c:strRef>
          </c:tx>
          <c:spPr>
            <a:solidFill>
              <a:schemeClr val="accent1"/>
            </a:solidFill>
          </c:spPr>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6.0000000000000032E-2</c:v>
                </c:pt>
                <c:pt idx="1">
                  <c:v>7.0000000000000021E-2</c:v>
                </c:pt>
                <c:pt idx="2">
                  <c:v>0.18000000000000024</c:v>
                </c:pt>
                <c:pt idx="3">
                  <c:v>0.27</c:v>
                </c:pt>
                <c:pt idx="4">
                  <c:v>0.27</c:v>
                </c:pt>
                <c:pt idx="5">
                  <c:v>0.2</c:v>
                </c:pt>
                <c:pt idx="6" formatCode="0.00">
                  <c:v>0.27</c:v>
                </c:pt>
                <c:pt idx="7">
                  <c:v>0.37000000000000038</c:v>
                </c:pt>
                <c:pt idx="8">
                  <c:v>0.33000000000000185</c:v>
                </c:pt>
                <c:pt idx="9" formatCode="0.00">
                  <c:v>0.24000000000000021</c:v>
                </c:pt>
                <c:pt idx="10" formatCode="0.00">
                  <c:v>0.18000000000000024</c:v>
                </c:pt>
                <c:pt idx="11">
                  <c:v>9.0000000000000024E-2</c:v>
                </c:pt>
              </c:numCache>
            </c:numRef>
          </c:val>
        </c:ser>
        <c:ser>
          <c:idx val="1"/>
          <c:order val="1"/>
          <c:tx>
            <c:strRef>
              <c:f>Sheet1!$C$1</c:f>
              <c:strCache>
                <c:ptCount val="1"/>
                <c:pt idx="0">
                  <c:v>aspiraţie 08-13</c:v>
                </c:pt>
              </c:strCache>
            </c:strRef>
          </c:tx>
          <c:spPr>
            <a:solidFill>
              <a:schemeClr val="accent6">
                <a:lumMod val="60000"/>
                <a:lumOff val="40000"/>
              </a:schemeClr>
            </a:solidFill>
          </c:spPr>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0.00</c:formatCode>
                <c:ptCount val="12"/>
                <c:pt idx="0" formatCode="General">
                  <c:v>0.05</c:v>
                </c:pt>
                <c:pt idx="1">
                  <c:v>6.0000000000000032E-2</c:v>
                </c:pt>
                <c:pt idx="2">
                  <c:v>0.11</c:v>
                </c:pt>
                <c:pt idx="3" formatCode="General">
                  <c:v>0.11</c:v>
                </c:pt>
                <c:pt idx="4" formatCode="General">
                  <c:v>8.0000000000000043E-2</c:v>
                </c:pt>
                <c:pt idx="5" formatCode="General">
                  <c:v>7.0000000000000021E-2</c:v>
                </c:pt>
                <c:pt idx="6">
                  <c:v>8.0000000000000043E-2</c:v>
                </c:pt>
                <c:pt idx="7">
                  <c:v>0.11</c:v>
                </c:pt>
                <c:pt idx="8" formatCode="General">
                  <c:v>0.11</c:v>
                </c:pt>
                <c:pt idx="9" formatCode="General">
                  <c:v>0.11</c:v>
                </c:pt>
                <c:pt idx="10" formatCode="General">
                  <c:v>0.14000000000000001</c:v>
                </c:pt>
                <c:pt idx="11" formatCode="General">
                  <c:v>8.0000000000000043E-2</c:v>
                </c:pt>
              </c:numCache>
            </c:numRef>
          </c:val>
        </c:ser>
        <c:axId val="134182784"/>
        <c:axId val="134184320"/>
      </c:areaChart>
      <c:catAx>
        <c:axId val="134182784"/>
        <c:scaling>
          <c:orientation val="minMax"/>
        </c:scaling>
        <c:axPos val="b"/>
        <c:numFmt formatCode="dd\/mm\/yyyy" sourceLinked="1"/>
        <c:majorTickMark val="none"/>
        <c:tickLblPos val="nextTo"/>
        <c:txPr>
          <a:bodyPr/>
          <a:lstStyle/>
          <a:p>
            <a:pPr>
              <a:defRPr lang="en-GB"/>
            </a:pPr>
            <a:endParaRPr lang="ro-RO"/>
          </a:p>
        </c:txPr>
        <c:crossAx val="134184320"/>
        <c:crosses val="autoZero"/>
        <c:auto val="1"/>
        <c:lblAlgn val="ctr"/>
        <c:lblOffset val="100"/>
      </c:catAx>
      <c:valAx>
        <c:axId val="134184320"/>
        <c:scaling>
          <c:orientation val="minMax"/>
        </c:scaling>
        <c:axPos val="l"/>
        <c:majorGridlines/>
        <c:title>
          <c:tx>
            <c:rich>
              <a:bodyPr rot="0" vert="horz"/>
              <a:lstStyle/>
              <a:p>
                <a:pPr>
                  <a:defRPr lang="en-GB" b="1"/>
                </a:pPr>
                <a:r>
                  <a:rPr lang="ro-RO" b="1"/>
                  <a:t>Bq/m</a:t>
                </a:r>
                <a:r>
                  <a:rPr lang="ro-RO" b="1" baseline="30000"/>
                  <a:t>3</a:t>
                </a:r>
              </a:p>
              <a:p>
                <a:pPr>
                  <a:defRPr lang="en-GB" b="1"/>
                </a:pPr>
                <a:endParaRPr lang="ro-RO" b="1"/>
              </a:p>
            </c:rich>
          </c:tx>
          <c:layout>
            <c:manualLayout>
              <c:xMode val="edge"/>
              <c:yMode val="edge"/>
              <c:x val="1.2396814998598699E-2"/>
              <c:y val="6.7756706454372984E-2"/>
            </c:manualLayout>
          </c:layout>
        </c:title>
        <c:numFmt formatCode="#,##0.0" sourceLinked="0"/>
        <c:majorTickMark val="none"/>
        <c:tickLblPos val="nextTo"/>
        <c:txPr>
          <a:bodyPr/>
          <a:lstStyle/>
          <a:p>
            <a:pPr>
              <a:defRPr lang="en-GB"/>
            </a:pPr>
            <a:endParaRPr lang="ro-RO"/>
          </a:p>
        </c:txPr>
        <c:crossAx val="134182784"/>
        <c:crosses val="autoZero"/>
        <c:crossBetween val="midCat"/>
        <c:majorUnit val="0.1"/>
      </c:valAx>
      <c:spPr>
        <a:ln>
          <a:solidFill>
            <a:schemeClr val="bg1">
              <a:lumMod val="50000"/>
            </a:schemeClr>
          </a:solidFill>
        </a:ln>
      </c:spPr>
    </c:plotArea>
    <c:legend>
      <c:legendPos val="r"/>
      <c:layout>
        <c:manualLayout>
          <c:xMode val="edge"/>
          <c:yMode val="edge"/>
          <c:x val="0.79160501163769881"/>
          <c:y val="0.13153334094107821"/>
          <c:w val="0.18978247239022203"/>
          <c:h val="0.34121631137571273"/>
        </c:manualLayout>
      </c:layout>
      <c:txPr>
        <a:bodyPr/>
        <a:lstStyle/>
        <a:p>
          <a:pPr>
            <a:defRPr lang="en-GB"/>
          </a:pPr>
          <a:endParaRPr lang="ro-RO"/>
        </a:p>
      </c:txPr>
    </c:legend>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2066539531851137"/>
          <c:y val="4.3204801717379365E-2"/>
          <c:w val="0.76049814831953422"/>
          <c:h val="0.79135872550814867"/>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6.3</c:v>
                </c:pt>
                <c:pt idx="1">
                  <c:v>5.9</c:v>
                </c:pt>
                <c:pt idx="2">
                  <c:v>5.9</c:v>
                </c:pt>
                <c:pt idx="3">
                  <c:v>4.9000000000000004</c:v>
                </c:pt>
                <c:pt idx="4">
                  <c:v>5.0999999999999996</c:v>
                </c:pt>
              </c:numCache>
            </c:numRef>
          </c:val>
        </c:ser>
        <c:dLbls>
          <c:showVal val="1"/>
        </c:dLbls>
        <c:axId val="126782464"/>
        <c:axId val="134177536"/>
      </c:barChart>
      <c:catAx>
        <c:axId val="126782464"/>
        <c:scaling>
          <c:orientation val="minMax"/>
        </c:scaling>
        <c:axPos val="b"/>
        <c:numFmt formatCode="General" sourceLinked="1"/>
        <c:majorTickMark val="none"/>
        <c:tickLblPos val="nextTo"/>
        <c:txPr>
          <a:bodyPr/>
          <a:lstStyle/>
          <a:p>
            <a:pPr>
              <a:defRPr lang="en-GB"/>
            </a:pPr>
            <a:endParaRPr lang="ro-RO"/>
          </a:p>
        </c:txPr>
        <c:crossAx val="134177536"/>
        <c:crosses val="autoZero"/>
        <c:auto val="1"/>
        <c:lblAlgn val="ctr"/>
        <c:lblOffset val="100"/>
      </c:catAx>
      <c:valAx>
        <c:axId val="134177536"/>
        <c:scaling>
          <c:orientation val="minMax"/>
          <c:max val="10"/>
        </c:scaling>
        <c:axPos val="l"/>
        <c:majorGridlines/>
        <c:title>
          <c:tx>
            <c:rich>
              <a:bodyPr rot="0" vert="horz"/>
              <a:lstStyle/>
              <a:p>
                <a:pPr>
                  <a:defRPr lang="en-GB" b="1"/>
                </a:pPr>
                <a:r>
                  <a:rPr lang="ro-RO" b="1"/>
                  <a:t>Bq/m</a:t>
                </a:r>
                <a:r>
                  <a:rPr lang="ro-RO" b="1" baseline="30000"/>
                  <a:t>3</a:t>
                </a:r>
              </a:p>
            </c:rich>
          </c:tx>
          <c:layout>
            <c:manualLayout>
              <c:xMode val="edge"/>
              <c:yMode val="edge"/>
              <c:x val="1.075795664659226E-2"/>
              <c:y val="5.5843016705829328E-2"/>
            </c:manualLayout>
          </c:layout>
        </c:title>
        <c:numFmt formatCode="General" sourceLinked="1"/>
        <c:majorTickMark val="none"/>
        <c:tickLblPos val="nextTo"/>
        <c:txPr>
          <a:bodyPr/>
          <a:lstStyle/>
          <a:p>
            <a:pPr>
              <a:defRPr lang="en-GB"/>
            </a:pPr>
            <a:endParaRPr lang="ro-RO"/>
          </a:p>
        </c:txPr>
        <c:crossAx val="126782464"/>
        <c:crosses val="autoZero"/>
        <c:crossBetween val="between"/>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864670066763091"/>
          <c:y val="4.6106615626598964E-2"/>
          <c:w val="0.7645679730638687"/>
          <c:h val="0.77846975523408624"/>
        </c:manualLayout>
      </c:layout>
      <c:barChart>
        <c:barDir val="col"/>
        <c:grouping val="clustered"/>
        <c:ser>
          <c:idx val="0"/>
          <c:order val="0"/>
          <c:tx>
            <c:strRef>
              <c:f>Sheet1!$B$1</c:f>
              <c:strCache>
                <c:ptCount val="1"/>
                <c:pt idx="0">
                  <c:v>Media anuală</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0.0</c:formatCode>
                <c:ptCount val="5"/>
                <c:pt idx="0" formatCode="General">
                  <c:v>3.9</c:v>
                </c:pt>
                <c:pt idx="1">
                  <c:v>4</c:v>
                </c:pt>
                <c:pt idx="2">
                  <c:v>3.4</c:v>
                </c:pt>
                <c:pt idx="3">
                  <c:v>2.7</c:v>
                </c:pt>
                <c:pt idx="4">
                  <c:v>2.8</c:v>
                </c:pt>
              </c:numCache>
            </c:numRef>
          </c:val>
        </c:ser>
        <c:dLbls>
          <c:showVal val="1"/>
        </c:dLbls>
        <c:axId val="126775296"/>
        <c:axId val="126776832"/>
      </c:barChart>
      <c:catAx>
        <c:axId val="126775296"/>
        <c:scaling>
          <c:orientation val="minMax"/>
        </c:scaling>
        <c:axPos val="b"/>
        <c:numFmt formatCode="General" sourceLinked="1"/>
        <c:majorTickMark val="none"/>
        <c:tickLblPos val="nextTo"/>
        <c:txPr>
          <a:bodyPr/>
          <a:lstStyle/>
          <a:p>
            <a:pPr>
              <a:defRPr lang="en-GB"/>
            </a:pPr>
            <a:endParaRPr lang="ro-RO"/>
          </a:p>
        </c:txPr>
        <c:crossAx val="126776832"/>
        <c:crossesAt val="0"/>
        <c:auto val="1"/>
        <c:lblAlgn val="ctr"/>
        <c:lblOffset val="100"/>
      </c:catAx>
      <c:valAx>
        <c:axId val="126776832"/>
        <c:scaling>
          <c:orientation val="minMax"/>
          <c:max val="10"/>
          <c:min val="0"/>
        </c:scaling>
        <c:axPos val="l"/>
        <c:majorGridlines/>
        <c:title>
          <c:tx>
            <c:rich>
              <a:bodyPr rot="0" vert="horz"/>
              <a:lstStyle/>
              <a:p>
                <a:pPr>
                  <a:defRPr lang="en-GB" b="1"/>
                </a:pPr>
                <a:r>
                  <a:rPr lang="ro-RO" b="1"/>
                  <a:t>Bq/m</a:t>
                </a:r>
                <a:r>
                  <a:rPr lang="ro-RO" b="1" baseline="30000"/>
                  <a:t>3</a:t>
                </a:r>
              </a:p>
            </c:rich>
          </c:tx>
          <c:layout>
            <c:manualLayout>
              <c:xMode val="edge"/>
              <c:yMode val="edge"/>
              <c:x val="1.8250483665966733E-3"/>
              <c:y val="6.2105188223599672E-2"/>
            </c:manualLayout>
          </c:layout>
        </c:title>
        <c:numFmt formatCode="General" sourceLinked="1"/>
        <c:majorTickMark val="none"/>
        <c:tickLblPos val="nextTo"/>
        <c:txPr>
          <a:bodyPr/>
          <a:lstStyle/>
          <a:p>
            <a:pPr>
              <a:defRPr lang="en-GB"/>
            </a:pPr>
            <a:endParaRPr lang="ro-RO"/>
          </a:p>
        </c:txPr>
        <c:crossAx val="126775296"/>
        <c:crosses val="autoZero"/>
        <c:crossBetween val="between"/>
        <c:majorUnit val="2"/>
      </c:valAx>
      <c:spPr>
        <a:ln>
          <a:solidFill>
            <a:schemeClr val="bg1">
              <a:lumMod val="50000"/>
            </a:schemeClr>
          </a:solidFill>
        </a:ln>
      </c:spPr>
    </c:plotArea>
    <c:plotVisOnly val="1"/>
  </c:chart>
  <c:spPr>
    <a:noFill/>
    <a:ln>
      <a:noFill/>
    </a:ln>
  </c:spPr>
  <c:txPr>
    <a:bodyPr/>
    <a:lstStyle/>
    <a:p>
      <a:pPr>
        <a:defRPr sz="900">
          <a:latin typeface="Arial" pitchFamily="34" charset="0"/>
          <a:cs typeface="Arial" pitchFamily="34"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46DA-45A4-44E2-B478-7E010332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2883</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19571</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43</cp:revision>
  <cp:lastPrinted>2012-07-25T10:01:00Z</cp:lastPrinted>
  <dcterms:created xsi:type="dcterms:W3CDTF">2018-07-09T09:51:00Z</dcterms:created>
  <dcterms:modified xsi:type="dcterms:W3CDTF">2018-08-14T14:03:00Z</dcterms:modified>
</cp:coreProperties>
</file>