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78" w:rsidRPr="002D0342" w:rsidRDefault="006F1C78" w:rsidP="00CC1FB9">
      <w:pPr>
        <w:widowControl w:val="0"/>
        <w:spacing w:after="0" w:line="240" w:lineRule="auto"/>
        <w:rPr>
          <w:rFonts w:ascii="Arial" w:hAnsi="Arial" w:cs="Arial"/>
          <w:color w:val="FF0000"/>
          <w:sz w:val="24"/>
          <w:szCs w:val="24"/>
          <w:lang w:val="ro-RO"/>
        </w:rPr>
      </w:pPr>
    </w:p>
    <w:p w:rsidR="00350FCC" w:rsidRPr="002D0342" w:rsidRDefault="00350FCC" w:rsidP="00CC1FB9">
      <w:pPr>
        <w:widowControl w:val="0"/>
        <w:spacing w:after="0" w:line="240" w:lineRule="auto"/>
        <w:rPr>
          <w:rFonts w:ascii="Arial" w:hAnsi="Arial" w:cs="Arial"/>
          <w:color w:val="FF0000"/>
          <w:sz w:val="24"/>
          <w:szCs w:val="24"/>
          <w:lang w:val="ro-RO"/>
        </w:rPr>
      </w:pPr>
    </w:p>
    <w:p w:rsidR="00350FCC" w:rsidRPr="002D0342" w:rsidRDefault="00350FCC" w:rsidP="00CC1FB9">
      <w:pPr>
        <w:widowControl w:val="0"/>
        <w:spacing w:after="0" w:line="240" w:lineRule="auto"/>
        <w:rPr>
          <w:rFonts w:ascii="Arial" w:hAnsi="Arial" w:cs="Arial"/>
          <w:color w:val="FF0000"/>
          <w:sz w:val="24"/>
          <w:szCs w:val="24"/>
          <w:lang w:val="ro-RO"/>
        </w:rPr>
      </w:pPr>
    </w:p>
    <w:p w:rsidR="006F1C78" w:rsidRPr="00913F99" w:rsidRDefault="000676C3" w:rsidP="00CC1FB9">
      <w:pPr>
        <w:widowControl w:val="0"/>
        <w:spacing w:after="0" w:line="240" w:lineRule="auto"/>
        <w:jc w:val="center"/>
        <w:rPr>
          <w:rFonts w:ascii="Arial" w:hAnsi="Arial" w:cs="Arial"/>
          <w:b/>
          <w:sz w:val="24"/>
          <w:szCs w:val="24"/>
          <w:lang w:val="ro-RO"/>
        </w:rPr>
      </w:pPr>
      <w:r w:rsidRPr="00913F99">
        <w:rPr>
          <w:rFonts w:ascii="Arial" w:hAnsi="Arial" w:cs="Arial"/>
          <w:b/>
          <w:sz w:val="24"/>
          <w:szCs w:val="24"/>
          <w:lang w:val="ro-RO"/>
        </w:rPr>
        <w:t>VII</w:t>
      </w:r>
      <w:r w:rsidR="006F1C78" w:rsidRPr="00913F99">
        <w:rPr>
          <w:rFonts w:ascii="Arial" w:hAnsi="Arial" w:cs="Arial"/>
          <w:b/>
          <w:sz w:val="24"/>
          <w:szCs w:val="24"/>
          <w:lang w:val="ro-RO"/>
        </w:rPr>
        <w:t>I.</w:t>
      </w:r>
      <w:r w:rsidR="00032F3D" w:rsidRPr="00913F99">
        <w:rPr>
          <w:rFonts w:ascii="Arial" w:hAnsi="Arial" w:cs="Arial"/>
          <w:b/>
          <w:sz w:val="24"/>
          <w:szCs w:val="24"/>
          <w:lang w:val="ro-RO"/>
        </w:rPr>
        <w:t xml:space="preserve"> </w:t>
      </w:r>
      <w:r w:rsidRPr="00913F99">
        <w:rPr>
          <w:rFonts w:ascii="Arial" w:hAnsi="Arial" w:cs="Arial"/>
          <w:b/>
          <w:sz w:val="24"/>
          <w:szCs w:val="24"/>
          <w:lang w:val="ro-RO"/>
        </w:rPr>
        <w:t>MEDIUL URBAN, SĂNĂTATEA ŞI CALITATEA VIEŢII</w:t>
      </w:r>
      <w:r w:rsidRPr="00913F99">
        <w:rPr>
          <w:b/>
          <w:sz w:val="26"/>
          <w:szCs w:val="26"/>
          <w:lang w:val="ro-RO"/>
        </w:rPr>
        <w:t xml:space="preserve"> </w:t>
      </w:r>
    </w:p>
    <w:p w:rsidR="00E50B79" w:rsidRPr="00913F99" w:rsidRDefault="00E50B79" w:rsidP="00CC1FB9">
      <w:pPr>
        <w:widowControl w:val="0"/>
        <w:spacing w:after="0" w:line="240" w:lineRule="auto"/>
        <w:jc w:val="center"/>
        <w:rPr>
          <w:rFonts w:ascii="Arial" w:hAnsi="Arial" w:cs="Arial"/>
          <w:b/>
          <w:sz w:val="24"/>
          <w:szCs w:val="24"/>
          <w:lang w:val="ro-RO"/>
        </w:rPr>
      </w:pPr>
    </w:p>
    <w:p w:rsidR="00350FCC" w:rsidRPr="00913F99" w:rsidRDefault="00350FCC" w:rsidP="00CC1FB9">
      <w:pPr>
        <w:widowControl w:val="0"/>
        <w:spacing w:after="0" w:line="240" w:lineRule="auto"/>
        <w:jc w:val="center"/>
        <w:rPr>
          <w:rFonts w:ascii="Arial" w:hAnsi="Arial" w:cs="Arial"/>
          <w:b/>
          <w:sz w:val="24"/>
          <w:szCs w:val="24"/>
          <w:lang w:val="ro-RO"/>
        </w:rPr>
      </w:pPr>
    </w:p>
    <w:p w:rsidR="006F1C78" w:rsidRPr="00913F99" w:rsidRDefault="000676C3" w:rsidP="00CC1FB9">
      <w:pPr>
        <w:widowControl w:val="0"/>
        <w:spacing w:after="0" w:line="240" w:lineRule="auto"/>
        <w:rPr>
          <w:rFonts w:ascii="Arial" w:hAnsi="Arial" w:cs="Arial"/>
          <w:b/>
          <w:sz w:val="24"/>
          <w:szCs w:val="24"/>
          <w:lang w:val="ro-RO"/>
        </w:rPr>
      </w:pPr>
      <w:r w:rsidRPr="00913F99">
        <w:rPr>
          <w:rFonts w:ascii="Arial" w:hAnsi="Arial" w:cs="Arial"/>
          <w:b/>
          <w:sz w:val="24"/>
          <w:szCs w:val="24"/>
          <w:lang w:val="ro-RO"/>
        </w:rPr>
        <w:t>VII</w:t>
      </w:r>
      <w:r w:rsidR="006F1C78" w:rsidRPr="00913F99">
        <w:rPr>
          <w:rFonts w:ascii="Arial" w:hAnsi="Arial" w:cs="Arial"/>
          <w:b/>
          <w:sz w:val="24"/>
          <w:szCs w:val="24"/>
          <w:lang w:val="ro-RO"/>
        </w:rPr>
        <w:t xml:space="preserve">I.1. </w:t>
      </w:r>
      <w:r w:rsidRPr="00913F99">
        <w:rPr>
          <w:rFonts w:ascii="Arial" w:hAnsi="Arial" w:cs="Arial"/>
          <w:b/>
          <w:sz w:val="24"/>
          <w:szCs w:val="24"/>
          <w:lang w:val="ro-RO"/>
        </w:rPr>
        <w:t xml:space="preserve">Mediul urban şi calitatea vieţii: stare şi consecinţe   </w:t>
      </w:r>
    </w:p>
    <w:p w:rsidR="00350FCC" w:rsidRPr="00F12113" w:rsidRDefault="00350FCC" w:rsidP="00CC1FB9">
      <w:pPr>
        <w:widowControl w:val="0"/>
        <w:spacing w:after="0" w:line="240" w:lineRule="auto"/>
        <w:rPr>
          <w:rFonts w:ascii="Arial" w:hAnsi="Arial" w:cs="Arial"/>
          <w:color w:val="FF0000"/>
          <w:sz w:val="16"/>
          <w:szCs w:val="16"/>
          <w:lang w:val="ro-RO"/>
        </w:rPr>
      </w:pPr>
    </w:p>
    <w:p w:rsidR="007C4D96" w:rsidRPr="00925879" w:rsidRDefault="007C4D96" w:rsidP="00CC1FB9">
      <w:pPr>
        <w:widowControl w:val="0"/>
        <w:spacing w:after="0" w:line="240" w:lineRule="auto"/>
        <w:ind w:firstLine="720"/>
        <w:jc w:val="both"/>
        <w:rPr>
          <w:rFonts w:ascii="Arial" w:hAnsi="Arial" w:cs="Arial"/>
          <w:sz w:val="24"/>
          <w:szCs w:val="24"/>
          <w:lang w:val="ro-RO"/>
        </w:rPr>
      </w:pPr>
      <w:r w:rsidRPr="00925879">
        <w:rPr>
          <w:rFonts w:ascii="Arial" w:hAnsi="Arial" w:cs="Arial"/>
          <w:sz w:val="24"/>
          <w:szCs w:val="24"/>
          <w:lang w:val="ro-RO"/>
        </w:rPr>
        <w:t>Mediul urban reprezintă un ecosistem specific, un complex de factori naturali şi artificiali care asigură o serie de facilităţi pentru desfăşurarea mai comodă a vieţii, dar, în acelaşi timp, expun populaţia la diverse riscuri şi disconfort</w:t>
      </w:r>
      <w:r w:rsidR="006A576D" w:rsidRPr="00925879">
        <w:rPr>
          <w:rFonts w:ascii="Arial" w:hAnsi="Arial" w:cs="Arial"/>
          <w:sz w:val="24"/>
          <w:szCs w:val="24"/>
          <w:lang w:val="ro-RO"/>
        </w:rPr>
        <w:t>uri</w:t>
      </w:r>
      <w:r w:rsidRPr="00925879">
        <w:rPr>
          <w:rFonts w:ascii="Arial" w:hAnsi="Arial" w:cs="Arial"/>
          <w:sz w:val="24"/>
          <w:szCs w:val="24"/>
          <w:lang w:val="ro-RO"/>
        </w:rPr>
        <w:t>, în funcţie de modul de organizare şi folosire, mai mult sau mai puţin echilibrată, al acestora.</w:t>
      </w:r>
    </w:p>
    <w:p w:rsidR="00F12113" w:rsidRPr="006A576D" w:rsidRDefault="00F12113" w:rsidP="00F12113">
      <w:pPr>
        <w:widowControl w:val="0"/>
        <w:spacing w:after="0" w:line="240" w:lineRule="auto"/>
        <w:ind w:firstLine="720"/>
        <w:jc w:val="both"/>
        <w:rPr>
          <w:rFonts w:ascii="Arial" w:hAnsi="Arial" w:cs="Arial"/>
          <w:sz w:val="24"/>
          <w:szCs w:val="24"/>
          <w:lang w:val="ro-RO"/>
        </w:rPr>
      </w:pPr>
      <w:r w:rsidRPr="006A576D">
        <w:rPr>
          <w:rFonts w:ascii="Arial" w:hAnsi="Arial" w:cs="Arial"/>
          <w:sz w:val="24"/>
          <w:szCs w:val="24"/>
          <w:lang w:val="ro-RO"/>
        </w:rPr>
        <w:t>În sistemele urbane, factorii artificiali se extind din ce în ce mai mult, în detrimentul celor naturali.</w:t>
      </w:r>
    </w:p>
    <w:p w:rsidR="007C4D96" w:rsidRPr="00925879" w:rsidRDefault="007C4D96" w:rsidP="00CC1FB9">
      <w:pPr>
        <w:widowControl w:val="0"/>
        <w:spacing w:after="0" w:line="240" w:lineRule="auto"/>
        <w:ind w:firstLine="720"/>
        <w:jc w:val="both"/>
        <w:rPr>
          <w:rFonts w:ascii="Arial" w:hAnsi="Arial" w:cs="Arial"/>
          <w:sz w:val="24"/>
          <w:szCs w:val="24"/>
          <w:lang w:val="ro-RO"/>
        </w:rPr>
      </w:pPr>
      <w:r w:rsidRPr="00925879">
        <w:rPr>
          <w:rFonts w:ascii="Arial" w:hAnsi="Arial" w:cs="Arial"/>
          <w:sz w:val="24"/>
          <w:szCs w:val="24"/>
          <w:lang w:val="ro-RO"/>
        </w:rPr>
        <w:t>Localităţile urbane se confruntă cu o serie de probleme care influenţează atât sănătatea cât şi calitatea vieţii populaţiei, precum cele legate de calitatea aerului, nivelul crescut de zgomot, terenuri abandonate, zone nesistematizate şi insuficienţa spaţiilor verzi, generarea de deşeuri şi ape uzate</w:t>
      </w:r>
      <w:r w:rsidRPr="00925879">
        <w:rPr>
          <w:rStyle w:val="FootnoteReference"/>
          <w:rFonts w:ascii="Arial" w:hAnsi="Arial" w:cs="Arial"/>
          <w:sz w:val="24"/>
          <w:szCs w:val="24"/>
          <w:lang w:val="ro-RO"/>
        </w:rPr>
        <w:footnoteReference w:id="1"/>
      </w:r>
      <w:r w:rsidRPr="00925879">
        <w:rPr>
          <w:rFonts w:ascii="Arial" w:hAnsi="Arial" w:cs="Arial"/>
          <w:sz w:val="24"/>
          <w:szCs w:val="24"/>
          <w:lang w:val="ro-RO"/>
        </w:rPr>
        <w:t>.</w:t>
      </w:r>
    </w:p>
    <w:p w:rsidR="009559A3" w:rsidRPr="00F12113" w:rsidRDefault="009559A3" w:rsidP="00CC1FB9">
      <w:pPr>
        <w:widowControl w:val="0"/>
        <w:spacing w:after="0" w:line="240" w:lineRule="auto"/>
        <w:rPr>
          <w:rFonts w:ascii="Arial" w:hAnsi="Arial" w:cs="Arial"/>
          <w:sz w:val="16"/>
          <w:szCs w:val="16"/>
          <w:lang w:val="ro-RO"/>
        </w:rPr>
      </w:pPr>
    </w:p>
    <w:p w:rsidR="000676C3" w:rsidRPr="00925879" w:rsidRDefault="000676C3" w:rsidP="00CC1FB9">
      <w:pPr>
        <w:widowControl w:val="0"/>
        <w:spacing w:after="0" w:line="240" w:lineRule="auto"/>
        <w:rPr>
          <w:rFonts w:ascii="Arial" w:hAnsi="Arial" w:cs="Arial"/>
          <w:b/>
          <w:i/>
          <w:sz w:val="24"/>
          <w:szCs w:val="24"/>
          <w:lang w:val="ro-RO"/>
        </w:rPr>
      </w:pPr>
      <w:r w:rsidRPr="00925879">
        <w:rPr>
          <w:rFonts w:ascii="Arial" w:hAnsi="Arial" w:cs="Arial"/>
          <w:b/>
          <w:i/>
          <w:sz w:val="24"/>
          <w:szCs w:val="24"/>
          <w:lang w:val="ro-RO"/>
        </w:rPr>
        <w:t>VIII.1.1. Calitatea aerului din aglomerările urbane şi efectele asupra sănătăţii</w:t>
      </w:r>
    </w:p>
    <w:p w:rsidR="000676C3" w:rsidRPr="00F12113" w:rsidRDefault="000676C3" w:rsidP="00CC1FB9">
      <w:pPr>
        <w:widowControl w:val="0"/>
        <w:spacing w:after="0" w:line="240" w:lineRule="auto"/>
        <w:rPr>
          <w:rFonts w:ascii="Arial" w:hAnsi="Arial" w:cs="Arial"/>
          <w:b/>
          <w:i/>
          <w:sz w:val="16"/>
          <w:szCs w:val="16"/>
          <w:lang w:val="ro-RO"/>
        </w:rPr>
      </w:pPr>
    </w:p>
    <w:p w:rsidR="000676C3" w:rsidRDefault="000676C3" w:rsidP="00CC1FB9">
      <w:pPr>
        <w:widowControl w:val="0"/>
        <w:tabs>
          <w:tab w:val="num" w:pos="2215"/>
        </w:tabs>
        <w:spacing w:after="0" w:line="240" w:lineRule="auto"/>
        <w:jc w:val="both"/>
        <w:rPr>
          <w:rFonts w:ascii="Arial" w:hAnsi="Arial" w:cs="Arial"/>
          <w:b/>
          <w:sz w:val="24"/>
          <w:szCs w:val="24"/>
          <w:lang w:val="ro-RO"/>
        </w:rPr>
      </w:pPr>
      <w:r w:rsidRPr="00925879">
        <w:rPr>
          <w:rFonts w:ascii="Arial" w:hAnsi="Arial" w:cs="Arial"/>
          <w:b/>
          <w:sz w:val="24"/>
          <w:szCs w:val="24"/>
          <w:lang w:val="ro-RO"/>
        </w:rPr>
        <w:t>VIII.1.1.1. Depăşiri ale concentraţiei medii anuale de PM10, NO</w:t>
      </w:r>
      <w:r w:rsidRPr="00925879">
        <w:rPr>
          <w:rFonts w:ascii="Arial" w:hAnsi="Arial" w:cs="Arial"/>
          <w:b/>
          <w:sz w:val="24"/>
          <w:szCs w:val="24"/>
          <w:vertAlign w:val="subscript"/>
          <w:lang w:val="ro-RO"/>
        </w:rPr>
        <w:t>2</w:t>
      </w:r>
      <w:r w:rsidRPr="00925879">
        <w:rPr>
          <w:rFonts w:ascii="Arial" w:hAnsi="Arial" w:cs="Arial"/>
          <w:b/>
          <w:sz w:val="24"/>
          <w:szCs w:val="24"/>
          <w:lang w:val="ro-RO"/>
        </w:rPr>
        <w:t>, SO</w:t>
      </w:r>
      <w:r w:rsidRPr="00925879">
        <w:rPr>
          <w:rFonts w:ascii="Arial" w:hAnsi="Arial" w:cs="Arial"/>
          <w:b/>
          <w:sz w:val="24"/>
          <w:szCs w:val="24"/>
          <w:vertAlign w:val="subscript"/>
          <w:lang w:val="ro-RO"/>
        </w:rPr>
        <w:t>2</w:t>
      </w:r>
      <w:r w:rsidRPr="00925879">
        <w:rPr>
          <w:rFonts w:ascii="Arial" w:hAnsi="Arial" w:cs="Arial"/>
          <w:b/>
          <w:sz w:val="24"/>
          <w:szCs w:val="24"/>
          <w:lang w:val="ro-RO"/>
        </w:rPr>
        <w:t xml:space="preserve"> şi O</w:t>
      </w:r>
      <w:r w:rsidRPr="00925879">
        <w:rPr>
          <w:rFonts w:ascii="Arial" w:hAnsi="Arial" w:cs="Arial"/>
          <w:b/>
          <w:sz w:val="24"/>
          <w:szCs w:val="24"/>
          <w:vertAlign w:val="subscript"/>
          <w:lang w:val="ro-RO"/>
        </w:rPr>
        <w:t xml:space="preserve">3 </w:t>
      </w:r>
      <w:r w:rsidRPr="00925879">
        <w:rPr>
          <w:rFonts w:ascii="Arial" w:hAnsi="Arial" w:cs="Arial"/>
          <w:b/>
          <w:sz w:val="24"/>
          <w:szCs w:val="24"/>
          <w:lang w:val="ro-RO"/>
        </w:rPr>
        <w:t xml:space="preserve">în anumite aglomerări urbane </w:t>
      </w:r>
      <w:r w:rsidRPr="00925879">
        <w:rPr>
          <w:rFonts w:ascii="Arial" w:hAnsi="Arial" w:cs="Arial"/>
          <w:b/>
          <w:sz w:val="24"/>
          <w:szCs w:val="24"/>
          <w:lang w:val="ro-RO"/>
        </w:rPr>
        <w:tab/>
      </w:r>
    </w:p>
    <w:p w:rsidR="003855DA" w:rsidRPr="00F12113" w:rsidRDefault="003855DA" w:rsidP="00CC1FB9">
      <w:pPr>
        <w:widowControl w:val="0"/>
        <w:tabs>
          <w:tab w:val="num" w:pos="2215"/>
        </w:tabs>
        <w:spacing w:after="0" w:line="240" w:lineRule="auto"/>
        <w:jc w:val="both"/>
        <w:rPr>
          <w:rFonts w:ascii="Arial" w:hAnsi="Arial" w:cs="Arial"/>
          <w:b/>
          <w:sz w:val="10"/>
          <w:szCs w:val="10"/>
          <w:lang w:val="ro-RO"/>
        </w:rPr>
      </w:pPr>
    </w:p>
    <w:tbl>
      <w:tblPr>
        <w:tblStyle w:val="TableGrid"/>
        <w:tblW w:w="0" w:type="auto"/>
        <w:tblInd w:w="108" w:type="dxa"/>
        <w:tblLook w:val="04A0"/>
      </w:tblPr>
      <w:tblGrid>
        <w:gridCol w:w="9889"/>
      </w:tblGrid>
      <w:tr w:rsidR="003855DA" w:rsidRPr="00527A60" w:rsidTr="004E5E03">
        <w:tc>
          <w:tcPr>
            <w:tcW w:w="9889" w:type="dxa"/>
            <w:shd w:val="clear" w:color="auto" w:fill="B6DDE8" w:themeFill="accent5" w:themeFillTint="66"/>
          </w:tcPr>
          <w:p w:rsidR="003855DA" w:rsidRPr="00527A60" w:rsidRDefault="003855DA" w:rsidP="00CC1FB9">
            <w:pPr>
              <w:widowControl w:val="0"/>
              <w:autoSpaceDE w:val="0"/>
              <w:autoSpaceDN w:val="0"/>
              <w:adjustRightInd w:val="0"/>
              <w:spacing w:after="0" w:line="240" w:lineRule="auto"/>
              <w:rPr>
                <w:rFonts w:ascii="Arial" w:hAnsi="Arial" w:cs="Arial"/>
                <w:lang w:val="ro-RO" w:eastAsia="ro-RO"/>
              </w:rPr>
            </w:pPr>
            <w:r w:rsidRPr="00527A60">
              <w:rPr>
                <w:rFonts w:ascii="Arial" w:hAnsi="Arial" w:cs="Arial"/>
                <w:b/>
                <w:bCs/>
                <w:lang w:val="ro-RO" w:eastAsia="ro-RO"/>
              </w:rPr>
              <w:t>Cod indicator România</w:t>
            </w:r>
            <w:r w:rsidRPr="00527A60">
              <w:rPr>
                <w:rFonts w:ascii="Arial" w:hAnsi="Arial" w:cs="Arial"/>
                <w:lang w:val="ro-RO" w:eastAsia="ro-RO"/>
              </w:rPr>
              <w:t>: RO 04</w:t>
            </w:r>
          </w:p>
          <w:p w:rsidR="003855DA" w:rsidRPr="00527A60" w:rsidRDefault="003855DA" w:rsidP="00CC1FB9">
            <w:pPr>
              <w:widowControl w:val="0"/>
              <w:autoSpaceDE w:val="0"/>
              <w:autoSpaceDN w:val="0"/>
              <w:adjustRightInd w:val="0"/>
              <w:spacing w:after="0" w:line="240" w:lineRule="auto"/>
              <w:rPr>
                <w:rFonts w:ascii="Arial" w:hAnsi="Arial" w:cs="Arial"/>
                <w:lang w:val="ro-RO" w:eastAsia="ro-RO"/>
              </w:rPr>
            </w:pPr>
            <w:r w:rsidRPr="00527A60">
              <w:rPr>
                <w:rFonts w:ascii="Arial" w:hAnsi="Arial" w:cs="Arial"/>
                <w:b/>
                <w:bCs/>
                <w:lang w:val="ro-RO" w:eastAsia="ro-RO"/>
              </w:rPr>
              <w:t>Cod indicator AEM</w:t>
            </w:r>
            <w:r w:rsidRPr="00527A60">
              <w:rPr>
                <w:rFonts w:ascii="Arial" w:hAnsi="Arial" w:cs="Arial"/>
                <w:lang w:val="ro-RO" w:eastAsia="ro-RO"/>
              </w:rPr>
              <w:t>: CSI 04</w:t>
            </w:r>
          </w:p>
          <w:p w:rsidR="003855DA" w:rsidRPr="00527A60" w:rsidRDefault="003855DA" w:rsidP="00CC1FB9">
            <w:pPr>
              <w:widowControl w:val="0"/>
              <w:autoSpaceDE w:val="0"/>
              <w:autoSpaceDN w:val="0"/>
              <w:adjustRightInd w:val="0"/>
              <w:spacing w:after="0" w:line="240" w:lineRule="auto"/>
              <w:jc w:val="both"/>
              <w:rPr>
                <w:rFonts w:ascii="Arial" w:hAnsi="Arial" w:cs="Arial"/>
                <w:lang w:val="ro-RO" w:eastAsia="ro-RO"/>
              </w:rPr>
            </w:pPr>
            <w:r w:rsidRPr="00527A60">
              <w:rPr>
                <w:rFonts w:ascii="Arial" w:hAnsi="Arial" w:cs="Arial"/>
                <w:b/>
                <w:bCs/>
                <w:lang w:val="ro-RO" w:eastAsia="ro-RO"/>
              </w:rPr>
              <w:t>DENUMIRE</w:t>
            </w:r>
            <w:r w:rsidRPr="00527A60">
              <w:rPr>
                <w:rFonts w:ascii="Arial" w:hAnsi="Arial" w:cs="Arial"/>
                <w:lang w:val="ro-RO" w:eastAsia="ro-RO"/>
              </w:rPr>
              <w:t>: DEPĂŞIREA VALORILOR LIMITĂ PRIVIND CALITATEA AERULUI ÎN ZONELE URBANE</w:t>
            </w:r>
          </w:p>
          <w:p w:rsidR="003855DA" w:rsidRPr="00527A60" w:rsidRDefault="003855DA" w:rsidP="00CC1FB9">
            <w:pPr>
              <w:widowControl w:val="0"/>
              <w:autoSpaceDE w:val="0"/>
              <w:autoSpaceDN w:val="0"/>
              <w:adjustRightInd w:val="0"/>
              <w:spacing w:after="0" w:line="240" w:lineRule="auto"/>
              <w:jc w:val="both"/>
              <w:rPr>
                <w:rFonts w:ascii="Arial" w:hAnsi="Arial" w:cs="Arial"/>
                <w:sz w:val="24"/>
                <w:szCs w:val="24"/>
                <w:lang w:val="ro-RO"/>
              </w:rPr>
            </w:pPr>
            <w:r w:rsidRPr="00527A60">
              <w:rPr>
                <w:rFonts w:ascii="Arial" w:hAnsi="Arial" w:cs="Arial"/>
                <w:b/>
                <w:bCs/>
                <w:lang w:val="ro-RO" w:eastAsia="ro-RO"/>
              </w:rPr>
              <w:t>DEFINIŢIE</w:t>
            </w:r>
            <w:r w:rsidRPr="00527A60">
              <w:rPr>
                <w:rFonts w:ascii="Arial" w:hAnsi="Arial" w:cs="Arial"/>
                <w:lang w:val="ro-RO" w:eastAsia="ro-RO"/>
              </w:rPr>
              <w:t>: Procentul populaţiei urbane potenţial expusă la concentraţii de poluanţi în aerul înconjurător care depăşesc valoarea-limită pentru protecţia sănătăţii umane.</w:t>
            </w:r>
          </w:p>
        </w:tc>
      </w:tr>
    </w:tbl>
    <w:p w:rsidR="003855DA" w:rsidRPr="003855DA" w:rsidRDefault="003855DA" w:rsidP="00CC1FB9">
      <w:pPr>
        <w:widowControl w:val="0"/>
        <w:spacing w:after="0" w:line="240" w:lineRule="auto"/>
        <w:ind w:firstLine="720"/>
        <w:jc w:val="both"/>
        <w:rPr>
          <w:rFonts w:ascii="Arial" w:hAnsi="Arial" w:cs="Arial"/>
          <w:sz w:val="10"/>
          <w:szCs w:val="10"/>
          <w:lang w:val="ro-RO"/>
        </w:rPr>
      </w:pPr>
    </w:p>
    <w:p w:rsidR="006A576D" w:rsidRPr="003855DA" w:rsidRDefault="00925879" w:rsidP="00CC1FB9">
      <w:pPr>
        <w:widowControl w:val="0"/>
        <w:spacing w:after="0" w:line="240" w:lineRule="auto"/>
        <w:ind w:firstLine="720"/>
        <w:jc w:val="both"/>
        <w:rPr>
          <w:rFonts w:ascii="Arial" w:hAnsi="Arial" w:cs="Arial"/>
          <w:sz w:val="24"/>
          <w:szCs w:val="24"/>
          <w:lang w:val="ro-RO"/>
        </w:rPr>
      </w:pPr>
      <w:r w:rsidRPr="003855DA">
        <w:rPr>
          <w:rFonts w:ascii="Arial" w:hAnsi="Arial" w:cs="Arial"/>
          <w:sz w:val="24"/>
          <w:szCs w:val="24"/>
          <w:lang w:val="ro-RO"/>
        </w:rPr>
        <w:t>I</w:t>
      </w:r>
      <w:r w:rsidR="00E803FF" w:rsidRPr="003855DA">
        <w:rPr>
          <w:rFonts w:ascii="Arial" w:hAnsi="Arial" w:cs="Arial"/>
          <w:sz w:val="24"/>
          <w:szCs w:val="24"/>
          <w:lang w:val="ro-RO"/>
        </w:rPr>
        <w:t>ndicator</w:t>
      </w:r>
      <w:r w:rsidRPr="003855DA">
        <w:rPr>
          <w:rFonts w:ascii="Arial" w:hAnsi="Arial" w:cs="Arial"/>
          <w:sz w:val="24"/>
          <w:szCs w:val="24"/>
          <w:lang w:val="ro-RO"/>
        </w:rPr>
        <w:t xml:space="preserve">ul </w:t>
      </w:r>
      <w:r w:rsidR="003855DA" w:rsidRPr="003855DA">
        <w:rPr>
          <w:rFonts w:ascii="Arial" w:hAnsi="Arial" w:cs="Arial"/>
          <w:sz w:val="24"/>
          <w:szCs w:val="24"/>
          <w:lang w:val="ro-RO"/>
        </w:rPr>
        <w:t xml:space="preserve">specific de mediu utilizat pentru a descrie calitatea aerului și efectele ei asupra sănătății este indicatorul </w:t>
      </w:r>
      <w:r w:rsidRPr="003855DA">
        <w:rPr>
          <w:rFonts w:ascii="Arial" w:hAnsi="Arial" w:cs="Arial"/>
          <w:sz w:val="24"/>
          <w:szCs w:val="24"/>
          <w:lang w:val="ro-RO"/>
        </w:rPr>
        <w:t>RO</w:t>
      </w:r>
      <w:r w:rsidR="003855DA" w:rsidRPr="003855DA">
        <w:rPr>
          <w:rFonts w:ascii="Arial" w:hAnsi="Arial" w:cs="Arial"/>
          <w:sz w:val="24"/>
          <w:szCs w:val="24"/>
          <w:lang w:val="ro-RO"/>
        </w:rPr>
        <w:t xml:space="preserve"> 04, care</w:t>
      </w:r>
      <w:r w:rsidR="00E803FF" w:rsidRPr="003855DA">
        <w:rPr>
          <w:rFonts w:ascii="Arial" w:hAnsi="Arial" w:cs="Arial"/>
          <w:sz w:val="24"/>
          <w:szCs w:val="24"/>
          <w:lang w:val="ro-RO"/>
        </w:rPr>
        <w:t xml:space="preserve"> se referă la </w:t>
      </w:r>
      <w:r w:rsidR="006A576D" w:rsidRPr="003855DA">
        <w:rPr>
          <w:rFonts w:ascii="Arial" w:hAnsi="Arial" w:cs="Arial"/>
          <w:sz w:val="24"/>
          <w:szCs w:val="24"/>
          <w:lang w:val="ro-RO"/>
        </w:rPr>
        <w:t>expunerea populaţiei</w:t>
      </w:r>
      <w:r w:rsidR="00E803FF" w:rsidRPr="003855DA">
        <w:rPr>
          <w:rFonts w:ascii="Arial" w:hAnsi="Arial" w:cs="Arial"/>
          <w:sz w:val="24"/>
          <w:szCs w:val="24"/>
          <w:lang w:val="ro-RO"/>
        </w:rPr>
        <w:t xml:space="preserve"> din aglomerările</w:t>
      </w:r>
      <w:r w:rsidR="006A576D" w:rsidRPr="003855DA">
        <w:rPr>
          <w:rFonts w:ascii="Arial" w:hAnsi="Arial" w:cs="Arial"/>
          <w:sz w:val="24"/>
          <w:szCs w:val="24"/>
          <w:lang w:val="ro-RO"/>
        </w:rPr>
        <w:t xml:space="preserve"> urbane la poluarea atmosferică cauzată de</w:t>
      </w:r>
      <w:r w:rsidR="003855DA" w:rsidRPr="003855DA">
        <w:rPr>
          <w:rFonts w:ascii="Arial" w:hAnsi="Arial" w:cs="Arial"/>
          <w:sz w:val="24"/>
          <w:szCs w:val="24"/>
          <w:lang w:val="ro-RO"/>
        </w:rPr>
        <w:t xml:space="preserve"> poluanții:</w:t>
      </w:r>
      <w:r w:rsidR="006A576D" w:rsidRPr="003855DA">
        <w:rPr>
          <w:rFonts w:ascii="Arial" w:hAnsi="Arial" w:cs="Arial"/>
          <w:sz w:val="24"/>
          <w:szCs w:val="24"/>
          <w:lang w:val="ro-RO"/>
        </w:rPr>
        <w:t xml:space="preserve"> dioxid de sulf </w:t>
      </w:r>
      <w:r w:rsidR="00E803FF" w:rsidRPr="003855DA">
        <w:rPr>
          <w:rFonts w:ascii="Arial" w:hAnsi="Arial" w:cs="Arial"/>
          <w:sz w:val="24"/>
          <w:szCs w:val="24"/>
          <w:lang w:val="ro-RO"/>
        </w:rPr>
        <w:t>(</w:t>
      </w:r>
      <w:r w:rsidR="006A576D" w:rsidRPr="003855DA">
        <w:rPr>
          <w:rFonts w:ascii="Arial" w:hAnsi="Arial" w:cs="Arial"/>
          <w:sz w:val="24"/>
          <w:szCs w:val="24"/>
          <w:lang w:val="ro-RO"/>
        </w:rPr>
        <w:t>SO</w:t>
      </w:r>
      <w:r w:rsidR="006A576D" w:rsidRPr="003855DA">
        <w:rPr>
          <w:rFonts w:ascii="Arial" w:hAnsi="Arial" w:cs="Arial"/>
          <w:sz w:val="24"/>
          <w:szCs w:val="24"/>
          <w:vertAlign w:val="subscript"/>
          <w:lang w:val="ro-RO"/>
        </w:rPr>
        <w:t>2</w:t>
      </w:r>
      <w:r w:rsidR="006A576D" w:rsidRPr="003855DA">
        <w:rPr>
          <w:rFonts w:ascii="Arial" w:hAnsi="Arial" w:cs="Arial"/>
          <w:sz w:val="24"/>
          <w:szCs w:val="24"/>
          <w:lang w:val="ro-RO"/>
        </w:rPr>
        <w:t>), particule în suspensie (PM</w:t>
      </w:r>
      <w:r w:rsidR="00CC75BB">
        <w:rPr>
          <w:rFonts w:ascii="Arial" w:hAnsi="Arial" w:cs="Arial"/>
          <w:sz w:val="24"/>
          <w:szCs w:val="24"/>
          <w:lang w:val="ro-RO"/>
        </w:rPr>
        <w:t>10 și PM2,5</w:t>
      </w:r>
      <w:r w:rsidR="006A576D" w:rsidRPr="003855DA">
        <w:rPr>
          <w:rFonts w:ascii="Arial" w:hAnsi="Arial" w:cs="Arial"/>
          <w:sz w:val="24"/>
          <w:szCs w:val="24"/>
          <w:lang w:val="ro-RO"/>
        </w:rPr>
        <w:t>), oxizi de azot (NO</w:t>
      </w:r>
      <w:r w:rsidR="006A576D" w:rsidRPr="003855DA">
        <w:rPr>
          <w:rFonts w:ascii="Arial" w:hAnsi="Arial" w:cs="Arial"/>
          <w:sz w:val="24"/>
          <w:szCs w:val="24"/>
          <w:vertAlign w:val="subscript"/>
          <w:lang w:val="ro-RO"/>
        </w:rPr>
        <w:t>x</w:t>
      </w:r>
      <w:r w:rsidR="006A576D" w:rsidRPr="003855DA">
        <w:rPr>
          <w:rFonts w:ascii="Arial" w:hAnsi="Arial" w:cs="Arial"/>
          <w:sz w:val="24"/>
          <w:szCs w:val="24"/>
          <w:lang w:val="ro-RO"/>
        </w:rPr>
        <w:t>) şi ozon troposferic (O</w:t>
      </w:r>
      <w:r w:rsidR="006A576D" w:rsidRPr="003855DA">
        <w:rPr>
          <w:rFonts w:ascii="Arial" w:hAnsi="Arial" w:cs="Arial"/>
          <w:sz w:val="24"/>
          <w:szCs w:val="24"/>
          <w:vertAlign w:val="subscript"/>
          <w:lang w:val="ro-RO"/>
        </w:rPr>
        <w:t>3</w:t>
      </w:r>
      <w:r w:rsidR="003855DA" w:rsidRPr="003855DA">
        <w:rPr>
          <w:rFonts w:ascii="Arial" w:hAnsi="Arial" w:cs="Arial"/>
          <w:sz w:val="24"/>
          <w:szCs w:val="24"/>
          <w:lang w:val="ro-RO"/>
        </w:rPr>
        <w:t>)</w:t>
      </w:r>
      <w:r w:rsidR="006A576D" w:rsidRPr="003855DA">
        <w:rPr>
          <w:rFonts w:ascii="Arial" w:hAnsi="Arial" w:cs="Arial"/>
          <w:sz w:val="24"/>
          <w:szCs w:val="24"/>
          <w:lang w:val="ro-RO"/>
        </w:rPr>
        <w:t>.</w:t>
      </w:r>
    </w:p>
    <w:p w:rsidR="00CC75BB" w:rsidRPr="00CC75BB" w:rsidRDefault="00445B61" w:rsidP="00CC1FB9">
      <w:pPr>
        <w:widowControl w:val="0"/>
        <w:spacing w:after="0" w:line="240" w:lineRule="auto"/>
        <w:ind w:firstLine="720"/>
        <w:jc w:val="both"/>
        <w:rPr>
          <w:rFonts w:ascii="Arial" w:hAnsi="Arial" w:cs="Arial"/>
          <w:b/>
          <w:sz w:val="24"/>
          <w:szCs w:val="24"/>
          <w:lang w:val="ro-RO"/>
        </w:rPr>
      </w:pPr>
      <w:r w:rsidRPr="003855DA">
        <w:rPr>
          <w:rFonts w:ascii="Arial" w:hAnsi="Arial" w:cs="Arial"/>
          <w:sz w:val="24"/>
          <w:szCs w:val="24"/>
          <w:lang w:val="ro-RO"/>
        </w:rPr>
        <w:t>Din datele</w:t>
      </w:r>
      <w:r w:rsidR="00896090" w:rsidRPr="003855DA">
        <w:rPr>
          <w:rFonts w:ascii="Arial" w:hAnsi="Arial" w:cs="Arial"/>
          <w:sz w:val="24"/>
          <w:szCs w:val="24"/>
          <w:lang w:val="ro-RO"/>
        </w:rPr>
        <w:t xml:space="preserve"> referitoare la calitatea aerului </w:t>
      </w:r>
      <w:r w:rsidR="006B3279" w:rsidRPr="003855DA">
        <w:rPr>
          <w:rFonts w:ascii="Arial" w:hAnsi="Arial" w:cs="Arial"/>
          <w:sz w:val="24"/>
          <w:szCs w:val="24"/>
          <w:lang w:val="ro-RO"/>
        </w:rPr>
        <w:t>în judeţul Suceava</w:t>
      </w:r>
      <w:r w:rsidR="003855DA">
        <w:rPr>
          <w:rFonts w:ascii="Arial" w:hAnsi="Arial" w:cs="Arial"/>
          <w:sz w:val="24"/>
          <w:szCs w:val="24"/>
          <w:lang w:val="ro-RO"/>
        </w:rPr>
        <w:t>,</w:t>
      </w:r>
      <w:r w:rsidRPr="003855DA">
        <w:rPr>
          <w:rFonts w:ascii="Arial" w:hAnsi="Arial" w:cs="Arial"/>
          <w:sz w:val="24"/>
          <w:szCs w:val="24"/>
          <w:lang w:val="ro-RO"/>
        </w:rPr>
        <w:t xml:space="preserve"> </w:t>
      </w:r>
      <w:r w:rsidR="00896090" w:rsidRPr="003855DA">
        <w:rPr>
          <w:rFonts w:ascii="Arial" w:hAnsi="Arial" w:cs="Arial"/>
          <w:sz w:val="24"/>
          <w:szCs w:val="24"/>
          <w:lang w:val="ro-RO"/>
        </w:rPr>
        <w:t xml:space="preserve">prezentate la cap. I din </w:t>
      </w:r>
      <w:r w:rsidR="00CB6BD2" w:rsidRPr="003855DA">
        <w:rPr>
          <w:rFonts w:ascii="Arial" w:hAnsi="Arial" w:cs="Arial"/>
          <w:sz w:val="24"/>
          <w:szCs w:val="24"/>
          <w:lang w:val="ro-RO"/>
        </w:rPr>
        <w:t xml:space="preserve">prezentul </w:t>
      </w:r>
      <w:r w:rsidR="00896090" w:rsidRPr="003855DA">
        <w:rPr>
          <w:rFonts w:ascii="Arial" w:hAnsi="Arial" w:cs="Arial"/>
          <w:sz w:val="24"/>
          <w:szCs w:val="24"/>
          <w:lang w:val="ro-RO"/>
        </w:rPr>
        <w:t>raport</w:t>
      </w:r>
      <w:r w:rsidRPr="003855DA">
        <w:rPr>
          <w:rFonts w:ascii="Arial" w:hAnsi="Arial" w:cs="Arial"/>
          <w:sz w:val="24"/>
          <w:szCs w:val="24"/>
          <w:lang w:val="ro-RO"/>
        </w:rPr>
        <w:t>, rezultă că populaţia nu a fost expusă în anul 201</w:t>
      </w:r>
      <w:r w:rsidR="003855DA" w:rsidRPr="003855DA">
        <w:rPr>
          <w:rFonts w:ascii="Arial" w:hAnsi="Arial" w:cs="Arial"/>
          <w:sz w:val="24"/>
          <w:szCs w:val="24"/>
          <w:lang w:val="ro-RO"/>
        </w:rPr>
        <w:t>7</w:t>
      </w:r>
      <w:r w:rsidRPr="003855DA">
        <w:rPr>
          <w:rFonts w:ascii="Arial" w:hAnsi="Arial" w:cs="Arial"/>
          <w:sz w:val="24"/>
          <w:szCs w:val="24"/>
          <w:lang w:val="ro-RO"/>
        </w:rPr>
        <w:t xml:space="preserve"> la depăşiri ale concentraţiei medii anuale de PM10, NO</w:t>
      </w:r>
      <w:r w:rsidRPr="003855DA">
        <w:rPr>
          <w:rFonts w:ascii="Arial" w:hAnsi="Arial" w:cs="Arial"/>
          <w:sz w:val="24"/>
          <w:szCs w:val="24"/>
          <w:vertAlign w:val="subscript"/>
          <w:lang w:val="ro-RO"/>
        </w:rPr>
        <w:t>2</w:t>
      </w:r>
      <w:r w:rsidRPr="003855DA">
        <w:rPr>
          <w:rFonts w:ascii="Arial" w:hAnsi="Arial" w:cs="Arial"/>
          <w:sz w:val="24"/>
          <w:szCs w:val="24"/>
          <w:lang w:val="ro-RO"/>
        </w:rPr>
        <w:t>, SO</w:t>
      </w:r>
      <w:r w:rsidRPr="003855DA">
        <w:rPr>
          <w:rFonts w:ascii="Arial" w:hAnsi="Arial" w:cs="Arial"/>
          <w:sz w:val="24"/>
          <w:szCs w:val="24"/>
          <w:vertAlign w:val="subscript"/>
          <w:lang w:val="ro-RO"/>
        </w:rPr>
        <w:t>2</w:t>
      </w:r>
      <w:r w:rsidRPr="003855DA">
        <w:rPr>
          <w:rFonts w:ascii="Arial" w:hAnsi="Arial" w:cs="Arial"/>
          <w:sz w:val="24"/>
          <w:szCs w:val="24"/>
          <w:lang w:val="ro-RO"/>
        </w:rPr>
        <w:t xml:space="preserve"> şi O</w:t>
      </w:r>
      <w:r w:rsidRPr="003855DA">
        <w:rPr>
          <w:rFonts w:ascii="Arial" w:hAnsi="Arial" w:cs="Arial"/>
          <w:sz w:val="24"/>
          <w:szCs w:val="24"/>
          <w:vertAlign w:val="subscript"/>
          <w:lang w:val="ro-RO"/>
        </w:rPr>
        <w:t>3</w:t>
      </w:r>
      <w:r w:rsidR="00896090" w:rsidRPr="003855DA">
        <w:rPr>
          <w:rFonts w:ascii="Arial" w:hAnsi="Arial" w:cs="Arial"/>
          <w:sz w:val="24"/>
          <w:szCs w:val="24"/>
          <w:lang w:val="ro-RO"/>
        </w:rPr>
        <w:t>.</w:t>
      </w:r>
      <w:r w:rsidR="003855DA">
        <w:rPr>
          <w:rFonts w:ascii="Arial" w:hAnsi="Arial" w:cs="Arial"/>
          <w:sz w:val="24"/>
          <w:szCs w:val="24"/>
          <w:lang w:val="ro-RO"/>
        </w:rPr>
        <w:t xml:space="preserve"> Singurul poluant la care </w:t>
      </w:r>
      <w:r w:rsidR="00C96FF3">
        <w:rPr>
          <w:rFonts w:ascii="Arial" w:hAnsi="Arial" w:cs="Arial"/>
          <w:sz w:val="24"/>
          <w:szCs w:val="24"/>
          <w:lang w:val="ro-RO"/>
        </w:rPr>
        <w:t>au fost înregistrate</w:t>
      </w:r>
      <w:r w:rsidR="003855DA">
        <w:rPr>
          <w:rFonts w:ascii="Arial" w:hAnsi="Arial" w:cs="Arial"/>
          <w:sz w:val="24"/>
          <w:szCs w:val="24"/>
          <w:lang w:val="ro-RO"/>
        </w:rPr>
        <w:t xml:space="preserve"> </w:t>
      </w:r>
      <w:r w:rsidR="00CC75BB" w:rsidRPr="00CC75BB">
        <w:rPr>
          <w:rFonts w:ascii="Arial" w:hAnsi="Arial" w:cs="Arial"/>
          <w:sz w:val="24"/>
          <w:szCs w:val="24"/>
          <w:lang w:val="ro-RO"/>
        </w:rPr>
        <w:t>unele depășiri ale valorii limită zilnice (</w:t>
      </w:r>
      <w:r w:rsidR="00CC75BB" w:rsidRPr="00CC75BB">
        <w:rPr>
          <w:rFonts w:ascii="Arial" w:hAnsi="Arial" w:cs="Arial"/>
          <w:color w:val="000000"/>
          <w:sz w:val="24"/>
          <w:szCs w:val="24"/>
          <w:lang w:val="ro-RO" w:eastAsia="ro-RO"/>
        </w:rPr>
        <w:t>50 μg/m</w:t>
      </w:r>
      <w:r w:rsidR="00CC75BB" w:rsidRPr="00CC75BB">
        <w:rPr>
          <w:rFonts w:ascii="Arial" w:hAnsi="Arial" w:cs="Arial"/>
          <w:color w:val="000000"/>
          <w:sz w:val="24"/>
          <w:szCs w:val="24"/>
          <w:vertAlign w:val="superscript"/>
          <w:lang w:val="ro-RO" w:eastAsia="ro-RO"/>
        </w:rPr>
        <w:t>3</w:t>
      </w:r>
      <w:r w:rsidR="00CC75BB" w:rsidRPr="00CC75BB">
        <w:rPr>
          <w:rFonts w:ascii="Arial" w:hAnsi="Arial" w:cs="Arial"/>
          <w:color w:val="000000"/>
          <w:sz w:val="24"/>
          <w:szCs w:val="24"/>
          <w:lang w:val="ro-RO" w:eastAsia="ro-RO"/>
        </w:rPr>
        <w:t>,</w:t>
      </w:r>
      <w:r w:rsidR="00CC75BB" w:rsidRPr="00CC75BB">
        <w:rPr>
          <w:rFonts w:ascii="Arial" w:hAnsi="Arial" w:cs="Arial"/>
          <w:i/>
          <w:color w:val="000000"/>
          <w:sz w:val="24"/>
          <w:szCs w:val="24"/>
          <w:lang w:val="ro-RO" w:eastAsia="ro-RO"/>
        </w:rPr>
        <w:t xml:space="preserve"> a nu se depăşi mai mult de 35 de ori într-un an calendaristic</w:t>
      </w:r>
      <w:r w:rsidR="00CC75BB">
        <w:rPr>
          <w:rFonts w:ascii="Arial" w:hAnsi="Arial" w:cs="Arial"/>
          <w:color w:val="000000"/>
          <w:sz w:val="24"/>
          <w:szCs w:val="24"/>
          <w:lang w:val="ro-RO" w:eastAsia="ro-RO"/>
        </w:rPr>
        <w:t xml:space="preserve">), a fost PM10, dar </w:t>
      </w:r>
      <w:r w:rsidR="00CC75BB">
        <w:rPr>
          <w:rFonts w:ascii="Arial" w:hAnsi="Arial" w:cs="Arial"/>
          <w:sz w:val="24"/>
          <w:szCs w:val="24"/>
          <w:lang w:val="ro-RO"/>
        </w:rPr>
        <w:t>numărul depășirilor a fost sub numărul maxim admis de depăşiri/an la stați</w:t>
      </w:r>
      <w:r w:rsidR="00C96FF3">
        <w:rPr>
          <w:rFonts w:ascii="Arial" w:hAnsi="Arial" w:cs="Arial"/>
          <w:sz w:val="24"/>
          <w:szCs w:val="24"/>
          <w:lang w:val="ro-RO"/>
        </w:rPr>
        <w:t>il</w:t>
      </w:r>
      <w:r w:rsidR="00CC75BB">
        <w:rPr>
          <w:rFonts w:ascii="Arial" w:hAnsi="Arial" w:cs="Arial"/>
          <w:sz w:val="24"/>
          <w:szCs w:val="24"/>
          <w:lang w:val="ro-RO"/>
        </w:rPr>
        <w:t>e în care s-a monitorizat PM10 în anul 2017</w:t>
      </w:r>
      <w:r w:rsidR="00CC75BB" w:rsidRPr="00CC75BB">
        <w:rPr>
          <w:rFonts w:ascii="Arial" w:hAnsi="Arial" w:cs="Arial"/>
          <w:sz w:val="24"/>
          <w:szCs w:val="24"/>
          <w:lang w:val="ro-RO"/>
        </w:rPr>
        <w:t xml:space="preserve"> </w:t>
      </w:r>
      <w:r w:rsidR="00CC75BB">
        <w:rPr>
          <w:rFonts w:ascii="Arial" w:hAnsi="Arial" w:cs="Arial"/>
          <w:sz w:val="24"/>
          <w:szCs w:val="24"/>
          <w:lang w:val="ro-RO"/>
        </w:rPr>
        <w:t xml:space="preserve">(SV1 și SV2), prin urmare </w:t>
      </w:r>
      <w:r w:rsidR="00CC75BB" w:rsidRPr="00DF4B1A">
        <w:rPr>
          <w:rFonts w:ascii="Arial" w:hAnsi="Arial" w:cs="Arial"/>
          <w:b/>
          <w:sz w:val="24"/>
          <w:szCs w:val="24"/>
          <w:lang w:val="ro-RO"/>
        </w:rPr>
        <w:t xml:space="preserve">nu </w:t>
      </w:r>
      <w:r w:rsidR="00C96FF3">
        <w:rPr>
          <w:rFonts w:ascii="Arial" w:hAnsi="Arial" w:cs="Arial"/>
          <w:b/>
          <w:sz w:val="24"/>
          <w:szCs w:val="24"/>
          <w:lang w:val="ro-RO"/>
        </w:rPr>
        <w:t>a</w:t>
      </w:r>
      <w:r w:rsidR="00CC75BB" w:rsidRPr="00DF4B1A">
        <w:rPr>
          <w:rFonts w:ascii="Arial" w:hAnsi="Arial" w:cs="Arial"/>
          <w:b/>
          <w:sz w:val="24"/>
          <w:szCs w:val="24"/>
          <w:lang w:val="ro-RO"/>
        </w:rPr>
        <w:t xml:space="preserve"> </w:t>
      </w:r>
      <w:r w:rsidR="00C96FF3">
        <w:rPr>
          <w:rFonts w:ascii="Arial" w:hAnsi="Arial" w:cs="Arial"/>
          <w:b/>
          <w:sz w:val="24"/>
          <w:szCs w:val="24"/>
          <w:lang w:val="ro-RO"/>
        </w:rPr>
        <w:t xml:space="preserve">fost </w:t>
      </w:r>
      <w:r w:rsidR="00CC75BB" w:rsidRPr="00DF4B1A">
        <w:rPr>
          <w:rFonts w:ascii="Arial" w:hAnsi="Arial" w:cs="Arial"/>
          <w:b/>
          <w:sz w:val="24"/>
          <w:szCs w:val="24"/>
          <w:lang w:val="ro-RO"/>
        </w:rPr>
        <w:t>depășit</w:t>
      </w:r>
      <w:r w:rsidR="00C96FF3">
        <w:rPr>
          <w:rFonts w:ascii="Arial" w:hAnsi="Arial" w:cs="Arial"/>
          <w:b/>
          <w:sz w:val="24"/>
          <w:szCs w:val="24"/>
          <w:lang w:val="ro-RO"/>
        </w:rPr>
        <w:t>ă</w:t>
      </w:r>
      <w:r w:rsidR="00CC75BB" w:rsidRPr="00DF4B1A">
        <w:rPr>
          <w:rFonts w:ascii="Arial" w:hAnsi="Arial" w:cs="Arial"/>
          <w:b/>
          <w:sz w:val="24"/>
          <w:szCs w:val="24"/>
          <w:lang w:val="ro-RO"/>
        </w:rPr>
        <w:t xml:space="preserve"> valoarea limită zilnică </w:t>
      </w:r>
      <w:r w:rsidR="00CC75BB" w:rsidRPr="002D344E">
        <w:rPr>
          <w:rFonts w:ascii="Arial" w:hAnsi="Arial" w:cs="Arial"/>
          <w:b/>
          <w:sz w:val="24"/>
          <w:szCs w:val="24"/>
          <w:lang w:val="ro-RO"/>
        </w:rPr>
        <w:t>pentru protecția sănătății umane</w:t>
      </w:r>
      <w:r w:rsidR="00C96FF3">
        <w:rPr>
          <w:rFonts w:ascii="Arial" w:hAnsi="Arial" w:cs="Arial"/>
          <w:b/>
          <w:sz w:val="24"/>
          <w:szCs w:val="24"/>
          <w:lang w:val="ro-RO"/>
        </w:rPr>
        <w:t xml:space="preserve"> la PM10</w:t>
      </w:r>
      <w:r w:rsidR="00C96FF3">
        <w:rPr>
          <w:rFonts w:ascii="Arial" w:hAnsi="Arial" w:cs="Arial"/>
          <w:sz w:val="24"/>
          <w:szCs w:val="24"/>
          <w:lang w:val="ro-RO"/>
        </w:rPr>
        <w:t xml:space="preserve"> (vezi și pct. </w:t>
      </w:r>
      <w:r w:rsidR="00C96FF3" w:rsidRPr="00C96FF3">
        <w:rPr>
          <w:rFonts w:ascii="Arial" w:hAnsi="Arial" w:cs="Arial"/>
          <w:sz w:val="24"/>
          <w:szCs w:val="24"/>
          <w:lang w:val="ro-RO"/>
        </w:rPr>
        <w:t>I.1.1.3)</w:t>
      </w:r>
      <w:r w:rsidR="00C96FF3">
        <w:rPr>
          <w:rFonts w:ascii="Arial" w:hAnsi="Arial" w:cs="Arial"/>
          <w:sz w:val="24"/>
          <w:szCs w:val="24"/>
          <w:lang w:val="ro-RO"/>
        </w:rPr>
        <w:t>.</w:t>
      </w:r>
      <w:r w:rsidR="00CC75BB">
        <w:rPr>
          <w:rFonts w:ascii="Arial" w:hAnsi="Arial" w:cs="Arial"/>
          <w:sz w:val="24"/>
          <w:szCs w:val="24"/>
          <w:lang w:val="ro-RO"/>
        </w:rPr>
        <w:t xml:space="preserve"> </w:t>
      </w:r>
    </w:p>
    <w:p w:rsidR="00A07B51" w:rsidRPr="00F12113" w:rsidRDefault="00A07B51" w:rsidP="00CC1FB9">
      <w:pPr>
        <w:widowControl w:val="0"/>
        <w:spacing w:after="0" w:line="240" w:lineRule="auto"/>
        <w:rPr>
          <w:rFonts w:ascii="Arial" w:hAnsi="Arial" w:cs="Arial"/>
          <w:color w:val="FF0000"/>
          <w:sz w:val="16"/>
          <w:szCs w:val="16"/>
          <w:lang w:val="ro-RO"/>
        </w:rPr>
      </w:pPr>
    </w:p>
    <w:p w:rsidR="006A576D" w:rsidRPr="002114B1" w:rsidRDefault="006A576D" w:rsidP="00CC1FB9">
      <w:pPr>
        <w:widowControl w:val="0"/>
        <w:spacing w:after="0" w:line="240" w:lineRule="auto"/>
        <w:rPr>
          <w:rFonts w:ascii="Arial" w:hAnsi="Arial" w:cs="Arial"/>
          <w:b/>
          <w:i/>
          <w:sz w:val="24"/>
          <w:szCs w:val="24"/>
          <w:lang w:val="ro-RO"/>
        </w:rPr>
      </w:pPr>
      <w:r w:rsidRPr="002114B1">
        <w:rPr>
          <w:rFonts w:ascii="Arial" w:hAnsi="Arial" w:cs="Arial"/>
          <w:b/>
          <w:i/>
          <w:sz w:val="24"/>
          <w:szCs w:val="24"/>
          <w:lang w:val="ro-RO"/>
        </w:rPr>
        <w:t>VIII.1.2. Poluarea fonică şi efectele asupra sănătăţii şi calităţii vieţii</w:t>
      </w:r>
    </w:p>
    <w:p w:rsidR="006A576D" w:rsidRPr="00F12113" w:rsidRDefault="006A576D" w:rsidP="00CC1FB9">
      <w:pPr>
        <w:widowControl w:val="0"/>
        <w:spacing w:after="0" w:line="240" w:lineRule="auto"/>
        <w:rPr>
          <w:rFonts w:ascii="Arial" w:hAnsi="Arial" w:cs="Arial"/>
          <w:color w:val="FF0000"/>
          <w:sz w:val="12"/>
          <w:szCs w:val="12"/>
          <w:lang w:val="ro-RO"/>
        </w:rPr>
      </w:pPr>
    </w:p>
    <w:p w:rsidR="00AD3C5B" w:rsidRPr="00AD3C5B" w:rsidRDefault="002114B1" w:rsidP="00CC1FB9">
      <w:pPr>
        <w:widowControl w:val="0"/>
        <w:spacing w:after="0" w:line="240" w:lineRule="auto"/>
        <w:ind w:firstLine="720"/>
        <w:jc w:val="both"/>
        <w:rPr>
          <w:rFonts w:ascii="Arial" w:hAnsi="Arial" w:cs="Arial"/>
          <w:sz w:val="24"/>
          <w:szCs w:val="24"/>
          <w:lang w:val="ro-RO"/>
        </w:rPr>
      </w:pPr>
      <w:r w:rsidRPr="002114B1">
        <w:rPr>
          <w:rFonts w:ascii="Arial" w:hAnsi="Arial" w:cs="Arial"/>
          <w:sz w:val="24"/>
          <w:szCs w:val="24"/>
          <w:lang w:val="ro-RO"/>
        </w:rPr>
        <w:t>În societatea modernă, om</w:t>
      </w:r>
      <w:r w:rsidR="00AD3C5B" w:rsidRPr="002114B1">
        <w:rPr>
          <w:rFonts w:ascii="Arial" w:hAnsi="Arial" w:cs="Arial"/>
          <w:sz w:val="24"/>
          <w:szCs w:val="24"/>
          <w:lang w:val="ro-RO"/>
        </w:rPr>
        <w:t>ul</w:t>
      </w:r>
      <w:r w:rsidRPr="002114B1">
        <w:rPr>
          <w:rFonts w:ascii="Arial" w:hAnsi="Arial" w:cs="Arial"/>
          <w:sz w:val="24"/>
          <w:szCs w:val="24"/>
          <w:lang w:val="ro-RO"/>
        </w:rPr>
        <w:t xml:space="preserve"> </w:t>
      </w:r>
      <w:r w:rsidR="00AD3C5B" w:rsidRPr="002114B1">
        <w:rPr>
          <w:rFonts w:ascii="Arial" w:hAnsi="Arial" w:cs="Arial"/>
          <w:sz w:val="24"/>
          <w:szCs w:val="24"/>
          <w:lang w:val="ro-RO"/>
        </w:rPr>
        <w:t xml:space="preserve">este </w:t>
      </w:r>
      <w:r w:rsidRPr="002114B1">
        <w:rPr>
          <w:rFonts w:ascii="Arial" w:hAnsi="Arial" w:cs="Arial"/>
          <w:sz w:val="24"/>
          <w:szCs w:val="24"/>
          <w:lang w:val="ro-RO"/>
        </w:rPr>
        <w:t>înconjurat</w:t>
      </w:r>
      <w:r w:rsidR="00AD3C5B" w:rsidRPr="002114B1">
        <w:rPr>
          <w:rFonts w:ascii="Arial" w:hAnsi="Arial" w:cs="Arial"/>
          <w:sz w:val="24"/>
          <w:szCs w:val="24"/>
          <w:lang w:val="ro-RO"/>
        </w:rPr>
        <w:t xml:space="preserve"> peste tot de zgomote cu cele mai diferite intensități</w:t>
      </w:r>
      <w:r w:rsidRPr="002114B1">
        <w:rPr>
          <w:rFonts w:ascii="Arial" w:hAnsi="Arial" w:cs="Arial"/>
          <w:sz w:val="24"/>
          <w:szCs w:val="24"/>
          <w:lang w:val="ro-RO"/>
        </w:rPr>
        <w:t>,</w:t>
      </w:r>
      <w:r w:rsidR="00AD3C5B" w:rsidRPr="002114B1">
        <w:rPr>
          <w:rFonts w:ascii="Arial" w:hAnsi="Arial" w:cs="Arial"/>
          <w:sz w:val="24"/>
          <w:szCs w:val="24"/>
          <w:lang w:val="ro-RO"/>
        </w:rPr>
        <w:t xml:space="preserve"> care au efecte mai mult sau mai puțin agresive asupra confortului și chiar asupra sanătății sale, expunerea la zgomot putând produce </w:t>
      </w:r>
      <w:r w:rsidRPr="002114B1">
        <w:rPr>
          <w:rFonts w:ascii="Arial" w:hAnsi="Arial" w:cs="Arial"/>
          <w:sz w:val="24"/>
          <w:szCs w:val="24"/>
          <w:lang w:val="ro-RO"/>
        </w:rPr>
        <w:t xml:space="preserve">efecte precum: </w:t>
      </w:r>
      <w:r w:rsidR="00AD3C5B" w:rsidRPr="002114B1">
        <w:rPr>
          <w:rFonts w:ascii="Arial" w:hAnsi="Arial" w:cs="Arial"/>
          <w:sz w:val="24"/>
          <w:szCs w:val="24"/>
          <w:lang w:val="ro-RO"/>
        </w:rPr>
        <w:t>tulburări auditive (surditate, hipoacuzie), tulburări neuro-psihice, boli cardio-vasculare, tulburări ale glandelor endocrine</w:t>
      </w:r>
      <w:r>
        <w:rPr>
          <w:rFonts w:ascii="Arial" w:hAnsi="Arial" w:cs="Arial"/>
          <w:sz w:val="24"/>
          <w:szCs w:val="24"/>
          <w:lang w:val="ro-RO"/>
        </w:rPr>
        <w:t>.</w:t>
      </w:r>
      <w:r w:rsidRPr="002114B1">
        <w:rPr>
          <w:rFonts w:ascii="Arial" w:hAnsi="Arial" w:cs="Arial"/>
          <w:sz w:val="24"/>
          <w:szCs w:val="24"/>
          <w:vertAlign w:val="superscript"/>
          <w:lang w:val="ro-RO"/>
        </w:rPr>
        <w:t>1</w:t>
      </w:r>
    </w:p>
    <w:p w:rsidR="006A576D" w:rsidRPr="002114B1" w:rsidRDefault="006A576D" w:rsidP="00CC1FB9">
      <w:pPr>
        <w:widowControl w:val="0"/>
        <w:spacing w:after="0" w:line="240" w:lineRule="auto"/>
        <w:ind w:firstLine="720"/>
        <w:jc w:val="both"/>
        <w:rPr>
          <w:rFonts w:ascii="Arial" w:eastAsiaTheme="minorEastAsia" w:hAnsi="Arial" w:cs="Arial"/>
          <w:sz w:val="24"/>
          <w:szCs w:val="24"/>
          <w:lang w:val="ro-RO" w:eastAsia="ro-RO"/>
        </w:rPr>
      </w:pPr>
      <w:r w:rsidRPr="002114B1">
        <w:rPr>
          <w:rFonts w:ascii="Arial" w:eastAsiaTheme="minorEastAsia" w:hAnsi="Arial" w:cs="Arial"/>
          <w:sz w:val="24"/>
          <w:szCs w:val="24"/>
          <w:lang w:val="ro-RO" w:eastAsia="ro-RO"/>
        </w:rPr>
        <w:t xml:space="preserve">Disconfortul acustic este accentuat mai ales în </w:t>
      </w:r>
      <w:r w:rsidR="00B60AB4">
        <w:rPr>
          <w:rFonts w:ascii="Arial" w:eastAsiaTheme="minorEastAsia" w:hAnsi="Arial" w:cs="Arial"/>
          <w:sz w:val="24"/>
          <w:szCs w:val="24"/>
          <w:lang w:val="ro-RO" w:eastAsia="ro-RO"/>
        </w:rPr>
        <w:t xml:space="preserve">mediul urban, în principal în </w:t>
      </w:r>
      <w:r w:rsidRPr="002114B1">
        <w:rPr>
          <w:rFonts w:ascii="Arial" w:eastAsiaTheme="minorEastAsia" w:hAnsi="Arial" w:cs="Arial"/>
          <w:sz w:val="24"/>
          <w:szCs w:val="24"/>
          <w:lang w:val="ro-RO" w:eastAsia="ro-RO"/>
        </w:rPr>
        <w:t>zonele adiacente arterelor de circulaţie</w:t>
      </w:r>
      <w:r w:rsidR="002114B1" w:rsidRPr="002114B1">
        <w:rPr>
          <w:rFonts w:ascii="Arial" w:eastAsiaTheme="minorEastAsia" w:hAnsi="Arial" w:cs="Arial"/>
          <w:sz w:val="24"/>
          <w:szCs w:val="24"/>
          <w:lang w:val="ro-RO" w:eastAsia="ro-RO"/>
        </w:rPr>
        <w:t xml:space="preserve"> </w:t>
      </w:r>
      <w:r w:rsidR="002114B1">
        <w:rPr>
          <w:rFonts w:ascii="Arial" w:eastAsiaTheme="minorEastAsia" w:hAnsi="Arial" w:cs="Arial"/>
          <w:sz w:val="24"/>
          <w:szCs w:val="24"/>
          <w:lang w:val="ro-RO" w:eastAsia="ro-RO"/>
        </w:rPr>
        <w:t xml:space="preserve">rutieră </w:t>
      </w:r>
      <w:r w:rsidR="002114B1" w:rsidRPr="002114B1">
        <w:rPr>
          <w:rFonts w:ascii="Arial" w:eastAsiaTheme="minorEastAsia" w:hAnsi="Arial" w:cs="Arial"/>
          <w:sz w:val="24"/>
          <w:szCs w:val="24"/>
          <w:lang w:val="ro-RO" w:eastAsia="ro-RO"/>
        </w:rPr>
        <w:t>cu trafic intens</w:t>
      </w:r>
      <w:r w:rsidR="00B60AB4">
        <w:rPr>
          <w:rFonts w:ascii="Arial" w:eastAsiaTheme="minorEastAsia" w:hAnsi="Arial" w:cs="Arial"/>
          <w:sz w:val="24"/>
          <w:szCs w:val="24"/>
          <w:lang w:val="ro-RO" w:eastAsia="ro-RO"/>
        </w:rPr>
        <w:t xml:space="preserve"> şi </w:t>
      </w:r>
      <w:r w:rsidRPr="002114B1">
        <w:rPr>
          <w:rFonts w:ascii="Arial" w:eastAsiaTheme="minorEastAsia" w:hAnsi="Arial" w:cs="Arial"/>
          <w:sz w:val="24"/>
          <w:szCs w:val="24"/>
          <w:lang w:val="ro-RO" w:eastAsia="ro-RO"/>
        </w:rPr>
        <w:t xml:space="preserve">unor activităţi </w:t>
      </w:r>
      <w:r w:rsidR="002114B1" w:rsidRPr="002114B1">
        <w:rPr>
          <w:rFonts w:ascii="Arial" w:eastAsiaTheme="minorEastAsia" w:hAnsi="Arial" w:cs="Arial"/>
          <w:sz w:val="24"/>
          <w:szCs w:val="24"/>
          <w:lang w:val="ro-RO" w:eastAsia="ro-RO"/>
        </w:rPr>
        <w:t xml:space="preserve">economico-sociale reprezentând surse </w:t>
      </w:r>
      <w:r w:rsidR="002114B1">
        <w:rPr>
          <w:rFonts w:ascii="Arial" w:eastAsiaTheme="minorEastAsia" w:hAnsi="Arial" w:cs="Arial"/>
          <w:sz w:val="24"/>
          <w:szCs w:val="24"/>
          <w:lang w:val="ro-RO" w:eastAsia="ro-RO"/>
        </w:rPr>
        <w:t xml:space="preserve">importante </w:t>
      </w:r>
      <w:r w:rsidR="002114B1" w:rsidRPr="002114B1">
        <w:rPr>
          <w:rFonts w:ascii="Arial" w:eastAsiaTheme="minorEastAsia" w:hAnsi="Arial" w:cs="Arial"/>
          <w:sz w:val="24"/>
          <w:szCs w:val="24"/>
          <w:lang w:val="ro-RO" w:eastAsia="ro-RO"/>
        </w:rPr>
        <w:t>de zgomot</w:t>
      </w:r>
      <w:r w:rsidRPr="002114B1">
        <w:rPr>
          <w:rFonts w:ascii="Arial" w:eastAsiaTheme="minorEastAsia" w:hAnsi="Arial" w:cs="Arial"/>
          <w:sz w:val="24"/>
          <w:szCs w:val="24"/>
          <w:lang w:val="ro-RO" w:eastAsia="ro-RO"/>
        </w:rPr>
        <w:t xml:space="preserve">. </w:t>
      </w:r>
    </w:p>
    <w:p w:rsidR="00F12113" w:rsidRPr="00F12113" w:rsidRDefault="00F12113" w:rsidP="00CC1FB9">
      <w:pPr>
        <w:widowControl w:val="0"/>
        <w:spacing w:after="0" w:line="240" w:lineRule="auto"/>
        <w:jc w:val="center"/>
        <w:rPr>
          <w:rFonts w:ascii="Arial" w:hAnsi="Arial" w:cs="Arial"/>
          <w:color w:val="FF0000"/>
          <w:sz w:val="10"/>
          <w:szCs w:val="10"/>
          <w:lang w:val="ro-RO"/>
        </w:rPr>
      </w:pPr>
    </w:p>
    <w:p w:rsidR="006A576D" w:rsidRPr="00351E13" w:rsidRDefault="006A576D" w:rsidP="00CC1FB9">
      <w:pPr>
        <w:widowControl w:val="0"/>
        <w:tabs>
          <w:tab w:val="num" w:pos="2215"/>
        </w:tabs>
        <w:spacing w:after="0" w:line="240" w:lineRule="auto"/>
        <w:jc w:val="both"/>
        <w:rPr>
          <w:rFonts w:ascii="Arial" w:hAnsi="Arial" w:cs="Arial"/>
          <w:b/>
          <w:sz w:val="24"/>
          <w:szCs w:val="24"/>
          <w:lang w:val="ro-RO"/>
        </w:rPr>
      </w:pPr>
      <w:r w:rsidRPr="00351E13">
        <w:rPr>
          <w:rFonts w:ascii="Arial" w:hAnsi="Arial" w:cs="Arial"/>
          <w:b/>
          <w:sz w:val="24"/>
          <w:szCs w:val="24"/>
          <w:lang w:val="ro-RO"/>
        </w:rPr>
        <w:lastRenderedPageBreak/>
        <w:t xml:space="preserve">VIII.1.2.1. Expunerea la poluarea sonoră a aglomerărilor urbane cu peste 250.000 locuitori </w:t>
      </w:r>
    </w:p>
    <w:p w:rsidR="006A576D" w:rsidRPr="00351E13" w:rsidRDefault="006A576D" w:rsidP="00CC1FB9">
      <w:pPr>
        <w:widowControl w:val="0"/>
        <w:spacing w:after="0" w:line="240" w:lineRule="auto"/>
        <w:ind w:firstLine="720"/>
        <w:jc w:val="both"/>
        <w:rPr>
          <w:rFonts w:ascii="Arial" w:hAnsi="Arial" w:cs="Arial"/>
          <w:sz w:val="10"/>
          <w:szCs w:val="10"/>
          <w:lang w:val="ro-RO"/>
        </w:rPr>
      </w:pPr>
    </w:p>
    <w:p w:rsidR="006A576D" w:rsidRDefault="006A576D" w:rsidP="00CC1FB9">
      <w:pPr>
        <w:widowControl w:val="0"/>
        <w:spacing w:after="0" w:line="240" w:lineRule="auto"/>
        <w:ind w:firstLine="720"/>
        <w:jc w:val="both"/>
        <w:rPr>
          <w:rFonts w:ascii="Arial" w:hAnsi="Arial" w:cs="Arial"/>
          <w:sz w:val="24"/>
          <w:szCs w:val="24"/>
          <w:lang w:val="ro-RO"/>
        </w:rPr>
      </w:pPr>
      <w:r w:rsidRPr="00351E13">
        <w:rPr>
          <w:rFonts w:ascii="Arial" w:hAnsi="Arial" w:cs="Arial"/>
          <w:sz w:val="24"/>
          <w:szCs w:val="24"/>
          <w:lang w:val="ro-RO"/>
        </w:rPr>
        <w:t xml:space="preserve">În judeţul Suceava nu există aglomerări urbane (cu peste 250000 locuitori), municipiul Suceava, reşedinta de judeţ, fiind cel mai mare oraş din judeţ, cu o populatie de </w:t>
      </w:r>
      <w:r w:rsidR="00AD3C5B" w:rsidRPr="00351E13">
        <w:rPr>
          <w:rFonts w:ascii="Arial" w:hAnsi="Arial" w:cs="Arial"/>
          <w:sz w:val="24"/>
          <w:szCs w:val="24"/>
        </w:rPr>
        <w:t>119327 locuitori la 1 iulie 2017</w:t>
      </w:r>
      <w:r w:rsidR="00B60AB4" w:rsidRPr="00351E13">
        <w:rPr>
          <w:rFonts w:ascii="Arial" w:hAnsi="Arial" w:cs="Arial"/>
          <w:sz w:val="24"/>
          <w:szCs w:val="24"/>
        </w:rPr>
        <w:t xml:space="preserve"> </w:t>
      </w:r>
      <w:r w:rsidR="00B60AB4" w:rsidRPr="00351E13">
        <w:rPr>
          <w:rFonts w:ascii="Arial" w:hAnsi="Arial" w:cs="Arial"/>
          <w:sz w:val="24"/>
          <w:szCs w:val="24"/>
          <w:lang w:val="ro-RO"/>
        </w:rPr>
        <w:t>– date provizorii</w:t>
      </w:r>
      <w:r w:rsidR="00044137" w:rsidRPr="00351E13">
        <w:rPr>
          <w:rFonts w:ascii="Arial" w:hAnsi="Arial" w:cs="Arial"/>
          <w:sz w:val="24"/>
          <w:szCs w:val="24"/>
          <w:lang w:val="ro-RO"/>
        </w:rPr>
        <w:t xml:space="preserve">, conform </w:t>
      </w:r>
      <w:r w:rsidR="00351E13">
        <w:rPr>
          <w:rFonts w:ascii="Arial" w:hAnsi="Arial" w:cs="Arial"/>
          <w:sz w:val="24"/>
          <w:szCs w:val="24"/>
          <w:lang w:val="ro-RO"/>
        </w:rPr>
        <w:t>A</w:t>
      </w:r>
      <w:r w:rsidR="00044137" w:rsidRPr="00351E13">
        <w:rPr>
          <w:rFonts w:ascii="Arial" w:hAnsi="Arial" w:cs="Arial"/>
          <w:sz w:val="24"/>
          <w:szCs w:val="24"/>
          <w:lang w:val="ro-RO"/>
        </w:rPr>
        <w:t>nuarul</w:t>
      </w:r>
      <w:r w:rsidR="00351E13">
        <w:rPr>
          <w:rFonts w:ascii="Arial" w:hAnsi="Arial" w:cs="Arial"/>
          <w:sz w:val="24"/>
          <w:szCs w:val="24"/>
          <w:lang w:val="ro-RO"/>
        </w:rPr>
        <w:t>ui</w:t>
      </w:r>
      <w:r w:rsidR="00044137" w:rsidRPr="00351E13">
        <w:rPr>
          <w:rFonts w:ascii="Arial" w:hAnsi="Arial" w:cs="Arial"/>
          <w:sz w:val="24"/>
          <w:szCs w:val="24"/>
          <w:lang w:val="ro-RO"/>
        </w:rPr>
        <w:t xml:space="preserve"> statistic al judeţului Suceava pe anul 201</w:t>
      </w:r>
      <w:r w:rsidR="00351E13">
        <w:rPr>
          <w:rFonts w:ascii="Arial" w:hAnsi="Arial" w:cs="Arial"/>
          <w:sz w:val="24"/>
          <w:szCs w:val="24"/>
          <w:lang w:val="ro-RO"/>
        </w:rPr>
        <w:t>7</w:t>
      </w:r>
      <w:r w:rsidR="00044137" w:rsidRPr="00351E13">
        <w:rPr>
          <w:rFonts w:ascii="Arial" w:hAnsi="Arial" w:cs="Arial"/>
          <w:sz w:val="24"/>
          <w:szCs w:val="24"/>
          <w:lang w:val="ro-RO"/>
        </w:rPr>
        <w:t xml:space="preserve">. </w:t>
      </w:r>
    </w:p>
    <w:p w:rsidR="00351E13" w:rsidRPr="00351E13" w:rsidRDefault="00351E13" w:rsidP="00CC1FB9">
      <w:pPr>
        <w:widowControl w:val="0"/>
        <w:autoSpaceDE w:val="0"/>
        <w:autoSpaceDN w:val="0"/>
        <w:adjustRightInd w:val="0"/>
        <w:spacing w:after="0" w:line="240" w:lineRule="auto"/>
        <w:ind w:firstLine="720"/>
        <w:jc w:val="both"/>
        <w:rPr>
          <w:rFonts w:ascii="Arial" w:eastAsia="Times New Roman" w:hAnsi="Arial" w:cs="Arial"/>
          <w:sz w:val="24"/>
          <w:szCs w:val="24"/>
          <w:lang w:val="ro-RO"/>
        </w:rPr>
      </w:pPr>
      <w:r w:rsidRPr="00351E13">
        <w:rPr>
          <w:rFonts w:ascii="Arial" w:eastAsia="Times New Roman" w:hAnsi="Arial" w:cs="Arial"/>
          <w:sz w:val="24"/>
          <w:szCs w:val="24"/>
          <w:lang w:val="ro-RO"/>
        </w:rPr>
        <w:t>STAS 10009/2017 „</w:t>
      </w:r>
      <w:r w:rsidRPr="00351E13">
        <w:rPr>
          <w:rFonts w:ascii="Arial" w:eastAsia="Times New Roman" w:hAnsi="Arial" w:cs="Arial"/>
          <w:i/>
          <w:sz w:val="24"/>
          <w:szCs w:val="24"/>
          <w:lang w:val="ro-RO"/>
        </w:rPr>
        <w:t>Acustica. Limite admisibile ale nivelului de zgomot din mediul ambiant”</w:t>
      </w:r>
      <w:r w:rsidRPr="00351E13">
        <w:rPr>
          <w:rFonts w:ascii="Arial" w:eastAsia="Times New Roman" w:hAnsi="Arial" w:cs="Arial"/>
          <w:sz w:val="24"/>
          <w:szCs w:val="24"/>
          <w:lang w:val="ro-RO"/>
        </w:rPr>
        <w:t xml:space="preserve"> reglementează </w:t>
      </w:r>
      <w:r w:rsidRPr="00351E13">
        <w:rPr>
          <w:rFonts w:ascii="Arial" w:eastAsia="Times New Roman" w:hAnsi="Arial" w:cs="Arial"/>
          <w:b/>
          <w:sz w:val="24"/>
          <w:szCs w:val="24"/>
          <w:lang w:val="ro-RO"/>
        </w:rPr>
        <w:t>limite admisibile</w:t>
      </w:r>
      <w:r w:rsidRPr="00351E13">
        <w:rPr>
          <w:rFonts w:ascii="Arial" w:eastAsia="Times New Roman" w:hAnsi="Arial" w:cs="Arial"/>
          <w:sz w:val="24"/>
          <w:szCs w:val="24"/>
          <w:lang w:val="ro-RO"/>
        </w:rPr>
        <w:t xml:space="preserve"> ale nivelului de zgomot diferenţiate pe zone şi spaţii funcţionale şi pe tipuri de străzi, şi anume:</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351E13">
        <w:rPr>
          <w:rFonts w:ascii="Arial" w:eastAsia="Times New Roman" w:hAnsi="Arial" w:cs="Arial"/>
          <w:color w:val="000000"/>
          <w:sz w:val="24"/>
          <w:szCs w:val="24"/>
          <w:lang w:val="ro-RO"/>
        </w:rPr>
        <w:t xml:space="preserve">nivelul de zgomot exterior (măsurat la bordura trotuarului) provenit </w:t>
      </w:r>
      <w:r w:rsidRPr="00351E13">
        <w:rPr>
          <w:rFonts w:ascii="Arial" w:eastAsia="Times New Roman" w:hAnsi="Arial" w:cs="Arial"/>
          <w:b/>
          <w:color w:val="000000"/>
          <w:sz w:val="24"/>
          <w:szCs w:val="24"/>
          <w:lang w:val="ro-RO"/>
        </w:rPr>
        <w:t>din traficul rutier</w:t>
      </w:r>
      <w:r w:rsidRPr="00351E13">
        <w:rPr>
          <w:rFonts w:ascii="Arial" w:eastAsia="Times New Roman" w:hAnsi="Arial" w:cs="Arial"/>
          <w:color w:val="000000"/>
          <w:sz w:val="24"/>
          <w:szCs w:val="24"/>
          <w:lang w:val="ro-RO"/>
        </w:rPr>
        <w:t xml:space="preserve"> (pentru 4 categorii tehnice de străzi şi pentru pasaje rutiere subterane);</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351E13">
        <w:rPr>
          <w:rFonts w:ascii="Arial" w:eastAsia="Times New Roman" w:hAnsi="Arial" w:cs="Arial"/>
          <w:color w:val="000000"/>
          <w:sz w:val="24"/>
          <w:szCs w:val="24"/>
          <w:lang w:val="ro-RO"/>
        </w:rPr>
        <w:t xml:space="preserve">nivelul de zgomot </w:t>
      </w:r>
      <w:r w:rsidRPr="00351E13">
        <w:rPr>
          <w:rFonts w:ascii="Arial" w:eastAsia="Times New Roman" w:hAnsi="Arial" w:cs="Arial"/>
          <w:b/>
          <w:color w:val="000000"/>
          <w:sz w:val="24"/>
          <w:szCs w:val="24"/>
          <w:lang w:val="ro-RO"/>
        </w:rPr>
        <w:t>la</w:t>
      </w:r>
      <w:r w:rsidRPr="00351E13">
        <w:rPr>
          <w:rFonts w:ascii="Arial" w:eastAsia="Times New Roman" w:hAnsi="Arial" w:cs="Arial"/>
          <w:color w:val="000000"/>
          <w:sz w:val="24"/>
          <w:szCs w:val="24"/>
          <w:lang w:val="ro-RO"/>
        </w:rPr>
        <w:t xml:space="preserve"> </w:t>
      </w:r>
      <w:r w:rsidRPr="00351E13">
        <w:rPr>
          <w:rFonts w:ascii="Arial" w:eastAsia="Times New Roman" w:hAnsi="Arial" w:cs="Arial"/>
          <w:b/>
          <w:color w:val="000000"/>
          <w:sz w:val="24"/>
          <w:szCs w:val="24"/>
          <w:lang w:val="ro-RO"/>
        </w:rPr>
        <w:t>limita unor zone funcţionale</w:t>
      </w:r>
      <w:r w:rsidRPr="00351E13">
        <w:rPr>
          <w:rFonts w:ascii="Arial" w:eastAsia="Times New Roman" w:hAnsi="Arial" w:cs="Arial"/>
          <w:color w:val="000000"/>
          <w:sz w:val="24"/>
          <w:szCs w:val="24"/>
          <w:lang w:val="ro-RO"/>
        </w:rPr>
        <w:t>;</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351E13">
        <w:rPr>
          <w:rFonts w:ascii="Arial" w:eastAsia="Times New Roman" w:hAnsi="Arial" w:cs="Arial"/>
          <w:color w:val="000000"/>
          <w:sz w:val="24"/>
          <w:szCs w:val="24"/>
          <w:lang w:val="ro-RO"/>
        </w:rPr>
        <w:t xml:space="preserve">nivelul de zgomot </w:t>
      </w:r>
      <w:r w:rsidRPr="00351E13">
        <w:rPr>
          <w:rFonts w:ascii="Arial" w:eastAsia="Times New Roman" w:hAnsi="Arial" w:cs="Arial"/>
          <w:b/>
          <w:color w:val="000000"/>
          <w:sz w:val="24"/>
          <w:szCs w:val="24"/>
          <w:lang w:val="ro-RO"/>
        </w:rPr>
        <w:t>la</w:t>
      </w:r>
      <w:r w:rsidRPr="00351E13">
        <w:rPr>
          <w:rFonts w:ascii="Arial" w:eastAsia="Times New Roman" w:hAnsi="Arial" w:cs="Arial"/>
          <w:color w:val="000000"/>
          <w:sz w:val="24"/>
          <w:szCs w:val="24"/>
          <w:lang w:val="ro-RO"/>
        </w:rPr>
        <w:t xml:space="preserve"> </w:t>
      </w:r>
      <w:r w:rsidRPr="00351E13">
        <w:rPr>
          <w:rFonts w:ascii="Arial" w:eastAsia="Times New Roman" w:hAnsi="Arial" w:cs="Arial"/>
          <w:b/>
          <w:color w:val="000000"/>
          <w:sz w:val="24"/>
          <w:szCs w:val="24"/>
          <w:lang w:val="ro-RO"/>
        </w:rPr>
        <w:t>limita unor spaţii funcţionale</w:t>
      </w:r>
      <w:r w:rsidRPr="00351E13">
        <w:rPr>
          <w:rFonts w:ascii="Arial" w:eastAsia="Times New Roman" w:hAnsi="Arial" w:cs="Arial"/>
          <w:color w:val="000000"/>
          <w:sz w:val="24"/>
          <w:szCs w:val="24"/>
          <w:lang w:val="ro-RO"/>
        </w:rPr>
        <w:t>;</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351E13">
        <w:rPr>
          <w:rFonts w:ascii="Arial" w:eastAsia="Times New Roman" w:hAnsi="Arial" w:cs="Arial"/>
          <w:color w:val="000000"/>
          <w:sz w:val="24"/>
          <w:szCs w:val="24"/>
          <w:lang w:val="ro-RO"/>
        </w:rPr>
        <w:t xml:space="preserve">nivelul de zgomot  </w:t>
      </w:r>
      <w:r w:rsidRPr="00351E13">
        <w:rPr>
          <w:rFonts w:ascii="Arial" w:eastAsia="Times New Roman" w:hAnsi="Arial" w:cs="Arial"/>
          <w:b/>
          <w:color w:val="000000"/>
          <w:sz w:val="24"/>
          <w:szCs w:val="24"/>
          <w:lang w:val="ro-RO"/>
        </w:rPr>
        <w:t>în interiorul unor spaţii funcţionale</w:t>
      </w:r>
      <w:r w:rsidRPr="00351E13">
        <w:rPr>
          <w:rFonts w:ascii="Arial" w:eastAsia="Times New Roman" w:hAnsi="Arial" w:cs="Arial"/>
          <w:color w:val="000000"/>
          <w:sz w:val="24"/>
          <w:szCs w:val="24"/>
          <w:lang w:val="ro-RO"/>
        </w:rPr>
        <w:t>.</w:t>
      </w:r>
    </w:p>
    <w:p w:rsidR="00351E13" w:rsidRPr="00351E13" w:rsidRDefault="00351E13" w:rsidP="00CC1FB9">
      <w:pPr>
        <w:widowControl w:val="0"/>
        <w:spacing w:after="0" w:line="240" w:lineRule="auto"/>
        <w:ind w:firstLine="720"/>
        <w:jc w:val="both"/>
        <w:rPr>
          <w:rFonts w:ascii="Arial" w:hAnsi="Arial" w:cs="Arial"/>
          <w:sz w:val="24"/>
          <w:szCs w:val="24"/>
          <w:lang w:val="ro-RO"/>
        </w:rPr>
      </w:pPr>
      <w:r w:rsidRPr="00351E13">
        <w:rPr>
          <w:rFonts w:ascii="Arial" w:hAnsi="Arial" w:cs="Arial"/>
          <w:sz w:val="24"/>
          <w:szCs w:val="24"/>
          <w:lang w:val="ro-RO"/>
        </w:rPr>
        <w:t>Parametrii pentru care s-au stabilit  aceste limite sunt:</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val="ro-RO" w:eastAsia="ro-RO"/>
        </w:rPr>
      </w:pPr>
      <w:r w:rsidRPr="00351E13">
        <w:rPr>
          <w:rFonts w:ascii="Arial" w:eastAsia="Times New Roman" w:hAnsi="Arial" w:cs="Arial"/>
          <w:color w:val="000000"/>
          <w:sz w:val="24"/>
          <w:szCs w:val="24"/>
          <w:lang w:val="ro-RO"/>
        </w:rPr>
        <w:t>Nivel</w:t>
      </w:r>
      <w:r w:rsidRPr="00351E13">
        <w:rPr>
          <w:rFonts w:ascii="Arial" w:eastAsia="Times New Roman" w:hAnsi="Arial" w:cs="Arial"/>
          <w:sz w:val="24"/>
          <w:szCs w:val="24"/>
          <w:lang w:val="ro-RO" w:eastAsia="ro-RO"/>
        </w:rPr>
        <w:t xml:space="preserve"> de presiune acustică continuu echivalent ponderat A, </w:t>
      </w:r>
      <w:r w:rsidRPr="00351E13">
        <w:rPr>
          <w:rFonts w:ascii="Arial" w:eastAsia="Times New Roman" w:hAnsi="Arial" w:cs="Arial"/>
          <w:b/>
          <w:sz w:val="24"/>
          <w:szCs w:val="24"/>
          <w:lang w:val="ro-RO" w:eastAsia="ro-RO"/>
        </w:rPr>
        <w:t>L</w:t>
      </w:r>
      <w:r w:rsidRPr="00351E13">
        <w:rPr>
          <w:rFonts w:ascii="Arial" w:eastAsia="Times New Roman" w:hAnsi="Arial" w:cs="Arial"/>
          <w:b/>
          <w:sz w:val="24"/>
          <w:szCs w:val="24"/>
          <w:vertAlign w:val="subscript"/>
          <w:lang w:val="ro-RO" w:eastAsia="ro-RO"/>
        </w:rPr>
        <w:t>AeqT</w:t>
      </w:r>
      <w:r w:rsidRPr="00351E13">
        <w:rPr>
          <w:rFonts w:ascii="Arial" w:eastAsia="Times New Roman" w:hAnsi="Arial" w:cs="Arial"/>
          <w:b/>
          <w:sz w:val="24"/>
          <w:szCs w:val="24"/>
          <w:lang w:val="ro-RO" w:eastAsia="ro-RO"/>
        </w:rPr>
        <w:t xml:space="preserve"> </w:t>
      </w:r>
      <w:r w:rsidRPr="00351E13">
        <w:rPr>
          <w:rFonts w:ascii="Arial" w:eastAsia="Times New Roman" w:hAnsi="Arial" w:cs="Arial"/>
          <w:sz w:val="24"/>
          <w:szCs w:val="24"/>
          <w:lang w:val="ro-RO" w:eastAsia="ro-RO"/>
        </w:rPr>
        <w:t xml:space="preserve">(dB); </w:t>
      </w:r>
    </w:p>
    <w:p w:rsidR="00351E13" w:rsidRPr="00351E13" w:rsidRDefault="00351E13" w:rsidP="00CC1FB9">
      <w:pPr>
        <w:widowControl w:val="0"/>
        <w:numPr>
          <w:ilvl w:val="0"/>
          <w:numId w:val="17"/>
        </w:numPr>
        <w:tabs>
          <w:tab w:val="clear" w:pos="720"/>
          <w:tab w:val="num" w:pos="284"/>
        </w:tabs>
        <w:autoSpaceDE w:val="0"/>
        <w:autoSpaceDN w:val="0"/>
        <w:adjustRightInd w:val="0"/>
        <w:spacing w:after="0" w:line="240" w:lineRule="auto"/>
        <w:ind w:left="284" w:hanging="284"/>
        <w:jc w:val="both"/>
        <w:rPr>
          <w:rFonts w:ascii="Arial" w:eastAsia="Times New Roman" w:hAnsi="Arial" w:cs="Arial"/>
          <w:sz w:val="24"/>
          <w:szCs w:val="24"/>
          <w:lang w:val="ro-RO" w:eastAsia="ro-RO"/>
        </w:rPr>
      </w:pPr>
      <w:r w:rsidRPr="00351E13">
        <w:rPr>
          <w:rFonts w:ascii="Arial" w:eastAsia="Times New Roman" w:hAnsi="Arial" w:cs="Arial"/>
          <w:sz w:val="24"/>
          <w:szCs w:val="24"/>
          <w:lang w:val="ro-RO" w:eastAsia="ro-RO"/>
        </w:rPr>
        <w:t xml:space="preserve">Nivel de presiune acustică ponderat în frecvenţă A şi ponderat în timp F, depăşit în 10% din timpul T, </w:t>
      </w:r>
      <w:r w:rsidRPr="00351E13">
        <w:rPr>
          <w:rFonts w:ascii="Arial" w:eastAsia="Times New Roman" w:hAnsi="Arial" w:cs="Arial"/>
          <w:b/>
          <w:sz w:val="24"/>
          <w:szCs w:val="24"/>
          <w:lang w:val="ro-RO" w:eastAsia="ro-RO"/>
        </w:rPr>
        <w:t>L</w:t>
      </w:r>
      <w:r w:rsidRPr="00351E13">
        <w:rPr>
          <w:rFonts w:ascii="Arial" w:eastAsia="Times New Roman" w:hAnsi="Arial" w:cs="Arial"/>
          <w:b/>
          <w:sz w:val="24"/>
          <w:szCs w:val="24"/>
          <w:vertAlign w:val="subscript"/>
          <w:lang w:val="ro-RO" w:eastAsia="ro-RO"/>
        </w:rPr>
        <w:t>AF10T</w:t>
      </w:r>
      <w:r w:rsidRPr="00351E13">
        <w:rPr>
          <w:rFonts w:ascii="Arial" w:eastAsia="Times New Roman" w:hAnsi="Arial" w:cs="Arial"/>
          <w:b/>
          <w:sz w:val="24"/>
          <w:szCs w:val="24"/>
          <w:lang w:val="ro-RO" w:eastAsia="ro-RO"/>
        </w:rPr>
        <w:t xml:space="preserve"> </w:t>
      </w:r>
      <w:r w:rsidRPr="00351E13">
        <w:rPr>
          <w:rFonts w:ascii="Arial" w:eastAsia="Times New Roman" w:hAnsi="Arial" w:cs="Arial"/>
          <w:sz w:val="24"/>
          <w:szCs w:val="24"/>
          <w:lang w:val="ro-RO" w:eastAsia="ro-RO"/>
        </w:rPr>
        <w:t>(dB)</w:t>
      </w:r>
      <w:r w:rsidRPr="00351E13">
        <w:rPr>
          <w:rFonts w:ascii="Arial" w:eastAsia="Times New Roman" w:hAnsi="Arial" w:cs="Arial"/>
          <w:b/>
          <w:sz w:val="24"/>
          <w:szCs w:val="24"/>
          <w:lang w:val="ro-RO" w:eastAsia="ro-RO"/>
        </w:rPr>
        <w:t xml:space="preserve"> </w:t>
      </w:r>
      <w:r w:rsidRPr="00351E13">
        <w:rPr>
          <w:rFonts w:ascii="Arial" w:eastAsia="Times New Roman" w:hAnsi="Arial" w:cs="Arial"/>
          <w:sz w:val="24"/>
          <w:szCs w:val="24"/>
          <w:lang w:val="ro-RO" w:eastAsia="ro-RO"/>
        </w:rPr>
        <w:t>(doar pentru străzi).</w:t>
      </w:r>
    </w:p>
    <w:p w:rsidR="00351E13" w:rsidRPr="00A249B9" w:rsidRDefault="00351E13" w:rsidP="00CC1FB9">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351E13" w:rsidRPr="00351E13" w:rsidRDefault="00351E13" w:rsidP="00CC1FB9">
      <w:pPr>
        <w:widowControl w:val="0"/>
        <w:spacing w:after="0" w:line="240" w:lineRule="auto"/>
        <w:ind w:firstLine="720"/>
        <w:jc w:val="both"/>
        <w:rPr>
          <w:rFonts w:ascii="Arial" w:hAnsi="Arial" w:cs="Arial"/>
          <w:sz w:val="24"/>
          <w:szCs w:val="24"/>
          <w:lang w:val="ro-RO"/>
        </w:rPr>
      </w:pPr>
      <w:r w:rsidRPr="00351E13">
        <w:rPr>
          <w:rFonts w:ascii="Arial" w:hAnsi="Arial" w:cs="Arial"/>
          <w:sz w:val="24"/>
          <w:szCs w:val="24"/>
          <w:lang w:val="ro-RO"/>
        </w:rPr>
        <w:t>APM Suceava monitorizează nivelul de zgomot exterior în principalele localităţi urbane ale judeţului, în zone care pot prezenta riscuri de expunere a populaţiei la niveluri crescute de zgomot exterior</w:t>
      </w:r>
      <w:r>
        <w:rPr>
          <w:rFonts w:ascii="Arial" w:hAnsi="Arial" w:cs="Arial"/>
          <w:sz w:val="24"/>
          <w:szCs w:val="24"/>
          <w:lang w:val="ro-RO"/>
        </w:rPr>
        <w:t>,</w:t>
      </w:r>
      <w:r w:rsidRPr="00351E13">
        <w:rPr>
          <w:rFonts w:ascii="Arial" w:hAnsi="Arial" w:cs="Arial"/>
          <w:sz w:val="24"/>
          <w:szCs w:val="24"/>
          <w:lang w:val="ro-RO"/>
        </w:rPr>
        <w:t xml:space="preserve"> </w:t>
      </w:r>
      <w:r>
        <w:rPr>
          <w:rFonts w:ascii="Arial" w:hAnsi="Arial" w:cs="Arial"/>
          <w:sz w:val="24"/>
          <w:szCs w:val="24"/>
          <w:lang w:val="ro-RO"/>
        </w:rPr>
        <w:t xml:space="preserve">măsurând </w:t>
      </w:r>
      <w:r w:rsidRPr="00351E13">
        <w:rPr>
          <w:rFonts w:ascii="Arial" w:hAnsi="Arial" w:cs="Arial"/>
          <w:sz w:val="24"/>
          <w:szCs w:val="24"/>
          <w:lang w:val="ro-RO"/>
        </w:rPr>
        <w:t xml:space="preserve">în principal zgomotul provenit din traficul rutier şi </w:t>
      </w:r>
      <w:r>
        <w:rPr>
          <w:rFonts w:ascii="Arial" w:hAnsi="Arial" w:cs="Arial"/>
          <w:sz w:val="24"/>
          <w:szCs w:val="24"/>
          <w:lang w:val="ro-RO"/>
        </w:rPr>
        <w:t xml:space="preserve">zgomotul </w:t>
      </w:r>
      <w:r w:rsidRPr="00351E13">
        <w:rPr>
          <w:rFonts w:ascii="Arial" w:hAnsi="Arial" w:cs="Arial"/>
          <w:sz w:val="24"/>
          <w:szCs w:val="24"/>
          <w:lang w:val="ro-RO"/>
        </w:rPr>
        <w:t xml:space="preserve">din interiorul parcurilor. </w:t>
      </w:r>
    </w:p>
    <w:p w:rsidR="00351E13" w:rsidRPr="00351E13" w:rsidRDefault="00351E13" w:rsidP="00CC1FB9">
      <w:pPr>
        <w:widowControl w:val="0"/>
        <w:autoSpaceDE w:val="0"/>
        <w:autoSpaceDN w:val="0"/>
        <w:adjustRightInd w:val="0"/>
        <w:spacing w:after="0" w:line="240" w:lineRule="auto"/>
        <w:ind w:firstLine="720"/>
        <w:jc w:val="both"/>
        <w:rPr>
          <w:rFonts w:ascii="Arial" w:eastAsia="Times New Roman" w:hAnsi="Arial" w:cs="Arial"/>
          <w:sz w:val="24"/>
          <w:szCs w:val="24"/>
        </w:rPr>
      </w:pPr>
      <w:r w:rsidRPr="00351E13">
        <w:rPr>
          <w:rFonts w:ascii="Arial" w:hAnsi="Arial" w:cs="Arial"/>
          <w:sz w:val="24"/>
          <w:szCs w:val="24"/>
          <w:lang w:val="ro-RO"/>
        </w:rPr>
        <w:t>În anul 2017 măsurătorile nivelului de zgomot continuu echivalent exterior ponderat</w:t>
      </w:r>
      <w:r w:rsidRPr="00351E13">
        <w:rPr>
          <w:rFonts w:ascii="Arial" w:eastAsia="Times New Roman" w:hAnsi="Arial" w:cs="Arial"/>
          <w:sz w:val="24"/>
          <w:szCs w:val="24"/>
        </w:rPr>
        <w:t xml:space="preserve"> A, L</w:t>
      </w:r>
      <w:r w:rsidRPr="00351E13">
        <w:rPr>
          <w:rFonts w:ascii="Arial" w:eastAsia="Times New Roman" w:hAnsi="Arial" w:cs="Arial"/>
          <w:sz w:val="24"/>
          <w:szCs w:val="24"/>
          <w:vertAlign w:val="subscript"/>
        </w:rPr>
        <w:t>Aeq</w:t>
      </w:r>
      <w:r w:rsidRPr="00351E13">
        <w:rPr>
          <w:rFonts w:ascii="Arial" w:eastAsia="Times New Roman" w:hAnsi="Arial" w:cs="Arial"/>
          <w:sz w:val="24"/>
          <w:szCs w:val="24"/>
        </w:rPr>
        <w:t xml:space="preserve"> s-au efectuat într-un număr total de 28 de puncte de monitorizare, din localităţile: Suceava (10 puncte), Fălticeni (2 puncte), Siret (2 puncte), Rădăuţi (5 puncte), Vatra Dornei (3 puncte), Gura Humorului (3 puncte) şi Câmpulung Moldovenesc (3 puncte). </w:t>
      </w:r>
    </w:p>
    <w:p w:rsidR="00731A00" w:rsidRPr="00A70F1C" w:rsidRDefault="00731A00" w:rsidP="00CC1FB9">
      <w:pPr>
        <w:widowControl w:val="0"/>
        <w:autoSpaceDE w:val="0"/>
        <w:autoSpaceDN w:val="0"/>
        <w:adjustRightInd w:val="0"/>
        <w:spacing w:after="0" w:line="240" w:lineRule="auto"/>
        <w:ind w:left="714"/>
        <w:jc w:val="both"/>
        <w:rPr>
          <w:rFonts w:ascii="Arial" w:eastAsia="Times New Roman" w:hAnsi="Arial" w:cs="Arial"/>
          <w:color w:val="FF0000"/>
          <w:sz w:val="10"/>
          <w:szCs w:val="10"/>
          <w:lang w:val="ro-RO"/>
        </w:rPr>
      </w:pPr>
    </w:p>
    <w:p w:rsidR="006A576D" w:rsidRPr="00933132" w:rsidRDefault="006A576D" w:rsidP="00CC1FB9">
      <w:pPr>
        <w:widowControl w:val="0"/>
        <w:spacing w:after="0" w:line="240" w:lineRule="auto"/>
        <w:jc w:val="center"/>
        <w:rPr>
          <w:rFonts w:ascii="Arial" w:eastAsiaTheme="minorEastAsia" w:hAnsi="Arial" w:cs="Arial"/>
          <w:lang w:val="ro-RO" w:eastAsia="ro-RO"/>
        </w:rPr>
      </w:pPr>
      <w:r w:rsidRPr="00933132">
        <w:rPr>
          <w:rFonts w:ascii="Arial" w:eastAsiaTheme="minorEastAsia" w:hAnsi="Arial" w:cs="Arial"/>
          <w:lang w:val="ro-RO" w:eastAsia="ro-RO"/>
        </w:rPr>
        <w:t>Tabelul VIII.1.2.1.1. Rezultatele monitorizării nivelului de zgomot urban în jud. Suceava</w:t>
      </w:r>
    </w:p>
    <w:p w:rsidR="006A576D" w:rsidRDefault="006A576D" w:rsidP="00CC1FB9">
      <w:pPr>
        <w:widowControl w:val="0"/>
        <w:spacing w:after="0" w:line="240" w:lineRule="auto"/>
        <w:jc w:val="center"/>
        <w:rPr>
          <w:rFonts w:ascii="Arial" w:eastAsiaTheme="minorEastAsia" w:hAnsi="Arial" w:cs="Arial"/>
          <w:b/>
          <w:lang w:val="ro-RO" w:eastAsia="ro-RO"/>
        </w:rPr>
      </w:pPr>
      <w:r w:rsidRPr="00933132">
        <w:rPr>
          <w:rFonts w:ascii="Arial" w:eastAsiaTheme="minorEastAsia" w:hAnsi="Arial" w:cs="Arial"/>
          <w:lang w:val="ro-RO" w:eastAsia="ro-RO"/>
        </w:rPr>
        <w:t xml:space="preserve"> în anul 201</w:t>
      </w:r>
      <w:r w:rsidR="00351E13" w:rsidRPr="00933132">
        <w:rPr>
          <w:rFonts w:ascii="Arial" w:eastAsiaTheme="minorEastAsia" w:hAnsi="Arial" w:cs="Arial"/>
          <w:lang w:val="ro-RO" w:eastAsia="ro-RO"/>
        </w:rPr>
        <w:t>7</w:t>
      </w:r>
      <w:r w:rsidRPr="00933132">
        <w:rPr>
          <w:rFonts w:ascii="Arial" w:eastAsiaTheme="minorEastAsia" w:hAnsi="Arial" w:cs="Arial"/>
          <w:lang w:val="ro-RO" w:eastAsia="ro-RO"/>
        </w:rPr>
        <w:t xml:space="preserve">, pe </w:t>
      </w:r>
      <w:r w:rsidRPr="00933132">
        <w:rPr>
          <w:rFonts w:ascii="Arial" w:eastAsiaTheme="minorEastAsia" w:hAnsi="Arial" w:cs="Arial"/>
          <w:b/>
          <w:lang w:val="ro-RO" w:eastAsia="ro-RO"/>
        </w:rPr>
        <w:t>tipuri de zone/dotări funcţionale</w:t>
      </w:r>
    </w:p>
    <w:p w:rsidR="00351E13" w:rsidRPr="00351E13" w:rsidRDefault="00351E13" w:rsidP="00CC1FB9">
      <w:pPr>
        <w:widowControl w:val="0"/>
        <w:spacing w:after="0" w:line="240" w:lineRule="auto"/>
        <w:jc w:val="center"/>
        <w:rPr>
          <w:rFonts w:ascii="Arial" w:eastAsiaTheme="minorEastAsia" w:hAnsi="Arial" w:cs="Arial"/>
          <w:b/>
          <w:sz w:val="10"/>
          <w:szCs w:val="10"/>
          <w:lang w:val="ro-RO" w:eastAsia="ro-RO"/>
        </w:rPr>
      </w:pPr>
    </w:p>
    <w:tbl>
      <w:tblPr>
        <w:tblW w:w="10204"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239"/>
        <w:gridCol w:w="1203"/>
        <w:gridCol w:w="1377"/>
        <w:gridCol w:w="1259"/>
        <w:gridCol w:w="992"/>
        <w:gridCol w:w="1134"/>
      </w:tblGrid>
      <w:tr w:rsidR="00351E13" w:rsidRPr="00351E13" w:rsidTr="0069390C">
        <w:trPr>
          <w:trHeight w:val="527"/>
          <w:tblHeader/>
          <w:jc w:val="center"/>
        </w:trPr>
        <w:tc>
          <w:tcPr>
            <w:tcW w:w="4239"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Tip de zonă/dotare funcţională monitorizată</w:t>
            </w:r>
          </w:p>
        </w:tc>
        <w:tc>
          <w:tcPr>
            <w:tcW w:w="1203"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Limită admisibilă L</w:t>
            </w:r>
            <w:r w:rsidRPr="00351E13">
              <w:rPr>
                <w:rFonts w:ascii="Arial" w:hAnsi="Arial" w:cs="Arial"/>
                <w:b/>
                <w:vertAlign w:val="subscript"/>
              </w:rPr>
              <w:t>Aeq</w:t>
            </w:r>
            <w:r w:rsidRPr="00351E13">
              <w:rPr>
                <w:rFonts w:ascii="Arial" w:hAnsi="Arial" w:cs="Arial"/>
                <w:b/>
              </w:rPr>
              <w:t>, dB(A)</w:t>
            </w:r>
          </w:p>
        </w:tc>
        <w:tc>
          <w:tcPr>
            <w:tcW w:w="1377"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 xml:space="preserve">Număr de puncte de monitorizare </w:t>
            </w:r>
          </w:p>
        </w:tc>
        <w:tc>
          <w:tcPr>
            <w:tcW w:w="1259"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Număr total de măsurători</w:t>
            </w:r>
          </w:p>
        </w:tc>
        <w:tc>
          <w:tcPr>
            <w:tcW w:w="992"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 xml:space="preserve">Număr depăşiri VLA </w:t>
            </w:r>
          </w:p>
        </w:tc>
        <w:tc>
          <w:tcPr>
            <w:tcW w:w="1134"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Frecvenţa depăşiri VLA, %</w:t>
            </w:r>
          </w:p>
        </w:tc>
      </w:tr>
      <w:tr w:rsidR="00351E13" w:rsidRPr="00351E13" w:rsidTr="0069390C">
        <w:trPr>
          <w:trHeight w:val="231"/>
          <w:jc w:val="center"/>
        </w:trPr>
        <w:tc>
          <w:tcPr>
            <w:tcW w:w="4239" w:type="dxa"/>
            <w:vAlign w:val="center"/>
          </w:tcPr>
          <w:p w:rsidR="00351E13" w:rsidRPr="00351E13" w:rsidRDefault="00351E13" w:rsidP="001A45D2">
            <w:pPr>
              <w:widowControl w:val="0"/>
              <w:spacing w:beforeLines="30" w:afterLines="30" w:line="240" w:lineRule="auto"/>
              <w:jc w:val="both"/>
              <w:rPr>
                <w:rFonts w:ascii="Arial" w:hAnsi="Arial" w:cs="Arial"/>
              </w:rPr>
            </w:pPr>
            <w:r w:rsidRPr="00351E13">
              <w:rPr>
                <w:rFonts w:ascii="Arial" w:hAnsi="Arial" w:cs="Arial"/>
              </w:rPr>
              <w:t>Străzi de categorie tehnică I, magistrală</w:t>
            </w:r>
          </w:p>
        </w:tc>
        <w:tc>
          <w:tcPr>
            <w:tcW w:w="1203"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75-85</w:t>
            </w:r>
          </w:p>
        </w:tc>
        <w:tc>
          <w:tcPr>
            <w:tcW w:w="1377"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7</w:t>
            </w:r>
          </w:p>
        </w:tc>
        <w:tc>
          <w:tcPr>
            <w:tcW w:w="1259"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14</w:t>
            </w:r>
          </w:p>
        </w:tc>
        <w:tc>
          <w:tcPr>
            <w:tcW w:w="992"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0</w:t>
            </w:r>
          </w:p>
        </w:tc>
        <w:tc>
          <w:tcPr>
            <w:tcW w:w="1134"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0</w:t>
            </w:r>
          </w:p>
        </w:tc>
      </w:tr>
      <w:tr w:rsidR="00351E13" w:rsidRPr="00351E13" w:rsidTr="0069390C">
        <w:trPr>
          <w:trHeight w:val="231"/>
          <w:jc w:val="center"/>
        </w:trPr>
        <w:tc>
          <w:tcPr>
            <w:tcW w:w="4239" w:type="dxa"/>
            <w:vAlign w:val="center"/>
          </w:tcPr>
          <w:p w:rsidR="00351E13" w:rsidRPr="00351E13" w:rsidRDefault="00351E13" w:rsidP="001A45D2">
            <w:pPr>
              <w:widowControl w:val="0"/>
              <w:spacing w:beforeLines="30" w:afterLines="30" w:line="240" w:lineRule="auto"/>
              <w:jc w:val="both"/>
              <w:rPr>
                <w:rFonts w:ascii="Arial" w:hAnsi="Arial" w:cs="Arial"/>
              </w:rPr>
            </w:pPr>
            <w:r w:rsidRPr="00351E13">
              <w:rPr>
                <w:rFonts w:ascii="Arial" w:hAnsi="Arial" w:cs="Arial"/>
              </w:rPr>
              <w:t xml:space="preserve">Străzi de categorie tehnică II, de legătură </w:t>
            </w:r>
          </w:p>
        </w:tc>
        <w:tc>
          <w:tcPr>
            <w:tcW w:w="1203"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70</w:t>
            </w:r>
          </w:p>
        </w:tc>
        <w:tc>
          <w:tcPr>
            <w:tcW w:w="1377"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11</w:t>
            </w:r>
          </w:p>
        </w:tc>
        <w:tc>
          <w:tcPr>
            <w:tcW w:w="1259"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22</w:t>
            </w:r>
          </w:p>
        </w:tc>
        <w:tc>
          <w:tcPr>
            <w:tcW w:w="992"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6</w:t>
            </w:r>
          </w:p>
        </w:tc>
        <w:tc>
          <w:tcPr>
            <w:tcW w:w="1134"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27</w:t>
            </w:r>
            <w:r w:rsidR="001260DF">
              <w:rPr>
                <w:rFonts w:ascii="Arial" w:hAnsi="Arial" w:cs="Arial"/>
              </w:rPr>
              <w:t>,3</w:t>
            </w:r>
          </w:p>
        </w:tc>
      </w:tr>
      <w:tr w:rsidR="00351E13" w:rsidRPr="00351E13" w:rsidTr="0069390C">
        <w:trPr>
          <w:trHeight w:val="231"/>
          <w:jc w:val="center"/>
        </w:trPr>
        <w:tc>
          <w:tcPr>
            <w:tcW w:w="4239" w:type="dxa"/>
            <w:vAlign w:val="center"/>
          </w:tcPr>
          <w:p w:rsidR="00351E13" w:rsidRPr="00351E13" w:rsidRDefault="00351E13" w:rsidP="001A45D2">
            <w:pPr>
              <w:widowControl w:val="0"/>
              <w:spacing w:beforeLines="30" w:afterLines="30" w:line="240" w:lineRule="auto"/>
              <w:jc w:val="both"/>
              <w:rPr>
                <w:rFonts w:ascii="Arial" w:hAnsi="Arial" w:cs="Arial"/>
              </w:rPr>
            </w:pPr>
            <w:r w:rsidRPr="00351E13">
              <w:rPr>
                <w:rFonts w:ascii="Arial" w:hAnsi="Arial" w:cs="Arial"/>
              </w:rPr>
              <w:t>Străzi de categorie tehnică III, de colectare</w:t>
            </w:r>
          </w:p>
        </w:tc>
        <w:tc>
          <w:tcPr>
            <w:tcW w:w="1203"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65</w:t>
            </w:r>
          </w:p>
        </w:tc>
        <w:tc>
          <w:tcPr>
            <w:tcW w:w="1377"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3</w:t>
            </w:r>
          </w:p>
        </w:tc>
        <w:tc>
          <w:tcPr>
            <w:tcW w:w="1259"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4</w:t>
            </w:r>
          </w:p>
        </w:tc>
        <w:tc>
          <w:tcPr>
            <w:tcW w:w="992" w:type="dxa"/>
            <w:vAlign w:val="center"/>
          </w:tcPr>
          <w:p w:rsidR="00351E13" w:rsidRPr="00351E13" w:rsidRDefault="0071244D" w:rsidP="001A45D2">
            <w:pPr>
              <w:widowControl w:val="0"/>
              <w:spacing w:beforeLines="30" w:afterLines="30" w:line="240" w:lineRule="auto"/>
              <w:jc w:val="center"/>
              <w:rPr>
                <w:rFonts w:ascii="Arial" w:hAnsi="Arial" w:cs="Arial"/>
              </w:rPr>
            </w:pPr>
            <w:r>
              <w:rPr>
                <w:rFonts w:ascii="Arial" w:hAnsi="Arial" w:cs="Arial"/>
              </w:rPr>
              <w:t>2</w:t>
            </w:r>
          </w:p>
        </w:tc>
        <w:tc>
          <w:tcPr>
            <w:tcW w:w="1134" w:type="dxa"/>
            <w:vAlign w:val="center"/>
          </w:tcPr>
          <w:p w:rsidR="00351E13" w:rsidRPr="00351E13" w:rsidRDefault="0082751A" w:rsidP="001A45D2">
            <w:pPr>
              <w:widowControl w:val="0"/>
              <w:spacing w:beforeLines="30" w:afterLines="30" w:line="240" w:lineRule="auto"/>
              <w:jc w:val="center"/>
              <w:rPr>
                <w:rFonts w:ascii="Arial" w:hAnsi="Arial" w:cs="Arial"/>
              </w:rPr>
            </w:pPr>
            <w:r>
              <w:rPr>
                <w:rFonts w:ascii="Arial" w:hAnsi="Arial" w:cs="Arial"/>
              </w:rPr>
              <w:t>50,0</w:t>
            </w:r>
          </w:p>
        </w:tc>
      </w:tr>
      <w:tr w:rsidR="00351E13" w:rsidRPr="00351E13" w:rsidTr="0069390C">
        <w:trPr>
          <w:trHeight w:val="70"/>
          <w:jc w:val="center"/>
        </w:trPr>
        <w:tc>
          <w:tcPr>
            <w:tcW w:w="4239" w:type="dxa"/>
            <w:vAlign w:val="center"/>
          </w:tcPr>
          <w:p w:rsidR="00351E13" w:rsidRPr="00351E13" w:rsidRDefault="00351E13" w:rsidP="001A45D2">
            <w:pPr>
              <w:widowControl w:val="0"/>
              <w:spacing w:beforeLines="30" w:afterLines="30" w:line="240" w:lineRule="auto"/>
              <w:jc w:val="both"/>
              <w:rPr>
                <w:rFonts w:ascii="Arial" w:hAnsi="Arial" w:cs="Arial"/>
              </w:rPr>
            </w:pPr>
            <w:r w:rsidRPr="00351E13">
              <w:rPr>
                <w:rFonts w:ascii="Arial" w:hAnsi="Arial" w:cs="Arial"/>
              </w:rPr>
              <w:t xml:space="preserve">Parcuri – în interior zonă, </w:t>
            </w:r>
            <w:r w:rsidRPr="00351E13">
              <w:rPr>
                <w:rFonts w:ascii="Arial" w:hAnsi="Arial" w:cs="Arial"/>
                <w:sz w:val="24"/>
                <w:szCs w:val="24"/>
              </w:rPr>
              <w:t>indiferent de locul de producere a zgomotului</w:t>
            </w:r>
          </w:p>
        </w:tc>
        <w:tc>
          <w:tcPr>
            <w:tcW w:w="1203"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60</w:t>
            </w:r>
          </w:p>
        </w:tc>
        <w:tc>
          <w:tcPr>
            <w:tcW w:w="1377"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6</w:t>
            </w:r>
          </w:p>
        </w:tc>
        <w:tc>
          <w:tcPr>
            <w:tcW w:w="1259"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11</w:t>
            </w:r>
          </w:p>
        </w:tc>
        <w:tc>
          <w:tcPr>
            <w:tcW w:w="992"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0</w:t>
            </w:r>
          </w:p>
        </w:tc>
        <w:tc>
          <w:tcPr>
            <w:tcW w:w="1134"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0</w:t>
            </w:r>
          </w:p>
        </w:tc>
      </w:tr>
      <w:tr w:rsidR="00351E13" w:rsidRPr="00351E13" w:rsidTr="0069390C">
        <w:trPr>
          <w:trHeight w:val="231"/>
          <w:jc w:val="center"/>
        </w:trPr>
        <w:tc>
          <w:tcPr>
            <w:tcW w:w="4239" w:type="dxa"/>
            <w:vAlign w:val="center"/>
          </w:tcPr>
          <w:p w:rsidR="00351E13" w:rsidRPr="00351E13" w:rsidRDefault="00351E13" w:rsidP="001A45D2">
            <w:pPr>
              <w:widowControl w:val="0"/>
              <w:spacing w:beforeLines="30" w:afterLines="30" w:line="240" w:lineRule="auto"/>
              <w:jc w:val="both"/>
              <w:rPr>
                <w:rFonts w:ascii="Arial" w:hAnsi="Arial" w:cs="Arial"/>
              </w:rPr>
            </w:pPr>
            <w:r w:rsidRPr="00351E13">
              <w:rPr>
                <w:rFonts w:ascii="Arial" w:hAnsi="Arial" w:cs="Arial"/>
              </w:rPr>
              <w:t>Parcaje auto – la limita zonei funcţionale</w:t>
            </w:r>
          </w:p>
        </w:tc>
        <w:tc>
          <w:tcPr>
            <w:tcW w:w="1203"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70</w:t>
            </w:r>
          </w:p>
        </w:tc>
        <w:tc>
          <w:tcPr>
            <w:tcW w:w="1377"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1</w:t>
            </w:r>
          </w:p>
        </w:tc>
        <w:tc>
          <w:tcPr>
            <w:tcW w:w="1259"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2</w:t>
            </w:r>
          </w:p>
        </w:tc>
        <w:tc>
          <w:tcPr>
            <w:tcW w:w="992"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1</w:t>
            </w:r>
          </w:p>
        </w:tc>
        <w:tc>
          <w:tcPr>
            <w:tcW w:w="1134" w:type="dxa"/>
            <w:vAlign w:val="center"/>
          </w:tcPr>
          <w:p w:rsidR="00351E13" w:rsidRPr="00351E13" w:rsidRDefault="00351E13" w:rsidP="001A45D2">
            <w:pPr>
              <w:widowControl w:val="0"/>
              <w:spacing w:beforeLines="30" w:afterLines="30" w:line="240" w:lineRule="auto"/>
              <w:jc w:val="center"/>
              <w:rPr>
                <w:rFonts w:ascii="Arial" w:hAnsi="Arial" w:cs="Arial"/>
              </w:rPr>
            </w:pPr>
            <w:r w:rsidRPr="00351E13">
              <w:rPr>
                <w:rFonts w:ascii="Arial" w:hAnsi="Arial" w:cs="Arial"/>
              </w:rPr>
              <w:t>50</w:t>
            </w:r>
            <w:r w:rsidR="0082751A">
              <w:rPr>
                <w:rFonts w:ascii="Arial" w:hAnsi="Arial" w:cs="Arial"/>
              </w:rPr>
              <w:t>,0</w:t>
            </w:r>
          </w:p>
        </w:tc>
      </w:tr>
      <w:tr w:rsidR="00351E13" w:rsidRPr="00351E13" w:rsidTr="0069390C">
        <w:trPr>
          <w:trHeight w:val="231"/>
          <w:jc w:val="center"/>
        </w:trPr>
        <w:tc>
          <w:tcPr>
            <w:tcW w:w="5442" w:type="dxa"/>
            <w:gridSpan w:val="2"/>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TOTAL JUDEŢ</w:t>
            </w:r>
          </w:p>
        </w:tc>
        <w:tc>
          <w:tcPr>
            <w:tcW w:w="1377"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28</w:t>
            </w:r>
          </w:p>
        </w:tc>
        <w:tc>
          <w:tcPr>
            <w:tcW w:w="1259"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53</w:t>
            </w:r>
          </w:p>
        </w:tc>
        <w:tc>
          <w:tcPr>
            <w:tcW w:w="992"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10</w:t>
            </w:r>
          </w:p>
        </w:tc>
        <w:tc>
          <w:tcPr>
            <w:tcW w:w="1134" w:type="dxa"/>
            <w:shd w:val="clear" w:color="auto" w:fill="FFFF99"/>
            <w:vAlign w:val="center"/>
          </w:tcPr>
          <w:p w:rsidR="00351E13" w:rsidRPr="00351E13" w:rsidRDefault="00351E13" w:rsidP="001A45D2">
            <w:pPr>
              <w:widowControl w:val="0"/>
              <w:spacing w:beforeLines="30" w:afterLines="30" w:line="240" w:lineRule="auto"/>
              <w:jc w:val="center"/>
              <w:rPr>
                <w:rFonts w:ascii="Arial" w:hAnsi="Arial" w:cs="Arial"/>
                <w:b/>
              </w:rPr>
            </w:pPr>
            <w:r w:rsidRPr="00351E13">
              <w:rPr>
                <w:rFonts w:ascii="Arial" w:hAnsi="Arial" w:cs="Arial"/>
                <w:b/>
              </w:rPr>
              <w:t>18,86</w:t>
            </w:r>
          </w:p>
        </w:tc>
      </w:tr>
    </w:tbl>
    <w:p w:rsidR="006A576D" w:rsidRPr="00A70F1C" w:rsidRDefault="006A576D" w:rsidP="00CC1FB9">
      <w:pPr>
        <w:widowControl w:val="0"/>
        <w:spacing w:after="0" w:line="240" w:lineRule="auto"/>
        <w:ind w:firstLine="720"/>
        <w:jc w:val="both"/>
        <w:rPr>
          <w:rFonts w:ascii="Arial" w:hAnsi="Arial" w:cs="Arial"/>
          <w:color w:val="FF0000"/>
          <w:sz w:val="10"/>
          <w:szCs w:val="10"/>
          <w:lang w:val="ro-RO"/>
        </w:rPr>
      </w:pPr>
    </w:p>
    <w:p w:rsidR="006A576D" w:rsidRDefault="006A576D" w:rsidP="00CC1FB9">
      <w:pPr>
        <w:widowControl w:val="0"/>
        <w:spacing w:after="0" w:line="240" w:lineRule="auto"/>
        <w:ind w:firstLine="720"/>
        <w:jc w:val="both"/>
        <w:rPr>
          <w:rFonts w:ascii="Arial" w:hAnsi="Arial" w:cs="Arial"/>
          <w:sz w:val="24"/>
          <w:szCs w:val="24"/>
          <w:lang w:val="ro-RO"/>
        </w:rPr>
      </w:pPr>
      <w:r w:rsidRPr="00351E13">
        <w:rPr>
          <w:rFonts w:ascii="Arial" w:hAnsi="Arial" w:cs="Arial"/>
          <w:sz w:val="24"/>
          <w:szCs w:val="24"/>
          <w:lang w:val="ro-RO"/>
        </w:rPr>
        <w:t>Situaţia detaliată a rezultatelor monitorizăr</w:t>
      </w:r>
      <w:r w:rsidR="00351E13">
        <w:rPr>
          <w:rFonts w:ascii="Arial" w:hAnsi="Arial" w:cs="Arial"/>
          <w:sz w:val="24"/>
          <w:szCs w:val="24"/>
          <w:lang w:val="ro-RO"/>
        </w:rPr>
        <w:t>ii zgomotului urban în anul 2017</w:t>
      </w:r>
      <w:r w:rsidRPr="00351E13">
        <w:rPr>
          <w:rFonts w:ascii="Arial" w:hAnsi="Arial" w:cs="Arial"/>
          <w:sz w:val="24"/>
          <w:szCs w:val="24"/>
          <w:lang w:val="ro-RO"/>
        </w:rPr>
        <w:t xml:space="preserve"> în fiecare punct de monitorizare din judeţul Suceava, este prezentată în tabelul VIII.1.2.1.2.</w:t>
      </w:r>
    </w:p>
    <w:p w:rsidR="004A12DB" w:rsidRPr="00CD6EFC" w:rsidRDefault="004A12DB" w:rsidP="00CC1FB9">
      <w:pPr>
        <w:widowControl w:val="0"/>
        <w:spacing w:after="0" w:line="240" w:lineRule="auto"/>
        <w:ind w:firstLine="720"/>
        <w:jc w:val="both"/>
        <w:rPr>
          <w:rFonts w:ascii="Arial" w:hAnsi="Arial" w:cs="Arial"/>
          <w:sz w:val="16"/>
          <w:szCs w:val="16"/>
          <w:lang w:val="ro-RO"/>
        </w:rPr>
      </w:pPr>
    </w:p>
    <w:p w:rsidR="004A12DB" w:rsidRPr="0082751A" w:rsidRDefault="004A12DB" w:rsidP="00CC1FB9">
      <w:pPr>
        <w:widowControl w:val="0"/>
        <w:spacing w:after="0" w:line="240" w:lineRule="auto"/>
        <w:ind w:firstLine="720"/>
        <w:jc w:val="both"/>
        <w:rPr>
          <w:rFonts w:ascii="Arial" w:hAnsi="Arial" w:cs="Arial"/>
          <w:sz w:val="24"/>
          <w:szCs w:val="24"/>
          <w:lang w:val="ro-RO"/>
        </w:rPr>
      </w:pPr>
      <w:r w:rsidRPr="0082751A">
        <w:rPr>
          <w:rFonts w:ascii="Arial" w:hAnsi="Arial" w:cs="Arial"/>
          <w:sz w:val="24"/>
          <w:szCs w:val="24"/>
          <w:lang w:val="ro-RO"/>
        </w:rPr>
        <w:t>Din tab. VIII.1.2.1.1. şi VIII.1.2.1.2. se observă că</w:t>
      </w:r>
      <w:r w:rsidR="00CD6EFC">
        <w:rPr>
          <w:rFonts w:ascii="Arial" w:hAnsi="Arial" w:cs="Arial"/>
          <w:sz w:val="24"/>
          <w:szCs w:val="24"/>
          <w:lang w:val="ro-RO"/>
        </w:rPr>
        <w:t>, în anul 2017,</w:t>
      </w:r>
      <w:r w:rsidRPr="0082751A">
        <w:rPr>
          <w:rFonts w:ascii="Arial" w:hAnsi="Arial" w:cs="Arial"/>
          <w:sz w:val="24"/>
          <w:szCs w:val="24"/>
          <w:lang w:val="ro-RO"/>
        </w:rPr>
        <w:t xml:space="preserve"> </w:t>
      </w:r>
      <w:r w:rsidR="00CD6EFC">
        <w:rPr>
          <w:rFonts w:ascii="Arial" w:hAnsi="Arial" w:cs="Arial"/>
          <w:sz w:val="24"/>
          <w:szCs w:val="24"/>
          <w:lang w:val="ro-RO"/>
        </w:rPr>
        <w:t xml:space="preserve">cele mai multe </w:t>
      </w:r>
      <w:r w:rsidR="00CD6EFC" w:rsidRPr="0082751A">
        <w:rPr>
          <w:rFonts w:ascii="Arial" w:hAnsi="Arial" w:cs="Arial"/>
          <w:sz w:val="24"/>
          <w:szCs w:val="24"/>
          <w:lang w:val="ro-RO"/>
        </w:rPr>
        <w:t>depăşiri ale valorilor limită admisibile conform SR 10009/2017</w:t>
      </w:r>
      <w:r w:rsidR="00CD6EFC">
        <w:rPr>
          <w:rFonts w:ascii="Arial" w:hAnsi="Arial" w:cs="Arial"/>
          <w:sz w:val="24"/>
          <w:szCs w:val="24"/>
          <w:lang w:val="ro-RO"/>
        </w:rPr>
        <w:t xml:space="preserve"> </w:t>
      </w:r>
      <w:r w:rsidR="00CD6EFC" w:rsidRPr="0082751A">
        <w:rPr>
          <w:rFonts w:ascii="Arial" w:hAnsi="Arial" w:cs="Arial"/>
          <w:sz w:val="24"/>
          <w:szCs w:val="24"/>
          <w:lang w:val="ro-RO"/>
        </w:rPr>
        <w:t xml:space="preserve">s-au înregistrat </w:t>
      </w:r>
      <w:r w:rsidR="0082751A" w:rsidRPr="0082751A">
        <w:rPr>
          <w:rFonts w:ascii="Arial" w:hAnsi="Arial" w:cs="Arial"/>
          <w:sz w:val="24"/>
          <w:szCs w:val="24"/>
          <w:lang w:val="ro-RO"/>
        </w:rPr>
        <w:t>pe</w:t>
      </w:r>
      <w:r w:rsidR="00CD6EFC">
        <w:rPr>
          <w:rFonts w:ascii="Arial" w:hAnsi="Arial" w:cs="Arial"/>
          <w:sz w:val="24"/>
          <w:szCs w:val="24"/>
          <w:lang w:val="ro-RO"/>
        </w:rPr>
        <w:t xml:space="preserve"> unele</w:t>
      </w:r>
      <w:r w:rsidR="0082751A" w:rsidRPr="0082751A">
        <w:rPr>
          <w:rFonts w:ascii="Arial" w:hAnsi="Arial" w:cs="Arial"/>
          <w:sz w:val="24"/>
          <w:szCs w:val="24"/>
          <w:lang w:val="ro-RO"/>
        </w:rPr>
        <w:t xml:space="preserve"> </w:t>
      </w:r>
      <w:r w:rsidR="00CD6EFC">
        <w:rPr>
          <w:rFonts w:ascii="Arial" w:hAnsi="Arial" w:cs="Arial"/>
          <w:sz w:val="24"/>
          <w:szCs w:val="24"/>
          <w:lang w:val="ro-RO"/>
        </w:rPr>
        <w:t xml:space="preserve">străzi de categorie tehnică II, </w:t>
      </w:r>
      <w:r w:rsidR="0082751A" w:rsidRPr="0082751A">
        <w:rPr>
          <w:rFonts w:ascii="Arial" w:hAnsi="Arial" w:cs="Arial"/>
          <w:sz w:val="24"/>
          <w:szCs w:val="24"/>
          <w:lang w:val="ro-RO"/>
        </w:rPr>
        <w:t>de legătură</w:t>
      </w:r>
      <w:r w:rsidR="00CD6EFC">
        <w:rPr>
          <w:rFonts w:ascii="Arial" w:hAnsi="Arial" w:cs="Arial"/>
          <w:sz w:val="24"/>
          <w:szCs w:val="24"/>
          <w:lang w:val="ro-RO"/>
        </w:rPr>
        <w:t>, din</w:t>
      </w:r>
      <w:r w:rsidRPr="0082751A">
        <w:rPr>
          <w:rFonts w:ascii="Arial" w:hAnsi="Arial" w:cs="Arial"/>
          <w:sz w:val="24"/>
          <w:szCs w:val="24"/>
          <w:lang w:val="ro-RO"/>
        </w:rPr>
        <w:t xml:space="preserve"> municipiul Suceava</w:t>
      </w:r>
      <w:r w:rsidR="00CD6EFC">
        <w:rPr>
          <w:rFonts w:ascii="Arial" w:hAnsi="Arial" w:cs="Arial"/>
          <w:sz w:val="24"/>
          <w:szCs w:val="24"/>
          <w:lang w:val="ro-RO"/>
        </w:rPr>
        <w:t xml:space="preserve"> (pe b</w:t>
      </w:r>
      <w:r w:rsidRPr="0082751A">
        <w:rPr>
          <w:rFonts w:ascii="Arial" w:hAnsi="Arial" w:cs="Arial"/>
          <w:sz w:val="24"/>
          <w:szCs w:val="24"/>
          <w:lang w:val="ro-RO"/>
        </w:rPr>
        <w:t xml:space="preserve">d. George Enescu şi </w:t>
      </w:r>
      <w:r w:rsidR="0082751A" w:rsidRPr="0082751A">
        <w:rPr>
          <w:rFonts w:ascii="Arial" w:hAnsi="Arial" w:cs="Arial"/>
          <w:sz w:val="24"/>
          <w:szCs w:val="24"/>
          <w:lang w:val="ro-RO"/>
        </w:rPr>
        <w:t>str</w:t>
      </w:r>
      <w:r w:rsidR="00CD6EFC">
        <w:rPr>
          <w:rFonts w:ascii="Arial" w:hAnsi="Arial" w:cs="Arial"/>
          <w:sz w:val="24"/>
          <w:szCs w:val="24"/>
          <w:lang w:val="ro-RO"/>
        </w:rPr>
        <w:t>.</w:t>
      </w:r>
      <w:r w:rsidR="0082751A" w:rsidRPr="0082751A">
        <w:rPr>
          <w:rFonts w:ascii="Arial" w:hAnsi="Arial" w:cs="Arial"/>
          <w:sz w:val="24"/>
          <w:szCs w:val="24"/>
          <w:lang w:val="ro-RO"/>
        </w:rPr>
        <w:t xml:space="preserve"> Şefan cel Mare</w:t>
      </w:r>
      <w:r w:rsidR="00CD6EFC">
        <w:rPr>
          <w:rFonts w:ascii="Arial" w:hAnsi="Arial" w:cs="Arial"/>
          <w:sz w:val="24"/>
          <w:szCs w:val="24"/>
          <w:lang w:val="ro-RO"/>
        </w:rPr>
        <w:t>)</w:t>
      </w:r>
      <w:r w:rsidR="0082751A">
        <w:rPr>
          <w:rFonts w:ascii="Arial" w:hAnsi="Arial" w:cs="Arial"/>
          <w:sz w:val="24"/>
          <w:szCs w:val="24"/>
          <w:lang w:val="ro-RO"/>
        </w:rPr>
        <w:t xml:space="preserve"> și</w:t>
      </w:r>
      <w:r w:rsidR="0082751A" w:rsidRPr="0082751A">
        <w:rPr>
          <w:rFonts w:ascii="Arial" w:hAnsi="Arial" w:cs="Arial"/>
          <w:sz w:val="24"/>
          <w:szCs w:val="24"/>
          <w:lang w:val="ro-RO"/>
        </w:rPr>
        <w:t xml:space="preserve"> </w:t>
      </w:r>
      <w:r w:rsidR="0082751A">
        <w:rPr>
          <w:rFonts w:ascii="Arial" w:hAnsi="Arial" w:cs="Arial"/>
          <w:sz w:val="24"/>
          <w:szCs w:val="24"/>
          <w:lang w:val="ro-RO"/>
        </w:rPr>
        <w:t xml:space="preserve">orașul </w:t>
      </w:r>
      <w:r w:rsidR="0082751A" w:rsidRPr="0082751A">
        <w:rPr>
          <w:rFonts w:ascii="Arial" w:hAnsi="Arial" w:cs="Arial"/>
          <w:sz w:val="24"/>
          <w:szCs w:val="24"/>
          <w:lang w:val="ro-RO"/>
        </w:rPr>
        <w:t xml:space="preserve">Gura Humorului </w:t>
      </w:r>
      <w:r w:rsidR="00CD6EFC">
        <w:rPr>
          <w:rFonts w:ascii="Arial" w:hAnsi="Arial" w:cs="Arial"/>
          <w:sz w:val="24"/>
          <w:szCs w:val="24"/>
          <w:lang w:val="ro-RO"/>
        </w:rPr>
        <w:t>(pe s</w:t>
      </w:r>
      <w:r w:rsidR="0082751A" w:rsidRPr="0082751A">
        <w:rPr>
          <w:rFonts w:ascii="Arial" w:hAnsi="Arial" w:cs="Arial"/>
          <w:sz w:val="24"/>
          <w:szCs w:val="24"/>
          <w:lang w:val="ro-RO"/>
        </w:rPr>
        <w:t>tr. M. Kogălniceanu</w:t>
      </w:r>
      <w:r w:rsidR="0082751A">
        <w:rPr>
          <w:rFonts w:ascii="Arial" w:hAnsi="Arial" w:cs="Arial"/>
          <w:sz w:val="24"/>
          <w:szCs w:val="24"/>
          <w:lang w:val="ro-RO"/>
        </w:rPr>
        <w:t>)</w:t>
      </w:r>
      <w:r w:rsidR="00CD6EFC">
        <w:rPr>
          <w:rFonts w:ascii="Arial" w:hAnsi="Arial" w:cs="Arial"/>
          <w:sz w:val="24"/>
          <w:szCs w:val="24"/>
          <w:lang w:val="ro-RO"/>
        </w:rPr>
        <w:t>. Depășiri s-au înregistrat și pe</w:t>
      </w:r>
      <w:r w:rsidRPr="0082751A">
        <w:rPr>
          <w:rFonts w:ascii="Arial" w:hAnsi="Arial" w:cs="Arial"/>
          <w:sz w:val="24"/>
          <w:szCs w:val="24"/>
          <w:lang w:val="ro-RO"/>
        </w:rPr>
        <w:t xml:space="preserve"> </w:t>
      </w:r>
      <w:r w:rsidR="0082751A" w:rsidRPr="0082751A">
        <w:rPr>
          <w:rFonts w:ascii="Arial" w:hAnsi="Arial" w:cs="Arial"/>
          <w:sz w:val="24"/>
          <w:szCs w:val="24"/>
          <w:lang w:val="ro-RO"/>
        </w:rPr>
        <w:t>străzi de categorie tehnică III, de colectare</w:t>
      </w:r>
      <w:r w:rsidR="00CD6EFC">
        <w:rPr>
          <w:rFonts w:ascii="Arial" w:hAnsi="Arial" w:cs="Arial"/>
          <w:sz w:val="24"/>
          <w:szCs w:val="24"/>
          <w:lang w:val="ro-RO"/>
        </w:rPr>
        <w:t>, di</w:t>
      </w:r>
      <w:r w:rsidRPr="0082751A">
        <w:rPr>
          <w:rFonts w:ascii="Arial" w:hAnsi="Arial" w:cs="Arial"/>
          <w:sz w:val="24"/>
          <w:szCs w:val="24"/>
          <w:lang w:val="ro-RO"/>
        </w:rPr>
        <w:t>n municipiul Vatra Dornei</w:t>
      </w:r>
      <w:r w:rsidR="00CD6EFC">
        <w:rPr>
          <w:rFonts w:ascii="Arial" w:hAnsi="Arial" w:cs="Arial"/>
          <w:sz w:val="24"/>
          <w:szCs w:val="24"/>
          <w:lang w:val="ro-RO"/>
        </w:rPr>
        <w:t xml:space="preserve"> (pe </w:t>
      </w:r>
      <w:r w:rsidRPr="0082751A">
        <w:rPr>
          <w:rFonts w:ascii="Arial" w:hAnsi="Arial" w:cs="Arial"/>
          <w:sz w:val="24"/>
          <w:szCs w:val="24"/>
          <w:lang w:val="ro-RO"/>
        </w:rPr>
        <w:t>str. Dornelor</w:t>
      </w:r>
      <w:r w:rsidR="0082751A" w:rsidRPr="0082751A">
        <w:rPr>
          <w:rFonts w:ascii="Arial" w:hAnsi="Arial" w:cs="Arial"/>
          <w:sz w:val="24"/>
          <w:szCs w:val="24"/>
          <w:lang w:val="ro-RO"/>
        </w:rPr>
        <w:t xml:space="preserve"> și Calea Unirii</w:t>
      </w:r>
      <w:r w:rsidR="00CD6EFC">
        <w:rPr>
          <w:rFonts w:ascii="Arial" w:hAnsi="Arial" w:cs="Arial"/>
          <w:sz w:val="24"/>
          <w:szCs w:val="24"/>
          <w:lang w:val="ro-RO"/>
        </w:rPr>
        <w:t>)</w:t>
      </w:r>
      <w:r w:rsidRPr="0082751A">
        <w:rPr>
          <w:rFonts w:ascii="Arial" w:hAnsi="Arial" w:cs="Arial"/>
          <w:sz w:val="24"/>
          <w:szCs w:val="24"/>
          <w:lang w:val="ro-RO"/>
        </w:rPr>
        <w:t>.</w:t>
      </w:r>
    </w:p>
    <w:p w:rsidR="006A576D" w:rsidRPr="00CD6EFC" w:rsidRDefault="006A576D" w:rsidP="00CC1FB9">
      <w:pPr>
        <w:widowControl w:val="0"/>
        <w:spacing w:after="0" w:line="240" w:lineRule="auto"/>
        <w:ind w:firstLine="720"/>
        <w:jc w:val="both"/>
        <w:rPr>
          <w:rFonts w:ascii="Arial" w:hAnsi="Arial" w:cs="Arial"/>
          <w:sz w:val="16"/>
          <w:szCs w:val="16"/>
          <w:lang w:val="ro-RO"/>
        </w:rPr>
      </w:pPr>
    </w:p>
    <w:p w:rsidR="00CD6EFC" w:rsidRPr="00933132" w:rsidRDefault="00CD6EFC" w:rsidP="00CC1FB9">
      <w:pPr>
        <w:widowControl w:val="0"/>
        <w:spacing w:after="0" w:line="240" w:lineRule="auto"/>
        <w:jc w:val="center"/>
        <w:rPr>
          <w:rFonts w:ascii="Arial" w:eastAsiaTheme="minorEastAsia" w:hAnsi="Arial" w:cs="Arial"/>
          <w:sz w:val="10"/>
          <w:szCs w:val="10"/>
          <w:lang w:val="ro-RO" w:eastAsia="ro-RO"/>
        </w:rPr>
      </w:pPr>
    </w:p>
    <w:p w:rsidR="006A576D" w:rsidRPr="00351E13" w:rsidRDefault="006A576D" w:rsidP="00CC1FB9">
      <w:pPr>
        <w:widowControl w:val="0"/>
        <w:spacing w:after="0" w:line="240" w:lineRule="auto"/>
        <w:jc w:val="center"/>
        <w:rPr>
          <w:rFonts w:ascii="Arial" w:eastAsiaTheme="minorEastAsia" w:hAnsi="Arial" w:cs="Arial"/>
          <w:lang w:val="ro-RO" w:eastAsia="ro-RO"/>
        </w:rPr>
      </w:pPr>
      <w:r w:rsidRPr="00351E13">
        <w:rPr>
          <w:rFonts w:ascii="Arial" w:eastAsiaTheme="minorEastAsia" w:hAnsi="Arial" w:cs="Arial"/>
          <w:lang w:val="ro-RO" w:eastAsia="ro-RO"/>
        </w:rPr>
        <w:lastRenderedPageBreak/>
        <w:t>Tabelul VIII.1.2.1.2. Rezultatele monitorizării nivelului de zgomot urban în jud. Suceava</w:t>
      </w:r>
    </w:p>
    <w:p w:rsidR="006A576D" w:rsidRDefault="006A576D" w:rsidP="00CC1FB9">
      <w:pPr>
        <w:widowControl w:val="0"/>
        <w:spacing w:after="0" w:line="240" w:lineRule="auto"/>
        <w:jc w:val="center"/>
        <w:rPr>
          <w:rFonts w:ascii="Arial" w:eastAsiaTheme="minorEastAsia" w:hAnsi="Arial" w:cs="Arial"/>
          <w:lang w:val="ro-RO" w:eastAsia="ro-RO"/>
        </w:rPr>
      </w:pPr>
      <w:r w:rsidRPr="00351E13">
        <w:rPr>
          <w:rFonts w:ascii="Arial" w:eastAsiaTheme="minorEastAsia" w:hAnsi="Arial" w:cs="Arial"/>
          <w:lang w:val="ro-RO" w:eastAsia="ro-RO"/>
        </w:rPr>
        <w:t>în anul 201</w:t>
      </w:r>
      <w:r w:rsidR="00351E13">
        <w:rPr>
          <w:rFonts w:ascii="Arial" w:eastAsiaTheme="minorEastAsia" w:hAnsi="Arial" w:cs="Arial"/>
          <w:lang w:val="ro-RO" w:eastAsia="ro-RO"/>
        </w:rPr>
        <w:t>7</w:t>
      </w:r>
      <w:r w:rsidRPr="00351E13">
        <w:rPr>
          <w:rFonts w:ascii="Arial" w:eastAsiaTheme="minorEastAsia" w:hAnsi="Arial" w:cs="Arial"/>
          <w:lang w:val="ro-RO" w:eastAsia="ro-RO"/>
        </w:rPr>
        <w:t xml:space="preserve">, pe </w:t>
      </w:r>
      <w:r w:rsidRPr="00351E13">
        <w:rPr>
          <w:rFonts w:ascii="Arial" w:eastAsiaTheme="minorEastAsia" w:hAnsi="Arial" w:cs="Arial"/>
          <w:b/>
          <w:lang w:val="ro-RO" w:eastAsia="ro-RO"/>
        </w:rPr>
        <w:t>puncte de monitorizare</w:t>
      </w:r>
      <w:r w:rsidRPr="00351E13">
        <w:rPr>
          <w:rFonts w:ascii="Arial" w:eastAsiaTheme="minorEastAsia" w:hAnsi="Arial" w:cs="Arial"/>
          <w:lang w:val="ro-RO" w:eastAsia="ro-RO"/>
        </w:rPr>
        <w:t xml:space="preserve"> </w:t>
      </w:r>
    </w:p>
    <w:p w:rsidR="009B2198" w:rsidRPr="009B2198" w:rsidRDefault="009B2198" w:rsidP="00CC1FB9">
      <w:pPr>
        <w:widowControl w:val="0"/>
        <w:spacing w:after="0" w:line="240" w:lineRule="auto"/>
        <w:jc w:val="center"/>
        <w:rPr>
          <w:rFonts w:ascii="Arial" w:eastAsiaTheme="minorEastAsia" w:hAnsi="Arial" w:cs="Arial"/>
          <w:sz w:val="10"/>
          <w:szCs w:val="10"/>
          <w:lang w:val="ro-RO" w:eastAsia="ro-RO"/>
        </w:rPr>
      </w:pPr>
    </w:p>
    <w:tbl>
      <w:tblPr>
        <w:tblW w:w="499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331"/>
        <w:gridCol w:w="4360"/>
        <w:gridCol w:w="1199"/>
        <w:gridCol w:w="1436"/>
        <w:gridCol w:w="1497"/>
      </w:tblGrid>
      <w:tr w:rsidR="0088115C" w:rsidRPr="0088115C" w:rsidTr="001675B8">
        <w:trPr>
          <w:trHeight w:val="180"/>
          <w:tblHeader/>
          <w:jc w:val="center"/>
        </w:trPr>
        <w:tc>
          <w:tcPr>
            <w:tcW w:w="677" w:type="pct"/>
            <w:vMerge w:val="restart"/>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Tip măsură-toare zgomot</w:t>
            </w:r>
          </w:p>
        </w:tc>
        <w:tc>
          <w:tcPr>
            <w:tcW w:w="2219" w:type="pct"/>
            <w:vMerge w:val="restart"/>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Punct de măsurare</w:t>
            </w:r>
          </w:p>
        </w:tc>
        <w:tc>
          <w:tcPr>
            <w:tcW w:w="610" w:type="pct"/>
            <w:vMerge w:val="restart"/>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Nr. măs</w:t>
            </w:r>
            <w:proofErr w:type="gramStart"/>
            <w:r w:rsidRPr="0088115C">
              <w:rPr>
                <w:rFonts w:ascii="Arial" w:hAnsi="Arial" w:cs="Arial"/>
                <w:b/>
                <w:bCs/>
                <w:sz w:val="20"/>
                <w:szCs w:val="20"/>
              </w:rPr>
              <w:t>./</w:t>
            </w:r>
            <w:proofErr w:type="gramEnd"/>
          </w:p>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b/>
                <w:bCs/>
                <w:sz w:val="20"/>
                <w:szCs w:val="20"/>
              </w:rPr>
              <w:t xml:space="preserve">Nr. depășiri VLA </w:t>
            </w:r>
            <w:r w:rsidRPr="0088115C">
              <w:rPr>
                <w:rFonts w:ascii="Arial" w:hAnsi="Arial" w:cs="Arial"/>
                <w:b/>
                <w:sz w:val="20"/>
                <w:szCs w:val="20"/>
              </w:rPr>
              <w:t>L</w:t>
            </w:r>
            <w:r w:rsidRPr="0088115C">
              <w:rPr>
                <w:rFonts w:ascii="Arial" w:hAnsi="Arial" w:cs="Arial"/>
                <w:b/>
                <w:sz w:val="20"/>
                <w:szCs w:val="20"/>
                <w:vertAlign w:val="subscript"/>
              </w:rPr>
              <w:t>Aeq</w:t>
            </w:r>
          </w:p>
        </w:tc>
        <w:tc>
          <w:tcPr>
            <w:tcW w:w="1493" w:type="pct"/>
            <w:gridSpan w:val="2"/>
            <w:shd w:val="clear" w:color="auto" w:fill="FFFF99"/>
            <w:vAlign w:val="center"/>
          </w:tcPr>
          <w:p w:rsidR="0088115C" w:rsidRPr="0088115C" w:rsidRDefault="0088115C" w:rsidP="00CC1FB9">
            <w:pPr>
              <w:widowControl w:val="0"/>
              <w:spacing w:after="0" w:line="240" w:lineRule="auto"/>
              <w:jc w:val="center"/>
              <w:rPr>
                <w:rFonts w:ascii="Arial" w:hAnsi="Arial" w:cs="Arial"/>
                <w:b/>
                <w:sz w:val="20"/>
                <w:szCs w:val="20"/>
              </w:rPr>
            </w:pPr>
            <w:r w:rsidRPr="0088115C">
              <w:rPr>
                <w:rFonts w:ascii="Arial" w:hAnsi="Arial" w:cs="Arial"/>
                <w:b/>
                <w:sz w:val="20"/>
                <w:szCs w:val="20"/>
              </w:rPr>
              <w:t>Nivel de presiune acustică continuu echivalent ponderat A, L</w:t>
            </w:r>
            <w:r w:rsidRPr="0088115C">
              <w:rPr>
                <w:rFonts w:ascii="Arial" w:hAnsi="Arial" w:cs="Arial"/>
                <w:b/>
                <w:sz w:val="20"/>
                <w:szCs w:val="20"/>
                <w:vertAlign w:val="subscript"/>
              </w:rPr>
              <w:t>Aeq</w:t>
            </w:r>
            <w:r w:rsidRPr="0088115C">
              <w:rPr>
                <w:rFonts w:ascii="Arial" w:hAnsi="Arial" w:cs="Arial"/>
                <w:b/>
                <w:sz w:val="20"/>
                <w:szCs w:val="20"/>
              </w:rPr>
              <w:t xml:space="preserve">, </w:t>
            </w:r>
            <w:r w:rsidRPr="0088115C">
              <w:rPr>
                <w:rFonts w:ascii="Arial" w:hAnsi="Arial" w:cs="Arial"/>
                <w:b/>
                <w:bCs/>
                <w:sz w:val="20"/>
                <w:szCs w:val="20"/>
              </w:rPr>
              <w:t>dB(A)</w:t>
            </w:r>
          </w:p>
        </w:tc>
      </w:tr>
      <w:tr w:rsidR="0088115C" w:rsidRPr="0088115C" w:rsidTr="001675B8">
        <w:trPr>
          <w:trHeight w:val="156"/>
          <w:tblHeader/>
          <w:jc w:val="center"/>
        </w:trPr>
        <w:tc>
          <w:tcPr>
            <w:tcW w:w="677" w:type="pct"/>
            <w:vMerge/>
            <w:tcBorders>
              <w:bottom w:val="single" w:sz="2" w:space="0" w:color="auto"/>
            </w:tcBorders>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p>
        </w:tc>
        <w:tc>
          <w:tcPr>
            <w:tcW w:w="2219" w:type="pct"/>
            <w:vMerge/>
            <w:tcBorders>
              <w:bottom w:val="single" w:sz="2" w:space="0" w:color="auto"/>
            </w:tcBorders>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p>
        </w:tc>
        <w:tc>
          <w:tcPr>
            <w:tcW w:w="610" w:type="pct"/>
            <w:vMerge/>
            <w:tcBorders>
              <w:bottom w:val="single" w:sz="2" w:space="0" w:color="auto"/>
            </w:tcBorders>
            <w:shd w:val="clear" w:color="auto" w:fill="FFFF99"/>
            <w:vAlign w:val="center"/>
          </w:tcPr>
          <w:p w:rsidR="0088115C" w:rsidRPr="0088115C" w:rsidRDefault="0088115C" w:rsidP="00CC1FB9">
            <w:pPr>
              <w:widowControl w:val="0"/>
              <w:spacing w:after="0" w:line="240" w:lineRule="auto"/>
              <w:jc w:val="center"/>
              <w:rPr>
                <w:rFonts w:ascii="Arial" w:hAnsi="Arial" w:cs="Arial"/>
                <w:b/>
                <w:bCs/>
                <w:sz w:val="20"/>
                <w:szCs w:val="20"/>
              </w:rPr>
            </w:pPr>
          </w:p>
        </w:tc>
        <w:tc>
          <w:tcPr>
            <w:tcW w:w="731" w:type="pct"/>
            <w:tcBorders>
              <w:bottom w:val="single" w:sz="2" w:space="0" w:color="auto"/>
            </w:tcBorders>
            <w:shd w:val="clear" w:color="auto" w:fill="FFFF99"/>
            <w:vAlign w:val="center"/>
          </w:tcPr>
          <w:p w:rsidR="0088115C" w:rsidRPr="0088115C" w:rsidRDefault="0088115C" w:rsidP="00CC1FB9">
            <w:pPr>
              <w:widowControl w:val="0"/>
              <w:spacing w:after="0" w:line="240" w:lineRule="auto"/>
              <w:jc w:val="center"/>
              <w:rPr>
                <w:rFonts w:ascii="Arial" w:hAnsi="Arial" w:cs="Arial"/>
                <w:b/>
                <w:sz w:val="20"/>
                <w:szCs w:val="20"/>
              </w:rPr>
            </w:pPr>
            <w:r w:rsidRPr="0088115C">
              <w:rPr>
                <w:rFonts w:ascii="Arial" w:hAnsi="Arial" w:cs="Arial"/>
                <w:b/>
                <w:sz w:val="20"/>
                <w:szCs w:val="20"/>
              </w:rPr>
              <w:t>Valoare maximă anuală</w:t>
            </w:r>
          </w:p>
        </w:tc>
        <w:tc>
          <w:tcPr>
            <w:tcW w:w="762" w:type="pct"/>
            <w:tcBorders>
              <w:bottom w:val="single" w:sz="2" w:space="0" w:color="auto"/>
            </w:tcBorders>
            <w:shd w:val="clear" w:color="auto" w:fill="FFFF99"/>
            <w:vAlign w:val="center"/>
          </w:tcPr>
          <w:p w:rsidR="0088115C" w:rsidRPr="0088115C" w:rsidRDefault="0088115C" w:rsidP="00CC1FB9">
            <w:pPr>
              <w:widowControl w:val="0"/>
              <w:spacing w:after="0" w:line="240" w:lineRule="auto"/>
              <w:jc w:val="center"/>
              <w:rPr>
                <w:rFonts w:ascii="Arial" w:hAnsi="Arial" w:cs="Arial"/>
                <w:b/>
                <w:sz w:val="20"/>
                <w:szCs w:val="20"/>
              </w:rPr>
            </w:pPr>
            <w:r w:rsidRPr="0088115C">
              <w:rPr>
                <w:rFonts w:ascii="Arial" w:hAnsi="Arial" w:cs="Arial"/>
                <w:b/>
                <w:sz w:val="20"/>
                <w:szCs w:val="20"/>
              </w:rPr>
              <w:t>Limită admisibilă (VLA)</w:t>
            </w:r>
          </w:p>
        </w:tc>
      </w:tr>
      <w:tr w:rsidR="0088115C" w:rsidRPr="0088115C" w:rsidTr="001675B8">
        <w:trPr>
          <w:trHeight w:val="69"/>
          <w:jc w:val="center"/>
        </w:trPr>
        <w:tc>
          <w:tcPr>
            <w:tcW w:w="677" w:type="pct"/>
            <w:vMerge w:val="restart"/>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r w:rsidRPr="0088115C">
              <w:rPr>
                <w:rFonts w:ascii="Arial" w:hAnsi="Arial" w:cs="Arial"/>
                <w:b/>
                <w:sz w:val="20"/>
                <w:szCs w:val="20"/>
              </w:rPr>
              <w:t>Stradă de categorie tehnică I, magistrală</w:t>
            </w: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1. Câmpulung Moldovenesc – Colegiul Silvic (E576)</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75,9</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sidR="00933132">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50"/>
          <w:jc w:val="center"/>
        </w:trPr>
        <w:tc>
          <w:tcPr>
            <w:tcW w:w="677" w:type="pct"/>
            <w:vMerge/>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2. Gura Humorului – Bd. Bucovinei nr. 72-73, pe E576</w:t>
            </w:r>
          </w:p>
        </w:tc>
        <w:tc>
          <w:tcPr>
            <w:tcW w:w="610"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73,1</w:t>
            </w:r>
          </w:p>
        </w:tc>
        <w:tc>
          <w:tcPr>
            <w:tcW w:w="762" w:type="pct"/>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50"/>
          <w:jc w:val="center"/>
        </w:trPr>
        <w:tc>
          <w:tcPr>
            <w:tcW w:w="677" w:type="pct"/>
            <w:vMerge/>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3. Suceava – C. Unirii, aval inters. Mirăuţi, aval </w:t>
            </w:r>
            <w:smartTag w:uri="urn:schemas-microsoft-com:office:smarttags" w:element="metricconverter">
              <w:smartTagPr>
                <w:attr w:name="ProductID" w:val="60 m"/>
              </w:smartTagPr>
              <w:r w:rsidRPr="0088115C">
                <w:rPr>
                  <w:rFonts w:ascii="Arial" w:hAnsi="Arial" w:cs="Arial"/>
                  <w:sz w:val="20"/>
                  <w:szCs w:val="20"/>
                </w:rPr>
                <w:t>60 m de</w:t>
              </w:r>
            </w:smartTag>
            <w:r w:rsidRPr="0088115C">
              <w:rPr>
                <w:rFonts w:ascii="Arial" w:hAnsi="Arial" w:cs="Arial"/>
                <w:sz w:val="20"/>
                <w:szCs w:val="20"/>
              </w:rPr>
              <w:t xml:space="preserve"> bloc AMBRO</w:t>
            </w:r>
          </w:p>
        </w:tc>
        <w:tc>
          <w:tcPr>
            <w:tcW w:w="610"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75,2</w:t>
            </w:r>
          </w:p>
        </w:tc>
        <w:tc>
          <w:tcPr>
            <w:tcW w:w="762" w:type="pct"/>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279"/>
          <w:jc w:val="center"/>
        </w:trPr>
        <w:tc>
          <w:tcPr>
            <w:tcW w:w="677" w:type="pct"/>
            <w:vMerge/>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4. Siret – Str. Alex. cel Bun, Bl. 20</w:t>
            </w:r>
          </w:p>
        </w:tc>
        <w:tc>
          <w:tcPr>
            <w:tcW w:w="610"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70,7</w:t>
            </w:r>
          </w:p>
        </w:tc>
        <w:tc>
          <w:tcPr>
            <w:tcW w:w="762" w:type="pct"/>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279"/>
          <w:jc w:val="center"/>
        </w:trPr>
        <w:tc>
          <w:tcPr>
            <w:tcW w:w="677" w:type="pct"/>
            <w:vMerge/>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5. Sucea</w:t>
            </w:r>
            <w:r>
              <w:rPr>
                <w:rFonts w:ascii="Arial" w:hAnsi="Arial" w:cs="Arial"/>
                <w:sz w:val="20"/>
                <w:szCs w:val="20"/>
              </w:rPr>
              <w:t>va – Calea Unirii, Şc. Gen. nr. 5 „Jean Bart”</w:t>
            </w:r>
          </w:p>
        </w:tc>
        <w:tc>
          <w:tcPr>
            <w:tcW w:w="610"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69,4</w:t>
            </w:r>
          </w:p>
        </w:tc>
        <w:tc>
          <w:tcPr>
            <w:tcW w:w="762" w:type="pct"/>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211"/>
          <w:jc w:val="center"/>
        </w:trPr>
        <w:tc>
          <w:tcPr>
            <w:tcW w:w="677" w:type="pct"/>
            <w:vMerge/>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6. Rădăuţi – Str. Putnei nr. 69</w:t>
            </w:r>
          </w:p>
        </w:tc>
        <w:tc>
          <w:tcPr>
            <w:tcW w:w="610"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71,</w:t>
            </w:r>
            <w:r>
              <w:rPr>
                <w:rFonts w:ascii="Arial" w:hAnsi="Arial" w:cs="Arial"/>
                <w:sz w:val="20"/>
                <w:szCs w:val="20"/>
              </w:rPr>
              <w:t>9</w:t>
            </w:r>
          </w:p>
        </w:tc>
        <w:tc>
          <w:tcPr>
            <w:tcW w:w="762" w:type="pct"/>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933132" w:rsidRPr="0088115C" w:rsidTr="001675B8">
        <w:trPr>
          <w:trHeight w:val="230"/>
          <w:jc w:val="center"/>
        </w:trPr>
        <w:tc>
          <w:tcPr>
            <w:tcW w:w="677" w:type="pct"/>
            <w:vMerge/>
            <w:tcBorders>
              <w:bottom w:val="single" w:sz="2" w:space="0" w:color="auto"/>
            </w:tcBorders>
            <w:shd w:val="clear" w:color="auto" w:fill="auto"/>
            <w:vAlign w:val="center"/>
          </w:tcPr>
          <w:p w:rsidR="00933132" w:rsidRPr="0088115C" w:rsidRDefault="00933132" w:rsidP="00CC1FB9">
            <w:pPr>
              <w:widowControl w:val="0"/>
              <w:spacing w:after="0" w:line="240" w:lineRule="auto"/>
              <w:jc w:val="center"/>
              <w:rPr>
                <w:rFonts w:ascii="Arial" w:hAnsi="Arial" w:cs="Arial"/>
                <w:sz w:val="20"/>
                <w:szCs w:val="20"/>
              </w:rPr>
            </w:pPr>
          </w:p>
        </w:tc>
        <w:tc>
          <w:tcPr>
            <w:tcW w:w="2219" w:type="pct"/>
            <w:tcBorders>
              <w:bottom w:val="single" w:sz="2" w:space="0" w:color="auto"/>
            </w:tcBorders>
            <w:vAlign w:val="center"/>
          </w:tcPr>
          <w:p w:rsidR="00933132" w:rsidRPr="0088115C" w:rsidRDefault="00933132"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7. Fălticeni – Str. Sucevei nr. 80-82 (E85), vis-a vis de colegiul N. Gane </w:t>
            </w:r>
          </w:p>
        </w:tc>
        <w:tc>
          <w:tcPr>
            <w:tcW w:w="610" w:type="pct"/>
            <w:tcBorders>
              <w:bottom w:val="single" w:sz="2" w:space="0" w:color="auto"/>
            </w:tcBorders>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2" w:space="0" w:color="auto"/>
            </w:tcBorders>
            <w:vAlign w:val="center"/>
          </w:tcPr>
          <w:p w:rsidR="00933132" w:rsidRPr="0088115C" w:rsidRDefault="00933132" w:rsidP="00CC1FB9">
            <w:pPr>
              <w:widowControl w:val="0"/>
              <w:spacing w:after="0" w:line="240" w:lineRule="auto"/>
              <w:jc w:val="center"/>
              <w:rPr>
                <w:rFonts w:ascii="Arial" w:hAnsi="Arial" w:cs="Arial"/>
                <w:sz w:val="20"/>
                <w:szCs w:val="20"/>
              </w:rPr>
            </w:pPr>
            <w:r w:rsidRPr="0088115C">
              <w:rPr>
                <w:rFonts w:ascii="Arial" w:hAnsi="Arial" w:cs="Arial"/>
                <w:sz w:val="20"/>
                <w:szCs w:val="20"/>
              </w:rPr>
              <w:t>69,4</w:t>
            </w:r>
          </w:p>
        </w:tc>
        <w:tc>
          <w:tcPr>
            <w:tcW w:w="762" w:type="pct"/>
            <w:tcBorders>
              <w:bottom w:val="single" w:sz="2" w:space="0" w:color="auto"/>
            </w:tcBorders>
            <w:vAlign w:val="center"/>
          </w:tcPr>
          <w:p w:rsidR="00933132" w:rsidRPr="0088115C" w:rsidRDefault="00933132"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75</w:t>
            </w:r>
            <w:r>
              <w:rPr>
                <w:rFonts w:ascii="Arial" w:hAnsi="Arial" w:cs="Arial"/>
                <w:b/>
                <w:bCs/>
                <w:sz w:val="20"/>
                <w:szCs w:val="20"/>
              </w:rPr>
              <w:t>-</w:t>
            </w:r>
            <w:r w:rsidRPr="0088115C">
              <w:rPr>
                <w:rFonts w:ascii="Arial" w:hAnsi="Arial" w:cs="Arial"/>
                <w:b/>
                <w:bCs/>
                <w:sz w:val="20"/>
                <w:szCs w:val="20"/>
              </w:rPr>
              <w:t>85</w:t>
            </w:r>
          </w:p>
        </w:tc>
      </w:tr>
      <w:tr w:rsidR="0088115C" w:rsidRPr="0088115C" w:rsidTr="001675B8">
        <w:trPr>
          <w:trHeight w:val="135"/>
          <w:jc w:val="center"/>
        </w:trPr>
        <w:tc>
          <w:tcPr>
            <w:tcW w:w="677" w:type="pct"/>
            <w:vMerge w:val="restart"/>
            <w:tcBorders>
              <w:top w:val="single" w:sz="12" w:space="0" w:color="auto"/>
            </w:tcBorders>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r w:rsidRPr="0088115C">
              <w:rPr>
                <w:rFonts w:ascii="Arial" w:hAnsi="Arial" w:cs="Arial"/>
                <w:b/>
                <w:sz w:val="20"/>
                <w:szCs w:val="20"/>
              </w:rPr>
              <w:t>Stradă de categorie tehnică II, de legătură</w:t>
            </w:r>
          </w:p>
        </w:tc>
        <w:tc>
          <w:tcPr>
            <w:tcW w:w="2219" w:type="pct"/>
            <w:tcBorders>
              <w:top w:val="single" w:sz="12" w:space="0" w:color="auto"/>
              <w:bottom w:val="single" w:sz="4" w:space="0" w:color="auto"/>
            </w:tcBorders>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1. Rădăuţi – Str. Ion Nistor, grădiniţa Sf. Maria</w:t>
            </w:r>
          </w:p>
        </w:tc>
        <w:tc>
          <w:tcPr>
            <w:tcW w:w="610" w:type="pct"/>
            <w:tcBorders>
              <w:top w:val="single" w:sz="12"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12"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68,2</w:t>
            </w:r>
          </w:p>
        </w:tc>
        <w:tc>
          <w:tcPr>
            <w:tcW w:w="762" w:type="pct"/>
            <w:tcBorders>
              <w:top w:val="single" w:sz="12"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tcBorders>
              <w:top w:val="single" w:sz="12" w:space="0" w:color="auto"/>
            </w:tcBorders>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tcBorders>
              <w:top w:val="single" w:sz="4" w:space="0" w:color="auto"/>
              <w:bottom w:val="single" w:sz="4" w:space="0" w:color="auto"/>
            </w:tcBorders>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2. Rădăuţi - Str.Gen. Iacob Zadik, bl. 20, sc. D2</w:t>
            </w:r>
          </w:p>
        </w:tc>
        <w:tc>
          <w:tcPr>
            <w:tcW w:w="610" w:type="pct"/>
            <w:tcBorders>
              <w:top w:val="single" w:sz="4"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4"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68,1</w:t>
            </w:r>
          </w:p>
        </w:tc>
        <w:tc>
          <w:tcPr>
            <w:tcW w:w="762" w:type="pct"/>
            <w:tcBorders>
              <w:top w:val="single" w:sz="4" w:space="0" w:color="auto"/>
              <w:bottom w:val="single" w:sz="4" w:space="0" w:color="auto"/>
            </w:tcBorders>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tcBorders>
              <w:top w:val="single" w:sz="12" w:space="0" w:color="auto"/>
            </w:tcBorders>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tcBorders>
              <w:top w:val="single" w:sz="4" w:space="0" w:color="auto"/>
            </w:tcBorders>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3. Gura Hu</w:t>
            </w:r>
            <w:r>
              <w:rPr>
                <w:rFonts w:ascii="Arial" w:hAnsi="Arial" w:cs="Arial"/>
                <w:sz w:val="20"/>
                <w:szCs w:val="20"/>
              </w:rPr>
              <w:t>morului – Str. M. Kogălniceanu,</w:t>
            </w:r>
            <w:r w:rsidRPr="0088115C">
              <w:rPr>
                <w:rFonts w:ascii="Arial" w:hAnsi="Arial" w:cs="Arial"/>
                <w:sz w:val="20"/>
                <w:szCs w:val="20"/>
              </w:rPr>
              <w:t xml:space="preserve"> Bl. 7</w:t>
            </w:r>
          </w:p>
        </w:tc>
        <w:tc>
          <w:tcPr>
            <w:tcW w:w="610" w:type="pct"/>
            <w:tcBorders>
              <w:top w:val="single" w:sz="4" w:space="0" w:color="auto"/>
            </w:tcBorders>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tcBorders>
              <w:top w:val="single" w:sz="4" w:space="0" w:color="auto"/>
            </w:tcBorders>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71,5</w:t>
            </w:r>
          </w:p>
        </w:tc>
        <w:tc>
          <w:tcPr>
            <w:tcW w:w="762" w:type="pct"/>
            <w:tcBorders>
              <w:top w:val="single" w:sz="4" w:space="0" w:color="auto"/>
            </w:tcBorders>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4. Suceava – Str. V. Alecsandri Colegiul Naţ. „Ştefan cel Mare” </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67,9</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5. Suceava – Bd. G. Enescu, vis-à-vis de drumul spre Liceul Sportiv </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72,3</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6. Câmpulung Moldovenesc – Str. Gării, Bl.6 (trafic greu)</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69,</w:t>
            </w:r>
            <w:r w:rsidR="00663FA1">
              <w:rPr>
                <w:rFonts w:ascii="Arial" w:hAnsi="Arial" w:cs="Arial"/>
                <w:bCs/>
                <w:sz w:val="20"/>
                <w:szCs w:val="20"/>
              </w:rPr>
              <w:t>7</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7. Fălticeni – bd. Revoluţiei nr. 8 (pe E85), vis-à-vis magazin “Nada Florilor” (pe E85)</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63,7</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8. Rădăuţi – Calea Cernăuţi (DN2H), cca. 100 m înainte semafor din inters. cu Piaţa Unirii</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68,9</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9. Suceava – Str. C. Coposu, bl. 9, cca. 25 m aval de inters. cu str. Bistriţei</w:t>
            </w:r>
            <w:r w:rsidRPr="0088115C">
              <w:rPr>
                <w:rFonts w:ascii="Arial" w:eastAsia="Times New Roman" w:hAnsi="Arial" w:cs="Arial"/>
                <w:sz w:val="20"/>
                <w:szCs w:val="20"/>
              </w:rPr>
              <w:t xml:space="preserve"> </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68,5</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10. Suceava - Str. Stefan cel Mare, vis-a-vis Tribunal </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2/2</w:t>
            </w:r>
          </w:p>
        </w:tc>
        <w:tc>
          <w:tcPr>
            <w:tcW w:w="731"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73,2</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88115C" w:rsidRPr="0088115C" w:rsidTr="001675B8">
        <w:trPr>
          <w:trHeight w:val="135"/>
          <w:jc w:val="center"/>
        </w:trPr>
        <w:tc>
          <w:tcPr>
            <w:tcW w:w="677" w:type="pct"/>
            <w:vMerge/>
            <w:shd w:val="clear" w:color="auto" w:fill="auto"/>
            <w:vAlign w:val="center"/>
          </w:tcPr>
          <w:p w:rsidR="0088115C" w:rsidRPr="0088115C" w:rsidRDefault="0088115C" w:rsidP="00CC1FB9">
            <w:pPr>
              <w:widowControl w:val="0"/>
              <w:spacing w:after="0" w:line="240" w:lineRule="auto"/>
              <w:jc w:val="center"/>
              <w:rPr>
                <w:rFonts w:ascii="Arial" w:hAnsi="Arial" w:cs="Arial"/>
                <w:b/>
                <w:sz w:val="20"/>
                <w:szCs w:val="20"/>
              </w:rPr>
            </w:pPr>
          </w:p>
        </w:tc>
        <w:tc>
          <w:tcPr>
            <w:tcW w:w="2219" w:type="pct"/>
            <w:vAlign w:val="center"/>
          </w:tcPr>
          <w:p w:rsidR="0088115C" w:rsidRPr="0088115C" w:rsidRDefault="0088115C" w:rsidP="00CC1FB9">
            <w:pPr>
              <w:widowControl w:val="0"/>
              <w:spacing w:after="0" w:line="240" w:lineRule="auto"/>
              <w:jc w:val="both"/>
              <w:rPr>
                <w:rFonts w:ascii="Arial" w:hAnsi="Arial" w:cs="Arial"/>
                <w:sz w:val="20"/>
                <w:szCs w:val="20"/>
              </w:rPr>
            </w:pPr>
            <w:r w:rsidRPr="0088115C">
              <w:rPr>
                <w:rFonts w:ascii="Arial" w:hAnsi="Arial" w:cs="Arial"/>
                <w:sz w:val="20"/>
                <w:szCs w:val="20"/>
              </w:rPr>
              <w:t>11. Suceava – Str. Mărăşeşti, vis-a-vis Şc. generală nr. 3</w:t>
            </w:r>
          </w:p>
        </w:tc>
        <w:tc>
          <w:tcPr>
            <w:tcW w:w="610"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88115C" w:rsidRPr="0088115C" w:rsidRDefault="0088115C" w:rsidP="00CC1FB9">
            <w:pPr>
              <w:widowControl w:val="0"/>
              <w:spacing w:after="0" w:line="240" w:lineRule="auto"/>
              <w:jc w:val="center"/>
              <w:rPr>
                <w:rFonts w:ascii="Arial" w:hAnsi="Arial" w:cs="Arial"/>
                <w:sz w:val="20"/>
                <w:szCs w:val="20"/>
              </w:rPr>
            </w:pPr>
            <w:r w:rsidRPr="0088115C">
              <w:rPr>
                <w:rFonts w:ascii="Arial" w:hAnsi="Arial" w:cs="Arial"/>
                <w:sz w:val="20"/>
                <w:szCs w:val="20"/>
              </w:rPr>
              <w:t>62,8</w:t>
            </w:r>
          </w:p>
        </w:tc>
        <w:tc>
          <w:tcPr>
            <w:tcW w:w="762" w:type="pct"/>
            <w:vAlign w:val="center"/>
          </w:tcPr>
          <w:p w:rsidR="0088115C" w:rsidRPr="0088115C" w:rsidRDefault="0088115C"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r w:rsidR="00663FA1" w:rsidRPr="0088115C" w:rsidTr="001675B8">
        <w:trPr>
          <w:trHeight w:val="48"/>
          <w:jc w:val="center"/>
        </w:trPr>
        <w:tc>
          <w:tcPr>
            <w:tcW w:w="677" w:type="pct"/>
            <w:vMerge w:val="restart"/>
            <w:tcBorders>
              <w:top w:val="single" w:sz="12" w:space="0" w:color="auto"/>
            </w:tcBorders>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b/>
                <w:sz w:val="20"/>
                <w:szCs w:val="20"/>
              </w:rPr>
              <w:t>Stradă de categorie tehnică III, de colectare</w:t>
            </w:r>
          </w:p>
        </w:tc>
        <w:tc>
          <w:tcPr>
            <w:tcW w:w="2219" w:type="pct"/>
            <w:tcBorders>
              <w:top w:val="single" w:sz="12" w:space="0" w:color="auto"/>
            </w:tcBorders>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1. Vatra Dornei – Str. Dornelor, în faţă la "Clubul copiilor"</w:t>
            </w:r>
          </w:p>
        </w:tc>
        <w:tc>
          <w:tcPr>
            <w:tcW w:w="610"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1/1</w:t>
            </w:r>
          </w:p>
        </w:tc>
        <w:tc>
          <w:tcPr>
            <w:tcW w:w="731"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68,8</w:t>
            </w:r>
          </w:p>
        </w:tc>
        <w:tc>
          <w:tcPr>
            <w:tcW w:w="762"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663FA1" w:rsidRPr="0088115C" w:rsidTr="001675B8">
        <w:trPr>
          <w:trHeight w:val="219"/>
          <w:jc w:val="center"/>
        </w:trPr>
        <w:tc>
          <w:tcPr>
            <w:tcW w:w="677" w:type="pct"/>
            <w:vMerge/>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2. Vatra Dornei – Calea Unirii, bl. B, Sc. A</w:t>
            </w:r>
          </w:p>
        </w:tc>
        <w:tc>
          <w:tcPr>
            <w:tcW w:w="610"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1/1</w:t>
            </w:r>
          </w:p>
        </w:tc>
        <w:tc>
          <w:tcPr>
            <w:tcW w:w="731" w:type="pct"/>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65,5</w:t>
            </w:r>
          </w:p>
        </w:tc>
        <w:tc>
          <w:tcPr>
            <w:tcW w:w="762" w:type="pct"/>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663FA1" w:rsidRPr="0088115C" w:rsidTr="001675B8">
        <w:trPr>
          <w:trHeight w:val="48"/>
          <w:jc w:val="center"/>
        </w:trPr>
        <w:tc>
          <w:tcPr>
            <w:tcW w:w="677" w:type="pct"/>
            <w:vMerge/>
            <w:tcBorders>
              <w:bottom w:val="single" w:sz="12" w:space="0" w:color="auto"/>
            </w:tcBorders>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tcBorders>
              <w:bottom w:val="single" w:sz="12" w:space="0" w:color="auto"/>
            </w:tcBorders>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3. Suceava - Str. Narciselor, în faţă la  Hotel Bicom</w:t>
            </w:r>
          </w:p>
        </w:tc>
        <w:tc>
          <w:tcPr>
            <w:tcW w:w="610"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65,0</w:t>
            </w:r>
          </w:p>
        </w:tc>
        <w:tc>
          <w:tcPr>
            <w:tcW w:w="762"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65</w:t>
            </w:r>
          </w:p>
        </w:tc>
      </w:tr>
      <w:tr w:rsidR="00663FA1" w:rsidRPr="0088115C" w:rsidTr="001675B8">
        <w:trPr>
          <w:trHeight w:val="48"/>
          <w:jc w:val="center"/>
        </w:trPr>
        <w:tc>
          <w:tcPr>
            <w:tcW w:w="677" w:type="pct"/>
            <w:vMerge w:val="restart"/>
            <w:tcBorders>
              <w:top w:val="single" w:sz="12" w:space="0" w:color="auto"/>
            </w:tcBorders>
            <w:shd w:val="clear" w:color="auto" w:fill="auto"/>
            <w:vAlign w:val="center"/>
          </w:tcPr>
          <w:p w:rsidR="00663FA1" w:rsidRPr="0088115C" w:rsidRDefault="00663FA1" w:rsidP="00CC1FB9">
            <w:pPr>
              <w:widowControl w:val="0"/>
              <w:spacing w:after="0" w:line="240" w:lineRule="auto"/>
              <w:jc w:val="both"/>
              <w:rPr>
                <w:rFonts w:ascii="Arial" w:hAnsi="Arial" w:cs="Arial"/>
                <w:b/>
                <w:sz w:val="20"/>
                <w:szCs w:val="20"/>
              </w:rPr>
            </w:pPr>
            <w:r w:rsidRPr="0088115C">
              <w:rPr>
                <w:rFonts w:ascii="Arial" w:hAnsi="Arial" w:cs="Arial"/>
                <w:b/>
                <w:sz w:val="20"/>
                <w:szCs w:val="20"/>
              </w:rPr>
              <w:t>Parcuri, zone de recreere şi odihnă</w:t>
            </w:r>
          </w:p>
        </w:tc>
        <w:tc>
          <w:tcPr>
            <w:tcW w:w="2219" w:type="pct"/>
            <w:tcBorders>
              <w:top w:val="single" w:sz="12" w:space="0" w:color="auto"/>
            </w:tcBorders>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1.Gura Humorului – Parc central str. Marly (vis-a-vis de Primărie)</w:t>
            </w:r>
          </w:p>
        </w:tc>
        <w:tc>
          <w:tcPr>
            <w:tcW w:w="610"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58,5</w:t>
            </w:r>
          </w:p>
        </w:tc>
        <w:tc>
          <w:tcPr>
            <w:tcW w:w="762" w:type="pct"/>
            <w:tcBorders>
              <w:top w:val="single" w:sz="12" w:space="0" w:color="auto"/>
            </w:tcBorders>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80"/>
          <w:jc w:val="center"/>
        </w:trPr>
        <w:tc>
          <w:tcPr>
            <w:tcW w:w="677" w:type="pct"/>
            <w:vMerge/>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2. Câmpulung Moldovenesc – Parc str. Trandafirilor, lângă Primărie </w:t>
            </w:r>
          </w:p>
        </w:tc>
        <w:tc>
          <w:tcPr>
            <w:tcW w:w="610"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50,1</w:t>
            </w:r>
          </w:p>
        </w:tc>
        <w:tc>
          <w:tcPr>
            <w:tcW w:w="762" w:type="pct"/>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284"/>
          <w:jc w:val="center"/>
        </w:trPr>
        <w:tc>
          <w:tcPr>
            <w:tcW w:w="677" w:type="pct"/>
            <w:vMerge/>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3. Vatra Dornei – Parc central, str. Parcului</w:t>
            </w:r>
          </w:p>
        </w:tc>
        <w:tc>
          <w:tcPr>
            <w:tcW w:w="610"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1/0</w:t>
            </w:r>
          </w:p>
        </w:tc>
        <w:tc>
          <w:tcPr>
            <w:tcW w:w="731" w:type="pct"/>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43,6</w:t>
            </w:r>
          </w:p>
        </w:tc>
        <w:tc>
          <w:tcPr>
            <w:tcW w:w="762" w:type="pct"/>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270"/>
          <w:jc w:val="center"/>
        </w:trPr>
        <w:tc>
          <w:tcPr>
            <w:tcW w:w="677" w:type="pct"/>
            <w:vMerge/>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 xml:space="preserve">4. Rădăuţi – Parc central, str. Piaţa Unirii, la statuia Bogdan Vodă </w:t>
            </w:r>
          </w:p>
        </w:tc>
        <w:tc>
          <w:tcPr>
            <w:tcW w:w="610"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59,7</w:t>
            </w:r>
          </w:p>
        </w:tc>
        <w:tc>
          <w:tcPr>
            <w:tcW w:w="762" w:type="pct"/>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265"/>
          <w:jc w:val="center"/>
        </w:trPr>
        <w:tc>
          <w:tcPr>
            <w:tcW w:w="677" w:type="pct"/>
            <w:vMerge/>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5. Suceava – Parc central, str. Ana Ipătescu</w:t>
            </w:r>
          </w:p>
        </w:tc>
        <w:tc>
          <w:tcPr>
            <w:tcW w:w="610" w:type="pct"/>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58,2</w:t>
            </w:r>
          </w:p>
        </w:tc>
        <w:tc>
          <w:tcPr>
            <w:tcW w:w="762" w:type="pct"/>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268"/>
          <w:jc w:val="center"/>
        </w:trPr>
        <w:tc>
          <w:tcPr>
            <w:tcW w:w="677" w:type="pct"/>
            <w:vMerge/>
            <w:tcBorders>
              <w:bottom w:val="single" w:sz="12" w:space="0" w:color="auto"/>
            </w:tcBorders>
            <w:shd w:val="clear" w:color="auto" w:fill="auto"/>
            <w:vAlign w:val="center"/>
          </w:tcPr>
          <w:p w:rsidR="00663FA1" w:rsidRPr="0088115C" w:rsidRDefault="00663FA1" w:rsidP="00CC1FB9">
            <w:pPr>
              <w:widowControl w:val="0"/>
              <w:spacing w:after="0" w:line="240" w:lineRule="auto"/>
              <w:jc w:val="center"/>
              <w:rPr>
                <w:rFonts w:ascii="Arial" w:hAnsi="Arial" w:cs="Arial"/>
                <w:sz w:val="20"/>
                <w:szCs w:val="20"/>
              </w:rPr>
            </w:pPr>
          </w:p>
        </w:tc>
        <w:tc>
          <w:tcPr>
            <w:tcW w:w="2219" w:type="pct"/>
            <w:tcBorders>
              <w:bottom w:val="single" w:sz="12" w:space="0" w:color="auto"/>
            </w:tcBorders>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6. Siret – Parc Primărie, str. Laţcu Vodă</w:t>
            </w:r>
          </w:p>
        </w:tc>
        <w:tc>
          <w:tcPr>
            <w:tcW w:w="610"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2/0</w:t>
            </w:r>
          </w:p>
        </w:tc>
        <w:tc>
          <w:tcPr>
            <w:tcW w:w="731"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52,9</w:t>
            </w:r>
          </w:p>
        </w:tc>
        <w:tc>
          <w:tcPr>
            <w:tcW w:w="762" w:type="pct"/>
            <w:tcBorders>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60</w:t>
            </w:r>
          </w:p>
        </w:tc>
      </w:tr>
      <w:tr w:rsidR="00663FA1" w:rsidRPr="0088115C" w:rsidTr="001675B8">
        <w:trPr>
          <w:trHeight w:val="157"/>
          <w:jc w:val="center"/>
        </w:trPr>
        <w:tc>
          <w:tcPr>
            <w:tcW w:w="677" w:type="pct"/>
            <w:tcBorders>
              <w:top w:val="single" w:sz="12" w:space="0" w:color="auto"/>
              <w:bottom w:val="single" w:sz="12" w:space="0" w:color="auto"/>
            </w:tcBorders>
            <w:shd w:val="clear" w:color="auto" w:fill="auto"/>
            <w:vAlign w:val="center"/>
          </w:tcPr>
          <w:p w:rsidR="00663FA1" w:rsidRPr="0088115C" w:rsidRDefault="00663FA1" w:rsidP="00CC1FB9">
            <w:pPr>
              <w:widowControl w:val="0"/>
              <w:spacing w:after="0" w:line="240" w:lineRule="auto"/>
              <w:jc w:val="center"/>
              <w:rPr>
                <w:rFonts w:ascii="Arial" w:hAnsi="Arial" w:cs="Arial"/>
                <w:b/>
                <w:sz w:val="20"/>
                <w:szCs w:val="20"/>
              </w:rPr>
            </w:pPr>
            <w:r w:rsidRPr="0088115C">
              <w:rPr>
                <w:rFonts w:ascii="Arial" w:hAnsi="Arial" w:cs="Arial"/>
                <w:b/>
                <w:sz w:val="20"/>
                <w:szCs w:val="20"/>
              </w:rPr>
              <w:t>Parcaje auto</w:t>
            </w:r>
          </w:p>
        </w:tc>
        <w:tc>
          <w:tcPr>
            <w:tcW w:w="2219" w:type="pct"/>
            <w:tcBorders>
              <w:top w:val="single" w:sz="12" w:space="0" w:color="auto"/>
              <w:bottom w:val="single" w:sz="12" w:space="0" w:color="auto"/>
            </w:tcBorders>
            <w:vAlign w:val="center"/>
          </w:tcPr>
          <w:p w:rsidR="00663FA1" w:rsidRPr="0088115C" w:rsidRDefault="00663FA1" w:rsidP="00CC1FB9">
            <w:pPr>
              <w:widowControl w:val="0"/>
              <w:spacing w:after="0" w:line="240" w:lineRule="auto"/>
              <w:jc w:val="both"/>
              <w:rPr>
                <w:rFonts w:ascii="Arial" w:hAnsi="Arial" w:cs="Arial"/>
                <w:sz w:val="20"/>
                <w:szCs w:val="20"/>
              </w:rPr>
            </w:pPr>
            <w:r w:rsidRPr="0088115C">
              <w:rPr>
                <w:rFonts w:ascii="Arial" w:hAnsi="Arial" w:cs="Arial"/>
                <w:sz w:val="20"/>
                <w:szCs w:val="20"/>
              </w:rPr>
              <w:t>1. Suceava – Parcare magazin Bucovina (Altex), str. Şt. cel Mare</w:t>
            </w:r>
          </w:p>
        </w:tc>
        <w:tc>
          <w:tcPr>
            <w:tcW w:w="610" w:type="pct"/>
            <w:tcBorders>
              <w:top w:val="single" w:sz="12" w:space="0" w:color="auto"/>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sz w:val="20"/>
                <w:szCs w:val="20"/>
              </w:rPr>
            </w:pPr>
            <w:r w:rsidRPr="0088115C">
              <w:rPr>
                <w:rFonts w:ascii="Arial" w:hAnsi="Arial" w:cs="Arial"/>
                <w:sz w:val="20"/>
                <w:szCs w:val="20"/>
              </w:rPr>
              <w:t>2/1</w:t>
            </w:r>
          </w:p>
        </w:tc>
        <w:tc>
          <w:tcPr>
            <w:tcW w:w="731" w:type="pct"/>
            <w:tcBorders>
              <w:top w:val="single" w:sz="12" w:space="0" w:color="auto"/>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Cs/>
                <w:sz w:val="20"/>
                <w:szCs w:val="20"/>
              </w:rPr>
            </w:pPr>
            <w:r w:rsidRPr="0088115C">
              <w:rPr>
                <w:rFonts w:ascii="Arial" w:hAnsi="Arial" w:cs="Arial"/>
                <w:bCs/>
                <w:sz w:val="20"/>
                <w:szCs w:val="20"/>
              </w:rPr>
              <w:t>70,4</w:t>
            </w:r>
          </w:p>
        </w:tc>
        <w:tc>
          <w:tcPr>
            <w:tcW w:w="762" w:type="pct"/>
            <w:tcBorders>
              <w:top w:val="single" w:sz="12" w:space="0" w:color="auto"/>
              <w:bottom w:val="single" w:sz="12" w:space="0" w:color="auto"/>
            </w:tcBorders>
            <w:vAlign w:val="center"/>
          </w:tcPr>
          <w:p w:rsidR="00663FA1" w:rsidRPr="0088115C" w:rsidRDefault="00663FA1" w:rsidP="00CC1FB9">
            <w:pPr>
              <w:widowControl w:val="0"/>
              <w:spacing w:after="0" w:line="240" w:lineRule="auto"/>
              <w:jc w:val="center"/>
              <w:rPr>
                <w:rFonts w:ascii="Arial" w:hAnsi="Arial" w:cs="Arial"/>
                <w:b/>
                <w:bCs/>
                <w:sz w:val="20"/>
                <w:szCs w:val="20"/>
              </w:rPr>
            </w:pPr>
            <w:r w:rsidRPr="0088115C">
              <w:rPr>
                <w:rFonts w:ascii="Arial" w:hAnsi="Arial" w:cs="Arial"/>
                <w:b/>
                <w:bCs/>
                <w:sz w:val="20"/>
                <w:szCs w:val="20"/>
              </w:rPr>
              <w:t>70</w:t>
            </w:r>
          </w:p>
        </w:tc>
      </w:tr>
    </w:tbl>
    <w:p w:rsidR="006A576D" w:rsidRDefault="006A576D" w:rsidP="00CC1FB9">
      <w:pPr>
        <w:widowControl w:val="0"/>
        <w:spacing w:after="0" w:line="240" w:lineRule="auto"/>
        <w:ind w:firstLine="720"/>
        <w:jc w:val="both"/>
        <w:rPr>
          <w:rFonts w:ascii="Arial" w:hAnsi="Arial" w:cs="Arial"/>
          <w:color w:val="FF0000"/>
          <w:sz w:val="6"/>
          <w:szCs w:val="6"/>
          <w:lang w:val="ro-RO"/>
        </w:rPr>
      </w:pPr>
    </w:p>
    <w:p w:rsidR="00933132" w:rsidRPr="00A70F1C" w:rsidRDefault="00933132" w:rsidP="00CC1FB9">
      <w:pPr>
        <w:widowControl w:val="0"/>
        <w:spacing w:after="0" w:line="240" w:lineRule="auto"/>
        <w:ind w:firstLine="720"/>
        <w:jc w:val="both"/>
        <w:rPr>
          <w:rFonts w:ascii="Arial" w:hAnsi="Arial" w:cs="Arial"/>
          <w:color w:val="FF0000"/>
          <w:sz w:val="6"/>
          <w:szCs w:val="6"/>
          <w:lang w:val="ro-RO"/>
        </w:rPr>
      </w:pPr>
    </w:p>
    <w:p w:rsidR="00CD6EFC" w:rsidRDefault="00EE2680" w:rsidP="00CC1FB9">
      <w:pPr>
        <w:widowControl w:val="0"/>
        <w:spacing w:after="0" w:line="240" w:lineRule="auto"/>
        <w:jc w:val="both"/>
        <w:rPr>
          <w:rFonts w:ascii="Arial" w:eastAsiaTheme="minorEastAsia" w:hAnsi="Arial" w:cs="Arial"/>
          <w:lang w:val="ro-RO" w:eastAsia="ro-RO"/>
        </w:rPr>
      </w:pPr>
      <w:r>
        <w:rPr>
          <w:rFonts w:ascii="Arial" w:eastAsiaTheme="minorEastAsia" w:hAnsi="Arial" w:cs="Arial"/>
          <w:lang w:val="ro-RO" w:eastAsia="ro-RO"/>
        </w:rPr>
        <w:tab/>
        <w:t xml:space="preserve">În fig. de mai jos este prezentată evoluția celor mai mari valori </w:t>
      </w:r>
      <w:r w:rsidRPr="00197BC3">
        <w:rPr>
          <w:rFonts w:ascii="Arial" w:eastAsiaTheme="minorEastAsia" w:hAnsi="Arial" w:cs="Arial"/>
          <w:lang w:val="ro-RO" w:eastAsia="ro-RO"/>
        </w:rPr>
        <w:t>ale nivelului de zgomot</w:t>
      </w:r>
      <w:r>
        <w:rPr>
          <w:rFonts w:ascii="Arial" w:eastAsiaTheme="minorEastAsia" w:hAnsi="Arial" w:cs="Arial"/>
          <w:lang w:val="ro-RO" w:eastAsia="ro-RO"/>
        </w:rPr>
        <w:t xml:space="preserve"> continuu</w:t>
      </w:r>
      <w:r w:rsidRPr="00197BC3">
        <w:rPr>
          <w:rFonts w:ascii="Arial" w:eastAsiaTheme="minorEastAsia" w:hAnsi="Arial" w:cs="Arial"/>
          <w:lang w:val="ro-RO" w:eastAsia="ro-RO"/>
        </w:rPr>
        <w:t xml:space="preserve"> echivalent ponderat A</w:t>
      </w:r>
      <w:r>
        <w:rPr>
          <w:rFonts w:ascii="Arial" w:eastAsiaTheme="minorEastAsia" w:hAnsi="Arial" w:cs="Arial"/>
          <w:lang w:val="ro-RO" w:eastAsia="ro-RO"/>
        </w:rPr>
        <w:t>, L</w:t>
      </w:r>
      <w:r w:rsidRPr="00EE2680">
        <w:rPr>
          <w:rFonts w:ascii="Arial" w:eastAsiaTheme="minorEastAsia" w:hAnsi="Arial" w:cs="Arial"/>
          <w:vertAlign w:val="subscript"/>
          <w:lang w:val="ro-RO" w:eastAsia="ro-RO"/>
        </w:rPr>
        <w:t>aeq</w:t>
      </w:r>
      <w:r>
        <w:rPr>
          <w:rFonts w:ascii="Arial" w:eastAsiaTheme="minorEastAsia" w:hAnsi="Arial" w:cs="Arial"/>
          <w:lang w:val="ro-RO" w:eastAsia="ro-RO"/>
        </w:rPr>
        <w:t xml:space="preserve">,  din anii 2013-2017, comparativ cu limitele admisibile conform SR 10009/2017, pentru fiecare categorie de sursă/zonă monitorizată. </w:t>
      </w:r>
    </w:p>
    <w:p w:rsidR="00933132" w:rsidRDefault="00933132" w:rsidP="00CC1FB9">
      <w:pPr>
        <w:widowControl w:val="0"/>
        <w:spacing w:after="0" w:line="240" w:lineRule="auto"/>
        <w:jc w:val="both"/>
        <w:rPr>
          <w:rFonts w:ascii="Arial" w:eastAsiaTheme="minorEastAsia" w:hAnsi="Arial" w:cs="Arial"/>
          <w:lang w:val="ro-RO" w:eastAsia="ro-RO"/>
        </w:rPr>
      </w:pPr>
    </w:p>
    <w:p w:rsidR="00197BC3" w:rsidRDefault="006A576D"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lastRenderedPageBreak/>
        <w:t xml:space="preserve">Fig. VIII.1.2.1.1.  Valori </w:t>
      </w:r>
      <w:r w:rsidR="0069390C" w:rsidRPr="00197BC3">
        <w:rPr>
          <w:rFonts w:ascii="Arial" w:eastAsiaTheme="minorEastAsia" w:hAnsi="Arial" w:cs="Arial"/>
          <w:lang w:val="ro-RO" w:eastAsia="ro-RO"/>
        </w:rPr>
        <w:t>maxime anuale</w:t>
      </w:r>
      <w:r w:rsidRPr="00197BC3">
        <w:rPr>
          <w:rFonts w:ascii="Arial" w:eastAsiaTheme="minorEastAsia" w:hAnsi="Arial" w:cs="Arial"/>
          <w:lang w:val="ro-RO" w:eastAsia="ro-RO"/>
        </w:rPr>
        <w:t xml:space="preserve"> ale nivelului de zgomot</w:t>
      </w:r>
      <w:r w:rsidR="00197BC3">
        <w:rPr>
          <w:rFonts w:ascii="Arial" w:eastAsiaTheme="minorEastAsia" w:hAnsi="Arial" w:cs="Arial"/>
          <w:lang w:val="ro-RO" w:eastAsia="ro-RO"/>
        </w:rPr>
        <w:t xml:space="preserve"> continuu</w:t>
      </w:r>
      <w:r w:rsidRPr="00197BC3">
        <w:rPr>
          <w:rFonts w:ascii="Arial" w:eastAsiaTheme="minorEastAsia" w:hAnsi="Arial" w:cs="Arial"/>
          <w:lang w:val="ro-RO" w:eastAsia="ro-RO"/>
        </w:rPr>
        <w:t xml:space="preserve"> echivalent </w:t>
      </w:r>
      <w:r w:rsidR="00173644" w:rsidRPr="00197BC3">
        <w:rPr>
          <w:rFonts w:ascii="Arial" w:eastAsiaTheme="minorEastAsia" w:hAnsi="Arial" w:cs="Arial"/>
          <w:lang w:val="ro-RO" w:eastAsia="ro-RO"/>
        </w:rPr>
        <w:t xml:space="preserve">ponderat A, </w:t>
      </w:r>
    </w:p>
    <w:p w:rsidR="006A576D" w:rsidRPr="00197BC3" w:rsidRDefault="006A576D"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t>măsurate</w:t>
      </w:r>
      <w:r w:rsidR="00197BC3">
        <w:rPr>
          <w:rFonts w:ascii="Arial" w:eastAsiaTheme="minorEastAsia" w:hAnsi="Arial" w:cs="Arial"/>
          <w:lang w:val="ro-RO" w:eastAsia="ro-RO"/>
        </w:rPr>
        <w:t xml:space="preserve"> </w:t>
      </w:r>
      <w:r w:rsidRPr="00197BC3">
        <w:rPr>
          <w:rFonts w:ascii="Arial" w:eastAsiaTheme="minorEastAsia" w:hAnsi="Arial" w:cs="Arial"/>
          <w:lang w:val="ro-RO" w:eastAsia="ro-RO"/>
        </w:rPr>
        <w:t xml:space="preserve">pe străzi de </w:t>
      </w:r>
      <w:r w:rsidRPr="00197BC3">
        <w:rPr>
          <w:rFonts w:ascii="Arial" w:eastAsiaTheme="minorEastAsia" w:hAnsi="Arial" w:cs="Arial"/>
          <w:b/>
          <w:lang w:val="ro-RO" w:eastAsia="ro-RO"/>
        </w:rPr>
        <w:t>categorie tehnică I</w:t>
      </w:r>
      <w:r w:rsidRPr="00197BC3">
        <w:rPr>
          <w:rFonts w:ascii="Arial" w:eastAsiaTheme="minorEastAsia" w:hAnsi="Arial" w:cs="Arial"/>
          <w:lang w:val="ro-RO" w:eastAsia="ro-RO"/>
        </w:rPr>
        <w:t xml:space="preserve">, </w:t>
      </w:r>
      <w:r w:rsidRPr="00197BC3">
        <w:rPr>
          <w:rFonts w:ascii="Arial" w:eastAsiaTheme="minorEastAsia" w:hAnsi="Arial" w:cs="Arial"/>
          <w:b/>
          <w:lang w:val="ro-RO" w:eastAsia="ro-RO"/>
        </w:rPr>
        <w:t>magistrală</w:t>
      </w:r>
      <w:r w:rsidR="00197BC3">
        <w:rPr>
          <w:rFonts w:ascii="Arial" w:eastAsiaTheme="minorEastAsia" w:hAnsi="Arial" w:cs="Arial"/>
          <w:lang w:val="ro-RO" w:eastAsia="ro-RO"/>
        </w:rPr>
        <w:t>,</w:t>
      </w:r>
      <w:r w:rsidRPr="00197BC3">
        <w:rPr>
          <w:rFonts w:ascii="Arial" w:eastAsiaTheme="minorEastAsia" w:hAnsi="Arial" w:cs="Arial"/>
          <w:lang w:val="ro-RO" w:eastAsia="ro-RO"/>
        </w:rPr>
        <w:t xml:space="preserve"> în </w:t>
      </w:r>
      <w:r w:rsidR="00173644" w:rsidRPr="00197BC3">
        <w:rPr>
          <w:rFonts w:ascii="Arial" w:eastAsiaTheme="minorEastAsia" w:hAnsi="Arial" w:cs="Arial"/>
          <w:lang w:val="ro-RO" w:eastAsia="ro-RO"/>
        </w:rPr>
        <w:t>perioada 2013-2017</w:t>
      </w:r>
    </w:p>
    <w:p w:rsidR="006A576D" w:rsidRPr="00A70F1C" w:rsidRDefault="006A576D" w:rsidP="00CC1FB9">
      <w:pPr>
        <w:widowControl w:val="0"/>
        <w:spacing w:after="0" w:line="240" w:lineRule="auto"/>
        <w:jc w:val="center"/>
        <w:rPr>
          <w:rFonts w:ascii="Times New Roman" w:eastAsiaTheme="minorEastAsia" w:hAnsi="Times New Roman"/>
          <w:color w:val="FF0000"/>
          <w:sz w:val="24"/>
          <w:szCs w:val="24"/>
          <w:lang w:val="ro-RO" w:eastAsia="ro-RO"/>
        </w:rPr>
      </w:pPr>
      <w:r w:rsidRPr="00A70F1C">
        <w:rPr>
          <w:rFonts w:ascii="Times New Roman" w:eastAsiaTheme="minorEastAsia" w:hAnsi="Times New Roman"/>
          <w:noProof/>
          <w:color w:val="FF0000"/>
          <w:sz w:val="24"/>
          <w:szCs w:val="24"/>
          <w:lang w:val="ro-RO" w:eastAsia="ro-RO"/>
        </w:rPr>
        <w:drawing>
          <wp:inline distT="0" distB="0" distL="0" distR="0">
            <wp:extent cx="6163408" cy="1784839"/>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576D" w:rsidRPr="00933132" w:rsidRDefault="006A576D" w:rsidP="00CC1FB9">
      <w:pPr>
        <w:widowControl w:val="0"/>
        <w:spacing w:after="0" w:line="240" w:lineRule="auto"/>
        <w:ind w:firstLine="720"/>
        <w:jc w:val="both"/>
        <w:rPr>
          <w:rFonts w:ascii="Arial" w:hAnsi="Arial" w:cs="Arial"/>
          <w:color w:val="FF0000"/>
          <w:sz w:val="16"/>
          <w:szCs w:val="16"/>
          <w:lang w:val="ro-RO"/>
        </w:rPr>
      </w:pPr>
    </w:p>
    <w:p w:rsidR="006A576D" w:rsidRPr="00A70F1C" w:rsidRDefault="006A576D" w:rsidP="00CC1FB9">
      <w:pPr>
        <w:widowControl w:val="0"/>
        <w:spacing w:after="0" w:line="240" w:lineRule="auto"/>
        <w:ind w:firstLine="720"/>
        <w:jc w:val="both"/>
        <w:rPr>
          <w:rFonts w:ascii="Arial" w:hAnsi="Arial" w:cs="Arial"/>
          <w:color w:val="FF0000"/>
          <w:sz w:val="6"/>
          <w:szCs w:val="6"/>
          <w:lang w:val="ro-RO"/>
        </w:rPr>
      </w:pPr>
    </w:p>
    <w:p w:rsidR="00CD6EFC" w:rsidRDefault="00CD6EFC"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t>Fig. VIII.1.2.1.</w:t>
      </w:r>
      <w:r w:rsidR="006B57DC">
        <w:rPr>
          <w:rFonts w:ascii="Arial" w:eastAsiaTheme="minorEastAsia" w:hAnsi="Arial" w:cs="Arial"/>
          <w:lang w:val="ro-RO" w:eastAsia="ro-RO"/>
        </w:rPr>
        <w:t>2</w:t>
      </w:r>
      <w:r w:rsidRPr="00197BC3">
        <w:rPr>
          <w:rFonts w:ascii="Arial" w:eastAsiaTheme="minorEastAsia" w:hAnsi="Arial" w:cs="Arial"/>
          <w:lang w:val="ro-RO" w:eastAsia="ro-RO"/>
        </w:rPr>
        <w:t>.  Valori maxime anuale ale nivelului de zgomot</w:t>
      </w:r>
      <w:r>
        <w:rPr>
          <w:rFonts w:ascii="Arial" w:eastAsiaTheme="minorEastAsia" w:hAnsi="Arial" w:cs="Arial"/>
          <w:lang w:val="ro-RO" w:eastAsia="ro-RO"/>
        </w:rPr>
        <w:t xml:space="preserve"> continuu</w:t>
      </w:r>
      <w:r w:rsidRPr="00197BC3">
        <w:rPr>
          <w:rFonts w:ascii="Arial" w:eastAsiaTheme="minorEastAsia" w:hAnsi="Arial" w:cs="Arial"/>
          <w:lang w:val="ro-RO" w:eastAsia="ro-RO"/>
        </w:rPr>
        <w:t xml:space="preserve"> echivalent ponderat A, </w:t>
      </w:r>
    </w:p>
    <w:p w:rsidR="00CD6EFC" w:rsidRPr="00EE2680" w:rsidRDefault="00CD6EFC"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t>măsurate</w:t>
      </w:r>
      <w:r>
        <w:rPr>
          <w:rFonts w:ascii="Arial" w:eastAsiaTheme="minorEastAsia" w:hAnsi="Arial" w:cs="Arial"/>
          <w:lang w:val="ro-RO" w:eastAsia="ro-RO"/>
        </w:rPr>
        <w:t xml:space="preserve"> </w:t>
      </w:r>
      <w:r w:rsidRPr="00197BC3">
        <w:rPr>
          <w:rFonts w:ascii="Arial" w:eastAsiaTheme="minorEastAsia" w:hAnsi="Arial" w:cs="Arial"/>
          <w:lang w:val="ro-RO" w:eastAsia="ro-RO"/>
        </w:rPr>
        <w:t xml:space="preserve">pe străzi </w:t>
      </w:r>
      <w:r w:rsidRPr="00EE2680">
        <w:rPr>
          <w:rFonts w:ascii="Arial" w:eastAsiaTheme="minorEastAsia" w:hAnsi="Arial" w:cs="Arial"/>
          <w:lang w:val="ro-RO" w:eastAsia="ro-RO"/>
        </w:rPr>
        <w:t xml:space="preserve">de </w:t>
      </w:r>
      <w:r w:rsidRPr="00EE2680">
        <w:rPr>
          <w:rFonts w:ascii="Arial" w:eastAsiaTheme="minorEastAsia" w:hAnsi="Arial" w:cs="Arial"/>
          <w:b/>
          <w:lang w:val="ro-RO" w:eastAsia="ro-RO"/>
        </w:rPr>
        <w:t>categorie tehnică II</w:t>
      </w:r>
      <w:r w:rsidRPr="00EE2680">
        <w:rPr>
          <w:rFonts w:ascii="Arial" w:eastAsiaTheme="minorEastAsia" w:hAnsi="Arial" w:cs="Arial"/>
          <w:lang w:val="ro-RO" w:eastAsia="ro-RO"/>
        </w:rPr>
        <w:t>, de legătură, în perioada 2013-2017</w:t>
      </w:r>
    </w:p>
    <w:p w:rsidR="006A576D" w:rsidRPr="00A70F1C" w:rsidRDefault="006A576D" w:rsidP="00CC1FB9">
      <w:pPr>
        <w:widowControl w:val="0"/>
        <w:spacing w:after="0" w:line="240" w:lineRule="auto"/>
        <w:jc w:val="center"/>
        <w:rPr>
          <w:rFonts w:ascii="Times New Roman" w:eastAsiaTheme="minorEastAsia" w:hAnsi="Times New Roman"/>
          <w:color w:val="FF0000"/>
          <w:sz w:val="24"/>
          <w:szCs w:val="24"/>
          <w:lang w:val="ro-RO" w:eastAsia="ro-RO"/>
        </w:rPr>
      </w:pPr>
      <w:r w:rsidRPr="00A70F1C">
        <w:rPr>
          <w:rFonts w:ascii="Times New Roman" w:eastAsiaTheme="minorEastAsia" w:hAnsi="Times New Roman"/>
          <w:noProof/>
          <w:color w:val="FF0000"/>
          <w:sz w:val="24"/>
          <w:szCs w:val="24"/>
          <w:lang w:val="ro-RO" w:eastAsia="ro-RO"/>
        </w:rPr>
        <w:drawing>
          <wp:inline distT="0" distB="0" distL="0" distR="0">
            <wp:extent cx="6339254" cy="1881554"/>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576D" w:rsidRPr="00933132" w:rsidRDefault="006A576D" w:rsidP="00CC1FB9">
      <w:pPr>
        <w:widowControl w:val="0"/>
        <w:spacing w:after="0" w:line="240" w:lineRule="auto"/>
        <w:ind w:firstLine="720"/>
        <w:jc w:val="both"/>
        <w:rPr>
          <w:rFonts w:ascii="Arial" w:hAnsi="Arial" w:cs="Arial"/>
          <w:color w:val="FF0000"/>
          <w:sz w:val="16"/>
          <w:szCs w:val="16"/>
          <w:lang w:val="ro-RO"/>
        </w:rPr>
      </w:pPr>
    </w:p>
    <w:p w:rsidR="00EE2680" w:rsidRDefault="00EE2680"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t>Fig. VIII.1.2.1.</w:t>
      </w:r>
      <w:r>
        <w:rPr>
          <w:rFonts w:ascii="Arial" w:eastAsiaTheme="minorEastAsia" w:hAnsi="Arial" w:cs="Arial"/>
          <w:lang w:val="ro-RO" w:eastAsia="ro-RO"/>
        </w:rPr>
        <w:t>3</w:t>
      </w:r>
      <w:r w:rsidRPr="00197BC3">
        <w:rPr>
          <w:rFonts w:ascii="Arial" w:eastAsiaTheme="minorEastAsia" w:hAnsi="Arial" w:cs="Arial"/>
          <w:lang w:val="ro-RO" w:eastAsia="ro-RO"/>
        </w:rPr>
        <w:t>.  Valori maxime anuale ale nivelului de zgomot</w:t>
      </w:r>
      <w:r>
        <w:rPr>
          <w:rFonts w:ascii="Arial" w:eastAsiaTheme="minorEastAsia" w:hAnsi="Arial" w:cs="Arial"/>
          <w:lang w:val="ro-RO" w:eastAsia="ro-RO"/>
        </w:rPr>
        <w:t xml:space="preserve"> continuu</w:t>
      </w:r>
      <w:r w:rsidRPr="00197BC3">
        <w:rPr>
          <w:rFonts w:ascii="Arial" w:eastAsiaTheme="minorEastAsia" w:hAnsi="Arial" w:cs="Arial"/>
          <w:lang w:val="ro-RO" w:eastAsia="ro-RO"/>
        </w:rPr>
        <w:t xml:space="preserve"> echivalent ponderat A, </w:t>
      </w:r>
    </w:p>
    <w:p w:rsidR="00EE2680" w:rsidRPr="00EE2680" w:rsidRDefault="00EE2680" w:rsidP="00CC1FB9">
      <w:pPr>
        <w:widowControl w:val="0"/>
        <w:spacing w:after="0" w:line="240" w:lineRule="auto"/>
        <w:jc w:val="center"/>
        <w:rPr>
          <w:rFonts w:ascii="Arial" w:eastAsiaTheme="minorEastAsia" w:hAnsi="Arial" w:cs="Arial"/>
          <w:lang w:val="ro-RO" w:eastAsia="ro-RO"/>
        </w:rPr>
      </w:pPr>
      <w:r w:rsidRPr="00EE2680">
        <w:rPr>
          <w:rFonts w:ascii="Arial" w:eastAsiaTheme="minorEastAsia" w:hAnsi="Arial" w:cs="Arial"/>
          <w:lang w:val="ro-RO" w:eastAsia="ro-RO"/>
        </w:rPr>
        <w:t xml:space="preserve">măsurate pe străzi de </w:t>
      </w:r>
      <w:r w:rsidRPr="00EE2680">
        <w:rPr>
          <w:rFonts w:ascii="Arial" w:eastAsiaTheme="minorEastAsia" w:hAnsi="Arial" w:cs="Arial"/>
          <w:b/>
          <w:lang w:val="ro-RO" w:eastAsia="ro-RO"/>
        </w:rPr>
        <w:t>categorie tehnică III</w:t>
      </w:r>
      <w:r w:rsidRPr="00EE2680">
        <w:rPr>
          <w:rFonts w:ascii="Arial" w:eastAsiaTheme="minorEastAsia" w:hAnsi="Arial" w:cs="Arial"/>
          <w:lang w:val="ro-RO" w:eastAsia="ro-RO"/>
        </w:rPr>
        <w:t>, de colectare, în perioada 2013-2017</w:t>
      </w:r>
    </w:p>
    <w:p w:rsidR="006A576D" w:rsidRPr="00A70F1C" w:rsidRDefault="006A576D" w:rsidP="00CC1FB9">
      <w:pPr>
        <w:widowControl w:val="0"/>
        <w:spacing w:after="0" w:line="240" w:lineRule="auto"/>
        <w:jc w:val="center"/>
        <w:rPr>
          <w:rFonts w:ascii="Times New Roman" w:eastAsiaTheme="minorEastAsia" w:hAnsi="Times New Roman"/>
          <w:color w:val="FF0000"/>
          <w:sz w:val="24"/>
          <w:szCs w:val="24"/>
          <w:lang w:val="ro-RO" w:eastAsia="ro-RO"/>
        </w:rPr>
      </w:pPr>
      <w:r w:rsidRPr="00A70F1C">
        <w:rPr>
          <w:rFonts w:ascii="Times New Roman" w:eastAsiaTheme="minorEastAsia" w:hAnsi="Times New Roman"/>
          <w:noProof/>
          <w:color w:val="FF0000"/>
          <w:sz w:val="24"/>
          <w:szCs w:val="24"/>
          <w:lang w:val="ro-RO" w:eastAsia="ro-RO"/>
        </w:rPr>
        <w:drawing>
          <wp:inline distT="0" distB="0" distL="0" distR="0">
            <wp:extent cx="5372100" cy="1494692"/>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576D" w:rsidRPr="00933132" w:rsidRDefault="006A576D" w:rsidP="00CC1FB9">
      <w:pPr>
        <w:widowControl w:val="0"/>
        <w:spacing w:after="0" w:line="240" w:lineRule="auto"/>
        <w:ind w:firstLine="720"/>
        <w:jc w:val="both"/>
        <w:rPr>
          <w:rFonts w:ascii="Arial" w:hAnsi="Arial" w:cs="Arial"/>
          <w:color w:val="FF0000"/>
          <w:sz w:val="16"/>
          <w:szCs w:val="16"/>
          <w:lang w:val="ro-RO"/>
        </w:rPr>
      </w:pPr>
    </w:p>
    <w:p w:rsidR="00EE2680" w:rsidRDefault="00EE2680" w:rsidP="00CC1FB9">
      <w:pPr>
        <w:widowControl w:val="0"/>
        <w:spacing w:after="0" w:line="240" w:lineRule="auto"/>
        <w:jc w:val="center"/>
        <w:rPr>
          <w:rFonts w:ascii="Arial" w:eastAsiaTheme="minorEastAsia" w:hAnsi="Arial" w:cs="Arial"/>
          <w:lang w:val="ro-RO" w:eastAsia="ro-RO"/>
        </w:rPr>
      </w:pPr>
      <w:r w:rsidRPr="00197BC3">
        <w:rPr>
          <w:rFonts w:ascii="Arial" w:eastAsiaTheme="minorEastAsia" w:hAnsi="Arial" w:cs="Arial"/>
          <w:lang w:val="ro-RO" w:eastAsia="ro-RO"/>
        </w:rPr>
        <w:t>Fig. VIII.1.2.1.</w:t>
      </w:r>
      <w:r w:rsidR="00C61F4C">
        <w:rPr>
          <w:rFonts w:ascii="Arial" w:eastAsiaTheme="minorEastAsia" w:hAnsi="Arial" w:cs="Arial"/>
          <w:lang w:val="ro-RO" w:eastAsia="ro-RO"/>
        </w:rPr>
        <w:t>4</w:t>
      </w:r>
      <w:r w:rsidRPr="00197BC3">
        <w:rPr>
          <w:rFonts w:ascii="Arial" w:eastAsiaTheme="minorEastAsia" w:hAnsi="Arial" w:cs="Arial"/>
          <w:lang w:val="ro-RO" w:eastAsia="ro-RO"/>
        </w:rPr>
        <w:t>.  Valori maxime anuale ale nivelului de zgomot</w:t>
      </w:r>
      <w:r>
        <w:rPr>
          <w:rFonts w:ascii="Arial" w:eastAsiaTheme="minorEastAsia" w:hAnsi="Arial" w:cs="Arial"/>
          <w:lang w:val="ro-RO" w:eastAsia="ro-RO"/>
        </w:rPr>
        <w:t xml:space="preserve"> continuu</w:t>
      </w:r>
      <w:r w:rsidRPr="00197BC3">
        <w:rPr>
          <w:rFonts w:ascii="Arial" w:eastAsiaTheme="minorEastAsia" w:hAnsi="Arial" w:cs="Arial"/>
          <w:lang w:val="ro-RO" w:eastAsia="ro-RO"/>
        </w:rPr>
        <w:t xml:space="preserve"> echivalent ponderat A, </w:t>
      </w:r>
    </w:p>
    <w:p w:rsidR="00EE2680" w:rsidRPr="00EE2680" w:rsidRDefault="00EE2680" w:rsidP="00CC1FB9">
      <w:pPr>
        <w:widowControl w:val="0"/>
        <w:spacing w:after="0" w:line="240" w:lineRule="auto"/>
        <w:jc w:val="center"/>
        <w:rPr>
          <w:rFonts w:ascii="Arial" w:eastAsiaTheme="minorEastAsia" w:hAnsi="Arial" w:cs="Arial"/>
          <w:lang w:val="ro-RO" w:eastAsia="ro-RO"/>
        </w:rPr>
      </w:pPr>
      <w:r w:rsidRPr="00EE2680">
        <w:rPr>
          <w:rFonts w:ascii="Arial" w:eastAsiaTheme="minorEastAsia" w:hAnsi="Arial" w:cs="Arial"/>
          <w:lang w:val="ro-RO" w:eastAsia="ro-RO"/>
        </w:rPr>
        <w:t xml:space="preserve">măsurate în </w:t>
      </w:r>
      <w:r w:rsidRPr="00EE2680">
        <w:rPr>
          <w:rFonts w:ascii="Arial" w:eastAsiaTheme="minorEastAsia" w:hAnsi="Arial" w:cs="Arial"/>
          <w:b/>
          <w:lang w:val="ro-RO" w:eastAsia="ro-RO"/>
        </w:rPr>
        <w:t>parcuri din județul Suceava</w:t>
      </w:r>
      <w:r w:rsidRPr="00EE2680">
        <w:rPr>
          <w:rFonts w:ascii="Arial" w:eastAsiaTheme="minorEastAsia" w:hAnsi="Arial" w:cs="Arial"/>
          <w:lang w:val="ro-RO" w:eastAsia="ro-RO"/>
        </w:rPr>
        <w:t>, în perioada 2013-2017</w:t>
      </w:r>
    </w:p>
    <w:p w:rsidR="006A576D" w:rsidRPr="00A70F1C" w:rsidRDefault="006A576D" w:rsidP="00CC1FB9">
      <w:pPr>
        <w:widowControl w:val="0"/>
        <w:spacing w:after="0" w:line="240" w:lineRule="auto"/>
        <w:jc w:val="center"/>
        <w:rPr>
          <w:rFonts w:ascii="Times New Roman" w:eastAsiaTheme="minorEastAsia" w:hAnsi="Times New Roman"/>
          <w:color w:val="FF0000"/>
          <w:sz w:val="24"/>
          <w:szCs w:val="24"/>
          <w:lang w:val="ro-RO" w:eastAsia="ro-RO"/>
        </w:rPr>
      </w:pPr>
      <w:r w:rsidRPr="00A70F1C">
        <w:rPr>
          <w:rFonts w:ascii="Times New Roman" w:eastAsiaTheme="minorEastAsia" w:hAnsi="Times New Roman"/>
          <w:noProof/>
          <w:color w:val="FF0000"/>
          <w:sz w:val="24"/>
          <w:szCs w:val="24"/>
          <w:lang w:val="ro-RO" w:eastAsia="ro-RO"/>
        </w:rPr>
        <w:drawing>
          <wp:inline distT="0" distB="0" distL="0" distR="0">
            <wp:extent cx="6418385" cy="1740877"/>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3132" w:rsidRDefault="00933132" w:rsidP="00CC1FB9">
      <w:pPr>
        <w:widowControl w:val="0"/>
        <w:spacing w:after="0" w:line="240" w:lineRule="auto"/>
        <w:jc w:val="both"/>
        <w:rPr>
          <w:rFonts w:ascii="Arial" w:hAnsi="Arial" w:cs="Arial"/>
          <w:i/>
          <w:sz w:val="10"/>
          <w:szCs w:val="10"/>
          <w:lang w:val="ro-RO"/>
        </w:rPr>
      </w:pPr>
    </w:p>
    <w:p w:rsidR="006A576D" w:rsidRPr="00C61F4C" w:rsidRDefault="006A576D" w:rsidP="00CC1FB9">
      <w:pPr>
        <w:widowControl w:val="0"/>
        <w:spacing w:after="0" w:line="240" w:lineRule="auto"/>
        <w:jc w:val="both"/>
        <w:rPr>
          <w:rFonts w:ascii="Arial" w:hAnsi="Arial" w:cs="Arial"/>
          <w:i/>
          <w:sz w:val="20"/>
          <w:szCs w:val="20"/>
          <w:lang w:val="ro-RO"/>
        </w:rPr>
      </w:pPr>
      <w:r w:rsidRPr="00C61F4C">
        <w:rPr>
          <w:rFonts w:ascii="Arial" w:hAnsi="Arial" w:cs="Arial"/>
          <w:i/>
          <w:sz w:val="20"/>
          <w:szCs w:val="20"/>
          <w:lang w:val="ro-RO"/>
        </w:rPr>
        <w:t xml:space="preserve">Notă: Măsurătorile au fost efectuate în interiorul parcurilor şi surprind toate sursele de zgomot ambiental, indiferent de locul de producere a lor, conform STAS 6161-3/1982 – „Acustica în construcţii. Determinarea nivelului de zgomot în localităţile urbane. Metoda de determinare”, adică atât de la surse de zgomot interioare cât şi exterioare parcului (în principal traficul rutier). </w:t>
      </w:r>
    </w:p>
    <w:p w:rsidR="006A576D" w:rsidRPr="00F12113" w:rsidRDefault="006A576D" w:rsidP="00CC1FB9">
      <w:pPr>
        <w:widowControl w:val="0"/>
        <w:spacing w:after="0" w:line="240" w:lineRule="auto"/>
        <w:ind w:firstLine="720"/>
        <w:jc w:val="both"/>
        <w:rPr>
          <w:rFonts w:ascii="Arial" w:hAnsi="Arial" w:cs="Arial"/>
          <w:color w:val="FF0000"/>
          <w:sz w:val="6"/>
          <w:szCs w:val="6"/>
          <w:lang w:val="ro-RO"/>
        </w:rPr>
      </w:pPr>
    </w:p>
    <w:p w:rsidR="00672947" w:rsidRPr="00672947" w:rsidRDefault="00672947" w:rsidP="00CC1FB9">
      <w:pPr>
        <w:widowControl w:val="0"/>
        <w:spacing w:after="0" w:line="240" w:lineRule="auto"/>
        <w:ind w:firstLine="720"/>
        <w:jc w:val="both"/>
        <w:rPr>
          <w:rFonts w:ascii="Arial" w:hAnsi="Arial" w:cs="Arial"/>
          <w:color w:val="000000" w:themeColor="text1"/>
          <w:sz w:val="24"/>
          <w:szCs w:val="24"/>
          <w:lang w:val="ro-RO"/>
        </w:rPr>
      </w:pPr>
      <w:r w:rsidRPr="00672947">
        <w:rPr>
          <w:rFonts w:ascii="Arial" w:hAnsi="Arial" w:cs="Arial"/>
          <w:color w:val="000000" w:themeColor="text1"/>
          <w:sz w:val="24"/>
          <w:szCs w:val="24"/>
          <w:lang w:val="ro-RO"/>
        </w:rPr>
        <w:t>Sesizările primite în anul 2017 la APM Suceava de la cetățenii din judeţ privind zgomotul, au vizat disconfortul produs de surse de zgomot învecinate cu locuinţele reclamanţilor, (ex. fabrică pavele, atelier confecții metalice, pensiune, atelier debitare lemn, parcare camioane). În tab. VIII.1.2.1.3 este prezentat numărul acestora şi modul de soluţionare.</w:t>
      </w:r>
    </w:p>
    <w:p w:rsidR="00672947" w:rsidRPr="00672947" w:rsidRDefault="00672947" w:rsidP="00CC1FB9">
      <w:pPr>
        <w:widowControl w:val="0"/>
        <w:autoSpaceDE w:val="0"/>
        <w:autoSpaceDN w:val="0"/>
        <w:adjustRightInd w:val="0"/>
        <w:spacing w:after="0" w:line="240" w:lineRule="auto"/>
        <w:rPr>
          <w:rFonts w:ascii="Arial" w:hAnsi="Arial" w:cs="Arial"/>
          <w:color w:val="000000" w:themeColor="text1"/>
          <w:sz w:val="10"/>
          <w:szCs w:val="10"/>
          <w:lang w:val="ro-RO"/>
        </w:rPr>
      </w:pPr>
    </w:p>
    <w:p w:rsidR="00672947" w:rsidRPr="00672947" w:rsidRDefault="00672947" w:rsidP="00CC1FB9">
      <w:pPr>
        <w:widowControl w:val="0"/>
        <w:autoSpaceDE w:val="0"/>
        <w:autoSpaceDN w:val="0"/>
        <w:adjustRightInd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 xml:space="preserve">Tabel VIII.1.2.1.3 Numărul de sesizări primite de la cetățeni în anul 2017, </w:t>
      </w:r>
    </w:p>
    <w:p w:rsidR="00672947" w:rsidRPr="00672947" w:rsidRDefault="00672947" w:rsidP="00CC1FB9">
      <w:pPr>
        <w:widowControl w:val="0"/>
        <w:autoSpaceDE w:val="0"/>
        <w:autoSpaceDN w:val="0"/>
        <w:adjustRightInd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 xml:space="preserve"> privind zgomotul datorat surselor fixe și mobile, de către APM Suceava</w:t>
      </w:r>
    </w:p>
    <w:p w:rsidR="00672947" w:rsidRPr="00672947" w:rsidRDefault="00672947" w:rsidP="00CC1FB9">
      <w:pPr>
        <w:widowControl w:val="0"/>
        <w:autoSpaceDE w:val="0"/>
        <w:autoSpaceDN w:val="0"/>
        <w:adjustRightInd w:val="0"/>
        <w:spacing w:after="0" w:line="240" w:lineRule="auto"/>
        <w:jc w:val="center"/>
        <w:rPr>
          <w:rFonts w:ascii="Arial" w:eastAsiaTheme="minorEastAsia" w:hAnsi="Arial" w:cs="Arial"/>
          <w:color w:val="000000" w:themeColor="text1"/>
          <w:sz w:val="10"/>
          <w:szCs w:val="10"/>
          <w:lang w:val="ro-RO" w:eastAsia="ro-RO"/>
        </w:rPr>
      </w:pPr>
    </w:p>
    <w:tbl>
      <w:tblPr>
        <w:tblW w:w="9795"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01"/>
        <w:gridCol w:w="1552"/>
        <w:gridCol w:w="1991"/>
        <w:gridCol w:w="1701"/>
        <w:gridCol w:w="1850"/>
      </w:tblGrid>
      <w:tr w:rsidR="00672947" w:rsidRPr="00672947" w:rsidTr="00672947">
        <w:trPr>
          <w:trHeight w:val="217"/>
          <w:jc w:val="center"/>
        </w:trPr>
        <w:tc>
          <w:tcPr>
            <w:tcW w:w="2701" w:type="dxa"/>
            <w:shd w:val="clear" w:color="auto" w:fill="FFFF99"/>
            <w:vAlign w:val="center"/>
          </w:tcPr>
          <w:p w:rsidR="00672947" w:rsidRPr="00672947" w:rsidRDefault="00672947" w:rsidP="00CC1FB9">
            <w:pPr>
              <w:widowControl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Nr. sesizări primite la APM Suceava cu privire la zgomot şi alte aspecte</w:t>
            </w:r>
          </w:p>
        </w:tc>
        <w:tc>
          <w:tcPr>
            <w:tcW w:w="1552" w:type="dxa"/>
            <w:shd w:val="clear" w:color="auto" w:fill="FFFF99"/>
            <w:vAlign w:val="center"/>
          </w:tcPr>
          <w:p w:rsidR="00672947" w:rsidRPr="00672947" w:rsidRDefault="00672947" w:rsidP="00CC1FB9">
            <w:pPr>
              <w:widowControl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Nr.sesizări rezolvate de APM Suceava</w:t>
            </w:r>
          </w:p>
        </w:tc>
        <w:tc>
          <w:tcPr>
            <w:tcW w:w="1991" w:type="dxa"/>
            <w:shd w:val="clear" w:color="auto" w:fill="FFFF99"/>
            <w:vAlign w:val="center"/>
          </w:tcPr>
          <w:p w:rsidR="00672947" w:rsidRPr="00672947" w:rsidRDefault="00672947" w:rsidP="00CC1FB9">
            <w:pPr>
              <w:widowControl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 xml:space="preserve">Nr.sesizări redirecţionate la GNM-CJ Suceava  </w:t>
            </w:r>
          </w:p>
        </w:tc>
        <w:tc>
          <w:tcPr>
            <w:tcW w:w="1701" w:type="dxa"/>
            <w:shd w:val="clear" w:color="auto" w:fill="FFFF99"/>
            <w:vAlign w:val="center"/>
          </w:tcPr>
          <w:p w:rsidR="00672947" w:rsidRPr="00672947" w:rsidRDefault="00672947" w:rsidP="00CC1FB9">
            <w:pPr>
              <w:widowControl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Nr. sesizări redirecţionate DSP Suceava</w:t>
            </w:r>
          </w:p>
        </w:tc>
        <w:tc>
          <w:tcPr>
            <w:tcW w:w="1850" w:type="dxa"/>
            <w:shd w:val="clear" w:color="auto" w:fill="FFFF99"/>
            <w:vAlign w:val="center"/>
          </w:tcPr>
          <w:p w:rsidR="00672947" w:rsidRPr="00672947" w:rsidRDefault="00672947" w:rsidP="00CC1FB9">
            <w:pPr>
              <w:widowControl w:val="0"/>
              <w:spacing w:after="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Nr.</w:t>
            </w:r>
            <w:r>
              <w:rPr>
                <w:rFonts w:ascii="Arial" w:eastAsiaTheme="minorEastAsia" w:hAnsi="Arial" w:cs="Arial"/>
                <w:color w:val="000000" w:themeColor="text1"/>
                <w:lang w:val="ro-RO" w:eastAsia="ro-RO"/>
              </w:rPr>
              <w:t xml:space="preserve"> </w:t>
            </w:r>
            <w:r w:rsidRPr="00672947">
              <w:rPr>
                <w:rFonts w:ascii="Arial" w:eastAsiaTheme="minorEastAsia" w:hAnsi="Arial" w:cs="Arial"/>
                <w:color w:val="000000" w:themeColor="text1"/>
                <w:lang w:val="ro-RO" w:eastAsia="ro-RO"/>
              </w:rPr>
              <w:t>sesizări redirecţionate la alte autorităţi</w:t>
            </w:r>
          </w:p>
        </w:tc>
      </w:tr>
      <w:tr w:rsidR="00672947" w:rsidRPr="00672947" w:rsidTr="00672947">
        <w:trPr>
          <w:trHeight w:val="231"/>
          <w:jc w:val="center"/>
        </w:trPr>
        <w:tc>
          <w:tcPr>
            <w:tcW w:w="2701" w:type="dxa"/>
            <w:vAlign w:val="center"/>
          </w:tcPr>
          <w:p w:rsidR="00672947" w:rsidRPr="00672947" w:rsidRDefault="00672947" w:rsidP="00CC1FB9">
            <w:pPr>
              <w:widowControl w:val="0"/>
              <w:spacing w:before="40" w:after="4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5</w:t>
            </w:r>
          </w:p>
        </w:tc>
        <w:tc>
          <w:tcPr>
            <w:tcW w:w="1552" w:type="dxa"/>
            <w:vAlign w:val="center"/>
          </w:tcPr>
          <w:p w:rsidR="00672947" w:rsidRPr="00672947" w:rsidRDefault="00672947" w:rsidP="00CC1FB9">
            <w:pPr>
              <w:widowControl w:val="0"/>
              <w:spacing w:before="40" w:after="4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1</w:t>
            </w:r>
          </w:p>
        </w:tc>
        <w:tc>
          <w:tcPr>
            <w:tcW w:w="1991" w:type="dxa"/>
            <w:vAlign w:val="center"/>
          </w:tcPr>
          <w:p w:rsidR="00672947" w:rsidRPr="00672947" w:rsidRDefault="00672947" w:rsidP="00CC1FB9">
            <w:pPr>
              <w:widowControl w:val="0"/>
              <w:spacing w:before="40" w:after="4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1</w:t>
            </w:r>
          </w:p>
        </w:tc>
        <w:tc>
          <w:tcPr>
            <w:tcW w:w="1701" w:type="dxa"/>
            <w:vAlign w:val="center"/>
          </w:tcPr>
          <w:p w:rsidR="00672947" w:rsidRPr="00672947" w:rsidRDefault="00672947" w:rsidP="00CC1FB9">
            <w:pPr>
              <w:widowControl w:val="0"/>
              <w:spacing w:before="40" w:after="4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2</w:t>
            </w:r>
          </w:p>
        </w:tc>
        <w:tc>
          <w:tcPr>
            <w:tcW w:w="1850" w:type="dxa"/>
            <w:vAlign w:val="center"/>
          </w:tcPr>
          <w:p w:rsidR="00672947" w:rsidRPr="00672947" w:rsidRDefault="00672947" w:rsidP="00CC1FB9">
            <w:pPr>
              <w:widowControl w:val="0"/>
              <w:spacing w:before="40" w:after="40" w:line="240" w:lineRule="auto"/>
              <w:jc w:val="center"/>
              <w:rPr>
                <w:rFonts w:ascii="Arial" w:eastAsiaTheme="minorEastAsia" w:hAnsi="Arial" w:cs="Arial"/>
                <w:color w:val="000000" w:themeColor="text1"/>
                <w:lang w:val="ro-RO" w:eastAsia="ro-RO"/>
              </w:rPr>
            </w:pPr>
            <w:r w:rsidRPr="00672947">
              <w:rPr>
                <w:rFonts w:ascii="Arial" w:eastAsiaTheme="minorEastAsia" w:hAnsi="Arial" w:cs="Arial"/>
                <w:color w:val="000000" w:themeColor="text1"/>
                <w:lang w:val="ro-RO" w:eastAsia="ro-RO"/>
              </w:rPr>
              <w:t>1</w:t>
            </w:r>
            <w:r w:rsidRPr="00672947">
              <w:rPr>
                <w:rFonts w:ascii="Arial" w:eastAsiaTheme="minorEastAsia" w:hAnsi="Arial" w:cs="Arial"/>
                <w:bCs/>
                <w:color w:val="000000" w:themeColor="text1"/>
                <w:sz w:val="20"/>
                <w:szCs w:val="20"/>
                <w:lang w:val="ro-RO" w:eastAsia="ro-RO"/>
              </w:rPr>
              <w:t>*</w:t>
            </w:r>
          </w:p>
        </w:tc>
      </w:tr>
    </w:tbl>
    <w:p w:rsidR="00672947" w:rsidRPr="001A3986" w:rsidRDefault="00672947" w:rsidP="00CC1FB9">
      <w:pPr>
        <w:widowControl w:val="0"/>
        <w:autoSpaceDE w:val="0"/>
        <w:autoSpaceDN w:val="0"/>
        <w:adjustRightInd w:val="0"/>
        <w:spacing w:after="0" w:line="240" w:lineRule="auto"/>
        <w:jc w:val="both"/>
        <w:rPr>
          <w:rFonts w:ascii="Arial" w:eastAsiaTheme="minorEastAsia" w:hAnsi="Arial" w:cs="Arial"/>
          <w:bCs/>
          <w:color w:val="000000" w:themeColor="text1"/>
          <w:sz w:val="20"/>
          <w:szCs w:val="20"/>
          <w:lang w:val="ro-RO" w:eastAsia="ro-RO"/>
        </w:rPr>
      </w:pPr>
      <w:r w:rsidRPr="00672947">
        <w:rPr>
          <w:rFonts w:ascii="Arial" w:eastAsiaTheme="minorEastAsia" w:hAnsi="Arial" w:cs="Arial"/>
          <w:bCs/>
          <w:color w:val="000000" w:themeColor="text1"/>
          <w:sz w:val="20"/>
          <w:szCs w:val="20"/>
          <w:lang w:val="ro-RO" w:eastAsia="ro-RO"/>
        </w:rPr>
        <w:t>* O sesizare s-a r</w:t>
      </w:r>
      <w:r>
        <w:rPr>
          <w:rFonts w:ascii="Arial" w:eastAsiaTheme="minorEastAsia" w:hAnsi="Arial" w:cs="Arial"/>
          <w:bCs/>
          <w:color w:val="000000" w:themeColor="text1"/>
          <w:sz w:val="20"/>
          <w:szCs w:val="20"/>
          <w:lang w:val="ro-RO" w:eastAsia="ro-RO"/>
        </w:rPr>
        <w:t xml:space="preserve">edirecţionat la o administrație </w:t>
      </w:r>
      <w:r w:rsidRPr="00672947">
        <w:rPr>
          <w:rFonts w:ascii="Arial" w:eastAsiaTheme="minorEastAsia" w:hAnsi="Arial" w:cs="Arial"/>
          <w:bCs/>
          <w:color w:val="000000" w:themeColor="text1"/>
          <w:sz w:val="20"/>
          <w:szCs w:val="20"/>
          <w:lang w:val="ro-RO" w:eastAsia="ro-RO"/>
        </w:rPr>
        <w:t>publică locală.</w:t>
      </w:r>
    </w:p>
    <w:p w:rsidR="00CA72A6" w:rsidRPr="002D0342" w:rsidRDefault="00CA72A6" w:rsidP="00CC1FB9">
      <w:pPr>
        <w:widowControl w:val="0"/>
        <w:autoSpaceDE w:val="0"/>
        <w:autoSpaceDN w:val="0"/>
        <w:adjustRightInd w:val="0"/>
        <w:spacing w:after="0" w:line="240" w:lineRule="auto"/>
        <w:jc w:val="both"/>
        <w:rPr>
          <w:rFonts w:ascii="Arial" w:eastAsiaTheme="minorEastAsia" w:hAnsi="Arial" w:cs="Arial"/>
          <w:bCs/>
          <w:color w:val="FF0000"/>
          <w:sz w:val="20"/>
          <w:szCs w:val="20"/>
          <w:lang w:val="ro-RO" w:eastAsia="ro-RO"/>
        </w:rPr>
      </w:pPr>
    </w:p>
    <w:p w:rsidR="00E705E8" w:rsidRPr="00ED4C60" w:rsidRDefault="00E705E8" w:rsidP="00CC1FB9">
      <w:pPr>
        <w:widowControl w:val="0"/>
        <w:autoSpaceDE w:val="0"/>
        <w:autoSpaceDN w:val="0"/>
        <w:adjustRightInd w:val="0"/>
        <w:spacing w:after="0" w:line="240" w:lineRule="auto"/>
        <w:jc w:val="both"/>
        <w:rPr>
          <w:rFonts w:ascii="Arial" w:eastAsiaTheme="minorEastAsia" w:hAnsi="Arial" w:cs="Arial"/>
          <w:b/>
          <w:bCs/>
          <w:i/>
          <w:sz w:val="24"/>
          <w:szCs w:val="24"/>
          <w:lang w:val="ro-RO" w:eastAsia="ro-RO"/>
        </w:rPr>
      </w:pPr>
      <w:r w:rsidRPr="00ED4C60">
        <w:rPr>
          <w:rFonts w:ascii="Arial" w:eastAsiaTheme="minorEastAsia" w:hAnsi="Arial" w:cs="Arial"/>
          <w:b/>
          <w:bCs/>
          <w:i/>
          <w:sz w:val="24"/>
          <w:szCs w:val="24"/>
          <w:lang w:val="ro-RO" w:eastAsia="ro-RO"/>
        </w:rPr>
        <w:t xml:space="preserve">VIII.1.3. Calitatea apei potabile și efectele asupra sănătății </w:t>
      </w:r>
    </w:p>
    <w:p w:rsidR="00E705E8" w:rsidRPr="00A70F1C" w:rsidRDefault="00E705E8" w:rsidP="00CC1FB9">
      <w:pPr>
        <w:widowControl w:val="0"/>
        <w:spacing w:after="0" w:line="240" w:lineRule="auto"/>
        <w:jc w:val="both"/>
        <w:rPr>
          <w:rFonts w:ascii="Arial" w:hAnsi="Arial" w:cs="Arial"/>
          <w:color w:val="FF0000"/>
          <w:sz w:val="16"/>
          <w:szCs w:val="16"/>
          <w:highlight w:val="yellow"/>
          <w:lang w:val="ro-RO"/>
        </w:rPr>
      </w:pPr>
    </w:p>
    <w:p w:rsidR="00E705E8" w:rsidRPr="00CA2E35" w:rsidRDefault="00E705E8" w:rsidP="00CC1FB9">
      <w:pPr>
        <w:widowControl w:val="0"/>
        <w:spacing w:after="0" w:line="240" w:lineRule="auto"/>
        <w:ind w:firstLine="720"/>
        <w:jc w:val="both"/>
        <w:rPr>
          <w:rFonts w:ascii="Arial" w:eastAsiaTheme="minorEastAsia" w:hAnsi="Arial" w:cs="Arial"/>
          <w:sz w:val="24"/>
          <w:szCs w:val="24"/>
          <w:lang w:val="ro-RO" w:eastAsia="ro-RO"/>
        </w:rPr>
      </w:pPr>
      <w:r w:rsidRPr="00CA2E35">
        <w:rPr>
          <w:rFonts w:ascii="Arial" w:eastAsiaTheme="minorEastAsia" w:hAnsi="Arial" w:cs="Arial"/>
          <w:sz w:val="24"/>
          <w:szCs w:val="24"/>
          <w:lang w:val="ro-RO" w:eastAsia="ro-RO"/>
        </w:rPr>
        <w:t xml:space="preserve">Calitatea apei de băut este reglementată prin </w:t>
      </w:r>
      <w:r w:rsidRPr="00CA2E35">
        <w:rPr>
          <w:rFonts w:ascii="Arial" w:eastAsiaTheme="minorEastAsia" w:hAnsi="Arial" w:cs="Arial"/>
          <w:i/>
          <w:sz w:val="24"/>
          <w:szCs w:val="24"/>
          <w:lang w:val="ro-RO" w:eastAsia="ro-RO"/>
        </w:rPr>
        <w:t>Legea nr. 458/2002 privind calitatea apei potabile</w:t>
      </w:r>
      <w:r w:rsidRPr="00CA2E35">
        <w:rPr>
          <w:rFonts w:ascii="Arial" w:eastAsiaTheme="minorEastAsia" w:hAnsi="Arial" w:cs="Arial"/>
          <w:sz w:val="24"/>
          <w:szCs w:val="24"/>
          <w:lang w:val="ro-RO" w:eastAsia="ro-RO"/>
        </w:rPr>
        <w:t xml:space="preserve"> (republicată</w:t>
      </w:r>
      <w:r w:rsidR="004E5E03">
        <w:rPr>
          <w:rFonts w:ascii="Arial" w:eastAsiaTheme="minorEastAsia" w:hAnsi="Arial" w:cs="Arial"/>
          <w:sz w:val="24"/>
          <w:szCs w:val="24"/>
          <w:lang w:val="ro-RO" w:eastAsia="ro-RO"/>
        </w:rPr>
        <w:t>)</w:t>
      </w:r>
      <w:r w:rsidRPr="00CA2E35">
        <w:rPr>
          <w:rFonts w:ascii="Arial" w:eastAsiaTheme="minorEastAsia" w:hAnsi="Arial" w:cs="Arial"/>
          <w:sz w:val="24"/>
          <w:szCs w:val="24"/>
          <w:lang w:val="ro-RO" w:eastAsia="ro-RO"/>
        </w:rPr>
        <w:t xml:space="preserve">, cu modificările şi completările ulterioare, care a transpus Directiva nr. 98/83/CEE şi are ca obiectiv protecţia sănătăţii oamenilor împotriva efectelor oricărui tip de contaminare a apei potabile, prin asigurarea calităţii ei de apă curată şi sanogenă. </w:t>
      </w:r>
    </w:p>
    <w:p w:rsidR="00B9089A" w:rsidRPr="00CA2E35" w:rsidRDefault="00B9089A" w:rsidP="00CC1FB9">
      <w:pPr>
        <w:widowControl w:val="0"/>
        <w:spacing w:after="0" w:line="240" w:lineRule="auto"/>
        <w:ind w:firstLine="720"/>
        <w:jc w:val="both"/>
        <w:rPr>
          <w:rFonts w:ascii="Arial" w:eastAsiaTheme="minorEastAsia" w:hAnsi="Arial" w:cs="Arial"/>
          <w:sz w:val="24"/>
          <w:szCs w:val="24"/>
          <w:lang w:val="ro-RO" w:eastAsia="ro-RO"/>
        </w:rPr>
      </w:pPr>
      <w:r w:rsidRPr="00CA2E35">
        <w:rPr>
          <w:rFonts w:ascii="Arial" w:eastAsiaTheme="minorEastAsia" w:hAnsi="Arial" w:cs="Arial"/>
          <w:sz w:val="24"/>
          <w:szCs w:val="24"/>
          <w:lang w:val="ro-RO" w:eastAsia="ro-RO"/>
        </w:rPr>
        <w:t xml:space="preserve">Conform legii (r) nr. 458/2002, </w:t>
      </w:r>
      <w:r w:rsidR="001F5765" w:rsidRPr="00CA2E35">
        <w:rPr>
          <w:rFonts w:ascii="Arial" w:eastAsiaTheme="minorEastAsia" w:hAnsi="Arial" w:cs="Arial"/>
          <w:sz w:val="24"/>
          <w:szCs w:val="24"/>
          <w:lang w:val="ro-RO" w:eastAsia="ro-RO"/>
        </w:rPr>
        <w:t xml:space="preserve">cu modificările şi completările ulterioare, </w:t>
      </w:r>
      <w:r w:rsidRPr="00CA2E35">
        <w:rPr>
          <w:rFonts w:ascii="Arial" w:eastAsiaTheme="minorEastAsia" w:hAnsi="Arial" w:cs="Arial"/>
          <w:sz w:val="24"/>
          <w:szCs w:val="24"/>
          <w:lang w:val="ro-RO" w:eastAsia="ro-RO"/>
        </w:rPr>
        <w:t>a</w:t>
      </w:r>
      <w:r w:rsidR="00E705E8" w:rsidRPr="00CA2E35">
        <w:rPr>
          <w:rFonts w:ascii="Arial" w:eastAsiaTheme="minorEastAsia" w:hAnsi="Arial" w:cs="Arial"/>
          <w:sz w:val="24"/>
          <w:szCs w:val="24"/>
          <w:lang w:val="ro-RO" w:eastAsia="ro-RO"/>
        </w:rPr>
        <w:t>pa potabilă este apa destinată consumului uman</w:t>
      </w:r>
      <w:r w:rsidRPr="00CA2E35">
        <w:rPr>
          <w:rFonts w:ascii="Arial" w:eastAsiaTheme="minorEastAsia" w:hAnsi="Arial" w:cs="Arial"/>
          <w:sz w:val="24"/>
          <w:szCs w:val="24"/>
          <w:lang w:val="ro-RO" w:eastAsia="ro-RO"/>
        </w:rPr>
        <w:t>, după cum urmează:</w:t>
      </w:r>
    </w:p>
    <w:p w:rsidR="00B9089A" w:rsidRPr="00CA2E35" w:rsidRDefault="00B9089A" w:rsidP="00CC1FB9">
      <w:pPr>
        <w:widowControl w:val="0"/>
        <w:spacing w:after="0" w:line="240" w:lineRule="auto"/>
        <w:jc w:val="both"/>
        <w:rPr>
          <w:rFonts w:ascii="Arial" w:eastAsiaTheme="minorEastAsia" w:hAnsi="Arial" w:cs="Arial"/>
          <w:sz w:val="24"/>
          <w:szCs w:val="24"/>
          <w:lang w:val="ro-RO" w:eastAsia="ro-RO"/>
        </w:rPr>
      </w:pPr>
      <w:r w:rsidRPr="00CA2E35">
        <w:rPr>
          <w:rFonts w:ascii="Arial" w:eastAsiaTheme="minorEastAsia" w:hAnsi="Arial" w:cs="Arial"/>
          <w:sz w:val="24"/>
          <w:szCs w:val="24"/>
          <w:lang w:val="ro-RO" w:eastAsia="ro-RO"/>
        </w:rPr>
        <w:t>a) orice tip de apă în stare naturală sau după tratare, folosită pentru băut, la prepararea hranei ori pentru alte scopuri casnice, indiferent de originea ei şi indiferent dacă este furnizată prin reţea de distribuţie, din rezervor sau este distribuită în sticle ori în alte recipiente;</w:t>
      </w:r>
    </w:p>
    <w:p w:rsidR="00B9089A" w:rsidRPr="00CA2E35" w:rsidRDefault="00B9089A" w:rsidP="00CC1FB9">
      <w:pPr>
        <w:widowControl w:val="0"/>
        <w:spacing w:after="0" w:line="240" w:lineRule="auto"/>
        <w:jc w:val="both"/>
        <w:rPr>
          <w:rFonts w:ascii="Arial" w:eastAsiaTheme="minorEastAsia" w:hAnsi="Arial" w:cs="Arial"/>
          <w:sz w:val="24"/>
          <w:szCs w:val="24"/>
          <w:lang w:val="ro-RO" w:eastAsia="ro-RO"/>
        </w:rPr>
      </w:pPr>
      <w:r w:rsidRPr="00CA2E35">
        <w:rPr>
          <w:rFonts w:ascii="Arial" w:eastAsiaTheme="minorEastAsia" w:hAnsi="Arial" w:cs="Arial"/>
          <w:sz w:val="24"/>
          <w:szCs w:val="24"/>
          <w:lang w:val="ro-RO" w:eastAsia="ro-RO"/>
        </w:rPr>
        <w:t>b) toate tipurile de apă folosită ca sursă în industria alimentară pentru fabricarea, procesarea, conservarea sau comercializarea produselor ori substanţelor destinate consumului uman;</w:t>
      </w:r>
    </w:p>
    <w:p w:rsidR="00B9089A" w:rsidRPr="00A70F1C" w:rsidRDefault="00B9089A" w:rsidP="00CC1FB9">
      <w:pPr>
        <w:widowControl w:val="0"/>
        <w:spacing w:after="0" w:line="240" w:lineRule="auto"/>
        <w:jc w:val="both"/>
        <w:rPr>
          <w:rFonts w:ascii="Arial" w:eastAsiaTheme="minorEastAsia" w:hAnsi="Arial" w:cs="Arial"/>
          <w:color w:val="FF0000"/>
          <w:sz w:val="24"/>
          <w:szCs w:val="24"/>
          <w:highlight w:val="yellow"/>
          <w:lang w:val="ro-RO" w:eastAsia="ro-RO"/>
        </w:rPr>
      </w:pPr>
      <w:r w:rsidRPr="00CA2E35">
        <w:rPr>
          <w:rFonts w:ascii="Arial" w:eastAsiaTheme="minorEastAsia" w:hAnsi="Arial" w:cs="Arial"/>
          <w:sz w:val="24"/>
          <w:szCs w:val="24"/>
          <w:lang w:val="ro-RO" w:eastAsia="ro-RO"/>
        </w:rPr>
        <w:t>c) apa provenind din surse locale, precum fântâni, izvoare etc., folosită pentru băut, gătit sau în alte scopuri casnice</w:t>
      </w:r>
      <w:r w:rsidRPr="00CA2E35">
        <w:rPr>
          <w:rFonts w:ascii="Arial" w:eastAsiaTheme="minorEastAsia" w:hAnsi="Arial" w:cs="Arial"/>
          <w:color w:val="FF0000"/>
          <w:sz w:val="24"/>
          <w:szCs w:val="24"/>
          <w:lang w:val="ro-RO" w:eastAsia="ro-RO"/>
        </w:rPr>
        <w:t>.</w:t>
      </w:r>
    </w:p>
    <w:p w:rsidR="00B9089A" w:rsidRPr="00A70F1C" w:rsidRDefault="00B9089A" w:rsidP="00CC1FB9">
      <w:pPr>
        <w:widowControl w:val="0"/>
        <w:autoSpaceDE w:val="0"/>
        <w:autoSpaceDN w:val="0"/>
        <w:adjustRightInd w:val="0"/>
        <w:spacing w:after="0" w:line="240" w:lineRule="auto"/>
        <w:jc w:val="both"/>
        <w:rPr>
          <w:rFonts w:ascii="Arial" w:hAnsi="Arial" w:cs="Arial"/>
          <w:color w:val="FF0000"/>
          <w:sz w:val="6"/>
          <w:szCs w:val="6"/>
          <w:highlight w:val="yellow"/>
          <w:lang w:val="ro-RO" w:eastAsia="ro-RO"/>
        </w:rPr>
      </w:pPr>
    </w:p>
    <w:p w:rsidR="004A5298" w:rsidRPr="00DC362C" w:rsidRDefault="002F6EFA" w:rsidP="00CC1FB9">
      <w:pPr>
        <w:widowControl w:val="0"/>
        <w:spacing w:after="0" w:line="240" w:lineRule="auto"/>
        <w:ind w:firstLine="720"/>
        <w:jc w:val="both"/>
        <w:rPr>
          <w:rFonts w:ascii="Arial" w:hAnsi="Arial" w:cs="Arial"/>
          <w:sz w:val="24"/>
          <w:szCs w:val="24"/>
          <w:lang w:val="ro-RO"/>
        </w:rPr>
      </w:pPr>
      <w:r w:rsidRPr="00DC362C">
        <w:rPr>
          <w:rFonts w:ascii="Arial" w:hAnsi="Arial" w:cs="Arial"/>
          <w:sz w:val="24"/>
          <w:szCs w:val="24"/>
          <w:lang w:val="ro-RO"/>
        </w:rPr>
        <w:t xml:space="preserve">Principala cale de transmitere </w:t>
      </w:r>
      <w:r w:rsidR="00DC362C" w:rsidRPr="00DC362C">
        <w:rPr>
          <w:rFonts w:ascii="Arial" w:hAnsi="Arial" w:cs="Arial"/>
          <w:sz w:val="24"/>
          <w:szCs w:val="24"/>
          <w:lang w:val="ro-RO"/>
        </w:rPr>
        <w:t xml:space="preserve">a </w:t>
      </w:r>
      <w:r w:rsidRPr="00DC362C">
        <w:rPr>
          <w:rFonts w:ascii="Arial" w:hAnsi="Arial" w:cs="Arial"/>
          <w:sz w:val="24"/>
          <w:szCs w:val="24"/>
          <w:lang w:val="ro-RO"/>
        </w:rPr>
        <w:t xml:space="preserve">a unor boli este cea prin ingestie (directă, sau alimentelor contaminate prin apă), dar este posibilă infectarea și prin spălare și îmbăiere (leptospiroza, schistostomiaza, tularemie) și prin inhalare (aerosoli cu Legionella). </w:t>
      </w:r>
      <w:r w:rsidR="004A5298" w:rsidRPr="00DC362C">
        <w:rPr>
          <w:rFonts w:ascii="Arial" w:hAnsi="Arial" w:cs="Arial"/>
          <w:sz w:val="24"/>
          <w:szCs w:val="24"/>
          <w:lang w:val="ro-RO"/>
        </w:rPr>
        <w:t xml:space="preserve">Apa poate fi cu uşurinţă contaminată, putând constitui astfel un important factor de îmbolnăvire. </w:t>
      </w:r>
    </w:p>
    <w:p w:rsidR="00AD40CD" w:rsidRPr="00A70F1C" w:rsidRDefault="00AD40CD" w:rsidP="00CC1FB9">
      <w:pPr>
        <w:widowControl w:val="0"/>
        <w:autoSpaceDE w:val="0"/>
        <w:autoSpaceDN w:val="0"/>
        <w:adjustRightInd w:val="0"/>
        <w:spacing w:after="0" w:line="240" w:lineRule="auto"/>
        <w:jc w:val="both"/>
        <w:rPr>
          <w:rFonts w:ascii="Arial" w:hAnsi="Arial" w:cs="Arial"/>
          <w:color w:val="FF0000"/>
          <w:sz w:val="6"/>
          <w:szCs w:val="6"/>
          <w:highlight w:val="yellow"/>
          <w:lang w:val="ro-RO" w:eastAsia="ro-RO"/>
        </w:rPr>
      </w:pPr>
    </w:p>
    <w:p w:rsidR="00E705E8" w:rsidRPr="00BF1F67" w:rsidRDefault="00E705E8" w:rsidP="00CC1FB9">
      <w:pPr>
        <w:widowControl w:val="0"/>
        <w:spacing w:after="0" w:line="240" w:lineRule="auto"/>
        <w:ind w:firstLine="720"/>
        <w:jc w:val="both"/>
        <w:rPr>
          <w:rFonts w:ascii="Arial" w:eastAsiaTheme="minorEastAsia" w:hAnsi="Arial" w:cs="Arial"/>
          <w:i/>
          <w:iCs/>
          <w:sz w:val="24"/>
          <w:szCs w:val="24"/>
          <w:lang w:val="ro-RO" w:eastAsia="ro-RO"/>
        </w:rPr>
      </w:pPr>
      <w:r w:rsidRPr="00BF1F67">
        <w:rPr>
          <w:rFonts w:ascii="Arial" w:eastAsiaTheme="minorEastAsia" w:hAnsi="Arial" w:cs="Arial"/>
          <w:sz w:val="24"/>
          <w:szCs w:val="24"/>
          <w:lang w:val="ro-RO" w:eastAsia="ro-RO"/>
        </w:rPr>
        <w:t xml:space="preserve">Principalele boli cu transmitere (predominant sau posibil) hidrică, </w:t>
      </w:r>
      <w:r w:rsidRPr="00BF1F67">
        <w:rPr>
          <w:rFonts w:ascii="Arial" w:eastAsiaTheme="minorEastAsia" w:hAnsi="Arial" w:cs="Arial"/>
          <w:i/>
          <w:iCs/>
          <w:sz w:val="24"/>
          <w:szCs w:val="24"/>
          <w:lang w:val="ro-RO" w:eastAsia="ro-RO"/>
        </w:rPr>
        <w:t>prin apa potabilă contaminată microbiologic</w:t>
      </w:r>
      <w:r w:rsidRPr="00BF1F67">
        <w:rPr>
          <w:rFonts w:ascii="Arial" w:eastAsiaTheme="minorEastAsia" w:hAnsi="Arial" w:cs="Arial"/>
          <w:i/>
          <w:iCs/>
          <w:sz w:val="24"/>
          <w:vertAlign w:val="superscript"/>
          <w:lang w:val="ro-RO" w:eastAsia="ro-RO"/>
        </w:rPr>
        <w:t xml:space="preserve">  </w:t>
      </w:r>
      <w:r w:rsidRPr="00BF1F67">
        <w:rPr>
          <w:rFonts w:ascii="Arial" w:eastAsiaTheme="minorEastAsia" w:hAnsi="Arial" w:cs="Arial"/>
          <w:sz w:val="24"/>
          <w:szCs w:val="24"/>
          <w:lang w:val="ro-RO" w:eastAsia="ro-RO"/>
        </w:rPr>
        <w:t>sunt:</w:t>
      </w:r>
      <w:r w:rsidRPr="00BF1F67">
        <w:rPr>
          <w:rFonts w:ascii="Arial" w:eastAsiaTheme="minorEastAsia" w:hAnsi="Arial" w:cs="Arial"/>
          <w:i/>
          <w:iCs/>
          <w:sz w:val="24"/>
          <w:szCs w:val="24"/>
          <w:lang w:val="ro-RO" w:eastAsia="ro-RO"/>
        </w:rPr>
        <w:t xml:space="preserve"> </w:t>
      </w:r>
    </w:p>
    <w:p w:rsidR="00E705E8" w:rsidRPr="00BF1F67" w:rsidRDefault="004A5298" w:rsidP="00CC1FB9">
      <w:pPr>
        <w:widowControl w:val="0"/>
        <w:tabs>
          <w:tab w:val="left" w:pos="284"/>
          <w:tab w:val="num" w:pos="993"/>
        </w:tabs>
        <w:spacing w:after="0" w:line="240" w:lineRule="auto"/>
        <w:jc w:val="both"/>
        <w:rPr>
          <w:rFonts w:ascii="Arial" w:eastAsiaTheme="minorEastAsia" w:hAnsi="Arial" w:cs="Arial"/>
          <w:sz w:val="24"/>
          <w:szCs w:val="24"/>
          <w:lang w:val="ro-RO" w:eastAsia="ro-RO"/>
        </w:rPr>
      </w:pPr>
      <w:r w:rsidRPr="00BF1F67">
        <w:rPr>
          <w:rFonts w:ascii="Arial" w:eastAsiaTheme="minorEastAsia" w:hAnsi="Arial" w:cs="Arial"/>
          <w:i/>
          <w:iCs/>
          <w:sz w:val="24"/>
          <w:szCs w:val="24"/>
          <w:lang w:val="ro-RO" w:eastAsia="ro-RO"/>
        </w:rPr>
        <w:t>- boli</w:t>
      </w:r>
      <w:r w:rsidR="00E705E8" w:rsidRPr="00BF1F67">
        <w:rPr>
          <w:rFonts w:ascii="Arial" w:eastAsiaTheme="minorEastAsia" w:hAnsi="Arial" w:cs="Arial"/>
          <w:i/>
          <w:iCs/>
          <w:sz w:val="24"/>
          <w:szCs w:val="24"/>
          <w:lang w:val="ro-RO" w:eastAsia="ro-RO"/>
        </w:rPr>
        <w:t xml:space="preserve"> bacteriene: </w:t>
      </w:r>
      <w:r w:rsidR="00E705E8" w:rsidRPr="00BF1F67">
        <w:rPr>
          <w:rFonts w:ascii="Arial" w:eastAsiaTheme="minorEastAsia" w:hAnsi="Arial" w:cs="Arial"/>
          <w:b/>
          <w:sz w:val="24"/>
          <w:szCs w:val="24"/>
          <w:lang w:val="ro-RO" w:eastAsia="ro-RO"/>
        </w:rPr>
        <w:t>febra tifoidă</w:t>
      </w:r>
      <w:r w:rsidR="00E705E8" w:rsidRPr="00BF1F67">
        <w:rPr>
          <w:rFonts w:ascii="Arial" w:eastAsiaTheme="minorEastAsia" w:hAnsi="Arial" w:cs="Arial"/>
          <w:sz w:val="24"/>
          <w:szCs w:val="24"/>
          <w:lang w:val="ro-RO" w:eastAsia="ro-RO"/>
        </w:rPr>
        <w:t xml:space="preserve"> </w:t>
      </w:r>
      <w:r w:rsidRPr="00BF1F67">
        <w:rPr>
          <w:rFonts w:ascii="Arial" w:eastAsiaTheme="minorEastAsia" w:hAnsi="Arial" w:cs="Arial"/>
          <w:sz w:val="24"/>
          <w:szCs w:val="24"/>
          <w:lang w:val="ro-RO" w:eastAsia="ro-RO"/>
        </w:rPr>
        <w:t>(</w:t>
      </w:r>
      <w:r w:rsidR="00E705E8" w:rsidRPr="00BF1F67">
        <w:rPr>
          <w:rFonts w:ascii="Arial" w:eastAsiaTheme="minorEastAsia" w:hAnsi="Arial" w:cs="Arial"/>
          <w:sz w:val="24"/>
          <w:szCs w:val="24"/>
          <w:lang w:val="ro-RO" w:eastAsia="ro-RO"/>
        </w:rPr>
        <w:t xml:space="preserve">determinată de bacilul tific </w:t>
      </w:r>
      <w:r w:rsidRPr="00BF1F67">
        <w:rPr>
          <w:rFonts w:ascii="Arial" w:eastAsiaTheme="minorEastAsia" w:hAnsi="Arial" w:cs="Arial"/>
          <w:sz w:val="24"/>
          <w:szCs w:val="24"/>
          <w:lang w:val="ro-RO" w:eastAsia="ro-RO"/>
        </w:rPr>
        <w:t>- Salmonella typhy</w:t>
      </w:r>
      <w:r w:rsidR="00E705E8" w:rsidRPr="00BF1F67">
        <w:rPr>
          <w:rFonts w:ascii="Arial" w:eastAsiaTheme="minorEastAsia" w:hAnsi="Arial" w:cs="Arial"/>
          <w:sz w:val="24"/>
          <w:szCs w:val="24"/>
          <w:lang w:val="ro-RO" w:eastAsia="ro-RO"/>
        </w:rPr>
        <w:t>, poate fi combătută prin vaccinarea antitifică şi prin respectarea măsurilor de igienă personală</w:t>
      </w:r>
      <w:r w:rsidRPr="00BF1F67">
        <w:rPr>
          <w:rFonts w:ascii="Arial" w:eastAsiaTheme="minorEastAsia" w:hAnsi="Arial" w:cs="Arial"/>
          <w:sz w:val="24"/>
          <w:szCs w:val="24"/>
          <w:lang w:val="ro-RO" w:eastAsia="ro-RO"/>
        </w:rPr>
        <w:t>);</w:t>
      </w:r>
      <w:r w:rsidR="00E705E8" w:rsidRPr="00BF1F67">
        <w:rPr>
          <w:rFonts w:ascii="Arial" w:eastAsiaTheme="minorEastAsia" w:hAnsi="Arial" w:cs="Arial"/>
          <w:sz w:val="24"/>
          <w:szCs w:val="24"/>
          <w:lang w:val="ro-RO" w:eastAsia="ro-RO"/>
        </w:rPr>
        <w:t xml:space="preserve"> </w:t>
      </w:r>
      <w:r w:rsidR="00E705E8" w:rsidRPr="00BF1F67">
        <w:rPr>
          <w:rFonts w:ascii="Arial" w:eastAsiaTheme="minorEastAsia" w:hAnsi="Arial" w:cs="Arial"/>
          <w:b/>
          <w:sz w:val="24"/>
          <w:szCs w:val="24"/>
          <w:lang w:val="ro-RO" w:eastAsia="ro-RO"/>
        </w:rPr>
        <w:t>dizenteria</w:t>
      </w:r>
      <w:r w:rsidR="00E705E8" w:rsidRPr="00BF1F67">
        <w:rPr>
          <w:rFonts w:ascii="Arial" w:eastAsiaTheme="minorEastAsia" w:hAnsi="Arial" w:cs="Arial"/>
          <w:sz w:val="24"/>
          <w:szCs w:val="24"/>
          <w:lang w:val="ro-RO" w:eastAsia="ro-RO"/>
        </w:rPr>
        <w:t xml:space="preserve"> </w:t>
      </w:r>
      <w:r w:rsidRPr="00BF1F67">
        <w:rPr>
          <w:rFonts w:ascii="Arial" w:eastAsiaTheme="minorEastAsia" w:hAnsi="Arial" w:cs="Arial"/>
          <w:sz w:val="24"/>
          <w:szCs w:val="24"/>
          <w:lang w:val="ro-RO" w:eastAsia="ro-RO"/>
        </w:rPr>
        <w:t>(</w:t>
      </w:r>
      <w:r w:rsidR="00E705E8" w:rsidRPr="00BF1F67">
        <w:rPr>
          <w:rFonts w:ascii="Arial" w:eastAsiaTheme="minorEastAsia" w:hAnsi="Arial" w:cs="Arial"/>
          <w:sz w:val="24"/>
          <w:szCs w:val="24"/>
          <w:lang w:val="ro-RO" w:eastAsia="ro-RO"/>
        </w:rPr>
        <w:t>produsă de Shigella sp., este extrem de periculoasă prin efectele sale de deshidratare</w:t>
      </w:r>
      <w:r w:rsidRPr="00BF1F67">
        <w:rPr>
          <w:rFonts w:ascii="Arial" w:eastAsiaTheme="minorEastAsia" w:hAnsi="Arial" w:cs="Arial"/>
          <w:sz w:val="24"/>
          <w:szCs w:val="24"/>
          <w:lang w:val="ro-RO" w:eastAsia="ro-RO"/>
        </w:rPr>
        <w:t>)</w:t>
      </w:r>
      <w:r w:rsidR="00E705E8" w:rsidRPr="00BF1F67">
        <w:rPr>
          <w:rFonts w:ascii="Arial" w:eastAsiaTheme="minorEastAsia" w:hAnsi="Arial" w:cs="Arial"/>
          <w:sz w:val="24"/>
          <w:szCs w:val="24"/>
          <w:lang w:val="ro-RO" w:eastAsia="ro-RO"/>
        </w:rPr>
        <w:t>;</w:t>
      </w:r>
      <w:r w:rsidR="00E705E8" w:rsidRPr="00BF1F67">
        <w:rPr>
          <w:rFonts w:ascii="Arial" w:eastAsiaTheme="minorEastAsia" w:hAnsi="Arial" w:cs="Arial"/>
          <w:b/>
          <w:sz w:val="24"/>
          <w:szCs w:val="24"/>
          <w:lang w:val="ro-RO" w:eastAsia="ro-RO"/>
        </w:rPr>
        <w:t xml:space="preserve"> </w:t>
      </w:r>
    </w:p>
    <w:p w:rsidR="00E705E8" w:rsidRPr="00BF1F67" w:rsidRDefault="00E705E8" w:rsidP="00CC1FB9">
      <w:pPr>
        <w:widowControl w:val="0"/>
        <w:tabs>
          <w:tab w:val="left" w:pos="284"/>
        </w:tabs>
        <w:spacing w:after="0" w:line="240" w:lineRule="auto"/>
        <w:jc w:val="both"/>
        <w:rPr>
          <w:rFonts w:ascii="Arial" w:eastAsiaTheme="minorEastAsia" w:hAnsi="Arial" w:cs="Arial"/>
          <w:sz w:val="24"/>
          <w:szCs w:val="24"/>
          <w:lang w:val="ro-RO" w:eastAsia="ro-RO"/>
        </w:rPr>
      </w:pPr>
      <w:r w:rsidRPr="00BF1F67">
        <w:rPr>
          <w:rFonts w:ascii="Arial" w:eastAsiaTheme="minorEastAsia" w:hAnsi="Arial" w:cs="Arial"/>
          <w:i/>
          <w:iCs/>
          <w:sz w:val="24"/>
          <w:szCs w:val="24"/>
          <w:lang w:val="ro-RO" w:eastAsia="ro-RO"/>
        </w:rPr>
        <w:t>- bol</w:t>
      </w:r>
      <w:r w:rsidR="004A5298" w:rsidRPr="00BF1F67">
        <w:rPr>
          <w:rFonts w:ascii="Arial" w:eastAsiaTheme="minorEastAsia" w:hAnsi="Arial" w:cs="Arial"/>
          <w:i/>
          <w:iCs/>
          <w:sz w:val="24"/>
          <w:szCs w:val="24"/>
          <w:lang w:val="ro-RO" w:eastAsia="ro-RO"/>
        </w:rPr>
        <w:t>i</w:t>
      </w:r>
      <w:r w:rsidRPr="00BF1F67">
        <w:rPr>
          <w:rFonts w:ascii="Arial" w:eastAsiaTheme="minorEastAsia" w:hAnsi="Arial" w:cs="Arial"/>
          <w:i/>
          <w:iCs/>
          <w:sz w:val="24"/>
          <w:szCs w:val="24"/>
          <w:lang w:val="ro-RO" w:eastAsia="ro-RO"/>
        </w:rPr>
        <w:t xml:space="preserve"> virale: </w:t>
      </w:r>
      <w:r w:rsidRPr="00BF1F67">
        <w:rPr>
          <w:rFonts w:ascii="Arial" w:eastAsiaTheme="minorEastAsia" w:hAnsi="Arial" w:cs="Arial"/>
          <w:b/>
          <w:iCs/>
          <w:sz w:val="24"/>
          <w:szCs w:val="24"/>
          <w:lang w:val="ro-RO" w:eastAsia="ro-RO"/>
        </w:rPr>
        <w:t>p</w:t>
      </w:r>
      <w:r w:rsidRPr="00BF1F67">
        <w:rPr>
          <w:rFonts w:ascii="Arial" w:eastAsiaTheme="minorEastAsia" w:hAnsi="Arial" w:cs="Arial"/>
          <w:b/>
          <w:sz w:val="24"/>
          <w:szCs w:val="24"/>
          <w:lang w:val="ro-RO" w:eastAsia="ro-RO"/>
        </w:rPr>
        <w:t>oliomielita</w:t>
      </w:r>
      <w:r w:rsidRPr="00BF1F67">
        <w:rPr>
          <w:rFonts w:ascii="Arial" w:eastAsiaTheme="minorEastAsia" w:hAnsi="Arial" w:cs="Arial"/>
          <w:sz w:val="24"/>
          <w:szCs w:val="24"/>
          <w:lang w:val="ro-RO" w:eastAsia="ro-RO"/>
        </w:rPr>
        <w:t xml:space="preserve"> </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poate fi prevenită prin vaccinare</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w:t>
      </w:r>
      <w:r w:rsidRPr="00BF1F67">
        <w:rPr>
          <w:rFonts w:ascii="Arial" w:eastAsiaTheme="minorEastAsia" w:hAnsi="Arial" w:cs="Arial"/>
          <w:b/>
          <w:sz w:val="24"/>
          <w:szCs w:val="24"/>
          <w:lang w:val="ro-RO" w:eastAsia="ro-RO"/>
        </w:rPr>
        <w:t xml:space="preserve"> hepatita epidemică</w:t>
      </w:r>
      <w:r w:rsidRPr="00BF1F67">
        <w:rPr>
          <w:rFonts w:ascii="Arial" w:eastAsiaTheme="minorEastAsia" w:hAnsi="Arial" w:cs="Arial"/>
          <w:sz w:val="24"/>
          <w:szCs w:val="24"/>
          <w:lang w:val="ro-RO" w:eastAsia="ro-RO"/>
        </w:rPr>
        <w:t xml:space="preserve"> </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legată</w:t>
      </w:r>
      <w:r w:rsidR="004A5298" w:rsidRPr="00BF1F67">
        <w:rPr>
          <w:rFonts w:ascii="Arial" w:eastAsiaTheme="minorEastAsia" w:hAnsi="Arial" w:cs="Arial"/>
          <w:sz w:val="24"/>
          <w:szCs w:val="24"/>
          <w:lang w:val="ro-RO" w:eastAsia="ro-RO"/>
        </w:rPr>
        <w:t xml:space="preserve"> şi</w:t>
      </w:r>
      <w:r w:rsidRPr="00BF1F67">
        <w:rPr>
          <w:rFonts w:ascii="Arial" w:eastAsiaTheme="minorEastAsia" w:hAnsi="Arial" w:cs="Arial"/>
          <w:sz w:val="24"/>
          <w:szCs w:val="24"/>
          <w:lang w:val="ro-RO" w:eastAsia="ro-RO"/>
        </w:rPr>
        <w:t xml:space="preserve"> de transmiterea virusului prin apa contaminată, nu doar prin contactul cu omul bolnav</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w:t>
      </w:r>
    </w:p>
    <w:p w:rsidR="00E705E8" w:rsidRPr="00BF1F67" w:rsidRDefault="00E705E8" w:rsidP="00CC1FB9">
      <w:pPr>
        <w:widowControl w:val="0"/>
        <w:tabs>
          <w:tab w:val="left" w:pos="284"/>
        </w:tabs>
        <w:spacing w:after="0" w:line="240" w:lineRule="auto"/>
        <w:jc w:val="both"/>
        <w:rPr>
          <w:rFonts w:ascii="Arial" w:eastAsiaTheme="minorEastAsia" w:hAnsi="Arial" w:cs="Arial"/>
          <w:color w:val="FF0000"/>
          <w:sz w:val="24"/>
          <w:szCs w:val="24"/>
          <w:lang w:val="ro-RO" w:eastAsia="ro-RO"/>
        </w:rPr>
      </w:pPr>
      <w:r w:rsidRPr="00BF1F67">
        <w:rPr>
          <w:rFonts w:ascii="Arial" w:eastAsiaTheme="minorEastAsia" w:hAnsi="Arial" w:cs="Arial"/>
          <w:i/>
          <w:iCs/>
          <w:sz w:val="24"/>
          <w:szCs w:val="24"/>
          <w:lang w:val="ro-RO" w:eastAsia="ro-RO"/>
        </w:rPr>
        <w:t>- boli parazitare:</w:t>
      </w:r>
      <w:r w:rsidRPr="00BF1F67">
        <w:rPr>
          <w:rFonts w:ascii="Arial" w:eastAsiaTheme="minorEastAsia" w:hAnsi="Arial" w:cs="Arial"/>
          <w:b/>
          <w:i/>
          <w:iCs/>
          <w:sz w:val="24"/>
          <w:szCs w:val="24"/>
          <w:lang w:val="ro-RO" w:eastAsia="ro-RO"/>
        </w:rPr>
        <w:t xml:space="preserve"> </w:t>
      </w:r>
      <w:r w:rsidRPr="00BF1F67">
        <w:rPr>
          <w:rFonts w:ascii="Arial" w:eastAsiaTheme="minorEastAsia" w:hAnsi="Arial" w:cs="Arial"/>
          <w:b/>
          <w:sz w:val="24"/>
          <w:szCs w:val="24"/>
          <w:lang w:val="ro-RO" w:eastAsia="ro-RO"/>
        </w:rPr>
        <w:t>lambliaza</w:t>
      </w:r>
      <w:r w:rsidRPr="00BF1F67">
        <w:rPr>
          <w:rFonts w:ascii="Arial" w:eastAsiaTheme="minorEastAsia" w:hAnsi="Arial" w:cs="Arial"/>
          <w:sz w:val="24"/>
          <w:szCs w:val="24"/>
          <w:lang w:val="ro-RO" w:eastAsia="ro-RO"/>
        </w:rPr>
        <w:t xml:space="preserve"> sau </w:t>
      </w:r>
      <w:r w:rsidRPr="00BF1F67">
        <w:rPr>
          <w:rFonts w:ascii="Arial" w:eastAsiaTheme="minorEastAsia" w:hAnsi="Arial" w:cs="Arial"/>
          <w:b/>
          <w:sz w:val="24"/>
          <w:szCs w:val="24"/>
          <w:lang w:val="ro-RO" w:eastAsia="ro-RO"/>
        </w:rPr>
        <w:t>giardiaza</w:t>
      </w:r>
      <w:r w:rsidRPr="00BF1F67">
        <w:rPr>
          <w:rFonts w:ascii="Arial" w:eastAsiaTheme="minorEastAsia" w:hAnsi="Arial" w:cs="Arial"/>
          <w:sz w:val="24"/>
          <w:szCs w:val="24"/>
          <w:lang w:val="ro-RO" w:eastAsia="ro-RO"/>
        </w:rPr>
        <w:t xml:space="preserve"> </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se contractează prin consumarea apei infestate cu chişti</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 xml:space="preserve">; </w:t>
      </w:r>
      <w:r w:rsidRPr="00BF1F67">
        <w:rPr>
          <w:rFonts w:ascii="Arial" w:eastAsiaTheme="minorEastAsia" w:hAnsi="Arial" w:cs="Arial"/>
          <w:b/>
          <w:sz w:val="24"/>
          <w:szCs w:val="24"/>
          <w:lang w:val="ro-RO" w:eastAsia="ro-RO"/>
        </w:rPr>
        <w:t>strongiloidoza</w:t>
      </w:r>
      <w:r w:rsidRPr="00BF1F67">
        <w:rPr>
          <w:rFonts w:ascii="Arial" w:eastAsiaTheme="minorEastAsia" w:hAnsi="Arial" w:cs="Arial"/>
          <w:sz w:val="24"/>
          <w:szCs w:val="24"/>
          <w:lang w:val="ro-RO" w:eastAsia="ro-RO"/>
        </w:rPr>
        <w:t xml:space="preserve"> </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produsă de un parazit ce trăieşte în organismul uman</w:t>
      </w:r>
      <w:r w:rsidR="004A5298" w:rsidRPr="00BF1F67">
        <w:rPr>
          <w:rFonts w:ascii="Arial" w:eastAsiaTheme="minorEastAsia" w:hAnsi="Arial" w:cs="Arial"/>
          <w:sz w:val="24"/>
          <w:szCs w:val="24"/>
          <w:lang w:val="ro-RO" w:eastAsia="ro-RO"/>
        </w:rPr>
        <w:t>)</w:t>
      </w:r>
      <w:r w:rsidRPr="00BF1F67">
        <w:rPr>
          <w:rFonts w:ascii="Arial" w:eastAsiaTheme="minorEastAsia" w:hAnsi="Arial" w:cs="Arial"/>
          <w:sz w:val="24"/>
          <w:szCs w:val="24"/>
          <w:lang w:val="ro-RO" w:eastAsia="ro-RO"/>
        </w:rPr>
        <w:t xml:space="preserve">; </w:t>
      </w:r>
      <w:r w:rsidRPr="00BF1F67">
        <w:rPr>
          <w:rFonts w:ascii="Arial" w:eastAsiaTheme="minorEastAsia" w:hAnsi="Arial" w:cs="Arial"/>
          <w:b/>
          <w:sz w:val="24"/>
          <w:szCs w:val="24"/>
          <w:lang w:val="ro-RO" w:eastAsia="ro-RO"/>
        </w:rPr>
        <w:t>tricomoniaza</w:t>
      </w:r>
      <w:r w:rsidRPr="00BF1F67">
        <w:rPr>
          <w:rFonts w:ascii="Arial" w:eastAsiaTheme="minorEastAsia" w:hAnsi="Arial" w:cs="Arial"/>
          <w:sz w:val="24"/>
          <w:szCs w:val="24"/>
          <w:lang w:val="ro-RO" w:eastAsia="ro-RO"/>
        </w:rPr>
        <w:t xml:space="preserve"> </w:t>
      </w:r>
      <w:r w:rsidR="004A5298" w:rsidRPr="00BF1F67">
        <w:rPr>
          <w:rFonts w:ascii="Arial" w:eastAsiaTheme="minorEastAsia" w:hAnsi="Arial" w:cs="Arial"/>
          <w:sz w:val="24"/>
          <w:szCs w:val="24"/>
          <w:lang w:val="ro-RO" w:eastAsia="ro-RO"/>
        </w:rPr>
        <w:t xml:space="preserve">(determinată de Trichomonas sp. - </w:t>
      </w:r>
      <w:r w:rsidRPr="00BF1F67">
        <w:rPr>
          <w:rFonts w:ascii="Arial" w:eastAsiaTheme="minorEastAsia" w:hAnsi="Arial" w:cs="Arial"/>
          <w:sz w:val="24"/>
          <w:szCs w:val="24"/>
          <w:lang w:val="ro-RO" w:eastAsia="ro-RO"/>
        </w:rPr>
        <w:t xml:space="preserve">flagelat); </w:t>
      </w:r>
      <w:r w:rsidRPr="00BF1F67">
        <w:rPr>
          <w:rFonts w:ascii="Arial" w:eastAsiaTheme="minorEastAsia" w:hAnsi="Arial" w:cs="Arial"/>
          <w:b/>
          <w:sz w:val="24"/>
          <w:szCs w:val="24"/>
          <w:lang w:val="ro-RO" w:eastAsia="ro-RO"/>
        </w:rPr>
        <w:t>fascioloza</w:t>
      </w:r>
      <w:r w:rsidRPr="00BF1F67">
        <w:rPr>
          <w:rFonts w:ascii="Arial" w:eastAsiaTheme="minorEastAsia" w:hAnsi="Arial" w:cs="Arial"/>
          <w:sz w:val="24"/>
          <w:szCs w:val="24"/>
          <w:lang w:val="ro-RO" w:eastAsia="ro-RO"/>
        </w:rPr>
        <w:t xml:space="preserve"> sau </w:t>
      </w:r>
      <w:r w:rsidRPr="00BF1F67">
        <w:rPr>
          <w:rFonts w:ascii="Arial" w:eastAsiaTheme="minorEastAsia" w:hAnsi="Arial" w:cs="Arial"/>
          <w:b/>
          <w:sz w:val="24"/>
          <w:szCs w:val="24"/>
          <w:lang w:val="ro-RO" w:eastAsia="ro-RO"/>
        </w:rPr>
        <w:t>distomatoza.</w:t>
      </w:r>
    </w:p>
    <w:p w:rsidR="00E705E8" w:rsidRPr="00281791" w:rsidRDefault="00E705E8" w:rsidP="00CC1FB9">
      <w:pPr>
        <w:widowControl w:val="0"/>
        <w:spacing w:after="0" w:line="240" w:lineRule="auto"/>
        <w:ind w:firstLine="720"/>
        <w:jc w:val="both"/>
        <w:rPr>
          <w:rFonts w:ascii="Arial" w:eastAsiaTheme="minorEastAsia" w:hAnsi="Arial" w:cs="Arial"/>
          <w:sz w:val="24"/>
          <w:szCs w:val="24"/>
          <w:lang w:val="ro-RO" w:eastAsia="ro-RO"/>
        </w:rPr>
      </w:pPr>
      <w:r w:rsidRPr="00281791">
        <w:rPr>
          <w:rFonts w:ascii="Arial" w:eastAsiaTheme="minorEastAsia" w:hAnsi="Arial" w:cs="Arial"/>
          <w:i/>
          <w:iCs/>
          <w:sz w:val="24"/>
          <w:szCs w:val="24"/>
          <w:lang w:val="ro-RO" w:eastAsia="ro-RO"/>
        </w:rPr>
        <w:t>Boli neinfecţioase produse prin apa poluată</w:t>
      </w:r>
      <w:r w:rsidRPr="00281791">
        <w:rPr>
          <w:rFonts w:ascii="Arial" w:eastAsiaTheme="minorEastAsia" w:hAnsi="Arial" w:cs="Arial"/>
          <w:sz w:val="24"/>
          <w:szCs w:val="24"/>
          <w:lang w:val="ro-RO" w:eastAsia="ro-RO"/>
        </w:rPr>
        <w:t xml:space="preserve">: </w:t>
      </w:r>
    </w:p>
    <w:p w:rsidR="00E705E8" w:rsidRPr="00281791" w:rsidRDefault="00E705E8"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intoxicaţia cu nitraţi (efect methemoglobinizant);</w:t>
      </w:r>
    </w:p>
    <w:p w:rsidR="00E705E8" w:rsidRPr="00281791" w:rsidRDefault="00E705E8"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intoxicaţia cu plumb (saturnism hidric);</w:t>
      </w:r>
    </w:p>
    <w:p w:rsidR="00E705E8" w:rsidRPr="00281791" w:rsidRDefault="00001B6B"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xml:space="preserve">- </w:t>
      </w:r>
      <w:r w:rsidR="00E705E8" w:rsidRPr="00281791">
        <w:rPr>
          <w:rFonts w:ascii="Arial" w:eastAsiaTheme="minorEastAsia" w:hAnsi="Arial" w:cs="Arial"/>
          <w:sz w:val="24"/>
          <w:szCs w:val="24"/>
          <w:lang w:val="ro-RO" w:eastAsia="ro-RO"/>
        </w:rPr>
        <w:t>intoxicaţia cu mercur</w:t>
      </w:r>
      <w:r w:rsidR="004A5298" w:rsidRPr="00281791">
        <w:rPr>
          <w:rFonts w:ascii="Arial" w:eastAsiaTheme="minorEastAsia" w:hAnsi="Arial" w:cs="Arial"/>
          <w:sz w:val="24"/>
          <w:szCs w:val="24"/>
          <w:lang w:val="ro-RO" w:eastAsia="ro-RO"/>
        </w:rPr>
        <w:t>,</w:t>
      </w:r>
      <w:r w:rsidR="00E705E8" w:rsidRPr="00281791">
        <w:rPr>
          <w:rFonts w:ascii="Arial" w:eastAsiaTheme="minorEastAsia" w:hAnsi="Arial" w:cs="Arial"/>
          <w:sz w:val="24"/>
          <w:szCs w:val="24"/>
          <w:lang w:val="ro-RO" w:eastAsia="ro-RO"/>
        </w:rPr>
        <w:t xml:space="preserve"> ce are ca semne şi simptome: dureri de cap, ameţeli, insomnie, anemie, tulburări de memorie şi vizuale</w:t>
      </w:r>
      <w:r w:rsidR="00984B78" w:rsidRPr="00281791">
        <w:rPr>
          <w:rFonts w:ascii="Arial" w:eastAsiaTheme="minorEastAsia" w:hAnsi="Arial" w:cs="Arial"/>
          <w:sz w:val="24"/>
          <w:szCs w:val="24"/>
          <w:lang w:val="ro-RO" w:eastAsia="ro-RO"/>
        </w:rPr>
        <w:t>;</w:t>
      </w:r>
      <w:r w:rsidR="00E705E8" w:rsidRPr="00281791">
        <w:rPr>
          <w:rFonts w:ascii="Arial" w:eastAsiaTheme="minorEastAsia" w:hAnsi="Arial" w:cs="Arial"/>
          <w:sz w:val="24"/>
          <w:szCs w:val="24"/>
          <w:lang w:val="ro-RO" w:eastAsia="ro-RO"/>
        </w:rPr>
        <w:t xml:space="preserve"> are efecte teratogene (produce malformaţii la făt);</w:t>
      </w:r>
    </w:p>
    <w:p w:rsidR="00E705E8" w:rsidRPr="00281791" w:rsidRDefault="00E705E8"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intoxicaţia cu arsen</w:t>
      </w:r>
      <w:r w:rsidR="004A5298" w:rsidRPr="00281791">
        <w:rPr>
          <w:rFonts w:ascii="Arial" w:eastAsiaTheme="minorEastAsia" w:hAnsi="Arial" w:cs="Arial"/>
          <w:sz w:val="24"/>
          <w:szCs w:val="24"/>
          <w:lang w:val="ro-RO" w:eastAsia="ro-RO"/>
        </w:rPr>
        <w:t>,</w:t>
      </w:r>
      <w:r w:rsidRPr="00281791">
        <w:rPr>
          <w:rFonts w:ascii="Arial" w:eastAsiaTheme="minorEastAsia" w:hAnsi="Arial" w:cs="Arial"/>
          <w:sz w:val="24"/>
          <w:szCs w:val="24"/>
          <w:lang w:val="ro-RO" w:eastAsia="ro-RO"/>
        </w:rPr>
        <w:t xml:space="preserve"> ce se acumulează ca şi mercurul în păr şi unghii</w:t>
      </w:r>
      <w:r w:rsidR="00984B78" w:rsidRPr="00281791">
        <w:rPr>
          <w:rFonts w:ascii="Arial" w:eastAsiaTheme="minorEastAsia" w:hAnsi="Arial" w:cs="Arial"/>
          <w:sz w:val="24"/>
          <w:szCs w:val="24"/>
          <w:lang w:val="ro-RO" w:eastAsia="ro-RO"/>
        </w:rPr>
        <w:t>,</w:t>
      </w:r>
      <w:r w:rsidRPr="00281791">
        <w:rPr>
          <w:rFonts w:ascii="Arial" w:eastAsiaTheme="minorEastAsia" w:hAnsi="Arial" w:cs="Arial"/>
          <w:sz w:val="24"/>
          <w:szCs w:val="24"/>
          <w:lang w:val="ro-RO" w:eastAsia="ro-RO"/>
        </w:rPr>
        <w:t xml:space="preserve"> duce la tulburări </w:t>
      </w:r>
      <w:r w:rsidRPr="00281791">
        <w:rPr>
          <w:rFonts w:ascii="Arial" w:eastAsiaTheme="minorEastAsia" w:hAnsi="Arial" w:cs="Arial"/>
          <w:sz w:val="24"/>
          <w:szCs w:val="24"/>
          <w:lang w:val="ro-RO" w:eastAsia="ro-RO"/>
        </w:rPr>
        <w:lastRenderedPageBreak/>
        <w:t>metabolice şi digestive, cefalee, ameţeli;</w:t>
      </w:r>
    </w:p>
    <w:p w:rsidR="00E705E8" w:rsidRPr="00281791" w:rsidRDefault="00001B6B"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xml:space="preserve">- </w:t>
      </w:r>
      <w:r w:rsidR="00E705E8" w:rsidRPr="00281791">
        <w:rPr>
          <w:rFonts w:ascii="Arial" w:eastAsiaTheme="minorEastAsia" w:hAnsi="Arial" w:cs="Arial"/>
          <w:sz w:val="24"/>
          <w:szCs w:val="24"/>
          <w:lang w:val="ro-RO" w:eastAsia="ro-RO"/>
        </w:rPr>
        <w:t>intoxicaţia cu cadmiu afectează ficatul (enzimele metabolice), duce la scăderea eritropoiezei şi la anemie, scăderea calcemiei;</w:t>
      </w:r>
    </w:p>
    <w:p w:rsidR="00E705E8" w:rsidRPr="00281791" w:rsidRDefault="00E705E8"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intoxicaţia cu fluor are forme dentare, osoase şi renale;</w:t>
      </w:r>
    </w:p>
    <w:p w:rsidR="00E705E8" w:rsidRPr="00281791" w:rsidRDefault="00E705E8" w:rsidP="00CC1FB9">
      <w:pPr>
        <w:widowControl w:val="0"/>
        <w:spacing w:after="0" w:line="240" w:lineRule="auto"/>
        <w:jc w:val="both"/>
        <w:rPr>
          <w:rFonts w:ascii="Arial" w:eastAsiaTheme="minorEastAsia" w:hAnsi="Arial" w:cs="Arial"/>
          <w:sz w:val="24"/>
          <w:szCs w:val="24"/>
          <w:lang w:val="ro-RO" w:eastAsia="ro-RO"/>
        </w:rPr>
      </w:pPr>
      <w:r w:rsidRPr="00281791">
        <w:rPr>
          <w:rFonts w:ascii="Arial" w:eastAsiaTheme="minorEastAsia" w:hAnsi="Arial" w:cs="Arial"/>
          <w:sz w:val="24"/>
          <w:szCs w:val="24"/>
          <w:lang w:val="ro-RO" w:eastAsia="ro-RO"/>
        </w:rPr>
        <w:t>- intoxicaţia cu pesticide are efecte hepatotoxice, neurotoxice, de reproducere.</w:t>
      </w:r>
    </w:p>
    <w:p w:rsidR="00E705E8" w:rsidRPr="00A70F1C" w:rsidRDefault="00E705E8" w:rsidP="00CC1FB9">
      <w:pPr>
        <w:widowControl w:val="0"/>
        <w:spacing w:after="0" w:line="240" w:lineRule="auto"/>
        <w:jc w:val="both"/>
        <w:rPr>
          <w:rFonts w:ascii="Arial" w:eastAsiaTheme="minorEastAsia" w:hAnsi="Arial" w:cs="Arial"/>
          <w:iCs/>
          <w:color w:val="FF0000"/>
          <w:sz w:val="10"/>
          <w:szCs w:val="10"/>
          <w:highlight w:val="yellow"/>
          <w:lang w:val="ro-RO" w:eastAsia="ro-RO"/>
        </w:rPr>
      </w:pPr>
    </w:p>
    <w:p w:rsidR="004A5298" w:rsidRPr="00826D9E" w:rsidRDefault="00E705E8" w:rsidP="00CC1FB9">
      <w:pPr>
        <w:widowControl w:val="0"/>
        <w:spacing w:after="0" w:line="240" w:lineRule="auto"/>
        <w:jc w:val="center"/>
        <w:rPr>
          <w:rFonts w:ascii="Arial" w:eastAsiaTheme="minorEastAsia" w:hAnsi="Arial" w:cs="Arial"/>
          <w:lang w:val="ro-RO" w:eastAsia="ro-RO"/>
        </w:rPr>
      </w:pPr>
      <w:r w:rsidRPr="00826D9E">
        <w:rPr>
          <w:rFonts w:ascii="Arial" w:eastAsiaTheme="minorEastAsia" w:hAnsi="Arial" w:cs="Arial"/>
          <w:iCs/>
          <w:lang w:val="ro-RO" w:eastAsia="ro-RO"/>
        </w:rPr>
        <w:t xml:space="preserve">Tabelul </w:t>
      </w:r>
      <w:r w:rsidR="004A5298" w:rsidRPr="00826D9E">
        <w:rPr>
          <w:rFonts w:ascii="Arial" w:eastAsiaTheme="minorEastAsia" w:hAnsi="Arial" w:cs="Arial"/>
          <w:iCs/>
          <w:lang w:val="ro-RO" w:eastAsia="ro-RO"/>
        </w:rPr>
        <w:t>VIII</w:t>
      </w:r>
      <w:r w:rsidRPr="00826D9E">
        <w:rPr>
          <w:rFonts w:ascii="Arial" w:eastAsiaTheme="minorEastAsia" w:hAnsi="Arial" w:cs="Arial"/>
          <w:iCs/>
          <w:lang w:val="ro-RO" w:eastAsia="ro-RO"/>
        </w:rPr>
        <w:t>.1.3.1.</w:t>
      </w:r>
      <w:r w:rsidRPr="00826D9E">
        <w:rPr>
          <w:rFonts w:ascii="Arial" w:eastAsiaTheme="minorEastAsia" w:hAnsi="Arial" w:cs="Arial"/>
          <w:i/>
          <w:iCs/>
          <w:lang w:val="ro-RO" w:eastAsia="ro-RO"/>
        </w:rPr>
        <w:t xml:space="preserve"> </w:t>
      </w:r>
      <w:r w:rsidRPr="00826D9E">
        <w:rPr>
          <w:rFonts w:ascii="Arial" w:eastAsiaTheme="minorEastAsia" w:hAnsi="Arial" w:cs="Arial"/>
          <w:iCs/>
          <w:lang w:val="ro-RO" w:eastAsia="ro-RO"/>
        </w:rPr>
        <w:t xml:space="preserve">Evoluția </w:t>
      </w:r>
      <w:r w:rsidR="00100F2E" w:rsidRPr="00826D9E">
        <w:rPr>
          <w:rFonts w:ascii="Arial" w:eastAsiaTheme="minorEastAsia" w:hAnsi="Arial" w:cs="Arial"/>
          <w:iCs/>
          <w:lang w:val="ro-RO" w:eastAsia="ro-RO"/>
        </w:rPr>
        <w:t xml:space="preserve">cazurilor de boli </w:t>
      </w:r>
      <w:r w:rsidRPr="00826D9E">
        <w:rPr>
          <w:rFonts w:ascii="Arial" w:eastAsiaTheme="minorEastAsia" w:hAnsi="Arial" w:cs="Arial"/>
          <w:iCs/>
          <w:lang w:val="ro-RO" w:eastAsia="ro-RO"/>
        </w:rPr>
        <w:t>infecțioase la nivelul județului Suceava</w:t>
      </w:r>
      <w:r w:rsidRPr="00826D9E">
        <w:rPr>
          <w:rFonts w:ascii="Arial" w:eastAsiaTheme="minorEastAsia" w:hAnsi="Arial" w:cs="Arial"/>
          <w:lang w:val="ro-RO" w:eastAsia="ro-RO"/>
        </w:rPr>
        <w:t xml:space="preserve"> (</w:t>
      </w:r>
      <w:r w:rsidR="004A5298" w:rsidRPr="00826D9E">
        <w:rPr>
          <w:rFonts w:ascii="Arial" w:eastAsiaTheme="minorEastAsia" w:hAnsi="Arial" w:cs="Arial"/>
          <w:lang w:val="ro-RO" w:eastAsia="ro-RO"/>
        </w:rPr>
        <w:t>nr. cazuri/an</w:t>
      </w:r>
      <w:r w:rsidRPr="00826D9E">
        <w:rPr>
          <w:rFonts w:ascii="Arial" w:eastAsiaTheme="minorEastAsia" w:hAnsi="Arial" w:cs="Arial"/>
          <w:lang w:val="ro-RO" w:eastAsia="ro-RO"/>
        </w:rPr>
        <w:t>)</w:t>
      </w:r>
    </w:p>
    <w:p w:rsidR="00E705E8" w:rsidRPr="00826D9E" w:rsidRDefault="00100F2E" w:rsidP="00CC1FB9">
      <w:pPr>
        <w:widowControl w:val="0"/>
        <w:spacing w:after="0" w:line="240" w:lineRule="auto"/>
        <w:jc w:val="center"/>
        <w:rPr>
          <w:rFonts w:ascii="Arial" w:eastAsiaTheme="minorEastAsia" w:hAnsi="Arial" w:cs="Arial"/>
          <w:lang w:val="ro-RO" w:eastAsia="ro-RO"/>
        </w:rPr>
      </w:pPr>
      <w:r w:rsidRPr="00826D9E">
        <w:rPr>
          <w:rFonts w:ascii="Arial" w:eastAsiaTheme="minorEastAsia" w:hAnsi="Arial" w:cs="Arial"/>
          <w:lang w:val="ro-RO" w:eastAsia="ro-RO"/>
        </w:rPr>
        <w:t xml:space="preserve">în perioada </w:t>
      </w:r>
      <w:r w:rsidR="00826D9E" w:rsidRPr="00826D9E">
        <w:rPr>
          <w:rFonts w:ascii="Arial" w:eastAsiaTheme="minorEastAsia" w:hAnsi="Arial" w:cs="Arial"/>
          <w:lang w:val="ro-RO" w:eastAsia="ro-RO"/>
        </w:rPr>
        <w:t>2013</w:t>
      </w:r>
      <w:r w:rsidRPr="00826D9E">
        <w:rPr>
          <w:rFonts w:ascii="Arial" w:eastAsiaTheme="minorEastAsia" w:hAnsi="Arial" w:cs="Arial"/>
          <w:lang w:val="ro-RO" w:eastAsia="ro-RO"/>
        </w:rPr>
        <w:t>-201</w:t>
      </w:r>
      <w:r w:rsidR="00826D9E" w:rsidRPr="00826D9E">
        <w:rPr>
          <w:rFonts w:ascii="Arial" w:eastAsiaTheme="minorEastAsia" w:hAnsi="Arial" w:cs="Arial"/>
          <w:lang w:val="ro-RO" w:eastAsia="ro-RO"/>
        </w:rPr>
        <w:t>7</w:t>
      </w:r>
      <w:r w:rsidR="00E705E8" w:rsidRPr="00826D9E">
        <w:rPr>
          <w:rFonts w:ascii="Arial" w:eastAsiaTheme="minorEastAsia" w:hAnsi="Arial" w:cs="Arial"/>
          <w:lang w:val="ro-RO" w:eastAsia="ro-RO"/>
        </w:rPr>
        <w:t xml:space="preserve"> </w:t>
      </w:r>
      <w:r w:rsidR="00E705E8" w:rsidRPr="00826D9E">
        <w:rPr>
          <w:rFonts w:ascii="Arial" w:eastAsiaTheme="minorEastAsia" w:hAnsi="Arial" w:cs="Arial"/>
          <w:iCs/>
          <w:lang w:val="ro-RO" w:eastAsia="ro-RO"/>
        </w:rPr>
        <w:t>(</w:t>
      </w:r>
      <w:r w:rsidR="004A5298" w:rsidRPr="00826D9E">
        <w:rPr>
          <w:rFonts w:ascii="Arial" w:eastAsiaTheme="minorEastAsia" w:hAnsi="Arial" w:cs="Arial"/>
          <w:i/>
          <w:iCs/>
          <w:lang w:val="ro-RO" w:eastAsia="ro-RO"/>
        </w:rPr>
        <w:t>Surs</w:t>
      </w:r>
      <w:r w:rsidR="00B55D1B" w:rsidRPr="00826D9E">
        <w:rPr>
          <w:rFonts w:ascii="Arial" w:eastAsiaTheme="minorEastAsia" w:hAnsi="Arial" w:cs="Arial"/>
          <w:i/>
          <w:iCs/>
          <w:lang w:val="ro-RO" w:eastAsia="ro-RO"/>
        </w:rPr>
        <w:t>a</w:t>
      </w:r>
      <w:r w:rsidR="004A5298" w:rsidRPr="00826D9E">
        <w:rPr>
          <w:rFonts w:ascii="Arial" w:eastAsiaTheme="minorEastAsia" w:hAnsi="Arial" w:cs="Arial"/>
          <w:i/>
          <w:iCs/>
          <w:lang w:val="ro-RO" w:eastAsia="ro-RO"/>
        </w:rPr>
        <w:t>:</w:t>
      </w:r>
      <w:r w:rsidR="00E705E8" w:rsidRPr="00826D9E">
        <w:rPr>
          <w:rFonts w:ascii="Arial" w:eastAsiaTheme="minorEastAsia" w:hAnsi="Arial" w:cs="Arial"/>
          <w:i/>
          <w:iCs/>
          <w:lang w:val="ro-RO" w:eastAsia="ro-RO"/>
        </w:rPr>
        <w:t xml:space="preserve"> </w:t>
      </w:r>
      <w:r w:rsidR="00E705E8" w:rsidRPr="00826D9E">
        <w:rPr>
          <w:rFonts w:ascii="Arial" w:eastAsiaTheme="minorEastAsia" w:hAnsi="Arial" w:cs="Arial"/>
          <w:i/>
          <w:lang w:val="ro-RO" w:eastAsia="ro-RO"/>
        </w:rPr>
        <w:t xml:space="preserve">Direcția </w:t>
      </w:r>
      <w:r w:rsidR="003C1C5F" w:rsidRPr="00826D9E">
        <w:rPr>
          <w:rFonts w:ascii="Arial" w:eastAsiaTheme="minorEastAsia" w:hAnsi="Arial" w:cs="Arial"/>
          <w:i/>
          <w:lang w:val="ro-RO" w:eastAsia="ro-RO"/>
        </w:rPr>
        <w:t xml:space="preserve">de </w:t>
      </w:r>
      <w:r w:rsidR="00E705E8" w:rsidRPr="00826D9E">
        <w:rPr>
          <w:rFonts w:ascii="Arial" w:eastAsiaTheme="minorEastAsia" w:hAnsi="Arial" w:cs="Arial"/>
          <w:i/>
          <w:lang w:val="ro-RO" w:eastAsia="ro-RO"/>
        </w:rPr>
        <w:t xml:space="preserve">Sănătate Publică </w:t>
      </w:r>
      <w:r w:rsidR="003C1C5F" w:rsidRPr="00826D9E">
        <w:rPr>
          <w:rFonts w:ascii="Arial" w:eastAsiaTheme="minorEastAsia" w:hAnsi="Arial" w:cs="Arial"/>
          <w:i/>
          <w:lang w:val="ro-RO" w:eastAsia="ro-RO"/>
        </w:rPr>
        <w:t xml:space="preserve">Județeană </w:t>
      </w:r>
      <w:r w:rsidR="00E705E8" w:rsidRPr="00826D9E">
        <w:rPr>
          <w:rFonts w:ascii="Arial" w:eastAsiaTheme="minorEastAsia" w:hAnsi="Arial" w:cs="Arial"/>
          <w:i/>
          <w:lang w:val="ro-RO" w:eastAsia="ro-RO"/>
        </w:rPr>
        <w:t>Sucea</w:t>
      </w:r>
      <w:r w:rsidR="004A5298" w:rsidRPr="00826D9E">
        <w:rPr>
          <w:rFonts w:ascii="Arial" w:eastAsiaTheme="minorEastAsia" w:hAnsi="Arial" w:cs="Arial"/>
          <w:i/>
          <w:lang w:val="ro-RO" w:eastAsia="ro-RO"/>
        </w:rPr>
        <w:t>va</w:t>
      </w:r>
      <w:r w:rsidR="004A5298" w:rsidRPr="00826D9E">
        <w:rPr>
          <w:rFonts w:ascii="Arial" w:eastAsiaTheme="minorEastAsia" w:hAnsi="Arial" w:cs="Arial"/>
          <w:lang w:val="ro-RO" w:eastAsia="ro-RO"/>
        </w:rPr>
        <w:t>)</w:t>
      </w:r>
    </w:p>
    <w:p w:rsidR="004A5298" w:rsidRPr="00A70F1C" w:rsidRDefault="004A5298" w:rsidP="00CC1FB9">
      <w:pPr>
        <w:widowControl w:val="0"/>
        <w:spacing w:after="0" w:line="240" w:lineRule="auto"/>
        <w:jc w:val="center"/>
        <w:rPr>
          <w:rFonts w:ascii="Arial" w:eastAsiaTheme="minorEastAsia" w:hAnsi="Arial" w:cs="Arial"/>
          <w:sz w:val="10"/>
          <w:szCs w:val="10"/>
          <w:highlight w:val="yellow"/>
          <w:lang w:val="ro-RO" w:eastAsia="ro-RO"/>
        </w:rPr>
      </w:pPr>
    </w:p>
    <w:tbl>
      <w:tblPr>
        <w:tblW w:w="973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21"/>
        <w:gridCol w:w="1423"/>
        <w:gridCol w:w="1423"/>
        <w:gridCol w:w="1423"/>
        <w:gridCol w:w="1423"/>
        <w:gridCol w:w="1423"/>
      </w:tblGrid>
      <w:tr w:rsidR="00826D9E" w:rsidRPr="00A70F1C" w:rsidTr="00637F58">
        <w:trPr>
          <w:trHeight w:val="105"/>
          <w:tblHeader/>
          <w:jc w:val="center"/>
        </w:trPr>
        <w:tc>
          <w:tcPr>
            <w:tcW w:w="2621"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An/ boala infecţioasă</w:t>
            </w:r>
          </w:p>
        </w:tc>
        <w:tc>
          <w:tcPr>
            <w:tcW w:w="1423"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2013</w:t>
            </w:r>
          </w:p>
        </w:tc>
        <w:tc>
          <w:tcPr>
            <w:tcW w:w="1423"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2014</w:t>
            </w:r>
          </w:p>
        </w:tc>
        <w:tc>
          <w:tcPr>
            <w:tcW w:w="1423"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2015</w:t>
            </w:r>
          </w:p>
        </w:tc>
        <w:tc>
          <w:tcPr>
            <w:tcW w:w="1423"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2016</w:t>
            </w:r>
          </w:p>
        </w:tc>
        <w:tc>
          <w:tcPr>
            <w:tcW w:w="1423" w:type="dxa"/>
            <w:shd w:val="clear" w:color="auto" w:fill="FFFF99"/>
            <w:vAlign w:val="center"/>
          </w:tcPr>
          <w:p w:rsidR="00826D9E" w:rsidRPr="00716ECD" w:rsidRDefault="00826D9E" w:rsidP="00CC1FB9">
            <w:pPr>
              <w:widowControl w:val="0"/>
              <w:spacing w:before="40" w:after="40" w:line="240" w:lineRule="auto"/>
              <w:jc w:val="center"/>
              <w:rPr>
                <w:rFonts w:ascii="Arial" w:eastAsiaTheme="minorEastAsia" w:hAnsi="Arial" w:cs="Arial"/>
                <w:b/>
                <w:lang w:val="ro-RO" w:eastAsia="ro-RO"/>
              </w:rPr>
            </w:pPr>
            <w:r w:rsidRPr="00716ECD">
              <w:rPr>
                <w:rFonts w:ascii="Arial" w:eastAsiaTheme="minorEastAsia" w:hAnsi="Arial" w:cs="Arial"/>
                <w:b/>
                <w:lang w:val="ro-RO" w:eastAsia="ro-RO"/>
              </w:rPr>
              <w:t>2017</w:t>
            </w:r>
          </w:p>
        </w:tc>
      </w:tr>
      <w:tr w:rsidR="00637F58" w:rsidRPr="00A70F1C" w:rsidTr="00637F58">
        <w:trPr>
          <w:trHeight w:val="340"/>
          <w:jc w:val="center"/>
        </w:trPr>
        <w:tc>
          <w:tcPr>
            <w:tcW w:w="2621" w:type="dxa"/>
            <w:vAlign w:val="center"/>
          </w:tcPr>
          <w:p w:rsidR="00637F58" w:rsidRPr="00716ECD" w:rsidRDefault="00637F58" w:rsidP="00CC1FB9">
            <w:pPr>
              <w:widowControl w:val="0"/>
              <w:spacing w:after="0" w:line="240" w:lineRule="auto"/>
              <w:rPr>
                <w:rFonts w:ascii="Arial" w:eastAsiaTheme="minorEastAsia" w:hAnsi="Arial" w:cs="Arial"/>
                <w:lang w:val="ro-RO" w:eastAsia="ro-RO"/>
              </w:rPr>
            </w:pPr>
            <w:r w:rsidRPr="00716ECD">
              <w:rPr>
                <w:rFonts w:ascii="Arial" w:eastAsiaTheme="minorEastAsia" w:hAnsi="Arial" w:cs="Arial"/>
                <w:lang w:val="ro-RO" w:eastAsia="ro-RO"/>
              </w:rPr>
              <w:t>Boli diareice acute</w:t>
            </w:r>
          </w:p>
        </w:tc>
        <w:tc>
          <w:tcPr>
            <w:tcW w:w="1423" w:type="dxa"/>
            <w:vAlign w:val="center"/>
          </w:tcPr>
          <w:p w:rsidR="00637F58" w:rsidRPr="00716ECD" w:rsidRDefault="00637F58" w:rsidP="00CC1FB9">
            <w:pPr>
              <w:widowControl w:val="0"/>
              <w:spacing w:after="0" w:line="240" w:lineRule="auto"/>
              <w:jc w:val="center"/>
              <w:rPr>
                <w:rFonts w:ascii="Arial" w:eastAsiaTheme="minorEastAsia" w:hAnsi="Arial" w:cs="Arial"/>
                <w:lang w:val="ro-RO" w:eastAsia="ro-RO"/>
              </w:rPr>
            </w:pPr>
            <w:r w:rsidRPr="00716ECD">
              <w:rPr>
                <w:rFonts w:ascii="Arial" w:eastAsiaTheme="minorEastAsia" w:hAnsi="Arial" w:cs="Arial"/>
                <w:lang w:val="ro-RO" w:eastAsia="ro-RO"/>
              </w:rPr>
              <w:t>3027</w:t>
            </w:r>
          </w:p>
        </w:tc>
        <w:tc>
          <w:tcPr>
            <w:tcW w:w="1423" w:type="dxa"/>
            <w:vAlign w:val="center"/>
          </w:tcPr>
          <w:p w:rsidR="00637F58" w:rsidRPr="00716ECD" w:rsidRDefault="00637F58" w:rsidP="00CC1FB9">
            <w:pPr>
              <w:widowControl w:val="0"/>
              <w:spacing w:after="0" w:line="240" w:lineRule="auto"/>
              <w:jc w:val="center"/>
              <w:rPr>
                <w:rFonts w:ascii="Arial" w:eastAsiaTheme="minorEastAsia" w:hAnsi="Arial" w:cs="Arial"/>
                <w:lang w:val="ro-RO" w:eastAsia="ro-RO"/>
              </w:rPr>
            </w:pPr>
            <w:r w:rsidRPr="00716ECD">
              <w:rPr>
                <w:rFonts w:ascii="Arial" w:eastAsiaTheme="minorEastAsia" w:hAnsi="Arial" w:cs="Arial"/>
                <w:lang w:val="ro-RO" w:eastAsia="ro-RO"/>
              </w:rPr>
              <w:t>2288</w:t>
            </w:r>
          </w:p>
        </w:tc>
        <w:tc>
          <w:tcPr>
            <w:tcW w:w="1423" w:type="dxa"/>
            <w:vAlign w:val="center"/>
          </w:tcPr>
          <w:p w:rsidR="00637F58" w:rsidRPr="00716ECD" w:rsidRDefault="00637F58" w:rsidP="00CC1FB9">
            <w:pPr>
              <w:widowControl w:val="0"/>
              <w:spacing w:after="0" w:line="240" w:lineRule="auto"/>
              <w:jc w:val="center"/>
              <w:rPr>
                <w:rFonts w:ascii="Arial" w:eastAsiaTheme="minorEastAsia" w:hAnsi="Arial" w:cs="Arial"/>
                <w:lang w:val="ro-RO" w:eastAsia="ro-RO"/>
              </w:rPr>
            </w:pPr>
            <w:r w:rsidRPr="00716ECD">
              <w:rPr>
                <w:rFonts w:ascii="Arial" w:eastAsiaTheme="minorEastAsia" w:hAnsi="Arial" w:cs="Arial"/>
                <w:lang w:val="ro-RO" w:eastAsia="ro-RO"/>
              </w:rPr>
              <w:t>2096</w:t>
            </w:r>
          </w:p>
        </w:tc>
        <w:tc>
          <w:tcPr>
            <w:tcW w:w="1423" w:type="dxa"/>
            <w:vAlign w:val="center"/>
          </w:tcPr>
          <w:p w:rsidR="00637F58" w:rsidRPr="00716ECD" w:rsidRDefault="00637F58" w:rsidP="00CC1FB9">
            <w:pPr>
              <w:widowControl w:val="0"/>
              <w:spacing w:after="0" w:line="240" w:lineRule="auto"/>
              <w:jc w:val="center"/>
              <w:rPr>
                <w:rFonts w:ascii="Arial" w:eastAsiaTheme="minorEastAsia" w:hAnsi="Arial" w:cs="Arial"/>
                <w:lang w:val="ro-RO" w:eastAsia="ro-RO"/>
              </w:rPr>
            </w:pPr>
            <w:r w:rsidRPr="00716ECD">
              <w:rPr>
                <w:rFonts w:ascii="Arial" w:eastAsiaTheme="minorEastAsia" w:hAnsi="Arial" w:cs="Arial"/>
                <w:lang w:val="ro-RO" w:eastAsia="ro-RO"/>
              </w:rPr>
              <w:t>2312</w:t>
            </w:r>
          </w:p>
        </w:tc>
        <w:tc>
          <w:tcPr>
            <w:tcW w:w="1423" w:type="dxa"/>
            <w:vAlign w:val="center"/>
          </w:tcPr>
          <w:p w:rsidR="00637F58" w:rsidRPr="00716ECD" w:rsidRDefault="00637F58" w:rsidP="00CC1FB9">
            <w:pPr>
              <w:widowControl w:val="0"/>
              <w:spacing w:after="0" w:line="240" w:lineRule="auto"/>
              <w:jc w:val="center"/>
              <w:rPr>
                <w:rFonts w:ascii="Arial" w:eastAsiaTheme="minorEastAsia" w:hAnsi="Arial" w:cs="Arial"/>
                <w:lang w:val="ro-RO" w:eastAsia="ro-RO"/>
              </w:rPr>
            </w:pPr>
            <w:r>
              <w:rPr>
                <w:rFonts w:ascii="Arial" w:eastAsiaTheme="minorEastAsia" w:hAnsi="Arial" w:cs="Arial"/>
                <w:lang w:val="ro-RO" w:eastAsia="ro-RO"/>
              </w:rPr>
              <w:t>2284</w:t>
            </w:r>
          </w:p>
        </w:tc>
      </w:tr>
      <w:tr w:rsidR="00637F58" w:rsidRPr="00A70F1C" w:rsidTr="00637F58">
        <w:trPr>
          <w:trHeight w:val="340"/>
          <w:jc w:val="center"/>
        </w:trPr>
        <w:tc>
          <w:tcPr>
            <w:tcW w:w="2621" w:type="dxa"/>
            <w:vAlign w:val="center"/>
          </w:tcPr>
          <w:p w:rsidR="00637F58" w:rsidRPr="00637F58" w:rsidRDefault="00637F58" w:rsidP="00CC1FB9">
            <w:pPr>
              <w:widowControl w:val="0"/>
              <w:spacing w:after="0" w:line="240" w:lineRule="auto"/>
              <w:rPr>
                <w:rFonts w:ascii="Arial" w:eastAsiaTheme="minorEastAsia" w:hAnsi="Arial" w:cs="Arial"/>
                <w:lang w:val="ro-RO" w:eastAsia="ro-RO"/>
              </w:rPr>
            </w:pPr>
            <w:r w:rsidRPr="00637F58">
              <w:rPr>
                <w:rFonts w:ascii="Arial" w:eastAsiaTheme="minorEastAsia" w:hAnsi="Arial" w:cs="Arial"/>
                <w:lang w:val="ro-RO" w:eastAsia="ro-RO"/>
              </w:rPr>
              <w:t>Dizenterie</w:t>
            </w:r>
          </w:p>
        </w:tc>
        <w:tc>
          <w:tcPr>
            <w:tcW w:w="1423" w:type="dxa"/>
            <w:vAlign w:val="center"/>
          </w:tcPr>
          <w:p w:rsidR="00637F58" w:rsidRPr="00637F58" w:rsidRDefault="00637F58" w:rsidP="00CC1FB9">
            <w:pPr>
              <w:widowControl w:val="0"/>
              <w:spacing w:after="0" w:line="240" w:lineRule="auto"/>
              <w:jc w:val="center"/>
              <w:rPr>
                <w:rFonts w:ascii="Arial" w:eastAsiaTheme="minorEastAsia" w:hAnsi="Arial" w:cs="Arial"/>
                <w:lang w:val="ro-RO" w:eastAsia="ro-RO"/>
              </w:rPr>
            </w:pPr>
            <w:r w:rsidRPr="00637F58">
              <w:rPr>
                <w:rFonts w:ascii="Arial" w:eastAsiaTheme="minorEastAsia" w:hAnsi="Arial" w:cs="Arial"/>
                <w:lang w:val="ro-RO" w:eastAsia="ro-RO"/>
              </w:rPr>
              <w:t>6</w:t>
            </w:r>
          </w:p>
        </w:tc>
        <w:tc>
          <w:tcPr>
            <w:tcW w:w="1423" w:type="dxa"/>
            <w:vAlign w:val="center"/>
          </w:tcPr>
          <w:p w:rsidR="00637F58" w:rsidRPr="00637F58" w:rsidRDefault="00637F58" w:rsidP="00CC1FB9">
            <w:pPr>
              <w:widowControl w:val="0"/>
              <w:spacing w:after="0" w:line="240" w:lineRule="auto"/>
              <w:jc w:val="center"/>
              <w:rPr>
                <w:rFonts w:ascii="Arial" w:eastAsiaTheme="minorEastAsia" w:hAnsi="Arial" w:cs="Arial"/>
                <w:lang w:val="ro-RO" w:eastAsia="ro-RO"/>
              </w:rPr>
            </w:pPr>
            <w:r w:rsidRPr="00637F58">
              <w:rPr>
                <w:rFonts w:ascii="Arial" w:eastAsiaTheme="minorEastAsia" w:hAnsi="Arial" w:cs="Arial"/>
                <w:lang w:val="ro-RO" w:eastAsia="ro-RO"/>
              </w:rPr>
              <w:t>1</w:t>
            </w:r>
          </w:p>
        </w:tc>
        <w:tc>
          <w:tcPr>
            <w:tcW w:w="1423" w:type="dxa"/>
            <w:vAlign w:val="center"/>
          </w:tcPr>
          <w:p w:rsidR="00637F58" w:rsidRPr="00637F58" w:rsidRDefault="00637F58" w:rsidP="00CC1FB9">
            <w:pPr>
              <w:widowControl w:val="0"/>
              <w:spacing w:after="0" w:line="240" w:lineRule="auto"/>
              <w:jc w:val="center"/>
              <w:rPr>
                <w:rFonts w:ascii="Arial" w:eastAsiaTheme="minorEastAsia" w:hAnsi="Arial" w:cs="Arial"/>
                <w:lang w:val="ro-RO" w:eastAsia="ro-RO"/>
              </w:rPr>
            </w:pPr>
            <w:r w:rsidRPr="00637F58">
              <w:rPr>
                <w:rFonts w:ascii="Arial" w:eastAsiaTheme="minorEastAsia" w:hAnsi="Arial" w:cs="Arial"/>
                <w:lang w:val="ro-RO" w:eastAsia="ro-RO"/>
              </w:rPr>
              <w:t>3</w:t>
            </w:r>
          </w:p>
        </w:tc>
        <w:tc>
          <w:tcPr>
            <w:tcW w:w="1423" w:type="dxa"/>
            <w:vAlign w:val="center"/>
          </w:tcPr>
          <w:p w:rsidR="00637F58" w:rsidRPr="00637F58" w:rsidRDefault="00637F58" w:rsidP="00CC1FB9">
            <w:pPr>
              <w:widowControl w:val="0"/>
              <w:spacing w:after="0" w:line="240" w:lineRule="auto"/>
              <w:jc w:val="center"/>
              <w:rPr>
                <w:rFonts w:ascii="Arial" w:eastAsiaTheme="minorEastAsia" w:hAnsi="Arial" w:cs="Arial"/>
                <w:lang w:val="ro-RO" w:eastAsia="ro-RO"/>
              </w:rPr>
            </w:pPr>
            <w:r w:rsidRPr="00637F58">
              <w:rPr>
                <w:rFonts w:ascii="Arial" w:eastAsiaTheme="minorEastAsia" w:hAnsi="Arial" w:cs="Arial"/>
                <w:lang w:val="ro-RO" w:eastAsia="ro-RO"/>
              </w:rPr>
              <w:t>0</w:t>
            </w:r>
          </w:p>
        </w:tc>
        <w:tc>
          <w:tcPr>
            <w:tcW w:w="1423" w:type="dxa"/>
            <w:vAlign w:val="center"/>
          </w:tcPr>
          <w:p w:rsidR="00637F58" w:rsidRPr="00637F58" w:rsidRDefault="00637F58" w:rsidP="00CC1FB9">
            <w:pPr>
              <w:widowControl w:val="0"/>
              <w:spacing w:after="0" w:line="240" w:lineRule="auto"/>
              <w:jc w:val="center"/>
              <w:rPr>
                <w:rFonts w:ascii="Arial" w:eastAsiaTheme="minorEastAsia" w:hAnsi="Arial" w:cs="Arial"/>
                <w:lang w:val="ro-RO" w:eastAsia="ro-RO"/>
              </w:rPr>
            </w:pPr>
            <w:r w:rsidRPr="0046019D">
              <w:rPr>
                <w:rFonts w:ascii="Arial" w:eastAsiaTheme="minorEastAsia" w:hAnsi="Arial" w:cs="Arial"/>
                <w:lang w:val="ro-RO" w:eastAsia="ro-RO"/>
              </w:rPr>
              <w:t>0</w:t>
            </w:r>
          </w:p>
        </w:tc>
      </w:tr>
      <w:tr w:rsidR="00637F58" w:rsidRPr="00312CA6" w:rsidTr="00637F58">
        <w:trPr>
          <w:trHeight w:val="340"/>
          <w:jc w:val="center"/>
        </w:trPr>
        <w:tc>
          <w:tcPr>
            <w:tcW w:w="2621" w:type="dxa"/>
            <w:vAlign w:val="center"/>
          </w:tcPr>
          <w:p w:rsidR="00637F58" w:rsidRPr="00312CA6" w:rsidRDefault="00637F58" w:rsidP="00CC1FB9">
            <w:pPr>
              <w:widowControl w:val="0"/>
              <w:spacing w:after="0" w:line="240" w:lineRule="auto"/>
              <w:rPr>
                <w:rFonts w:ascii="Arial" w:eastAsiaTheme="minorEastAsia" w:hAnsi="Arial" w:cs="Arial"/>
                <w:lang w:val="ro-RO" w:eastAsia="ro-RO"/>
              </w:rPr>
            </w:pPr>
            <w:r w:rsidRPr="00312CA6">
              <w:rPr>
                <w:rFonts w:ascii="Arial" w:eastAsiaTheme="minorEastAsia" w:hAnsi="Arial" w:cs="Arial"/>
                <w:lang w:val="ro-RO" w:eastAsia="ro-RO"/>
              </w:rPr>
              <w:t>Tuberculoză</w:t>
            </w:r>
          </w:p>
        </w:tc>
        <w:tc>
          <w:tcPr>
            <w:tcW w:w="1423" w:type="dxa"/>
            <w:vAlign w:val="center"/>
          </w:tcPr>
          <w:p w:rsidR="00637F58" w:rsidRPr="00312CA6" w:rsidRDefault="00637F58" w:rsidP="00CC1FB9">
            <w:pPr>
              <w:widowControl w:val="0"/>
              <w:spacing w:after="0" w:line="240" w:lineRule="auto"/>
              <w:jc w:val="center"/>
              <w:rPr>
                <w:rFonts w:ascii="Arial" w:eastAsiaTheme="minorEastAsia" w:hAnsi="Arial" w:cs="Arial"/>
                <w:lang w:val="ro-RO" w:eastAsia="ro-RO"/>
              </w:rPr>
            </w:pPr>
            <w:r w:rsidRPr="00312CA6">
              <w:rPr>
                <w:rFonts w:ascii="Arial" w:eastAsiaTheme="minorEastAsia" w:hAnsi="Arial" w:cs="Arial"/>
                <w:lang w:val="ro-RO" w:eastAsia="ro-RO"/>
              </w:rPr>
              <w:t>423</w:t>
            </w:r>
          </w:p>
        </w:tc>
        <w:tc>
          <w:tcPr>
            <w:tcW w:w="1423" w:type="dxa"/>
            <w:vAlign w:val="center"/>
          </w:tcPr>
          <w:p w:rsidR="00637F58" w:rsidRPr="00312CA6" w:rsidRDefault="00637F58" w:rsidP="00CC1FB9">
            <w:pPr>
              <w:widowControl w:val="0"/>
              <w:spacing w:after="0" w:line="240" w:lineRule="auto"/>
              <w:jc w:val="center"/>
              <w:rPr>
                <w:rFonts w:ascii="Arial" w:eastAsiaTheme="minorEastAsia" w:hAnsi="Arial" w:cs="Arial"/>
                <w:lang w:val="ro-RO" w:eastAsia="ro-RO"/>
              </w:rPr>
            </w:pPr>
            <w:r w:rsidRPr="00312CA6">
              <w:rPr>
                <w:rFonts w:ascii="Arial" w:eastAsiaTheme="minorEastAsia" w:hAnsi="Arial" w:cs="Arial"/>
                <w:lang w:val="ro-RO" w:eastAsia="ro-RO"/>
              </w:rPr>
              <w:t>394</w:t>
            </w:r>
          </w:p>
        </w:tc>
        <w:tc>
          <w:tcPr>
            <w:tcW w:w="1423" w:type="dxa"/>
            <w:vAlign w:val="center"/>
          </w:tcPr>
          <w:p w:rsidR="00637F58" w:rsidRPr="00312CA6" w:rsidRDefault="00637F58" w:rsidP="00CC1FB9">
            <w:pPr>
              <w:widowControl w:val="0"/>
              <w:spacing w:after="0" w:line="240" w:lineRule="auto"/>
              <w:jc w:val="center"/>
              <w:rPr>
                <w:rFonts w:ascii="Arial" w:eastAsiaTheme="minorEastAsia" w:hAnsi="Arial" w:cs="Arial"/>
                <w:lang w:val="ro-RO" w:eastAsia="ro-RO"/>
              </w:rPr>
            </w:pPr>
            <w:r w:rsidRPr="00312CA6">
              <w:rPr>
                <w:rFonts w:ascii="Arial" w:eastAsiaTheme="minorEastAsia" w:hAnsi="Arial" w:cs="Arial"/>
                <w:lang w:val="ro-RO" w:eastAsia="ro-RO"/>
              </w:rPr>
              <w:t>186</w:t>
            </w:r>
          </w:p>
        </w:tc>
        <w:tc>
          <w:tcPr>
            <w:tcW w:w="1423" w:type="dxa"/>
            <w:vAlign w:val="center"/>
          </w:tcPr>
          <w:p w:rsidR="00637F58" w:rsidRPr="00312CA6" w:rsidRDefault="00637F58" w:rsidP="00CC1FB9">
            <w:pPr>
              <w:widowControl w:val="0"/>
              <w:spacing w:after="0" w:line="240" w:lineRule="auto"/>
              <w:jc w:val="center"/>
              <w:rPr>
                <w:rFonts w:ascii="Arial" w:eastAsiaTheme="minorEastAsia" w:hAnsi="Arial" w:cs="Arial"/>
                <w:lang w:val="ro-RO" w:eastAsia="ro-RO"/>
              </w:rPr>
            </w:pPr>
            <w:r w:rsidRPr="00312CA6">
              <w:rPr>
                <w:rFonts w:ascii="Arial" w:eastAsiaTheme="minorEastAsia" w:hAnsi="Arial" w:cs="Arial"/>
                <w:lang w:val="ro-RO" w:eastAsia="ro-RO"/>
              </w:rPr>
              <w:t>176</w:t>
            </w:r>
          </w:p>
        </w:tc>
        <w:tc>
          <w:tcPr>
            <w:tcW w:w="1423" w:type="dxa"/>
            <w:vAlign w:val="center"/>
          </w:tcPr>
          <w:p w:rsidR="00637F58" w:rsidRPr="00312CA6" w:rsidRDefault="00637F58" w:rsidP="00CC1FB9">
            <w:pPr>
              <w:widowControl w:val="0"/>
              <w:spacing w:after="0" w:line="240" w:lineRule="auto"/>
              <w:jc w:val="center"/>
              <w:rPr>
                <w:rFonts w:ascii="Arial" w:eastAsiaTheme="minorEastAsia" w:hAnsi="Arial" w:cs="Arial"/>
                <w:lang w:val="ro-RO" w:eastAsia="ro-RO"/>
              </w:rPr>
            </w:pPr>
            <w:r w:rsidRPr="00312CA6">
              <w:rPr>
                <w:rFonts w:ascii="Arial" w:eastAsiaTheme="minorEastAsia" w:hAnsi="Arial" w:cs="Arial"/>
                <w:lang w:val="ro-RO" w:eastAsia="ro-RO"/>
              </w:rPr>
              <w:t>190</w:t>
            </w:r>
          </w:p>
        </w:tc>
      </w:tr>
    </w:tbl>
    <w:p w:rsidR="003C1C5F" w:rsidRPr="00312CA6" w:rsidRDefault="003C1C5F" w:rsidP="00CC1FB9">
      <w:pPr>
        <w:widowControl w:val="0"/>
        <w:spacing w:after="0" w:line="240" w:lineRule="auto"/>
        <w:jc w:val="center"/>
        <w:rPr>
          <w:rFonts w:ascii="Arial" w:eastAsiaTheme="minorEastAsia" w:hAnsi="Arial" w:cs="Arial"/>
          <w:i/>
          <w:iCs/>
          <w:sz w:val="10"/>
          <w:szCs w:val="10"/>
          <w:lang w:val="ro-RO" w:eastAsia="ro-RO"/>
        </w:rPr>
      </w:pPr>
    </w:p>
    <w:p w:rsidR="003C1C5F" w:rsidRPr="00312CA6" w:rsidRDefault="003C1C5F" w:rsidP="00CC1FB9">
      <w:pPr>
        <w:widowControl w:val="0"/>
        <w:spacing w:after="0" w:line="240" w:lineRule="auto"/>
        <w:jc w:val="center"/>
        <w:rPr>
          <w:rFonts w:ascii="Arial" w:eastAsiaTheme="minorEastAsia" w:hAnsi="Arial" w:cs="Arial"/>
          <w:i/>
          <w:iCs/>
          <w:sz w:val="10"/>
          <w:szCs w:val="10"/>
          <w:lang w:val="ro-RO" w:eastAsia="ro-RO"/>
        </w:rPr>
      </w:pPr>
    </w:p>
    <w:p w:rsidR="00E705E8" w:rsidRPr="00312CA6" w:rsidRDefault="00E705E8" w:rsidP="00CC1FB9">
      <w:pPr>
        <w:widowControl w:val="0"/>
        <w:spacing w:after="0" w:line="240" w:lineRule="auto"/>
        <w:jc w:val="center"/>
        <w:rPr>
          <w:rFonts w:ascii="Arial" w:eastAsiaTheme="minorEastAsia" w:hAnsi="Arial" w:cs="Arial"/>
          <w:iCs/>
          <w:lang w:val="ro-RO" w:eastAsia="ro-RO"/>
        </w:rPr>
      </w:pPr>
      <w:r w:rsidRPr="00312CA6">
        <w:rPr>
          <w:rFonts w:ascii="Arial" w:eastAsiaTheme="minorEastAsia" w:hAnsi="Arial" w:cs="Arial"/>
          <w:iCs/>
          <w:lang w:val="ro-RO" w:eastAsia="ro-RO"/>
        </w:rPr>
        <w:t xml:space="preserve">Figura </w:t>
      </w:r>
      <w:r w:rsidR="00100F2E" w:rsidRPr="00312CA6">
        <w:rPr>
          <w:rFonts w:ascii="Arial" w:eastAsiaTheme="minorEastAsia" w:hAnsi="Arial" w:cs="Arial"/>
          <w:iCs/>
          <w:lang w:val="ro-RO" w:eastAsia="ro-RO"/>
        </w:rPr>
        <w:t>VIII</w:t>
      </w:r>
      <w:r w:rsidRPr="00312CA6">
        <w:rPr>
          <w:rFonts w:ascii="Arial" w:eastAsiaTheme="minorEastAsia" w:hAnsi="Arial" w:cs="Arial"/>
          <w:iCs/>
          <w:lang w:val="ro-RO" w:eastAsia="ro-RO"/>
        </w:rPr>
        <w:t>.1.3.1</w:t>
      </w:r>
      <w:r w:rsidR="00100F2E" w:rsidRPr="00312CA6">
        <w:rPr>
          <w:rFonts w:ascii="Arial" w:eastAsiaTheme="minorEastAsia" w:hAnsi="Arial" w:cs="Arial"/>
          <w:iCs/>
          <w:lang w:val="ro-RO" w:eastAsia="ro-RO"/>
        </w:rPr>
        <w:t>.</w:t>
      </w:r>
      <w:r w:rsidRPr="00312CA6">
        <w:rPr>
          <w:rFonts w:ascii="Arial" w:eastAsiaTheme="minorEastAsia" w:hAnsi="Arial" w:cs="Arial"/>
          <w:iCs/>
          <w:lang w:val="ro-RO" w:eastAsia="ro-RO"/>
        </w:rPr>
        <w:t xml:space="preserve"> Boli infecțíoase și parazitare, tendință </w:t>
      </w:r>
      <w:r w:rsidR="00AB344C" w:rsidRPr="00312CA6">
        <w:rPr>
          <w:rFonts w:ascii="Arial" w:eastAsiaTheme="minorEastAsia" w:hAnsi="Arial" w:cs="Arial"/>
          <w:iCs/>
          <w:lang w:val="ro-RO" w:eastAsia="ro-RO"/>
        </w:rPr>
        <w:t>2013</w:t>
      </w:r>
      <w:r w:rsidR="0078075E" w:rsidRPr="00312CA6">
        <w:rPr>
          <w:rFonts w:ascii="Arial" w:eastAsiaTheme="minorEastAsia" w:hAnsi="Arial" w:cs="Arial"/>
          <w:iCs/>
          <w:lang w:val="ro-RO" w:eastAsia="ro-RO"/>
        </w:rPr>
        <w:t xml:space="preserve"> – 2017</w:t>
      </w:r>
    </w:p>
    <w:p w:rsidR="000D6CA2" w:rsidRPr="00312CA6" w:rsidRDefault="000D6CA2" w:rsidP="00CC1FB9">
      <w:pPr>
        <w:widowControl w:val="0"/>
        <w:spacing w:after="0" w:line="240" w:lineRule="auto"/>
        <w:jc w:val="center"/>
        <w:rPr>
          <w:rFonts w:ascii="Arial" w:eastAsiaTheme="minorEastAsia" w:hAnsi="Arial" w:cs="Arial"/>
          <w:iCs/>
          <w:lang w:val="ro-RO" w:eastAsia="ro-RO"/>
        </w:rPr>
      </w:pPr>
      <w:r w:rsidRPr="00312CA6">
        <w:rPr>
          <w:rFonts w:ascii="Arial" w:eastAsiaTheme="minorEastAsia" w:hAnsi="Arial" w:cs="Arial"/>
          <w:iCs/>
          <w:lang w:val="ro-RO" w:eastAsia="ro-RO"/>
        </w:rPr>
        <w:t>(</w:t>
      </w:r>
      <w:r w:rsidRPr="00312CA6">
        <w:rPr>
          <w:rFonts w:ascii="Arial" w:eastAsiaTheme="minorEastAsia" w:hAnsi="Arial" w:cs="Arial"/>
          <w:i/>
          <w:iCs/>
          <w:lang w:val="ro-RO" w:eastAsia="ro-RO"/>
        </w:rPr>
        <w:t xml:space="preserve">Sursa: </w:t>
      </w:r>
      <w:r w:rsidRPr="00312CA6">
        <w:rPr>
          <w:rFonts w:ascii="Arial" w:eastAsiaTheme="minorEastAsia" w:hAnsi="Arial" w:cs="Arial"/>
          <w:i/>
          <w:lang w:val="ro-RO" w:eastAsia="ro-RO"/>
        </w:rPr>
        <w:t>Direcția Județeană de Sănătate Publică Suceava</w:t>
      </w:r>
      <w:r w:rsidRPr="00312CA6">
        <w:rPr>
          <w:rFonts w:ascii="Arial" w:eastAsiaTheme="minorEastAsia" w:hAnsi="Arial" w:cs="Arial"/>
          <w:lang w:val="ro-RO" w:eastAsia="ro-RO"/>
        </w:rPr>
        <w:t>)</w:t>
      </w:r>
    </w:p>
    <w:p w:rsidR="00E705E8" w:rsidRPr="00312CA6" w:rsidRDefault="00E705E8" w:rsidP="00CC1FB9">
      <w:pPr>
        <w:widowControl w:val="0"/>
        <w:spacing w:after="120" w:line="240" w:lineRule="auto"/>
        <w:jc w:val="center"/>
        <w:rPr>
          <w:rFonts w:ascii="Arial" w:eastAsiaTheme="minorEastAsia" w:hAnsi="Arial" w:cs="Arial"/>
          <w:color w:val="FF0000"/>
          <w:sz w:val="24"/>
          <w:szCs w:val="24"/>
          <w:lang w:val="ro-RO" w:eastAsia="ro-RO"/>
        </w:rPr>
      </w:pPr>
      <w:r w:rsidRPr="00312CA6">
        <w:rPr>
          <w:rFonts w:ascii="Arial" w:eastAsiaTheme="minorEastAsia" w:hAnsi="Arial" w:cs="Arial"/>
          <w:noProof/>
          <w:color w:val="FF0000"/>
          <w:sz w:val="24"/>
          <w:szCs w:val="24"/>
          <w:lang w:val="ro-RO" w:eastAsia="ro-RO"/>
        </w:rPr>
        <w:drawing>
          <wp:inline distT="0" distB="0" distL="0" distR="0">
            <wp:extent cx="5301762" cy="129246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C5F" w:rsidRPr="00312CA6" w:rsidRDefault="003C1C5F" w:rsidP="00CC1FB9">
      <w:pPr>
        <w:widowControl w:val="0"/>
        <w:spacing w:after="0" w:line="240" w:lineRule="auto"/>
        <w:ind w:firstLine="720"/>
        <w:jc w:val="both"/>
        <w:rPr>
          <w:rFonts w:ascii="Arial" w:eastAsiaTheme="minorEastAsia" w:hAnsi="Arial" w:cs="Arial"/>
          <w:color w:val="FF0000"/>
          <w:sz w:val="16"/>
          <w:szCs w:val="16"/>
          <w:lang w:val="ro-RO" w:eastAsia="ro-RO"/>
        </w:rPr>
      </w:pPr>
    </w:p>
    <w:p w:rsidR="00100F2E" w:rsidRPr="00681320" w:rsidRDefault="00100F2E" w:rsidP="00CC1FB9">
      <w:pPr>
        <w:widowControl w:val="0"/>
        <w:spacing w:after="0" w:line="240" w:lineRule="auto"/>
        <w:ind w:firstLine="720"/>
        <w:jc w:val="both"/>
        <w:rPr>
          <w:rFonts w:ascii="Arial" w:eastAsiaTheme="minorEastAsia" w:hAnsi="Arial" w:cs="Arial"/>
          <w:sz w:val="24"/>
          <w:szCs w:val="24"/>
          <w:lang w:val="ro-RO" w:eastAsia="ro-RO"/>
        </w:rPr>
      </w:pPr>
      <w:r w:rsidRPr="00312CA6">
        <w:rPr>
          <w:rFonts w:ascii="Arial" w:eastAsiaTheme="minorEastAsia" w:hAnsi="Arial" w:cs="Arial"/>
          <w:sz w:val="24"/>
          <w:szCs w:val="24"/>
          <w:lang w:val="ro-RO" w:eastAsia="ro-RO"/>
        </w:rPr>
        <w:t xml:space="preserve">Din fig. VIII.1.3.1 se </w:t>
      </w:r>
      <w:r w:rsidR="000D6CA2" w:rsidRPr="00312CA6">
        <w:rPr>
          <w:rFonts w:ascii="Arial" w:eastAsiaTheme="minorEastAsia" w:hAnsi="Arial" w:cs="Arial"/>
          <w:sz w:val="24"/>
          <w:szCs w:val="24"/>
          <w:lang w:val="ro-RO" w:eastAsia="ro-RO"/>
        </w:rPr>
        <w:t>observă</w:t>
      </w:r>
      <w:r w:rsidR="0037793F">
        <w:rPr>
          <w:rFonts w:ascii="Arial" w:eastAsiaTheme="minorEastAsia" w:hAnsi="Arial" w:cs="Arial"/>
          <w:sz w:val="24"/>
          <w:szCs w:val="24"/>
          <w:lang w:val="ro-RO" w:eastAsia="ro-RO"/>
        </w:rPr>
        <w:t xml:space="preserve"> o</w:t>
      </w:r>
      <w:r w:rsidR="00782051">
        <w:rPr>
          <w:rFonts w:ascii="Arial" w:eastAsiaTheme="minorEastAsia" w:hAnsi="Arial" w:cs="Arial"/>
          <w:sz w:val="24"/>
          <w:szCs w:val="24"/>
          <w:lang w:val="ro-RO" w:eastAsia="ro-RO"/>
        </w:rPr>
        <w:t xml:space="preserve"> scădere față de anul 2013 și o</w:t>
      </w:r>
      <w:r w:rsidR="0037793F">
        <w:rPr>
          <w:rFonts w:ascii="Arial" w:eastAsiaTheme="minorEastAsia" w:hAnsi="Arial" w:cs="Arial"/>
          <w:sz w:val="24"/>
          <w:szCs w:val="24"/>
          <w:lang w:val="ro-RO" w:eastAsia="ro-RO"/>
        </w:rPr>
        <w:t xml:space="preserve"> </w:t>
      </w:r>
      <w:r w:rsidR="00782051">
        <w:rPr>
          <w:rFonts w:ascii="Arial" w:eastAsiaTheme="minorEastAsia" w:hAnsi="Arial" w:cs="Arial"/>
          <w:sz w:val="24"/>
          <w:szCs w:val="24"/>
          <w:lang w:val="ro-RO" w:eastAsia="ro-RO"/>
        </w:rPr>
        <w:t xml:space="preserve">oarecare stabilizare </w:t>
      </w:r>
      <w:r w:rsidRPr="00312CA6">
        <w:rPr>
          <w:rFonts w:ascii="Arial" w:eastAsiaTheme="minorEastAsia" w:hAnsi="Arial" w:cs="Arial"/>
          <w:sz w:val="24"/>
          <w:szCs w:val="24"/>
          <w:lang w:val="ro-RO" w:eastAsia="ro-RO"/>
        </w:rPr>
        <w:t xml:space="preserve">a numărului </w:t>
      </w:r>
      <w:r w:rsidR="00782051">
        <w:rPr>
          <w:rFonts w:ascii="Arial" w:eastAsiaTheme="minorEastAsia" w:hAnsi="Arial" w:cs="Arial"/>
          <w:sz w:val="24"/>
          <w:szCs w:val="24"/>
          <w:lang w:val="ro-RO" w:eastAsia="ro-RO"/>
        </w:rPr>
        <w:t>de</w:t>
      </w:r>
      <w:r w:rsidRPr="00312CA6">
        <w:rPr>
          <w:rFonts w:ascii="Arial" w:eastAsiaTheme="minorEastAsia" w:hAnsi="Arial" w:cs="Arial"/>
          <w:sz w:val="24"/>
          <w:szCs w:val="24"/>
          <w:lang w:val="ro-RO" w:eastAsia="ro-RO"/>
        </w:rPr>
        <w:t xml:space="preserve"> îmbolnăviri </w:t>
      </w:r>
      <w:r w:rsidRPr="00681320">
        <w:rPr>
          <w:rFonts w:ascii="Arial" w:eastAsiaTheme="minorEastAsia" w:hAnsi="Arial" w:cs="Arial"/>
          <w:sz w:val="24"/>
          <w:szCs w:val="24"/>
          <w:lang w:val="ro-RO" w:eastAsia="ro-RO"/>
        </w:rPr>
        <w:t xml:space="preserve">prin </w:t>
      </w:r>
      <w:r w:rsidR="00805742" w:rsidRPr="00681320">
        <w:rPr>
          <w:rFonts w:ascii="Arial" w:eastAsiaTheme="minorEastAsia" w:hAnsi="Arial" w:cs="Arial"/>
          <w:iCs/>
          <w:lang w:val="ro-RO" w:eastAsia="ro-RO"/>
        </w:rPr>
        <w:t xml:space="preserve">boli </w:t>
      </w:r>
      <w:r w:rsidR="0037793F">
        <w:rPr>
          <w:rFonts w:ascii="Arial" w:eastAsiaTheme="minorEastAsia" w:hAnsi="Arial" w:cs="Arial"/>
          <w:iCs/>
          <w:lang w:val="ro-RO" w:eastAsia="ro-RO"/>
        </w:rPr>
        <w:t xml:space="preserve">diareice acute și prin tuberculoză, </w:t>
      </w:r>
      <w:r w:rsidRPr="00681320">
        <w:rPr>
          <w:rFonts w:ascii="Arial" w:eastAsiaTheme="minorEastAsia" w:hAnsi="Arial" w:cs="Arial"/>
          <w:sz w:val="24"/>
          <w:szCs w:val="24"/>
          <w:lang w:val="ro-RO" w:eastAsia="ro-RO"/>
        </w:rPr>
        <w:t>la niv</w:t>
      </w:r>
      <w:r w:rsidR="000D6CA2" w:rsidRPr="00681320">
        <w:rPr>
          <w:rFonts w:ascii="Arial" w:eastAsiaTheme="minorEastAsia" w:hAnsi="Arial" w:cs="Arial"/>
          <w:sz w:val="24"/>
          <w:szCs w:val="24"/>
          <w:lang w:val="ro-RO" w:eastAsia="ro-RO"/>
        </w:rPr>
        <w:t>elul judeţului</w:t>
      </w:r>
      <w:r w:rsidR="00782051">
        <w:rPr>
          <w:rFonts w:ascii="Arial" w:eastAsiaTheme="minorEastAsia" w:hAnsi="Arial" w:cs="Arial"/>
          <w:sz w:val="24"/>
          <w:szCs w:val="24"/>
          <w:lang w:val="ro-RO" w:eastAsia="ro-RO"/>
        </w:rPr>
        <w:t>,</w:t>
      </w:r>
      <w:r w:rsidRPr="00681320">
        <w:rPr>
          <w:rFonts w:ascii="Arial" w:eastAsiaTheme="minorEastAsia" w:hAnsi="Arial" w:cs="Arial"/>
          <w:sz w:val="24"/>
          <w:szCs w:val="24"/>
          <w:lang w:val="ro-RO" w:eastAsia="ro-RO"/>
        </w:rPr>
        <w:t xml:space="preserve"> în ultimii </w:t>
      </w:r>
      <w:r w:rsidR="00782051">
        <w:rPr>
          <w:rFonts w:ascii="Arial" w:eastAsiaTheme="minorEastAsia" w:hAnsi="Arial" w:cs="Arial"/>
          <w:sz w:val="24"/>
          <w:szCs w:val="24"/>
          <w:lang w:val="ro-RO" w:eastAsia="ro-RO"/>
        </w:rPr>
        <w:t>3</w:t>
      </w:r>
      <w:r w:rsidRPr="00681320">
        <w:rPr>
          <w:rFonts w:ascii="Arial" w:eastAsiaTheme="minorEastAsia" w:hAnsi="Arial" w:cs="Arial"/>
          <w:sz w:val="24"/>
          <w:szCs w:val="24"/>
          <w:lang w:val="ro-RO" w:eastAsia="ro-RO"/>
        </w:rPr>
        <w:t xml:space="preserve"> ani</w:t>
      </w:r>
      <w:r w:rsidR="00805742" w:rsidRPr="00681320">
        <w:rPr>
          <w:rFonts w:ascii="Arial" w:eastAsiaTheme="minorEastAsia" w:hAnsi="Arial" w:cs="Arial"/>
          <w:sz w:val="24"/>
          <w:szCs w:val="24"/>
          <w:lang w:val="ro-RO" w:eastAsia="ro-RO"/>
        </w:rPr>
        <w:t xml:space="preserve">, </w:t>
      </w:r>
      <w:r w:rsidR="00CA72A6" w:rsidRPr="00681320">
        <w:rPr>
          <w:rFonts w:ascii="Arial" w:eastAsiaTheme="minorEastAsia" w:hAnsi="Arial" w:cs="Arial"/>
          <w:sz w:val="24"/>
          <w:szCs w:val="24"/>
          <w:lang w:val="ro-RO" w:eastAsia="ro-RO"/>
        </w:rPr>
        <w:t xml:space="preserve">boli </w:t>
      </w:r>
      <w:r w:rsidR="00805742" w:rsidRPr="00681320">
        <w:rPr>
          <w:rFonts w:ascii="Arial" w:eastAsiaTheme="minorEastAsia" w:hAnsi="Arial" w:cs="Arial"/>
          <w:sz w:val="24"/>
          <w:szCs w:val="24"/>
          <w:lang w:val="ro-RO" w:eastAsia="ro-RO"/>
        </w:rPr>
        <w:t>care s-ar putea datora şi contaminării apei de băut, alături de alţi factori</w:t>
      </w:r>
      <w:r w:rsidRPr="00681320">
        <w:rPr>
          <w:rFonts w:ascii="Arial" w:eastAsiaTheme="minorEastAsia" w:hAnsi="Arial" w:cs="Arial"/>
          <w:sz w:val="24"/>
          <w:szCs w:val="24"/>
          <w:lang w:val="ro-RO" w:eastAsia="ro-RO"/>
        </w:rPr>
        <w:t xml:space="preserve">. </w:t>
      </w:r>
    </w:p>
    <w:p w:rsidR="00782051" w:rsidRPr="00A70F1C" w:rsidRDefault="00782051" w:rsidP="00CC1FB9">
      <w:pPr>
        <w:widowControl w:val="0"/>
        <w:spacing w:after="0" w:line="240" w:lineRule="auto"/>
        <w:ind w:firstLine="720"/>
        <w:jc w:val="both"/>
        <w:rPr>
          <w:rFonts w:ascii="Arial" w:eastAsiaTheme="minorEastAsia" w:hAnsi="Arial" w:cs="Arial"/>
          <w:sz w:val="10"/>
          <w:szCs w:val="10"/>
          <w:highlight w:val="yellow"/>
          <w:lang w:val="ro-RO" w:eastAsia="ro-RO"/>
        </w:rPr>
      </w:pPr>
    </w:p>
    <w:p w:rsidR="00805742" w:rsidRPr="00274EC2" w:rsidRDefault="00782051" w:rsidP="00CC1FB9">
      <w:pPr>
        <w:widowControl w:val="0"/>
        <w:spacing w:after="0" w:line="240" w:lineRule="auto"/>
        <w:ind w:firstLine="72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Î</w:t>
      </w:r>
      <w:r w:rsidR="00274EC2" w:rsidRPr="00274EC2">
        <w:rPr>
          <w:rFonts w:ascii="Arial" w:eastAsiaTheme="minorEastAsia" w:hAnsi="Arial" w:cs="Arial"/>
          <w:sz w:val="24"/>
          <w:szCs w:val="24"/>
          <w:lang w:val="ro-RO" w:eastAsia="ro-RO"/>
        </w:rPr>
        <w:t>n anul 2017</w:t>
      </w:r>
      <w:r>
        <w:rPr>
          <w:rFonts w:ascii="Arial" w:eastAsiaTheme="minorEastAsia" w:hAnsi="Arial" w:cs="Arial"/>
          <w:sz w:val="24"/>
          <w:szCs w:val="24"/>
          <w:lang w:val="ro-RO" w:eastAsia="ro-RO"/>
        </w:rPr>
        <w:t>,</w:t>
      </w:r>
      <w:r w:rsidR="00805742" w:rsidRPr="00274EC2">
        <w:rPr>
          <w:rFonts w:ascii="Arial" w:eastAsiaTheme="minorEastAsia" w:hAnsi="Arial" w:cs="Arial"/>
          <w:sz w:val="24"/>
          <w:szCs w:val="24"/>
          <w:lang w:val="ro-RO" w:eastAsia="ro-RO"/>
        </w:rPr>
        <w:t xml:space="preserve"> pe teritoriul judeţului Suceava nu au fost înregistrate epidemii hidrice.</w:t>
      </w:r>
    </w:p>
    <w:p w:rsidR="004E7258" w:rsidRPr="00A70F1C" w:rsidRDefault="004E7258" w:rsidP="00CC1FB9">
      <w:pPr>
        <w:widowControl w:val="0"/>
        <w:spacing w:after="0" w:line="240" w:lineRule="auto"/>
        <w:ind w:firstLine="720"/>
        <w:jc w:val="both"/>
        <w:rPr>
          <w:rFonts w:ascii="Arial" w:eastAsiaTheme="minorEastAsia" w:hAnsi="Arial" w:cs="Arial"/>
          <w:sz w:val="10"/>
          <w:szCs w:val="10"/>
          <w:highlight w:val="yellow"/>
          <w:lang w:val="ro-RO" w:eastAsia="ro-RO"/>
        </w:rPr>
      </w:pPr>
    </w:p>
    <w:p w:rsidR="00EA5F8A" w:rsidRPr="00664148" w:rsidRDefault="00E705E8" w:rsidP="00CC1FB9">
      <w:pPr>
        <w:widowControl w:val="0"/>
        <w:spacing w:after="0" w:line="240" w:lineRule="auto"/>
        <w:ind w:firstLine="720"/>
        <w:jc w:val="both"/>
        <w:rPr>
          <w:rFonts w:ascii="Arial" w:eastAsiaTheme="minorEastAsia" w:hAnsi="Arial" w:cs="Arial"/>
          <w:sz w:val="24"/>
          <w:szCs w:val="24"/>
          <w:lang w:val="ro-RO" w:eastAsia="ro-RO"/>
        </w:rPr>
      </w:pPr>
      <w:r w:rsidRPr="0078618A">
        <w:rPr>
          <w:rFonts w:ascii="Arial" w:eastAsiaTheme="minorEastAsia" w:hAnsi="Arial" w:cs="Arial"/>
          <w:sz w:val="24"/>
          <w:szCs w:val="24"/>
          <w:lang w:val="ro-RO" w:eastAsia="ro-RO"/>
        </w:rPr>
        <w:t xml:space="preserve">Dintre bolile neinfecţioase datorate poluării apei potabile, </w:t>
      </w:r>
      <w:r w:rsidR="00100F2E" w:rsidRPr="0078618A">
        <w:rPr>
          <w:rFonts w:ascii="Arial" w:eastAsiaTheme="minorEastAsia" w:hAnsi="Arial" w:cs="Arial"/>
          <w:sz w:val="24"/>
          <w:szCs w:val="24"/>
          <w:lang w:val="ro-RO" w:eastAsia="ro-RO"/>
        </w:rPr>
        <w:t xml:space="preserve">prezintă un interes aparte </w:t>
      </w:r>
      <w:r w:rsidRPr="0078618A">
        <w:rPr>
          <w:rFonts w:ascii="Arial" w:eastAsiaTheme="minorEastAsia" w:hAnsi="Arial" w:cs="Arial"/>
          <w:sz w:val="24"/>
          <w:szCs w:val="24"/>
          <w:lang w:val="ro-RO" w:eastAsia="ro-RO"/>
        </w:rPr>
        <w:t xml:space="preserve">methemoglobinemia, </w:t>
      </w:r>
      <w:r w:rsidR="00100F2E" w:rsidRPr="0078618A">
        <w:rPr>
          <w:rFonts w:ascii="Arial" w:eastAsiaTheme="minorEastAsia" w:hAnsi="Arial" w:cs="Arial"/>
          <w:sz w:val="24"/>
          <w:szCs w:val="24"/>
          <w:lang w:val="ro-RO" w:eastAsia="ro-RO"/>
        </w:rPr>
        <w:t xml:space="preserve">boală care apare </w:t>
      </w:r>
      <w:r w:rsidRPr="0078618A">
        <w:rPr>
          <w:rFonts w:ascii="Arial" w:eastAsiaTheme="minorEastAsia" w:hAnsi="Arial" w:cs="Arial"/>
          <w:sz w:val="24"/>
          <w:szCs w:val="24"/>
          <w:lang w:val="ro-RO" w:eastAsia="ro-RO"/>
        </w:rPr>
        <w:t>ca rezultat al poluării cu nitraţi a surselor de apă potabilă</w:t>
      </w:r>
      <w:r w:rsidR="00EA5F8A" w:rsidRPr="0078618A">
        <w:rPr>
          <w:rFonts w:ascii="Arial" w:eastAsiaTheme="minorEastAsia" w:hAnsi="Arial" w:cs="Arial"/>
          <w:sz w:val="24"/>
          <w:szCs w:val="24"/>
          <w:lang w:val="ro-RO" w:eastAsia="ro-RO"/>
        </w:rPr>
        <w:t xml:space="preserve">, ca urmare a efectelor poluării solului şi apelor freatice şi de suprafaţă, urmare administrării în exces de îngrăşăminte chimice cu azot sau chiar de îngrăşăminte naturale, ca şi a depozitării neconforme a dejecţiilor pe sol, având în vedere </w:t>
      </w:r>
      <w:r w:rsidRPr="0078618A">
        <w:rPr>
          <w:rFonts w:ascii="Arial" w:eastAsiaTheme="minorEastAsia" w:hAnsi="Arial" w:cs="Arial"/>
          <w:sz w:val="24"/>
          <w:szCs w:val="24"/>
          <w:lang w:val="ro-RO" w:eastAsia="ro-RO"/>
        </w:rPr>
        <w:t>probabilit</w:t>
      </w:r>
      <w:r w:rsidR="00EA5F8A" w:rsidRPr="0078618A">
        <w:rPr>
          <w:rFonts w:ascii="Arial" w:eastAsiaTheme="minorEastAsia" w:hAnsi="Arial" w:cs="Arial"/>
          <w:sz w:val="24"/>
          <w:szCs w:val="24"/>
          <w:lang w:val="ro-RO" w:eastAsia="ro-RO"/>
        </w:rPr>
        <w:t>atea de apariţie a bolii, mai ales la copii, precum şi consecinţele uneori foarte grave ale bolii.</w:t>
      </w:r>
      <w:r w:rsidRPr="00664148">
        <w:rPr>
          <w:rFonts w:ascii="Arial" w:eastAsiaTheme="minorEastAsia" w:hAnsi="Arial" w:cs="Arial"/>
          <w:sz w:val="24"/>
          <w:szCs w:val="24"/>
          <w:lang w:val="ro-RO" w:eastAsia="ro-RO"/>
        </w:rPr>
        <w:t xml:space="preserve"> </w:t>
      </w:r>
    </w:p>
    <w:p w:rsidR="0067400B" w:rsidRPr="00A70F1C" w:rsidRDefault="0067400B" w:rsidP="00CC1FB9">
      <w:pPr>
        <w:widowControl w:val="0"/>
        <w:spacing w:after="0" w:line="240" w:lineRule="auto"/>
        <w:ind w:firstLine="720"/>
        <w:jc w:val="both"/>
        <w:rPr>
          <w:rFonts w:ascii="Arial" w:eastAsiaTheme="minorEastAsia" w:hAnsi="Arial" w:cs="Arial"/>
          <w:sz w:val="10"/>
          <w:szCs w:val="10"/>
          <w:highlight w:val="yellow"/>
          <w:lang w:val="ro-RO" w:eastAsia="ro-RO"/>
        </w:rPr>
      </w:pPr>
    </w:p>
    <w:p w:rsidR="00D3109F" w:rsidRPr="00E0197B" w:rsidRDefault="0067400B" w:rsidP="00CC1FB9">
      <w:pPr>
        <w:widowControl w:val="0"/>
        <w:spacing w:after="0" w:line="240" w:lineRule="auto"/>
        <w:ind w:firstLine="72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Î</w:t>
      </w:r>
      <w:r w:rsidR="000A5195" w:rsidRPr="00E0197B">
        <w:rPr>
          <w:rFonts w:ascii="Arial" w:eastAsiaTheme="minorEastAsia" w:hAnsi="Arial" w:cs="Arial"/>
          <w:sz w:val="24"/>
          <w:szCs w:val="24"/>
          <w:lang w:val="ro-RO" w:eastAsia="ro-RO"/>
        </w:rPr>
        <w:t>n cursul a</w:t>
      </w:r>
      <w:r w:rsidR="00390A83" w:rsidRPr="00E0197B">
        <w:rPr>
          <w:rFonts w:ascii="Arial" w:eastAsiaTheme="minorEastAsia" w:hAnsi="Arial" w:cs="Arial"/>
          <w:sz w:val="24"/>
          <w:szCs w:val="24"/>
          <w:lang w:val="ro-RO" w:eastAsia="ro-RO"/>
        </w:rPr>
        <w:t>nului 2017</w:t>
      </w:r>
      <w:r w:rsidR="00251A91" w:rsidRPr="00E0197B">
        <w:rPr>
          <w:rFonts w:ascii="Arial" w:eastAsiaTheme="minorEastAsia" w:hAnsi="Arial" w:cs="Arial"/>
          <w:sz w:val="24"/>
          <w:szCs w:val="24"/>
          <w:lang w:val="ro-RO" w:eastAsia="ro-RO"/>
        </w:rPr>
        <w:t>,</w:t>
      </w:r>
      <w:r w:rsidR="0067352C" w:rsidRPr="00E0197B">
        <w:rPr>
          <w:rFonts w:ascii="Arial" w:eastAsiaTheme="minorEastAsia" w:hAnsi="Arial" w:cs="Arial"/>
          <w:sz w:val="24"/>
          <w:szCs w:val="24"/>
          <w:lang w:val="ro-RO" w:eastAsia="ro-RO"/>
        </w:rPr>
        <w:t xml:space="preserve"> </w:t>
      </w:r>
      <w:r w:rsidR="00251A91" w:rsidRPr="00E0197B">
        <w:rPr>
          <w:rFonts w:ascii="Arial" w:eastAsiaTheme="minorEastAsia" w:hAnsi="Arial" w:cs="Arial"/>
          <w:sz w:val="24"/>
          <w:szCs w:val="24"/>
          <w:lang w:val="ro-RO" w:eastAsia="ro-RO"/>
        </w:rPr>
        <w:t xml:space="preserve">în judeţul Suceava </w:t>
      </w:r>
      <w:r w:rsidR="000A5195" w:rsidRPr="00E0197B">
        <w:rPr>
          <w:rFonts w:ascii="Arial" w:eastAsiaTheme="minorEastAsia" w:hAnsi="Arial" w:cs="Arial"/>
          <w:sz w:val="24"/>
          <w:szCs w:val="24"/>
          <w:lang w:val="ro-RO" w:eastAsia="ro-RO"/>
        </w:rPr>
        <w:t>nu au fost inregistrat</w:t>
      </w:r>
      <w:r w:rsidR="0067352C" w:rsidRPr="00E0197B">
        <w:rPr>
          <w:rFonts w:ascii="Arial" w:eastAsiaTheme="minorEastAsia" w:hAnsi="Arial" w:cs="Arial"/>
          <w:sz w:val="24"/>
          <w:szCs w:val="24"/>
          <w:lang w:val="ro-RO" w:eastAsia="ro-RO"/>
        </w:rPr>
        <w:t>e</w:t>
      </w:r>
      <w:r w:rsidR="000A5195" w:rsidRPr="00E0197B">
        <w:rPr>
          <w:rFonts w:ascii="Arial" w:eastAsiaTheme="minorEastAsia" w:hAnsi="Arial" w:cs="Arial"/>
          <w:sz w:val="24"/>
          <w:szCs w:val="24"/>
          <w:lang w:val="ro-RO" w:eastAsia="ro-RO"/>
        </w:rPr>
        <w:t xml:space="preserve"> </w:t>
      </w:r>
      <w:r w:rsidR="00D3109F" w:rsidRPr="00E0197B">
        <w:rPr>
          <w:rFonts w:ascii="Arial" w:eastAsiaTheme="minorEastAsia" w:hAnsi="Arial" w:cs="Arial"/>
          <w:sz w:val="24"/>
          <w:szCs w:val="24"/>
          <w:lang w:val="ro-RO" w:eastAsia="ro-RO"/>
        </w:rPr>
        <w:t>caz</w:t>
      </w:r>
      <w:r w:rsidR="000A5195" w:rsidRPr="00E0197B">
        <w:rPr>
          <w:rFonts w:ascii="Arial" w:eastAsiaTheme="minorEastAsia" w:hAnsi="Arial" w:cs="Arial"/>
          <w:sz w:val="24"/>
          <w:szCs w:val="24"/>
          <w:lang w:val="ro-RO" w:eastAsia="ro-RO"/>
        </w:rPr>
        <w:t>uri</w:t>
      </w:r>
      <w:r w:rsidR="00D3109F" w:rsidRPr="00E0197B">
        <w:rPr>
          <w:rFonts w:ascii="Arial" w:eastAsiaTheme="minorEastAsia" w:hAnsi="Arial" w:cs="Arial"/>
          <w:sz w:val="24"/>
          <w:szCs w:val="24"/>
          <w:lang w:val="ro-RO" w:eastAsia="ro-RO"/>
        </w:rPr>
        <w:t xml:space="preserve"> de methemoglobinemie acută </w:t>
      </w:r>
      <w:r w:rsidR="00D366BA" w:rsidRPr="00E0197B">
        <w:rPr>
          <w:rFonts w:ascii="Arial" w:eastAsiaTheme="minorEastAsia" w:hAnsi="Arial" w:cs="Arial"/>
          <w:sz w:val="24"/>
          <w:szCs w:val="24"/>
          <w:lang w:val="ro-RO" w:eastAsia="ro-RO"/>
        </w:rPr>
        <w:t>infantilă generată</w:t>
      </w:r>
      <w:r w:rsidR="00D3109F" w:rsidRPr="00E0197B">
        <w:rPr>
          <w:rFonts w:ascii="Arial" w:eastAsiaTheme="minorEastAsia" w:hAnsi="Arial" w:cs="Arial"/>
          <w:sz w:val="24"/>
          <w:szCs w:val="24"/>
          <w:lang w:val="ro-RO" w:eastAsia="ro-RO"/>
        </w:rPr>
        <w:t xml:space="preserve"> de apa de fântână</w:t>
      </w:r>
      <w:r w:rsidR="000A5195" w:rsidRPr="00E0197B">
        <w:rPr>
          <w:rFonts w:ascii="Arial" w:eastAsiaTheme="minorEastAsia" w:hAnsi="Arial" w:cs="Arial"/>
          <w:sz w:val="24"/>
          <w:szCs w:val="24"/>
          <w:lang w:val="ro-RO" w:eastAsia="ro-RO"/>
        </w:rPr>
        <w:t xml:space="preserve"> </w:t>
      </w:r>
      <w:r w:rsidR="00251A91" w:rsidRPr="00E0197B">
        <w:rPr>
          <w:rFonts w:ascii="Arial" w:eastAsiaTheme="minorEastAsia" w:hAnsi="Arial" w:cs="Arial"/>
          <w:sz w:val="24"/>
          <w:szCs w:val="24"/>
          <w:lang w:val="ro-RO" w:eastAsia="ro-RO"/>
        </w:rPr>
        <w:t>(vezi tabelul VIII.1.3.2)</w:t>
      </w:r>
      <w:r w:rsidR="0067352C" w:rsidRPr="00E0197B">
        <w:rPr>
          <w:rFonts w:ascii="Arial" w:eastAsiaTheme="minorEastAsia" w:hAnsi="Arial" w:cs="Arial"/>
          <w:sz w:val="24"/>
          <w:szCs w:val="24"/>
          <w:lang w:val="ro-RO" w:eastAsia="ro-RO"/>
        </w:rPr>
        <w:t>.</w:t>
      </w:r>
    </w:p>
    <w:p w:rsidR="006311E7" w:rsidRPr="0067400B" w:rsidRDefault="006311E7" w:rsidP="00CC1FB9">
      <w:pPr>
        <w:widowControl w:val="0"/>
        <w:spacing w:after="0" w:line="240" w:lineRule="auto"/>
        <w:jc w:val="center"/>
        <w:rPr>
          <w:rFonts w:ascii="Arial" w:eastAsiaTheme="minorEastAsia" w:hAnsi="Arial" w:cs="Arial"/>
          <w:sz w:val="12"/>
          <w:szCs w:val="12"/>
          <w:highlight w:val="yellow"/>
          <w:lang w:val="ro-RO" w:eastAsia="ro-RO"/>
        </w:rPr>
      </w:pPr>
    </w:p>
    <w:p w:rsidR="00EA5F8A" w:rsidRPr="00390A83" w:rsidRDefault="00E705E8" w:rsidP="00CC1FB9">
      <w:pPr>
        <w:widowControl w:val="0"/>
        <w:spacing w:after="0" w:line="240" w:lineRule="auto"/>
        <w:jc w:val="center"/>
        <w:rPr>
          <w:rFonts w:ascii="Arial" w:eastAsiaTheme="minorEastAsia" w:hAnsi="Arial" w:cs="Arial"/>
          <w:lang w:val="ro-RO" w:eastAsia="ro-RO"/>
        </w:rPr>
      </w:pPr>
      <w:r w:rsidRPr="00390A83">
        <w:rPr>
          <w:rFonts w:ascii="Arial" w:eastAsiaTheme="minorEastAsia" w:hAnsi="Arial" w:cs="Arial"/>
          <w:lang w:val="ro-RO" w:eastAsia="ro-RO"/>
        </w:rPr>
        <w:t xml:space="preserve">Tabelul </w:t>
      </w:r>
      <w:r w:rsidR="00100F2E" w:rsidRPr="00390A83">
        <w:rPr>
          <w:rFonts w:ascii="Arial" w:eastAsiaTheme="minorEastAsia" w:hAnsi="Arial" w:cs="Arial"/>
          <w:lang w:val="ro-RO" w:eastAsia="ro-RO"/>
        </w:rPr>
        <w:t>VIII</w:t>
      </w:r>
      <w:r w:rsidRPr="00390A83">
        <w:rPr>
          <w:rFonts w:ascii="Arial" w:eastAsiaTheme="minorEastAsia" w:hAnsi="Arial" w:cs="Arial"/>
          <w:lang w:val="ro-RO" w:eastAsia="ro-RO"/>
        </w:rPr>
        <w:t xml:space="preserve">.1.3.2. Evoluția cazurilor de methemoglobinemie </w:t>
      </w:r>
      <w:r w:rsidR="00EA5F8A" w:rsidRPr="00390A83">
        <w:rPr>
          <w:rFonts w:ascii="Arial" w:eastAsiaTheme="minorEastAsia" w:hAnsi="Arial" w:cs="Arial"/>
          <w:lang w:val="ro-RO" w:eastAsia="ro-RO"/>
        </w:rPr>
        <w:t xml:space="preserve">infantilă (nr. cazuri/an), </w:t>
      </w:r>
    </w:p>
    <w:p w:rsidR="00EA5F8A" w:rsidRPr="00390A83" w:rsidRDefault="00EA5F8A" w:rsidP="00CC1FB9">
      <w:pPr>
        <w:widowControl w:val="0"/>
        <w:spacing w:after="0" w:line="240" w:lineRule="auto"/>
        <w:jc w:val="center"/>
        <w:rPr>
          <w:rFonts w:ascii="Arial" w:eastAsiaTheme="minorEastAsia" w:hAnsi="Arial" w:cs="Arial"/>
          <w:lang w:val="ro-RO" w:eastAsia="ro-RO"/>
        </w:rPr>
      </w:pPr>
      <w:r w:rsidRPr="00390A83">
        <w:rPr>
          <w:rFonts w:ascii="Arial" w:eastAsiaTheme="minorEastAsia" w:hAnsi="Arial" w:cs="Arial"/>
          <w:lang w:val="ro-RO" w:eastAsia="ro-RO"/>
        </w:rPr>
        <w:t xml:space="preserve">generate de apa de fântână </w:t>
      </w:r>
      <w:r w:rsidR="00E705E8" w:rsidRPr="00390A83">
        <w:rPr>
          <w:rFonts w:ascii="Arial" w:eastAsiaTheme="minorEastAsia" w:hAnsi="Arial" w:cs="Arial"/>
          <w:lang w:val="ro-RO" w:eastAsia="ro-RO"/>
        </w:rPr>
        <w:t xml:space="preserve">în perioada </w:t>
      </w:r>
      <w:r w:rsidR="00390A83" w:rsidRPr="00390A83">
        <w:rPr>
          <w:rFonts w:ascii="Arial" w:eastAsiaTheme="minorEastAsia" w:hAnsi="Arial" w:cs="Arial"/>
          <w:lang w:val="ro-RO" w:eastAsia="ro-RO"/>
        </w:rPr>
        <w:t>2013 – 2017</w:t>
      </w:r>
      <w:r w:rsidRPr="00390A83">
        <w:rPr>
          <w:rFonts w:ascii="Arial" w:eastAsiaTheme="minorEastAsia" w:hAnsi="Arial" w:cs="Arial"/>
          <w:lang w:val="ro-RO" w:eastAsia="ro-RO"/>
        </w:rPr>
        <w:t>,</w:t>
      </w:r>
      <w:r w:rsidR="00E705E8" w:rsidRPr="00390A83">
        <w:rPr>
          <w:rFonts w:ascii="Arial" w:eastAsiaTheme="minorEastAsia" w:hAnsi="Arial" w:cs="Arial"/>
          <w:lang w:val="ro-RO" w:eastAsia="ro-RO"/>
        </w:rPr>
        <w:t xml:space="preserve"> </w:t>
      </w:r>
      <w:r w:rsidRPr="00390A83">
        <w:rPr>
          <w:rFonts w:ascii="Arial" w:eastAsiaTheme="minorEastAsia" w:hAnsi="Arial" w:cs="Arial"/>
          <w:lang w:val="ro-RO" w:eastAsia="ro-RO"/>
        </w:rPr>
        <w:t xml:space="preserve">în judeţul Suceava </w:t>
      </w:r>
    </w:p>
    <w:p w:rsidR="00E705E8" w:rsidRPr="00390A83" w:rsidRDefault="00E705E8" w:rsidP="00CC1FB9">
      <w:pPr>
        <w:widowControl w:val="0"/>
        <w:spacing w:after="0" w:line="240" w:lineRule="auto"/>
        <w:jc w:val="center"/>
        <w:rPr>
          <w:rFonts w:ascii="Arial" w:eastAsiaTheme="minorEastAsia" w:hAnsi="Arial" w:cs="Arial"/>
          <w:sz w:val="20"/>
          <w:szCs w:val="20"/>
          <w:lang w:val="ro-RO" w:eastAsia="ro-RO"/>
        </w:rPr>
      </w:pPr>
      <w:r w:rsidRPr="00390A83">
        <w:rPr>
          <w:rFonts w:ascii="Arial" w:eastAsiaTheme="minorEastAsia" w:hAnsi="Arial" w:cs="Arial"/>
          <w:lang w:val="ro-RO" w:eastAsia="ro-RO"/>
        </w:rPr>
        <w:t>(</w:t>
      </w:r>
      <w:r w:rsidR="00EA5F8A" w:rsidRPr="00390A83">
        <w:rPr>
          <w:rFonts w:ascii="Arial" w:eastAsiaTheme="minorEastAsia" w:hAnsi="Arial" w:cs="Arial"/>
          <w:i/>
          <w:lang w:val="ro-RO" w:eastAsia="ro-RO"/>
        </w:rPr>
        <w:t>Sursa:</w:t>
      </w:r>
      <w:r w:rsidRPr="00390A83">
        <w:rPr>
          <w:rFonts w:ascii="Arial" w:eastAsiaTheme="minorEastAsia" w:hAnsi="Arial" w:cs="Arial"/>
          <w:i/>
          <w:lang w:val="ro-RO" w:eastAsia="ro-RO"/>
        </w:rPr>
        <w:t xml:space="preserve"> Direcția </w:t>
      </w:r>
      <w:r w:rsidR="006311E7" w:rsidRPr="00390A83">
        <w:rPr>
          <w:rFonts w:ascii="Arial" w:eastAsiaTheme="minorEastAsia" w:hAnsi="Arial" w:cs="Arial"/>
          <w:i/>
          <w:lang w:val="ro-RO" w:eastAsia="ro-RO"/>
        </w:rPr>
        <w:t xml:space="preserve">de </w:t>
      </w:r>
      <w:r w:rsidRPr="00390A83">
        <w:rPr>
          <w:rFonts w:ascii="Arial" w:eastAsiaTheme="minorEastAsia" w:hAnsi="Arial" w:cs="Arial"/>
          <w:i/>
          <w:lang w:val="ro-RO" w:eastAsia="ro-RO"/>
        </w:rPr>
        <w:t xml:space="preserve">Sănătate Publică </w:t>
      </w:r>
      <w:r w:rsidR="006311E7" w:rsidRPr="00390A83">
        <w:rPr>
          <w:rFonts w:ascii="Arial" w:eastAsiaTheme="minorEastAsia" w:hAnsi="Arial" w:cs="Arial"/>
          <w:i/>
          <w:lang w:val="ro-RO" w:eastAsia="ro-RO"/>
        </w:rPr>
        <w:t xml:space="preserve">Județeană </w:t>
      </w:r>
      <w:r w:rsidRPr="00390A83">
        <w:rPr>
          <w:rFonts w:ascii="Arial" w:eastAsiaTheme="minorEastAsia" w:hAnsi="Arial" w:cs="Arial"/>
          <w:i/>
          <w:lang w:val="ro-RO" w:eastAsia="ro-RO"/>
        </w:rPr>
        <w:t>Suceava</w:t>
      </w:r>
      <w:r w:rsidRPr="00390A83">
        <w:rPr>
          <w:rFonts w:ascii="Arial" w:eastAsiaTheme="minorEastAsia" w:hAnsi="Arial" w:cs="Arial"/>
          <w:sz w:val="20"/>
          <w:szCs w:val="20"/>
          <w:lang w:val="ro-RO" w:eastAsia="ro-RO"/>
        </w:rPr>
        <w:t>)</w:t>
      </w:r>
    </w:p>
    <w:p w:rsidR="00EA5F8A" w:rsidRPr="00A70F1C" w:rsidRDefault="00EA5F8A" w:rsidP="00CC1FB9">
      <w:pPr>
        <w:widowControl w:val="0"/>
        <w:spacing w:after="0" w:line="240" w:lineRule="auto"/>
        <w:jc w:val="center"/>
        <w:rPr>
          <w:rFonts w:ascii="Arial" w:eastAsiaTheme="minorEastAsia" w:hAnsi="Arial" w:cs="Arial"/>
          <w:color w:val="FF0000"/>
          <w:sz w:val="6"/>
          <w:szCs w:val="6"/>
          <w:highlight w:val="yellow"/>
          <w:lang w:val="ro-RO" w:eastAsia="ro-R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170"/>
        <w:gridCol w:w="1170"/>
        <w:gridCol w:w="1170"/>
        <w:gridCol w:w="1170"/>
        <w:gridCol w:w="1100"/>
      </w:tblGrid>
      <w:tr w:rsidR="00EA5F8A" w:rsidRPr="00A70F1C" w:rsidTr="00251A91">
        <w:trPr>
          <w:trHeight w:val="177"/>
          <w:tblHeader/>
          <w:jc w:val="center"/>
        </w:trPr>
        <w:tc>
          <w:tcPr>
            <w:tcW w:w="1096"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Anul</w:t>
            </w:r>
          </w:p>
        </w:tc>
        <w:tc>
          <w:tcPr>
            <w:tcW w:w="1170"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Trim I</w:t>
            </w:r>
          </w:p>
        </w:tc>
        <w:tc>
          <w:tcPr>
            <w:tcW w:w="1170"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Trim II</w:t>
            </w:r>
          </w:p>
        </w:tc>
        <w:tc>
          <w:tcPr>
            <w:tcW w:w="1170"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Trim III</w:t>
            </w:r>
          </w:p>
        </w:tc>
        <w:tc>
          <w:tcPr>
            <w:tcW w:w="1170"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Trim IV</w:t>
            </w:r>
          </w:p>
        </w:tc>
        <w:tc>
          <w:tcPr>
            <w:tcW w:w="1100" w:type="dxa"/>
            <w:shd w:val="clear" w:color="auto" w:fill="FFFF99"/>
          </w:tcPr>
          <w:p w:rsidR="00EA5F8A" w:rsidRPr="000522F5" w:rsidRDefault="00EA5F8A" w:rsidP="00CC1FB9">
            <w:pPr>
              <w:widowControl w:val="0"/>
              <w:spacing w:after="0" w:line="240" w:lineRule="auto"/>
              <w:jc w:val="center"/>
              <w:rPr>
                <w:rFonts w:ascii="Arial" w:eastAsiaTheme="minorEastAsia" w:hAnsi="Arial" w:cs="Arial"/>
                <w:b/>
                <w:sz w:val="20"/>
                <w:szCs w:val="20"/>
                <w:lang w:val="ro-RO" w:eastAsia="ro-RO"/>
              </w:rPr>
            </w:pPr>
            <w:r w:rsidRPr="000522F5">
              <w:rPr>
                <w:rFonts w:ascii="Arial" w:eastAsiaTheme="minorEastAsia" w:hAnsi="Arial" w:cs="Arial"/>
                <w:b/>
                <w:sz w:val="20"/>
                <w:szCs w:val="20"/>
                <w:lang w:val="ro-RO" w:eastAsia="ro-RO"/>
              </w:rPr>
              <w:t>Total</w:t>
            </w:r>
          </w:p>
        </w:tc>
      </w:tr>
      <w:tr w:rsidR="00390A83" w:rsidRPr="00A70F1C" w:rsidTr="00251A91">
        <w:trPr>
          <w:trHeight w:val="243"/>
          <w:jc w:val="center"/>
        </w:trPr>
        <w:tc>
          <w:tcPr>
            <w:tcW w:w="1096"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2013</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1</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0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1</w:t>
            </w:r>
          </w:p>
        </w:tc>
      </w:tr>
      <w:tr w:rsidR="00390A83" w:rsidRPr="00A70F1C" w:rsidTr="00251A91">
        <w:trPr>
          <w:trHeight w:val="243"/>
          <w:jc w:val="center"/>
        </w:trPr>
        <w:tc>
          <w:tcPr>
            <w:tcW w:w="1096"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2014</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0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r>
      <w:tr w:rsidR="00390A83" w:rsidRPr="00A70F1C" w:rsidTr="00251A91">
        <w:trPr>
          <w:trHeight w:val="253"/>
          <w:jc w:val="center"/>
        </w:trPr>
        <w:tc>
          <w:tcPr>
            <w:tcW w:w="1096"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2015</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1</w:t>
            </w:r>
          </w:p>
        </w:tc>
        <w:tc>
          <w:tcPr>
            <w:tcW w:w="110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1</w:t>
            </w:r>
          </w:p>
        </w:tc>
      </w:tr>
      <w:tr w:rsidR="00390A83" w:rsidRPr="00A70F1C" w:rsidTr="00251A91">
        <w:trPr>
          <w:trHeight w:val="243"/>
          <w:jc w:val="center"/>
        </w:trPr>
        <w:tc>
          <w:tcPr>
            <w:tcW w:w="1096"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2016</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7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c>
          <w:tcPr>
            <w:tcW w:w="1100" w:type="dxa"/>
          </w:tcPr>
          <w:p w:rsidR="00390A83" w:rsidRPr="000522F5" w:rsidRDefault="00390A83" w:rsidP="00CC1FB9">
            <w:pPr>
              <w:widowControl w:val="0"/>
              <w:spacing w:before="40" w:after="40" w:line="240" w:lineRule="auto"/>
              <w:jc w:val="center"/>
              <w:rPr>
                <w:rFonts w:ascii="Arial" w:eastAsia="Times New Roman" w:hAnsi="Arial" w:cs="Arial"/>
                <w:sz w:val="20"/>
                <w:szCs w:val="20"/>
                <w:lang w:val="ro-RO"/>
              </w:rPr>
            </w:pPr>
            <w:r w:rsidRPr="000522F5">
              <w:rPr>
                <w:rFonts w:ascii="Arial" w:eastAsia="Times New Roman" w:hAnsi="Arial" w:cs="Arial"/>
                <w:sz w:val="20"/>
                <w:szCs w:val="20"/>
                <w:lang w:val="ro-RO"/>
              </w:rPr>
              <w:t>0</w:t>
            </w:r>
          </w:p>
        </w:tc>
      </w:tr>
      <w:tr w:rsidR="00390A83" w:rsidRPr="00A70F1C" w:rsidTr="00390A83">
        <w:trPr>
          <w:trHeight w:val="65"/>
          <w:jc w:val="center"/>
        </w:trPr>
        <w:tc>
          <w:tcPr>
            <w:tcW w:w="1096" w:type="dxa"/>
          </w:tcPr>
          <w:p w:rsidR="00390A83" w:rsidRPr="008C052A" w:rsidRDefault="00390A83"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2017</w:t>
            </w:r>
          </w:p>
        </w:tc>
        <w:tc>
          <w:tcPr>
            <w:tcW w:w="1170" w:type="dxa"/>
          </w:tcPr>
          <w:p w:rsidR="00390A83" w:rsidRPr="008C052A" w:rsidRDefault="000522F5"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0</w:t>
            </w:r>
          </w:p>
        </w:tc>
        <w:tc>
          <w:tcPr>
            <w:tcW w:w="1170" w:type="dxa"/>
          </w:tcPr>
          <w:p w:rsidR="00390A83" w:rsidRPr="008C052A" w:rsidRDefault="000522F5"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0</w:t>
            </w:r>
          </w:p>
        </w:tc>
        <w:tc>
          <w:tcPr>
            <w:tcW w:w="1170" w:type="dxa"/>
          </w:tcPr>
          <w:p w:rsidR="00390A83" w:rsidRPr="008C052A" w:rsidRDefault="000522F5"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0</w:t>
            </w:r>
          </w:p>
        </w:tc>
        <w:tc>
          <w:tcPr>
            <w:tcW w:w="1170" w:type="dxa"/>
          </w:tcPr>
          <w:p w:rsidR="00390A83" w:rsidRPr="008C052A" w:rsidRDefault="000522F5"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0</w:t>
            </w:r>
          </w:p>
        </w:tc>
        <w:tc>
          <w:tcPr>
            <w:tcW w:w="1100" w:type="dxa"/>
          </w:tcPr>
          <w:p w:rsidR="00390A83" w:rsidRPr="008C052A" w:rsidRDefault="000522F5" w:rsidP="00CC1FB9">
            <w:pPr>
              <w:widowControl w:val="0"/>
              <w:spacing w:before="40" w:after="40" w:line="240" w:lineRule="auto"/>
              <w:jc w:val="center"/>
              <w:rPr>
                <w:rFonts w:ascii="Arial" w:eastAsia="Times New Roman" w:hAnsi="Arial" w:cs="Arial"/>
                <w:sz w:val="20"/>
                <w:szCs w:val="20"/>
                <w:lang w:val="ro-RO"/>
              </w:rPr>
            </w:pPr>
            <w:r w:rsidRPr="008C052A">
              <w:rPr>
                <w:rFonts w:ascii="Arial" w:eastAsia="Times New Roman" w:hAnsi="Arial" w:cs="Arial"/>
                <w:sz w:val="20"/>
                <w:szCs w:val="20"/>
                <w:lang w:val="ro-RO"/>
              </w:rPr>
              <w:t>0</w:t>
            </w:r>
          </w:p>
        </w:tc>
      </w:tr>
    </w:tbl>
    <w:p w:rsidR="00846D7F" w:rsidRDefault="00846D7F" w:rsidP="00CC1FB9">
      <w:pPr>
        <w:widowControl w:val="0"/>
        <w:spacing w:after="0" w:line="240" w:lineRule="auto"/>
        <w:ind w:firstLine="720"/>
        <w:jc w:val="both"/>
        <w:rPr>
          <w:rFonts w:ascii="Arial" w:eastAsiaTheme="minorEastAsia" w:hAnsi="Arial" w:cs="Arial"/>
          <w:b/>
          <w:sz w:val="12"/>
          <w:szCs w:val="12"/>
          <w:highlight w:val="yellow"/>
          <w:lang w:val="ro-RO" w:eastAsia="ro-RO"/>
        </w:rPr>
      </w:pPr>
    </w:p>
    <w:p w:rsidR="00052234" w:rsidRPr="00467CE1" w:rsidRDefault="00E705E8" w:rsidP="00CC1FB9">
      <w:pPr>
        <w:widowControl w:val="0"/>
        <w:spacing w:after="0" w:line="240" w:lineRule="auto"/>
        <w:ind w:firstLine="720"/>
        <w:jc w:val="both"/>
        <w:rPr>
          <w:rFonts w:ascii="Arial" w:eastAsiaTheme="minorEastAsia" w:hAnsi="Arial" w:cs="Arial"/>
          <w:sz w:val="24"/>
          <w:szCs w:val="24"/>
          <w:lang w:val="ro-RO" w:eastAsia="ro-RO"/>
        </w:rPr>
      </w:pPr>
      <w:r w:rsidRPr="00467CE1">
        <w:rPr>
          <w:rFonts w:ascii="Arial" w:eastAsiaTheme="minorEastAsia" w:hAnsi="Arial" w:cs="Arial"/>
          <w:b/>
          <w:sz w:val="24"/>
          <w:szCs w:val="24"/>
          <w:lang w:val="ro-RO" w:eastAsia="ro-RO"/>
        </w:rPr>
        <w:t xml:space="preserve">Calitatea </w:t>
      </w:r>
      <w:r w:rsidR="00BE1E83" w:rsidRPr="00467CE1">
        <w:rPr>
          <w:rFonts w:ascii="Arial" w:eastAsiaTheme="minorEastAsia" w:hAnsi="Arial" w:cs="Arial"/>
          <w:b/>
          <w:sz w:val="24"/>
          <w:szCs w:val="24"/>
          <w:lang w:val="ro-RO" w:eastAsia="ro-RO"/>
        </w:rPr>
        <w:t>chimică şi bacteriologică</w:t>
      </w:r>
      <w:r w:rsidR="00BE1E83" w:rsidRPr="00467CE1">
        <w:rPr>
          <w:rFonts w:ascii="Arial" w:eastAsiaTheme="minorEastAsia" w:hAnsi="Arial" w:cs="Arial"/>
          <w:sz w:val="24"/>
          <w:szCs w:val="24"/>
          <w:lang w:val="ro-RO" w:eastAsia="ro-RO"/>
        </w:rPr>
        <w:t xml:space="preserve"> </w:t>
      </w:r>
      <w:r w:rsidR="00BE1E83" w:rsidRPr="00467CE1">
        <w:rPr>
          <w:rFonts w:ascii="Arial" w:eastAsiaTheme="minorEastAsia" w:hAnsi="Arial" w:cs="Arial"/>
          <w:b/>
          <w:sz w:val="24"/>
          <w:szCs w:val="24"/>
          <w:lang w:val="ro-RO" w:eastAsia="ro-RO"/>
        </w:rPr>
        <w:t xml:space="preserve">a </w:t>
      </w:r>
      <w:r w:rsidRPr="00467CE1">
        <w:rPr>
          <w:rFonts w:ascii="Arial" w:eastAsiaTheme="minorEastAsia" w:hAnsi="Arial" w:cs="Arial"/>
          <w:b/>
          <w:sz w:val="24"/>
          <w:szCs w:val="24"/>
          <w:lang w:val="ro-RO" w:eastAsia="ro-RO"/>
        </w:rPr>
        <w:t>apei potabile</w:t>
      </w:r>
      <w:r w:rsidRPr="00467CE1">
        <w:rPr>
          <w:rFonts w:ascii="Arial" w:eastAsiaTheme="minorEastAsia" w:hAnsi="Arial" w:cs="Arial"/>
          <w:sz w:val="24"/>
          <w:szCs w:val="24"/>
          <w:lang w:val="ro-RO" w:eastAsia="ro-RO"/>
        </w:rPr>
        <w:t xml:space="preserve"> </w:t>
      </w:r>
      <w:r w:rsidR="000D6CA2" w:rsidRPr="00467CE1">
        <w:rPr>
          <w:rFonts w:ascii="Arial" w:eastAsiaTheme="minorEastAsia" w:hAnsi="Arial" w:cs="Arial"/>
          <w:sz w:val="24"/>
          <w:szCs w:val="24"/>
          <w:lang w:val="ro-RO" w:eastAsia="ro-RO"/>
        </w:rPr>
        <w:t>la nivelul</w:t>
      </w:r>
      <w:r w:rsidRPr="00467CE1">
        <w:rPr>
          <w:rFonts w:ascii="Arial" w:eastAsiaTheme="minorEastAsia" w:hAnsi="Arial" w:cs="Arial"/>
          <w:sz w:val="24"/>
          <w:szCs w:val="24"/>
          <w:lang w:val="ro-RO" w:eastAsia="ro-RO"/>
        </w:rPr>
        <w:t xml:space="preserve"> judeţul</w:t>
      </w:r>
      <w:r w:rsidR="000D6CA2" w:rsidRPr="00467CE1">
        <w:rPr>
          <w:rFonts w:ascii="Arial" w:eastAsiaTheme="minorEastAsia" w:hAnsi="Arial" w:cs="Arial"/>
          <w:sz w:val="24"/>
          <w:szCs w:val="24"/>
          <w:lang w:val="ro-RO" w:eastAsia="ro-RO"/>
        </w:rPr>
        <w:t>ui</w:t>
      </w:r>
      <w:r w:rsidRPr="00467CE1">
        <w:rPr>
          <w:rFonts w:ascii="Arial" w:eastAsiaTheme="minorEastAsia" w:hAnsi="Arial" w:cs="Arial"/>
          <w:sz w:val="24"/>
          <w:szCs w:val="24"/>
          <w:lang w:val="ro-RO" w:eastAsia="ro-RO"/>
        </w:rPr>
        <w:t xml:space="preserve"> Suceava a fost monitorizată în anul 201</w:t>
      </w:r>
      <w:r w:rsidR="00C6330C" w:rsidRPr="00467CE1">
        <w:rPr>
          <w:rFonts w:ascii="Arial" w:eastAsiaTheme="minorEastAsia" w:hAnsi="Arial" w:cs="Arial"/>
          <w:sz w:val="24"/>
          <w:szCs w:val="24"/>
          <w:lang w:val="ro-RO" w:eastAsia="ro-RO"/>
        </w:rPr>
        <w:t>7</w:t>
      </w:r>
      <w:r w:rsidRPr="00467CE1">
        <w:rPr>
          <w:rFonts w:ascii="Arial" w:eastAsiaTheme="minorEastAsia" w:hAnsi="Arial" w:cs="Arial"/>
          <w:sz w:val="24"/>
          <w:szCs w:val="24"/>
          <w:lang w:val="ro-RO" w:eastAsia="ro-RO"/>
        </w:rPr>
        <w:t xml:space="preserve"> de către </w:t>
      </w:r>
      <w:r w:rsidR="006311E7" w:rsidRPr="00467CE1">
        <w:rPr>
          <w:rFonts w:ascii="Arial" w:eastAsiaTheme="minorEastAsia" w:hAnsi="Arial" w:cs="Arial"/>
          <w:sz w:val="24"/>
          <w:szCs w:val="24"/>
          <w:lang w:val="ro-RO" w:eastAsia="ro-RO"/>
        </w:rPr>
        <w:t>Direcţia de Sănătate Publică Judeţeană Suceava</w:t>
      </w:r>
      <w:r w:rsidR="0067400B">
        <w:rPr>
          <w:rFonts w:ascii="Arial" w:eastAsiaTheme="minorEastAsia" w:hAnsi="Arial" w:cs="Arial"/>
          <w:sz w:val="24"/>
          <w:szCs w:val="24"/>
          <w:lang w:val="ro-RO" w:eastAsia="ro-RO"/>
        </w:rPr>
        <w:t xml:space="preserve">, </w:t>
      </w:r>
      <w:r w:rsidRPr="00467CE1">
        <w:rPr>
          <w:rFonts w:ascii="Arial" w:eastAsiaTheme="minorEastAsia" w:hAnsi="Arial" w:cs="Arial"/>
          <w:sz w:val="24"/>
          <w:szCs w:val="24"/>
          <w:lang w:val="ro-RO" w:eastAsia="ro-RO"/>
        </w:rPr>
        <w:t>prin prele</w:t>
      </w:r>
      <w:r w:rsidR="00891DBB" w:rsidRPr="00467CE1">
        <w:rPr>
          <w:rFonts w:ascii="Arial" w:eastAsiaTheme="minorEastAsia" w:hAnsi="Arial" w:cs="Arial"/>
          <w:sz w:val="24"/>
          <w:szCs w:val="24"/>
          <w:lang w:val="ro-RO" w:eastAsia="ro-RO"/>
        </w:rPr>
        <w:t xml:space="preserve">varea a </w:t>
      </w:r>
      <w:r w:rsidR="00C6330C" w:rsidRPr="00467CE1">
        <w:rPr>
          <w:rFonts w:ascii="Arial" w:eastAsiaTheme="minorEastAsia" w:hAnsi="Arial" w:cs="Arial"/>
          <w:sz w:val="24"/>
          <w:szCs w:val="24"/>
          <w:lang w:val="ro-RO" w:eastAsia="ro-RO"/>
        </w:rPr>
        <w:t>3462</w:t>
      </w:r>
      <w:r w:rsidRPr="00467CE1">
        <w:rPr>
          <w:rFonts w:ascii="Arial" w:eastAsiaTheme="minorEastAsia" w:hAnsi="Arial" w:cs="Arial"/>
          <w:sz w:val="24"/>
          <w:szCs w:val="24"/>
          <w:lang w:val="ro-RO" w:eastAsia="ro-RO"/>
        </w:rPr>
        <w:t xml:space="preserve"> probe de apă pentru determinări chimice şi microbiologice</w:t>
      </w:r>
      <w:r w:rsidR="0067400B">
        <w:rPr>
          <w:rFonts w:ascii="Arial" w:eastAsiaTheme="minorEastAsia" w:hAnsi="Arial" w:cs="Arial"/>
          <w:sz w:val="24"/>
          <w:szCs w:val="24"/>
          <w:lang w:val="ro-RO" w:eastAsia="ro-RO"/>
        </w:rPr>
        <w:t xml:space="preserve">, </w:t>
      </w:r>
      <w:r w:rsidRPr="00467CE1">
        <w:rPr>
          <w:rFonts w:ascii="Arial" w:eastAsiaTheme="minorEastAsia" w:hAnsi="Arial" w:cs="Arial"/>
          <w:sz w:val="24"/>
          <w:szCs w:val="24"/>
          <w:lang w:val="ro-RO" w:eastAsia="ro-RO"/>
        </w:rPr>
        <w:t xml:space="preserve">recoltate din </w:t>
      </w:r>
      <w:r w:rsidR="00891DBB" w:rsidRPr="00467CE1">
        <w:rPr>
          <w:rFonts w:ascii="Arial" w:eastAsiaTheme="minorEastAsia" w:hAnsi="Arial" w:cs="Arial"/>
          <w:sz w:val="24"/>
          <w:szCs w:val="24"/>
          <w:lang w:val="ro-RO" w:eastAsia="ro-RO"/>
        </w:rPr>
        <w:t>reţe</w:t>
      </w:r>
      <w:r w:rsidR="00961C2F" w:rsidRPr="00467CE1">
        <w:rPr>
          <w:rFonts w:ascii="Arial" w:eastAsiaTheme="minorEastAsia" w:hAnsi="Arial" w:cs="Arial"/>
          <w:sz w:val="24"/>
          <w:szCs w:val="24"/>
          <w:lang w:val="ro-RO" w:eastAsia="ro-RO"/>
        </w:rPr>
        <w:t>lele</w:t>
      </w:r>
      <w:r w:rsidR="00891DBB" w:rsidRPr="00467CE1">
        <w:rPr>
          <w:rFonts w:ascii="Arial" w:eastAsiaTheme="minorEastAsia" w:hAnsi="Arial" w:cs="Arial"/>
          <w:sz w:val="24"/>
          <w:szCs w:val="24"/>
          <w:lang w:val="ro-RO" w:eastAsia="ro-RO"/>
        </w:rPr>
        <w:t xml:space="preserve"> de distribuţie şi la ieş</w:t>
      </w:r>
      <w:r w:rsidRPr="00467CE1">
        <w:rPr>
          <w:rFonts w:ascii="Arial" w:eastAsiaTheme="minorEastAsia" w:hAnsi="Arial" w:cs="Arial"/>
          <w:sz w:val="24"/>
          <w:szCs w:val="24"/>
          <w:lang w:val="ro-RO" w:eastAsia="ro-RO"/>
        </w:rPr>
        <w:t>irea din staţiile de tratare</w:t>
      </w:r>
      <w:r w:rsidR="00891DBB" w:rsidRPr="00467CE1">
        <w:rPr>
          <w:rFonts w:ascii="Arial" w:eastAsiaTheme="minorEastAsia" w:hAnsi="Arial" w:cs="Arial"/>
          <w:sz w:val="24"/>
          <w:szCs w:val="24"/>
          <w:lang w:val="ro-RO" w:eastAsia="ro-RO"/>
        </w:rPr>
        <w:t>,</w:t>
      </w:r>
      <w:r w:rsidRPr="00467CE1">
        <w:rPr>
          <w:rFonts w:ascii="Arial" w:eastAsiaTheme="minorEastAsia" w:hAnsi="Arial" w:cs="Arial"/>
          <w:sz w:val="24"/>
          <w:szCs w:val="24"/>
          <w:lang w:val="ro-RO" w:eastAsia="ro-RO"/>
        </w:rPr>
        <w:t xml:space="preserve"> în cadrul monitorizării de audit.</w:t>
      </w:r>
      <w:r w:rsidR="00CC7C59" w:rsidRPr="00467CE1">
        <w:rPr>
          <w:rFonts w:ascii="Arial" w:eastAsiaTheme="minorEastAsia" w:hAnsi="Arial" w:cs="Arial"/>
          <w:sz w:val="24"/>
          <w:szCs w:val="24"/>
          <w:lang w:val="ro-RO" w:eastAsia="ro-RO"/>
        </w:rPr>
        <w:t xml:space="preserve"> </w:t>
      </w:r>
    </w:p>
    <w:p w:rsidR="00E705E8" w:rsidRPr="0078618A" w:rsidRDefault="00E705E8" w:rsidP="00CC1FB9">
      <w:pPr>
        <w:widowControl w:val="0"/>
        <w:spacing w:after="0" w:line="240" w:lineRule="auto"/>
        <w:ind w:firstLine="720"/>
        <w:jc w:val="both"/>
        <w:rPr>
          <w:rFonts w:ascii="Arial" w:eastAsiaTheme="minorEastAsia" w:hAnsi="Arial" w:cs="Arial"/>
          <w:sz w:val="24"/>
          <w:szCs w:val="24"/>
          <w:lang w:val="ro-RO" w:eastAsia="ro-RO"/>
        </w:rPr>
      </w:pPr>
      <w:r w:rsidRPr="0078618A">
        <w:rPr>
          <w:rFonts w:ascii="Arial" w:eastAsiaTheme="minorEastAsia" w:hAnsi="Arial" w:cs="Arial"/>
          <w:sz w:val="24"/>
          <w:szCs w:val="24"/>
          <w:lang w:val="ro-RO" w:eastAsia="ro-RO"/>
        </w:rPr>
        <w:t xml:space="preserve">Parametrii la care s-au găsit neconformităţi au fost: </w:t>
      </w:r>
      <w:r w:rsidRPr="0078618A">
        <w:rPr>
          <w:rFonts w:ascii="Arial" w:eastAsiaTheme="minorEastAsia" w:hAnsi="Arial" w:cs="Arial"/>
          <w:sz w:val="24"/>
          <w:szCs w:val="24"/>
          <w:lang w:val="ro-RO" w:eastAsia="ro-RO"/>
        </w:rPr>
        <w:tab/>
      </w:r>
    </w:p>
    <w:p w:rsidR="00E705E8" w:rsidRPr="0078618A" w:rsidRDefault="00E705E8" w:rsidP="00CC1FB9">
      <w:pPr>
        <w:widowControl w:val="0"/>
        <w:spacing w:after="0" w:line="240" w:lineRule="auto"/>
        <w:jc w:val="both"/>
        <w:rPr>
          <w:rFonts w:ascii="Arial" w:eastAsiaTheme="minorEastAsia" w:hAnsi="Arial" w:cs="Arial"/>
          <w:sz w:val="24"/>
          <w:szCs w:val="24"/>
          <w:highlight w:val="yellow"/>
          <w:lang w:val="ro-RO" w:eastAsia="ro-RO"/>
        </w:rPr>
      </w:pPr>
      <w:r w:rsidRPr="0078618A">
        <w:rPr>
          <w:rFonts w:ascii="Arial" w:eastAsiaTheme="minorEastAsia" w:hAnsi="Arial" w:cs="Arial"/>
          <w:sz w:val="24"/>
          <w:szCs w:val="24"/>
          <w:lang w:val="ro-RO" w:eastAsia="ro-RO"/>
        </w:rPr>
        <w:lastRenderedPageBreak/>
        <w:t xml:space="preserve">- </w:t>
      </w:r>
      <w:r w:rsidRPr="0078618A">
        <w:rPr>
          <w:rFonts w:ascii="Arial" w:eastAsiaTheme="minorEastAsia" w:hAnsi="Arial" w:cs="Arial"/>
          <w:i/>
          <w:sz w:val="24"/>
          <w:szCs w:val="24"/>
          <w:lang w:val="ro-RO" w:eastAsia="ro-RO"/>
        </w:rPr>
        <w:t>chimici</w:t>
      </w:r>
      <w:r w:rsidRPr="0078618A">
        <w:rPr>
          <w:rFonts w:ascii="Arial" w:eastAsiaTheme="minorEastAsia" w:hAnsi="Arial" w:cs="Arial"/>
          <w:sz w:val="24"/>
          <w:szCs w:val="24"/>
          <w:lang w:val="ro-RO" w:eastAsia="ro-RO"/>
        </w:rPr>
        <w:t xml:space="preserve">: </w:t>
      </w:r>
      <w:r w:rsidR="00BC144C" w:rsidRPr="0078618A">
        <w:rPr>
          <w:rFonts w:ascii="Arial" w:eastAsiaTheme="minorEastAsia" w:hAnsi="Arial" w:cs="Arial"/>
          <w:sz w:val="24"/>
          <w:szCs w:val="24"/>
          <w:lang w:val="ro-RO" w:eastAsia="ro-RO"/>
        </w:rPr>
        <w:t>nitraţi, turbiditate,</w:t>
      </w:r>
      <w:r w:rsidR="00805742" w:rsidRPr="0078618A">
        <w:rPr>
          <w:rFonts w:ascii="Arial" w:eastAsiaTheme="minorEastAsia" w:hAnsi="Arial" w:cs="Arial"/>
          <w:sz w:val="24"/>
          <w:szCs w:val="24"/>
          <w:lang w:val="ro-RO" w:eastAsia="ro-RO"/>
        </w:rPr>
        <w:t xml:space="preserve"> </w:t>
      </w:r>
      <w:r w:rsidRPr="0078618A">
        <w:rPr>
          <w:rFonts w:ascii="Arial" w:eastAsiaTheme="minorEastAsia" w:hAnsi="Arial" w:cs="Arial"/>
          <w:sz w:val="24"/>
          <w:szCs w:val="24"/>
          <w:lang w:val="ro-RO" w:eastAsia="ro-RO"/>
        </w:rPr>
        <w:t xml:space="preserve">clor rezidual liber (depăşiri sau lipsa </w:t>
      </w:r>
      <w:r w:rsidR="003432B3" w:rsidRPr="0078618A">
        <w:rPr>
          <w:rFonts w:ascii="Arial" w:eastAsiaTheme="minorEastAsia" w:hAnsi="Arial" w:cs="Arial"/>
          <w:sz w:val="24"/>
          <w:szCs w:val="24"/>
          <w:lang w:val="ro-RO" w:eastAsia="ro-RO"/>
        </w:rPr>
        <w:t>clorului rezidual liber</w:t>
      </w:r>
      <w:r w:rsidRPr="0078618A">
        <w:rPr>
          <w:rFonts w:ascii="Arial" w:eastAsiaTheme="minorEastAsia" w:hAnsi="Arial" w:cs="Arial"/>
          <w:sz w:val="24"/>
          <w:szCs w:val="24"/>
          <w:lang w:val="ro-RO" w:eastAsia="ro-RO"/>
        </w:rPr>
        <w:t xml:space="preserve"> în apa analizată</w:t>
      </w:r>
      <w:r w:rsidR="00C15006" w:rsidRPr="0078618A">
        <w:rPr>
          <w:rFonts w:ascii="Arial" w:eastAsiaTheme="minorEastAsia" w:hAnsi="Arial" w:cs="Arial"/>
          <w:sz w:val="24"/>
          <w:szCs w:val="24"/>
          <w:lang w:val="ro-RO" w:eastAsia="ro-RO"/>
        </w:rPr>
        <w:t>,</w:t>
      </w:r>
      <w:r w:rsidRPr="0078618A">
        <w:rPr>
          <w:rFonts w:ascii="Arial" w:eastAsiaTheme="minorEastAsia" w:hAnsi="Arial" w:cs="Arial"/>
          <w:sz w:val="24"/>
          <w:szCs w:val="24"/>
          <w:lang w:val="ro-RO" w:eastAsia="ro-RO"/>
        </w:rPr>
        <w:t xml:space="preserve"> </w:t>
      </w:r>
      <w:r w:rsidR="007D7B58" w:rsidRPr="0078618A">
        <w:rPr>
          <w:rFonts w:ascii="Arial" w:eastAsiaTheme="minorEastAsia" w:hAnsi="Arial" w:cs="Arial"/>
          <w:sz w:val="24"/>
          <w:szCs w:val="24"/>
          <w:lang w:val="ro-RO" w:eastAsia="ro-RO"/>
        </w:rPr>
        <w:t>la</w:t>
      </w:r>
      <w:r w:rsidRPr="0078618A">
        <w:rPr>
          <w:rFonts w:ascii="Arial" w:eastAsiaTheme="minorEastAsia" w:hAnsi="Arial" w:cs="Arial"/>
          <w:sz w:val="24"/>
          <w:szCs w:val="24"/>
          <w:lang w:val="ro-RO" w:eastAsia="ro-RO"/>
        </w:rPr>
        <w:t xml:space="preserve"> aprox</w:t>
      </w:r>
      <w:r w:rsidR="007D7B58" w:rsidRPr="0078618A">
        <w:rPr>
          <w:rFonts w:ascii="Arial" w:eastAsiaTheme="minorEastAsia" w:hAnsi="Arial" w:cs="Arial"/>
          <w:sz w:val="24"/>
          <w:szCs w:val="24"/>
          <w:lang w:val="ro-RO" w:eastAsia="ro-RO"/>
        </w:rPr>
        <w:t xml:space="preserve">. </w:t>
      </w:r>
      <w:r w:rsidR="00C15006" w:rsidRPr="0078618A">
        <w:rPr>
          <w:rFonts w:ascii="Arial" w:eastAsiaTheme="minorEastAsia" w:hAnsi="Arial" w:cs="Arial"/>
          <w:sz w:val="24"/>
          <w:szCs w:val="24"/>
          <w:lang w:val="ro-RO" w:eastAsia="ro-RO"/>
        </w:rPr>
        <w:t>98</w:t>
      </w:r>
      <w:r w:rsidRPr="0078618A">
        <w:rPr>
          <w:rFonts w:ascii="Arial" w:eastAsiaTheme="minorEastAsia" w:hAnsi="Arial" w:cs="Arial"/>
          <w:sz w:val="24"/>
          <w:szCs w:val="24"/>
          <w:lang w:val="ro-RO" w:eastAsia="ro-RO"/>
        </w:rPr>
        <w:t xml:space="preserve">% din probele chimice </w:t>
      </w:r>
      <w:r w:rsidR="007D7B58" w:rsidRPr="0078618A">
        <w:rPr>
          <w:rFonts w:ascii="Arial" w:eastAsiaTheme="minorEastAsia" w:hAnsi="Arial" w:cs="Arial"/>
          <w:sz w:val="24"/>
          <w:szCs w:val="24"/>
          <w:lang w:val="ro-RO" w:eastAsia="ro-RO"/>
        </w:rPr>
        <w:t>găsite necorespunzătoare</w:t>
      </w:r>
      <w:r w:rsidR="0078618A" w:rsidRPr="0078618A">
        <w:rPr>
          <w:rFonts w:ascii="Arial" w:eastAsiaTheme="minorEastAsia" w:hAnsi="Arial" w:cs="Arial"/>
          <w:sz w:val="24"/>
          <w:szCs w:val="24"/>
          <w:lang w:val="ro-RO" w:eastAsia="ro-RO"/>
        </w:rPr>
        <w:t>)</w:t>
      </w:r>
      <w:r w:rsidR="003432B3" w:rsidRPr="0078618A">
        <w:rPr>
          <w:rFonts w:ascii="Arial" w:eastAsiaTheme="minorEastAsia" w:hAnsi="Arial" w:cs="Arial"/>
          <w:sz w:val="24"/>
          <w:szCs w:val="24"/>
          <w:lang w:val="ro-RO" w:eastAsia="ro-RO"/>
        </w:rPr>
        <w:t>;</w:t>
      </w:r>
      <w:r w:rsidR="006311E7" w:rsidRPr="0078618A">
        <w:rPr>
          <w:rFonts w:ascii="Arial" w:eastAsiaTheme="minorEastAsia" w:hAnsi="Arial" w:cs="Arial"/>
          <w:sz w:val="24"/>
          <w:szCs w:val="24"/>
          <w:lang w:val="ro-RO" w:eastAsia="ro-RO"/>
        </w:rPr>
        <w:t xml:space="preserve"> </w:t>
      </w:r>
    </w:p>
    <w:p w:rsidR="00E705E8" w:rsidRPr="0078618A" w:rsidRDefault="00E705E8" w:rsidP="00CC1FB9">
      <w:pPr>
        <w:widowControl w:val="0"/>
        <w:spacing w:after="0" w:line="240" w:lineRule="auto"/>
        <w:jc w:val="both"/>
        <w:rPr>
          <w:rFonts w:ascii="Arial" w:eastAsiaTheme="minorEastAsia" w:hAnsi="Arial" w:cs="Arial"/>
          <w:sz w:val="24"/>
          <w:szCs w:val="24"/>
          <w:lang w:val="ro-RO" w:eastAsia="ro-RO"/>
        </w:rPr>
      </w:pPr>
      <w:r w:rsidRPr="0078618A">
        <w:rPr>
          <w:rFonts w:ascii="Arial" w:eastAsiaTheme="minorEastAsia" w:hAnsi="Arial" w:cs="Arial"/>
          <w:sz w:val="24"/>
          <w:szCs w:val="24"/>
          <w:lang w:val="ro-RO" w:eastAsia="ro-RO"/>
        </w:rPr>
        <w:t xml:space="preserve">- </w:t>
      </w:r>
      <w:r w:rsidRPr="0078618A">
        <w:rPr>
          <w:rFonts w:ascii="Arial" w:eastAsiaTheme="minorEastAsia" w:hAnsi="Arial" w:cs="Arial"/>
          <w:i/>
          <w:sz w:val="24"/>
          <w:szCs w:val="24"/>
          <w:lang w:val="ro-RO" w:eastAsia="ro-RO"/>
        </w:rPr>
        <w:t>microbiologici</w:t>
      </w:r>
      <w:r w:rsidRPr="0078618A">
        <w:rPr>
          <w:rFonts w:ascii="Arial" w:eastAsiaTheme="minorEastAsia" w:hAnsi="Arial" w:cs="Arial"/>
          <w:sz w:val="24"/>
          <w:szCs w:val="24"/>
          <w:lang w:val="ro-RO" w:eastAsia="ro-RO"/>
        </w:rPr>
        <w:t>: E. coli, enterococi, bacterii coliforme, NTG  la 22</w:t>
      </w:r>
      <w:r w:rsidR="00EA451D" w:rsidRPr="0078618A">
        <w:rPr>
          <w:rFonts w:ascii="Arial" w:eastAsiaTheme="minorEastAsia" w:hAnsi="Arial" w:cs="Arial"/>
          <w:sz w:val="24"/>
          <w:szCs w:val="24"/>
          <w:lang w:val="ro-RO" w:eastAsia="ro-RO"/>
        </w:rPr>
        <w:t>°</w:t>
      </w:r>
      <w:r w:rsidRPr="0078618A">
        <w:rPr>
          <w:rFonts w:ascii="Arial" w:eastAsiaTheme="minorEastAsia" w:hAnsi="Arial" w:cs="Arial"/>
          <w:sz w:val="24"/>
          <w:szCs w:val="24"/>
          <w:lang w:val="ro-RO" w:eastAsia="ro-RO"/>
        </w:rPr>
        <w:t>C şi NTG la 37</w:t>
      </w:r>
      <w:r w:rsidR="00EA451D" w:rsidRPr="0078618A">
        <w:rPr>
          <w:rFonts w:ascii="Arial" w:eastAsiaTheme="minorEastAsia" w:hAnsi="Arial" w:cs="Arial"/>
          <w:sz w:val="24"/>
          <w:szCs w:val="24"/>
          <w:lang w:val="ro-RO" w:eastAsia="ro-RO"/>
        </w:rPr>
        <w:t>°</w:t>
      </w:r>
      <w:r w:rsidRPr="0078618A">
        <w:rPr>
          <w:rFonts w:ascii="Arial" w:eastAsiaTheme="minorEastAsia" w:hAnsi="Arial" w:cs="Arial"/>
          <w:sz w:val="24"/>
          <w:szCs w:val="24"/>
          <w:lang w:val="ro-RO" w:eastAsia="ro-RO"/>
        </w:rPr>
        <w:t xml:space="preserve">C. </w:t>
      </w:r>
    </w:p>
    <w:p w:rsidR="004E7258" w:rsidRPr="00A70F1C" w:rsidRDefault="004E7258" w:rsidP="00CC1FB9">
      <w:pPr>
        <w:widowControl w:val="0"/>
        <w:spacing w:after="0" w:line="240" w:lineRule="auto"/>
        <w:ind w:firstLine="720"/>
        <w:jc w:val="both"/>
        <w:rPr>
          <w:rFonts w:ascii="Arial" w:eastAsiaTheme="minorEastAsia" w:hAnsi="Arial" w:cs="Arial"/>
          <w:sz w:val="10"/>
          <w:szCs w:val="10"/>
          <w:highlight w:val="yellow"/>
          <w:lang w:val="ro-RO" w:eastAsia="ro-RO"/>
        </w:rPr>
      </w:pPr>
    </w:p>
    <w:p w:rsidR="004E7258" w:rsidRPr="007A2569" w:rsidRDefault="00961C2F" w:rsidP="00CC1FB9">
      <w:pPr>
        <w:widowControl w:val="0"/>
        <w:spacing w:after="0" w:line="240" w:lineRule="auto"/>
        <w:jc w:val="center"/>
        <w:rPr>
          <w:rFonts w:ascii="Arial" w:eastAsiaTheme="minorEastAsia" w:hAnsi="Arial" w:cs="Arial"/>
          <w:lang w:val="ro-RO" w:eastAsia="ro-RO"/>
        </w:rPr>
      </w:pPr>
      <w:r w:rsidRPr="007A2569">
        <w:rPr>
          <w:rFonts w:ascii="Arial" w:eastAsiaTheme="minorEastAsia" w:hAnsi="Arial" w:cs="Arial"/>
          <w:lang w:val="ro-RO" w:eastAsia="ro-RO"/>
        </w:rPr>
        <w:t>Tabelul VIII</w:t>
      </w:r>
      <w:r w:rsidR="00E705E8" w:rsidRPr="007A2569">
        <w:rPr>
          <w:rFonts w:ascii="Arial" w:eastAsiaTheme="minorEastAsia" w:hAnsi="Arial" w:cs="Arial"/>
          <w:lang w:val="ro-RO" w:eastAsia="ro-RO"/>
        </w:rPr>
        <w:t xml:space="preserve">.1.3.3. </w:t>
      </w:r>
      <w:r w:rsidR="001D365F" w:rsidRPr="007A2569">
        <w:rPr>
          <w:rFonts w:ascii="Arial" w:eastAsiaTheme="minorEastAsia" w:hAnsi="Arial" w:cs="Arial"/>
          <w:lang w:val="ro-RO" w:eastAsia="ro-RO"/>
        </w:rPr>
        <w:t>Calitatea</w:t>
      </w:r>
      <w:r w:rsidR="00E705E8" w:rsidRPr="007A2569">
        <w:rPr>
          <w:rFonts w:ascii="Arial" w:eastAsiaTheme="minorEastAsia" w:hAnsi="Arial" w:cs="Arial"/>
          <w:lang w:val="ro-RO" w:eastAsia="ro-RO"/>
        </w:rPr>
        <w:t xml:space="preserve"> chimic</w:t>
      </w:r>
      <w:r w:rsidR="001D365F" w:rsidRPr="007A2569">
        <w:rPr>
          <w:rFonts w:ascii="Arial" w:eastAsiaTheme="minorEastAsia" w:hAnsi="Arial" w:cs="Arial"/>
          <w:lang w:val="ro-RO" w:eastAsia="ro-RO"/>
        </w:rPr>
        <w:t>ă</w:t>
      </w:r>
      <w:r w:rsidR="00E705E8" w:rsidRPr="007A2569">
        <w:rPr>
          <w:rFonts w:ascii="Arial" w:eastAsiaTheme="minorEastAsia" w:hAnsi="Arial" w:cs="Arial"/>
          <w:lang w:val="ro-RO" w:eastAsia="ro-RO"/>
        </w:rPr>
        <w:t xml:space="preserve"> şi bacteriologic</w:t>
      </w:r>
      <w:r w:rsidR="001D365F" w:rsidRPr="007A2569">
        <w:rPr>
          <w:rFonts w:ascii="Arial" w:eastAsiaTheme="minorEastAsia" w:hAnsi="Arial" w:cs="Arial"/>
          <w:lang w:val="ro-RO" w:eastAsia="ro-RO"/>
        </w:rPr>
        <w:t>ă a</w:t>
      </w:r>
      <w:r w:rsidR="00E705E8" w:rsidRPr="007A2569">
        <w:rPr>
          <w:rFonts w:ascii="Arial" w:eastAsiaTheme="minorEastAsia" w:hAnsi="Arial" w:cs="Arial"/>
          <w:lang w:val="ro-RO" w:eastAsia="ro-RO"/>
        </w:rPr>
        <w:t xml:space="preserve"> apei potabile în jud. Suceava </w:t>
      </w:r>
    </w:p>
    <w:p w:rsidR="00E705E8" w:rsidRPr="007A2569" w:rsidRDefault="00E705E8" w:rsidP="00CC1FB9">
      <w:pPr>
        <w:widowControl w:val="0"/>
        <w:spacing w:after="0" w:line="240" w:lineRule="auto"/>
        <w:jc w:val="center"/>
        <w:rPr>
          <w:rFonts w:ascii="Arial" w:eastAsiaTheme="minorEastAsia" w:hAnsi="Arial" w:cs="Arial"/>
          <w:lang w:val="ro-RO" w:eastAsia="ro-RO"/>
        </w:rPr>
      </w:pPr>
      <w:r w:rsidRPr="007A2569">
        <w:rPr>
          <w:rFonts w:ascii="Arial" w:eastAsiaTheme="minorEastAsia" w:hAnsi="Arial" w:cs="Arial"/>
          <w:lang w:val="ro-RO" w:eastAsia="ro-RO"/>
        </w:rPr>
        <w:t xml:space="preserve">în anul </w:t>
      </w:r>
      <w:r w:rsidR="00E17A81" w:rsidRPr="007A2569">
        <w:rPr>
          <w:rFonts w:ascii="Arial" w:eastAsiaTheme="minorEastAsia" w:hAnsi="Arial" w:cs="Arial"/>
          <w:lang w:val="ro-RO" w:eastAsia="ro-RO"/>
        </w:rPr>
        <w:t>2017</w:t>
      </w:r>
      <w:r w:rsidR="004E7258" w:rsidRPr="007A2569">
        <w:rPr>
          <w:rFonts w:ascii="Arial" w:eastAsiaTheme="minorEastAsia" w:hAnsi="Arial" w:cs="Arial"/>
          <w:lang w:val="ro-RO" w:eastAsia="ro-RO"/>
        </w:rPr>
        <w:t xml:space="preserve"> (</w:t>
      </w:r>
      <w:r w:rsidR="004E7258" w:rsidRPr="007A2569">
        <w:rPr>
          <w:rFonts w:ascii="Arial" w:eastAsiaTheme="minorEastAsia" w:hAnsi="Arial" w:cs="Arial"/>
          <w:i/>
          <w:lang w:val="ro-RO" w:eastAsia="ro-RO"/>
        </w:rPr>
        <w:t xml:space="preserve">Sursa: Direcţia de Sănătate Publică </w:t>
      </w:r>
      <w:r w:rsidR="009C3AF6" w:rsidRPr="007A2569">
        <w:rPr>
          <w:rFonts w:ascii="Arial" w:eastAsiaTheme="minorEastAsia" w:hAnsi="Arial" w:cs="Arial"/>
          <w:i/>
          <w:lang w:val="ro-RO" w:eastAsia="ro-RO"/>
        </w:rPr>
        <w:t xml:space="preserve">Judeţeană </w:t>
      </w:r>
      <w:r w:rsidR="004E7258" w:rsidRPr="007A2569">
        <w:rPr>
          <w:rFonts w:ascii="Arial" w:eastAsiaTheme="minorEastAsia" w:hAnsi="Arial" w:cs="Arial"/>
          <w:i/>
          <w:lang w:val="ro-RO" w:eastAsia="ro-RO"/>
        </w:rPr>
        <w:t>Suceava</w:t>
      </w:r>
      <w:r w:rsidR="004E7258" w:rsidRPr="007A2569">
        <w:rPr>
          <w:rFonts w:ascii="Arial" w:eastAsiaTheme="minorEastAsia" w:hAnsi="Arial" w:cs="Arial"/>
          <w:lang w:val="ro-RO" w:eastAsia="ro-RO"/>
        </w:rPr>
        <w:t>)</w:t>
      </w:r>
    </w:p>
    <w:p w:rsidR="00805742" w:rsidRPr="00A70F1C" w:rsidRDefault="00805742" w:rsidP="00CC1FB9">
      <w:pPr>
        <w:widowControl w:val="0"/>
        <w:spacing w:after="0" w:line="240" w:lineRule="auto"/>
        <w:jc w:val="center"/>
        <w:rPr>
          <w:rFonts w:ascii="Arial" w:eastAsiaTheme="minorEastAsia" w:hAnsi="Arial" w:cs="Arial"/>
          <w:color w:val="FF0000"/>
          <w:sz w:val="10"/>
          <w:szCs w:val="10"/>
          <w:highlight w:val="yellow"/>
          <w:lang w:val="ro-RO" w:eastAsia="ro-RO"/>
        </w:rPr>
      </w:pPr>
    </w:p>
    <w:tbl>
      <w:tblPr>
        <w:tblStyle w:val="TableGrid"/>
        <w:tblW w:w="10065" w:type="dxa"/>
        <w:jc w:val="center"/>
        <w:tblInd w:w="-227" w:type="dxa"/>
        <w:tblLayout w:type="fixed"/>
        <w:tblCellMar>
          <w:left w:w="57" w:type="dxa"/>
          <w:right w:w="57" w:type="dxa"/>
        </w:tblCellMar>
        <w:tblLook w:val="01E0"/>
      </w:tblPr>
      <w:tblGrid>
        <w:gridCol w:w="2836"/>
        <w:gridCol w:w="708"/>
        <w:gridCol w:w="1070"/>
        <w:gridCol w:w="699"/>
        <w:gridCol w:w="1118"/>
        <w:gridCol w:w="750"/>
        <w:gridCol w:w="1118"/>
        <w:gridCol w:w="632"/>
        <w:gridCol w:w="1134"/>
      </w:tblGrid>
      <w:tr w:rsidR="009C3AF6" w:rsidRPr="00A70F1C" w:rsidTr="0067400B">
        <w:trPr>
          <w:trHeight w:val="133"/>
          <w:tblHeader/>
          <w:jc w:val="center"/>
        </w:trPr>
        <w:tc>
          <w:tcPr>
            <w:tcW w:w="2836" w:type="dxa"/>
            <w:vMerge w:val="restart"/>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Locul recoltării</w:t>
            </w:r>
          </w:p>
        </w:tc>
        <w:tc>
          <w:tcPr>
            <w:tcW w:w="3595" w:type="dxa"/>
            <w:gridSpan w:val="4"/>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Determinări chimice</w:t>
            </w:r>
          </w:p>
        </w:tc>
        <w:tc>
          <w:tcPr>
            <w:tcW w:w="3634" w:type="dxa"/>
            <w:gridSpan w:val="4"/>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Determinări microbiologice</w:t>
            </w:r>
          </w:p>
        </w:tc>
      </w:tr>
      <w:tr w:rsidR="009C3AF6" w:rsidRPr="00A70F1C" w:rsidTr="0067400B">
        <w:trPr>
          <w:trHeight w:val="652"/>
          <w:tblHeader/>
          <w:jc w:val="center"/>
        </w:trPr>
        <w:tc>
          <w:tcPr>
            <w:tcW w:w="2836" w:type="dxa"/>
            <w:vMerge/>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p>
        </w:tc>
        <w:tc>
          <w:tcPr>
            <w:tcW w:w="708"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 xml:space="preserve">probe </w:t>
            </w:r>
          </w:p>
        </w:tc>
        <w:tc>
          <w:tcPr>
            <w:tcW w:w="1070"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00805742" w:rsidRPr="007A2569">
              <w:rPr>
                <w:rFonts w:ascii="Arial" w:eastAsiaTheme="minorEastAsia" w:hAnsi="Arial" w:cs="Arial"/>
                <w:b/>
                <w:sz w:val="20"/>
                <w:szCs w:val="20"/>
                <w:lang w:val="ro-RO" w:eastAsia="ro-RO"/>
              </w:rPr>
              <w:t xml:space="preserve"> </w:t>
            </w:r>
            <w:r w:rsidRPr="007A2569">
              <w:rPr>
                <w:rFonts w:ascii="Arial" w:eastAsiaTheme="minorEastAsia" w:hAnsi="Arial" w:cs="Arial"/>
                <w:b/>
                <w:sz w:val="20"/>
                <w:szCs w:val="20"/>
                <w:lang w:val="ro-RO" w:eastAsia="ro-RO"/>
              </w:rPr>
              <w:t>probe</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necoresp</w:t>
            </w:r>
            <w:r w:rsidR="001A533F">
              <w:rPr>
                <w:rFonts w:ascii="Arial" w:eastAsiaTheme="minorEastAsia" w:hAnsi="Arial" w:cs="Arial"/>
                <w:b/>
                <w:sz w:val="20"/>
                <w:szCs w:val="20"/>
                <w:lang w:val="ro-RO" w:eastAsia="ro-RO"/>
              </w:rPr>
              <w:t>.</w:t>
            </w:r>
            <w:r w:rsidR="00251A91" w:rsidRPr="007A2569">
              <w:rPr>
                <w:rFonts w:ascii="Arial" w:eastAsiaTheme="minorEastAsia" w:hAnsi="Arial" w:cs="Arial"/>
                <w:b/>
                <w:sz w:val="20"/>
                <w:szCs w:val="20"/>
                <w:lang w:val="ro-RO" w:eastAsia="ro-RO"/>
              </w:rPr>
              <w:t xml:space="preserve"> </w:t>
            </w:r>
          </w:p>
          <w:p w:rsidR="009C3AF6" w:rsidRPr="007A2569" w:rsidRDefault="00F1211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699"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Pr="007A2569">
              <w:rPr>
                <w:rFonts w:ascii="Arial" w:eastAsiaTheme="minorEastAsia" w:hAnsi="Arial" w:cs="Arial"/>
                <w:b/>
                <w:sz w:val="20"/>
                <w:szCs w:val="20"/>
                <w:lang w:val="ro-RO" w:eastAsia="ro-RO"/>
              </w:rPr>
              <w:t xml:space="preserve"> det</w:t>
            </w:r>
            <w:r w:rsidR="001A533F">
              <w:rPr>
                <w:rFonts w:ascii="Arial" w:eastAsiaTheme="minorEastAsia" w:hAnsi="Arial" w:cs="Arial"/>
                <w:b/>
                <w:sz w:val="20"/>
                <w:szCs w:val="20"/>
                <w:lang w:val="ro-RO" w:eastAsia="ro-RO"/>
              </w:rPr>
              <w:t>.</w:t>
            </w:r>
            <w:r w:rsidR="00251A91" w:rsidRPr="007A2569">
              <w:rPr>
                <w:rFonts w:ascii="Arial" w:eastAsiaTheme="minorEastAsia" w:hAnsi="Arial" w:cs="Arial"/>
                <w:b/>
                <w:sz w:val="20"/>
                <w:szCs w:val="20"/>
                <w:lang w:val="ro-RO" w:eastAsia="ro-RO"/>
              </w:rPr>
              <w:t xml:space="preserve"> chim</w:t>
            </w:r>
            <w:r w:rsidR="001A533F">
              <w:rPr>
                <w:rFonts w:ascii="Arial" w:eastAsiaTheme="minorEastAsia" w:hAnsi="Arial" w:cs="Arial"/>
                <w:b/>
                <w:sz w:val="20"/>
                <w:szCs w:val="20"/>
                <w:lang w:val="ro-RO" w:eastAsia="ro-RO"/>
              </w:rPr>
              <w:t>.</w:t>
            </w:r>
          </w:p>
        </w:tc>
        <w:tc>
          <w:tcPr>
            <w:tcW w:w="1118"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Pr="007A2569">
              <w:rPr>
                <w:rFonts w:ascii="Arial" w:eastAsiaTheme="minorEastAsia" w:hAnsi="Arial" w:cs="Arial"/>
                <w:b/>
                <w:sz w:val="20"/>
                <w:szCs w:val="20"/>
                <w:lang w:val="ro-RO" w:eastAsia="ro-RO"/>
              </w:rPr>
              <w:t xml:space="preserve"> det</w:t>
            </w:r>
            <w:r w:rsidR="001A533F">
              <w:rPr>
                <w:rFonts w:ascii="Arial" w:eastAsiaTheme="minorEastAsia" w:hAnsi="Arial" w:cs="Arial"/>
                <w:b/>
                <w:sz w:val="20"/>
                <w:szCs w:val="20"/>
                <w:lang w:val="ro-RO" w:eastAsia="ro-RO"/>
              </w:rPr>
              <w:t>,</w:t>
            </w:r>
            <w:r w:rsidR="00251A91" w:rsidRPr="007A2569">
              <w:rPr>
                <w:rFonts w:ascii="Arial" w:eastAsiaTheme="minorEastAsia" w:hAnsi="Arial" w:cs="Arial"/>
                <w:b/>
                <w:sz w:val="20"/>
                <w:szCs w:val="20"/>
                <w:lang w:val="ro-RO" w:eastAsia="ro-RO"/>
              </w:rPr>
              <w:t xml:space="preserve"> chimice</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necoresp</w:t>
            </w:r>
            <w:r w:rsidR="001A533F">
              <w:rPr>
                <w:rFonts w:ascii="Arial" w:eastAsiaTheme="minorEastAsia" w:hAnsi="Arial" w:cs="Arial"/>
                <w:b/>
                <w:sz w:val="20"/>
                <w:szCs w:val="20"/>
                <w:lang w:val="ro-RO" w:eastAsia="ro-RO"/>
              </w:rPr>
              <w:t>.</w:t>
            </w:r>
          </w:p>
        </w:tc>
        <w:tc>
          <w:tcPr>
            <w:tcW w:w="750"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probe</w:t>
            </w:r>
          </w:p>
        </w:tc>
        <w:tc>
          <w:tcPr>
            <w:tcW w:w="1118"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00805742" w:rsidRPr="007A2569">
              <w:rPr>
                <w:rFonts w:ascii="Arial" w:eastAsiaTheme="minorEastAsia" w:hAnsi="Arial" w:cs="Arial"/>
                <w:b/>
                <w:sz w:val="20"/>
                <w:szCs w:val="20"/>
                <w:lang w:val="ro-RO" w:eastAsia="ro-RO"/>
              </w:rPr>
              <w:t xml:space="preserve"> </w:t>
            </w:r>
            <w:r w:rsidRPr="007A2569">
              <w:rPr>
                <w:rFonts w:ascii="Arial" w:eastAsiaTheme="minorEastAsia" w:hAnsi="Arial" w:cs="Arial"/>
                <w:b/>
                <w:sz w:val="20"/>
                <w:szCs w:val="20"/>
                <w:lang w:val="ro-RO" w:eastAsia="ro-RO"/>
              </w:rPr>
              <w:t>probe</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necoresp</w:t>
            </w:r>
            <w:r w:rsidR="001A533F">
              <w:rPr>
                <w:rFonts w:ascii="Arial" w:eastAsiaTheme="minorEastAsia" w:hAnsi="Arial" w:cs="Arial"/>
                <w:b/>
                <w:sz w:val="20"/>
                <w:szCs w:val="20"/>
                <w:lang w:val="ro-RO" w:eastAsia="ro-RO"/>
              </w:rPr>
              <w:t>.</w:t>
            </w:r>
          </w:p>
          <w:p w:rsidR="009C3AF6" w:rsidRPr="007A2569" w:rsidRDefault="00F1211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632"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Pr="007A2569">
              <w:rPr>
                <w:rFonts w:ascii="Arial" w:eastAsiaTheme="minorEastAsia" w:hAnsi="Arial" w:cs="Arial"/>
                <w:b/>
                <w:sz w:val="20"/>
                <w:szCs w:val="20"/>
                <w:lang w:val="ro-RO" w:eastAsia="ro-RO"/>
              </w:rPr>
              <w:t xml:space="preserve"> det</w:t>
            </w:r>
            <w:r w:rsidR="001A533F">
              <w:rPr>
                <w:rFonts w:ascii="Arial" w:eastAsiaTheme="minorEastAsia" w:hAnsi="Arial" w:cs="Arial"/>
                <w:b/>
                <w:sz w:val="20"/>
                <w:szCs w:val="20"/>
                <w:lang w:val="ro-RO" w:eastAsia="ro-RO"/>
              </w:rPr>
              <w:t>.</w:t>
            </w:r>
            <w:r w:rsidR="00963E90" w:rsidRPr="007A2569">
              <w:rPr>
                <w:rFonts w:ascii="Arial" w:eastAsiaTheme="minorEastAsia" w:hAnsi="Arial" w:cs="Arial"/>
                <w:b/>
                <w:sz w:val="20"/>
                <w:szCs w:val="20"/>
                <w:lang w:val="ro-RO" w:eastAsia="ro-RO"/>
              </w:rPr>
              <w:t xml:space="preserve"> </w:t>
            </w:r>
          </w:p>
        </w:tc>
        <w:tc>
          <w:tcPr>
            <w:tcW w:w="1134" w:type="dxa"/>
            <w:shd w:val="clear" w:color="auto" w:fill="FFFF99"/>
          </w:tcPr>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Nr</w:t>
            </w:r>
            <w:r w:rsidR="001A533F">
              <w:rPr>
                <w:rFonts w:ascii="Arial" w:eastAsiaTheme="minorEastAsia" w:hAnsi="Arial" w:cs="Arial"/>
                <w:b/>
                <w:sz w:val="20"/>
                <w:szCs w:val="20"/>
                <w:lang w:val="ro-RO" w:eastAsia="ro-RO"/>
              </w:rPr>
              <w:t>.</w:t>
            </w:r>
            <w:r w:rsidR="00805742" w:rsidRPr="007A2569">
              <w:rPr>
                <w:rFonts w:ascii="Arial" w:eastAsiaTheme="minorEastAsia" w:hAnsi="Arial" w:cs="Arial"/>
                <w:b/>
                <w:sz w:val="20"/>
                <w:szCs w:val="20"/>
                <w:lang w:val="ro-RO" w:eastAsia="ro-RO"/>
              </w:rPr>
              <w:t xml:space="preserve"> </w:t>
            </w:r>
            <w:r w:rsidRPr="007A2569">
              <w:rPr>
                <w:rFonts w:ascii="Arial" w:eastAsiaTheme="minorEastAsia" w:hAnsi="Arial" w:cs="Arial"/>
                <w:b/>
                <w:sz w:val="20"/>
                <w:szCs w:val="20"/>
                <w:lang w:val="ro-RO" w:eastAsia="ro-RO"/>
              </w:rPr>
              <w:t>det</w:t>
            </w:r>
            <w:r w:rsidR="001A533F">
              <w:rPr>
                <w:rFonts w:ascii="Arial" w:eastAsiaTheme="minorEastAsia" w:hAnsi="Arial" w:cs="Arial"/>
                <w:b/>
                <w:sz w:val="20"/>
                <w:szCs w:val="20"/>
                <w:lang w:val="ro-RO" w:eastAsia="ro-RO"/>
              </w:rPr>
              <w:t>.</w:t>
            </w:r>
            <w:r w:rsidR="00963E90" w:rsidRPr="007A2569">
              <w:rPr>
                <w:rFonts w:ascii="Arial" w:eastAsiaTheme="minorEastAsia" w:hAnsi="Arial" w:cs="Arial"/>
                <w:b/>
                <w:sz w:val="20"/>
                <w:szCs w:val="20"/>
                <w:lang w:val="ro-RO" w:eastAsia="ro-RO"/>
              </w:rPr>
              <w:t xml:space="preserve"> microbiol</w:t>
            </w:r>
            <w:r w:rsidR="001A533F">
              <w:rPr>
                <w:rFonts w:ascii="Arial" w:eastAsiaTheme="minorEastAsia" w:hAnsi="Arial" w:cs="Arial"/>
                <w:b/>
                <w:sz w:val="20"/>
                <w:szCs w:val="20"/>
                <w:lang w:val="ro-RO" w:eastAsia="ro-RO"/>
              </w:rPr>
              <w:t>.</w:t>
            </w:r>
          </w:p>
          <w:p w:rsidR="009C3AF6" w:rsidRPr="007A2569" w:rsidRDefault="009C3AF6"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7A2569">
              <w:rPr>
                <w:rFonts w:ascii="Arial" w:eastAsiaTheme="minorEastAsia" w:hAnsi="Arial" w:cs="Arial"/>
                <w:b/>
                <w:sz w:val="20"/>
                <w:szCs w:val="20"/>
                <w:lang w:val="ro-RO" w:eastAsia="ro-RO"/>
              </w:rPr>
              <w:t>necoresp</w:t>
            </w:r>
            <w:r w:rsidR="001A533F">
              <w:rPr>
                <w:rFonts w:ascii="Arial" w:eastAsiaTheme="minorEastAsia" w:hAnsi="Arial" w:cs="Arial"/>
                <w:b/>
                <w:sz w:val="20"/>
                <w:szCs w:val="20"/>
                <w:lang w:val="ro-RO" w:eastAsia="ro-RO"/>
              </w:rPr>
              <w:t>.</w:t>
            </w:r>
          </w:p>
        </w:tc>
      </w:tr>
      <w:tr w:rsidR="008E1DDC" w:rsidRPr="00A70F1C" w:rsidTr="0067400B">
        <w:trPr>
          <w:trHeight w:val="188"/>
          <w:jc w:val="center"/>
        </w:trPr>
        <w:tc>
          <w:tcPr>
            <w:tcW w:w="2836" w:type="dxa"/>
          </w:tcPr>
          <w:p w:rsidR="008E1DDC" w:rsidRPr="007A2569" w:rsidRDefault="008E1DDC" w:rsidP="00CC1FB9">
            <w:pPr>
              <w:widowControl w:val="0"/>
              <w:spacing w:after="0" w:line="240" w:lineRule="auto"/>
              <w:ind w:firstLine="57"/>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pompe Berchişeşti</w:t>
            </w:r>
            <w:r w:rsidR="0067400B">
              <w:rPr>
                <w:rFonts w:ascii="Arial" w:eastAsiaTheme="minorEastAsia" w:hAnsi="Arial" w:cs="Arial"/>
                <w:sz w:val="20"/>
                <w:szCs w:val="20"/>
                <w:lang w:val="ro-RO" w:eastAsia="ro-RO"/>
              </w:rPr>
              <w:t xml:space="preserve"> </w:t>
            </w:r>
            <w:r w:rsidRPr="007A2569">
              <w:rPr>
                <w:rFonts w:ascii="Arial" w:eastAsiaTheme="minorEastAsia" w:hAnsi="Arial" w:cs="Arial"/>
                <w:sz w:val="20"/>
                <w:szCs w:val="20"/>
                <w:lang w:val="ro-RO" w:eastAsia="ro-RO"/>
              </w:rPr>
              <w:t>+ Uzina de apă Mihoveni + reţea mun</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 xml:space="preserve"> Suceava</w:t>
            </w:r>
          </w:p>
        </w:tc>
        <w:tc>
          <w:tcPr>
            <w:tcW w:w="708"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354</w:t>
            </w:r>
          </w:p>
        </w:tc>
        <w:tc>
          <w:tcPr>
            <w:tcW w:w="1070"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82%</w:t>
            </w:r>
          </w:p>
        </w:tc>
        <w:tc>
          <w:tcPr>
            <w:tcW w:w="699"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460</w:t>
            </w:r>
          </w:p>
        </w:tc>
        <w:tc>
          <w:tcPr>
            <w:tcW w:w="1118"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tc>
        <w:tc>
          <w:tcPr>
            <w:tcW w:w="750"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354</w:t>
            </w:r>
          </w:p>
        </w:tc>
        <w:tc>
          <w:tcPr>
            <w:tcW w:w="1118"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878</w:t>
            </w:r>
          </w:p>
        </w:tc>
        <w:tc>
          <w:tcPr>
            <w:tcW w:w="1134" w:type="dxa"/>
          </w:tcPr>
          <w:p w:rsidR="008E1DDC" w:rsidRPr="007A2569" w:rsidRDefault="008E1DDC" w:rsidP="00CC1FB9">
            <w:pPr>
              <w:widowControl w:val="0"/>
              <w:spacing w:after="0" w:line="240" w:lineRule="auto"/>
              <w:ind w:firstLine="57"/>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pompe Voroneţ + reţea oraş Gura Humorului</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36</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pompe Măneuţi + reţea mun</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 xml:space="preserve"> Rădăuţi</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125</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w:t>
            </w:r>
            <w:r w:rsidR="00F12113">
              <w:rPr>
                <w:rFonts w:ascii="Arial" w:eastAsiaTheme="minorEastAsia" w:hAnsi="Arial" w:cs="Arial"/>
                <w:sz w:val="20"/>
                <w:szCs w:val="20"/>
                <w:lang w:val="ro-RO" w:eastAsia="ro-RO"/>
              </w:rPr>
              <w:t>0</w:t>
            </w:r>
            <w:r w:rsidRPr="007A2569">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168</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389</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trHeight w:val="219"/>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Uzina de apă Roşu + reţea mun</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 xml:space="preserve"> Vatra Dornei</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15</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68%</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96%</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137</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pompe Aeroport şi Sadova + reţea C-lung Mold</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107</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47%</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107</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w:t>
            </w:r>
            <w:r w:rsidR="00F12113">
              <w:rPr>
                <w:rFonts w:ascii="Arial" w:eastAsiaTheme="minorEastAsia" w:hAnsi="Arial" w:cs="Arial"/>
                <w:sz w:val="20"/>
                <w:szCs w:val="20"/>
                <w:lang w:val="ro-RO" w:eastAsia="ro-RO"/>
              </w:rPr>
              <w:t>0</w:t>
            </w:r>
            <w:r w:rsidRPr="007A2569">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278</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Uzina de apă Baia I,II, III + reţea mun</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 xml:space="preserve"> Fălticeni</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125</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w:t>
            </w:r>
            <w:r w:rsidR="00F12113">
              <w:rPr>
                <w:rFonts w:ascii="Arial" w:eastAsiaTheme="minorEastAsia" w:hAnsi="Arial" w:cs="Arial"/>
                <w:sz w:val="20"/>
                <w:szCs w:val="20"/>
                <w:lang w:val="ro-RO" w:eastAsia="ro-RO"/>
              </w:rPr>
              <w:t>0</w:t>
            </w:r>
            <w:r w:rsidRPr="007A2569">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193</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w:t>
            </w:r>
            <w:r w:rsidR="00F12113">
              <w:rPr>
                <w:rFonts w:ascii="Arial" w:eastAsiaTheme="minorEastAsia" w:hAnsi="Arial" w:cs="Arial"/>
                <w:sz w:val="20"/>
                <w:szCs w:val="20"/>
                <w:lang w:val="ro-RO" w:eastAsia="ro-RO"/>
              </w:rPr>
              <w:t>0</w:t>
            </w:r>
            <w:r w:rsidRPr="007A2569">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328</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Uzina de apă Siret + reţea oraş Siret</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53</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33%</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70</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Acumulare Solca + reţea oraş Solca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68</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Statia de apa Vicovu de Sus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pompe Frasin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20</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68%</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69</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apă Salcea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58</w:t>
            </w:r>
            <w:r w:rsidR="00F12113">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48</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58</w:t>
            </w:r>
            <w:r w:rsidR="00F12113">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74</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Uzina de apă Ostra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17</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24</w:t>
            </w:r>
            <w:r w:rsidR="00F12113">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69</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apă Stulpicani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43</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apă Dumbrăveni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58%</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19</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35%</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75</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apă Vereşti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23</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33%</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47</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72</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23</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Staţia de apă Siminicea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67%</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74</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 xml:space="preserve">Staţia de apă Păltinoasa + reţea </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89%</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69</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Liteni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36</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19</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44%</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64</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55%</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92</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Dolhasca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36</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75</w:t>
            </w:r>
            <w:r w:rsidR="00F12113">
              <w:rPr>
                <w:rFonts w:ascii="Arial" w:eastAsiaTheme="minorEastAsia" w:hAnsi="Arial" w:cs="Arial"/>
                <w:sz w:val="20"/>
                <w:szCs w:val="20"/>
                <w:lang w:val="ro-RO" w:eastAsia="ro-RO"/>
              </w:rPr>
              <w:t>,00</w:t>
            </w:r>
            <w:r w:rsidRPr="007A2569">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35</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16%</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Drăguşeni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38</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05%</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38</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63%</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106</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Forăşti</w:t>
            </w:r>
          </w:p>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27</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11%</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67400B"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 xml:space="preserve">Staţie de apă Boroaia </w:t>
            </w:r>
          </w:p>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83</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Voitinel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29</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89%</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7</w:t>
            </w:r>
            <w:r w:rsidR="00F12113">
              <w:rPr>
                <w:rFonts w:ascii="Arial" w:eastAsiaTheme="minorEastAsia" w:hAnsi="Arial" w:cs="Arial"/>
                <w:sz w:val="20"/>
                <w:szCs w:val="20"/>
                <w:lang w:val="ro-RO" w:eastAsia="ro-RO"/>
              </w:rPr>
              <w:t>0</w:t>
            </w:r>
            <w:r w:rsidRPr="007A2569">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63</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Iacobeni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12%</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22</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58%</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77</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r>
      <w:tr w:rsidR="008E1DDC" w:rsidRPr="00A70F1C" w:rsidTr="0067400B">
        <w:trPr>
          <w:jc w:val="center"/>
        </w:trPr>
        <w:tc>
          <w:tcPr>
            <w:tcW w:w="2836" w:type="dxa"/>
          </w:tcPr>
          <w:p w:rsidR="008E1DDC" w:rsidRPr="007A2569" w:rsidRDefault="0067400B" w:rsidP="00CC1FB9">
            <w:pPr>
              <w:widowControl w:val="0"/>
              <w:spacing w:after="0" w:line="240" w:lineRule="auto"/>
              <w:rPr>
                <w:rFonts w:ascii="Arial" w:eastAsiaTheme="minorEastAsia" w:hAnsi="Arial" w:cs="Arial"/>
                <w:sz w:val="20"/>
                <w:szCs w:val="20"/>
                <w:lang w:val="ro-RO" w:eastAsia="ro-RO"/>
              </w:rPr>
            </w:pPr>
            <w:r>
              <w:rPr>
                <w:rFonts w:ascii="Arial" w:eastAsiaTheme="minorEastAsia" w:hAnsi="Arial" w:cs="Arial"/>
                <w:sz w:val="20"/>
                <w:szCs w:val="20"/>
                <w:lang w:val="ro-RO" w:eastAsia="ro-RO"/>
              </w:rPr>
              <w:t xml:space="preserve">Staţie de apă Granicesti + </w:t>
            </w:r>
            <w:r w:rsidR="008E1DDC" w:rsidRPr="007A2569">
              <w:rPr>
                <w:rFonts w:ascii="Arial" w:eastAsiaTheme="minorEastAsia" w:hAnsi="Arial" w:cs="Arial"/>
                <w:sz w:val="20"/>
                <w:szCs w:val="20"/>
                <w:lang w:val="ro-RO" w:eastAsia="ro-RO"/>
              </w:rPr>
              <w:t>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66</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lastRenderedPageBreak/>
              <w:t>Statia de apa Bilca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12%</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22%</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74</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Bogdanesti + reţea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r w:rsidR="00F12113">
              <w:rPr>
                <w:rFonts w:ascii="Arial" w:eastAsiaTheme="minorEastAsia" w:hAnsi="Arial" w:cs="Arial"/>
                <w:sz w:val="20"/>
                <w:szCs w:val="20"/>
                <w:lang w:val="ro-RO" w:eastAsia="ro-RO"/>
              </w:rPr>
              <w:t>,00</w:t>
            </w:r>
            <w:r w:rsidRPr="007A2569">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64</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87%</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r>
      <w:tr w:rsidR="008E1DDC" w:rsidRPr="00A70F1C" w:rsidTr="0067400B">
        <w:trPr>
          <w:trHeight w:val="175"/>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Staţie de apă Retea Vama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37</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24</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32%</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37</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24</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32%</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94</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18</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Brtosteni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18</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75%</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33</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15</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15%</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87</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17</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Dorna Candreni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17</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53</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12%</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76</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23</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Fundu Moldovei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32</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25%</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62</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33</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39</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39%</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86</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28</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Capu Campului +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46</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r w:rsidR="00F12113">
              <w:rPr>
                <w:rFonts w:ascii="Arial" w:eastAsiaTheme="minorEastAsia" w:hAnsi="Arial" w:cs="Arial"/>
                <w:sz w:val="20"/>
                <w:szCs w:val="20"/>
                <w:lang w:val="ro-RO" w:eastAsia="ro-RO"/>
              </w:rPr>
              <w:t>,00</w:t>
            </w:r>
            <w:r w:rsidRPr="007A2569">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71</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r>
      <w:tr w:rsidR="008E1DDC" w:rsidRPr="00A70F1C" w:rsidTr="0067400B">
        <w:trPr>
          <w:trHeight w:val="172"/>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Pojorita+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45</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105</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47</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34</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04%</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133</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34</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Bosanci+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9</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r w:rsidR="00F12113">
              <w:rPr>
                <w:rFonts w:ascii="Arial" w:eastAsiaTheme="minorEastAsia" w:hAnsi="Arial" w:cs="Arial"/>
                <w:sz w:val="20"/>
                <w:szCs w:val="20"/>
                <w:lang w:val="ro-RO" w:eastAsia="ro-RO"/>
              </w:rPr>
              <w:t>,00</w:t>
            </w:r>
            <w:r w:rsidRPr="007A2569">
              <w:rPr>
                <w:rFonts w:ascii="Arial" w:eastAsiaTheme="minorEastAsia" w:hAnsi="Arial" w:cs="Arial"/>
                <w:sz w:val="20"/>
                <w:szCs w:val="20"/>
                <w:lang w:val="ro-RO" w:eastAsia="ro-RO"/>
              </w:rPr>
              <w:t>%</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12</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24</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77</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41%</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74</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37</w:t>
            </w:r>
          </w:p>
        </w:tc>
      </w:tr>
      <w:tr w:rsidR="008E1DDC" w:rsidRPr="00A70F1C" w:rsidTr="0067400B">
        <w:trPr>
          <w:jc w:val="center"/>
        </w:trPr>
        <w:tc>
          <w:tcPr>
            <w:tcW w:w="2836" w:type="dxa"/>
          </w:tcPr>
          <w:p w:rsidR="008E1DDC" w:rsidRPr="007A2569" w:rsidRDefault="008E1DDC"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Vadu Moldovei+ retea</w:t>
            </w:r>
          </w:p>
        </w:tc>
        <w:tc>
          <w:tcPr>
            <w:tcW w:w="70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07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16</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66%</w:t>
            </w:r>
          </w:p>
        </w:tc>
        <w:tc>
          <w:tcPr>
            <w:tcW w:w="699"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49</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5</w:t>
            </w:r>
          </w:p>
        </w:tc>
        <w:tc>
          <w:tcPr>
            <w:tcW w:w="750"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30</w:t>
            </w:r>
          </w:p>
        </w:tc>
        <w:tc>
          <w:tcPr>
            <w:tcW w:w="1118"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10</w:t>
            </w:r>
            <w:r w:rsidR="00F12113">
              <w:rPr>
                <w:rFonts w:ascii="Arial" w:eastAsiaTheme="minorEastAsia" w:hAnsi="Arial" w:cs="Arial"/>
                <w:sz w:val="20"/>
                <w:szCs w:val="20"/>
                <w:lang w:val="ro-RO" w:eastAsia="ro-RO"/>
              </w:rPr>
              <w:t>,00</w:t>
            </w:r>
            <w:r w:rsidRPr="007A2569">
              <w:rPr>
                <w:rFonts w:ascii="Arial" w:eastAsiaTheme="minorEastAsia" w:hAnsi="Arial" w:cs="Arial"/>
                <w:sz w:val="20"/>
                <w:szCs w:val="20"/>
                <w:lang w:val="ro-RO" w:eastAsia="ro-RO"/>
              </w:rPr>
              <w:t>%</w:t>
            </w:r>
          </w:p>
        </w:tc>
        <w:tc>
          <w:tcPr>
            <w:tcW w:w="632"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73</w:t>
            </w:r>
          </w:p>
        </w:tc>
        <w:tc>
          <w:tcPr>
            <w:tcW w:w="1134" w:type="dxa"/>
          </w:tcPr>
          <w:p w:rsidR="008E1DDC" w:rsidRPr="007A2569" w:rsidRDefault="008E1DDC"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w:t>
            </w:r>
          </w:p>
        </w:tc>
      </w:tr>
      <w:tr w:rsidR="000710E3" w:rsidRPr="00A70F1C" w:rsidTr="0067400B">
        <w:trPr>
          <w:jc w:val="center"/>
        </w:trPr>
        <w:tc>
          <w:tcPr>
            <w:tcW w:w="2836" w:type="dxa"/>
          </w:tcPr>
          <w:p w:rsidR="000710E3" w:rsidRPr="007A2569" w:rsidRDefault="000710E3" w:rsidP="00CC1FB9">
            <w:pPr>
              <w:widowControl w:val="0"/>
              <w:spacing w:after="0" w:line="240" w:lineRule="auto"/>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Statie de apa Brodina+ retea</w:t>
            </w:r>
          </w:p>
        </w:tc>
        <w:tc>
          <w:tcPr>
            <w:tcW w:w="708"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c>
          <w:tcPr>
            <w:tcW w:w="1070"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w:t>
            </w:r>
          </w:p>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28</w:t>
            </w:r>
            <w:r w:rsidR="001A533F">
              <w:rPr>
                <w:rFonts w:ascii="Arial" w:eastAsiaTheme="minorEastAsia" w:hAnsi="Arial" w:cs="Arial"/>
                <w:sz w:val="20"/>
                <w:szCs w:val="20"/>
                <w:lang w:val="ro-RO" w:eastAsia="ro-RO"/>
              </w:rPr>
              <w:t>,</w:t>
            </w:r>
            <w:r w:rsidRPr="007A2569">
              <w:rPr>
                <w:rFonts w:ascii="Arial" w:eastAsiaTheme="minorEastAsia" w:hAnsi="Arial" w:cs="Arial"/>
                <w:sz w:val="20"/>
                <w:szCs w:val="20"/>
                <w:lang w:val="ro-RO" w:eastAsia="ro-RO"/>
              </w:rPr>
              <w:t>57%</w:t>
            </w:r>
          </w:p>
        </w:tc>
        <w:tc>
          <w:tcPr>
            <w:tcW w:w="699"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c>
          <w:tcPr>
            <w:tcW w:w="1118"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4</w:t>
            </w:r>
          </w:p>
        </w:tc>
        <w:tc>
          <w:tcPr>
            <w:tcW w:w="750"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14</w:t>
            </w:r>
          </w:p>
        </w:tc>
        <w:tc>
          <w:tcPr>
            <w:tcW w:w="1118"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c>
          <w:tcPr>
            <w:tcW w:w="632"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31</w:t>
            </w:r>
          </w:p>
        </w:tc>
        <w:tc>
          <w:tcPr>
            <w:tcW w:w="1134" w:type="dxa"/>
          </w:tcPr>
          <w:p w:rsidR="000710E3" w:rsidRPr="007A2569" w:rsidRDefault="000710E3" w:rsidP="00CC1FB9">
            <w:pPr>
              <w:widowControl w:val="0"/>
              <w:spacing w:after="0" w:line="240" w:lineRule="auto"/>
              <w:jc w:val="center"/>
              <w:rPr>
                <w:rFonts w:ascii="Arial" w:eastAsiaTheme="minorEastAsia" w:hAnsi="Arial" w:cs="Arial"/>
                <w:sz w:val="20"/>
                <w:szCs w:val="20"/>
                <w:lang w:val="ro-RO" w:eastAsia="ro-RO"/>
              </w:rPr>
            </w:pPr>
            <w:r w:rsidRPr="007A2569">
              <w:rPr>
                <w:rFonts w:ascii="Arial" w:eastAsiaTheme="minorEastAsia" w:hAnsi="Arial" w:cs="Arial"/>
                <w:sz w:val="20"/>
                <w:szCs w:val="20"/>
                <w:lang w:val="ro-RO" w:eastAsia="ro-RO"/>
              </w:rPr>
              <w:t>0</w:t>
            </w:r>
          </w:p>
        </w:tc>
      </w:tr>
      <w:tr w:rsidR="000710E3" w:rsidRPr="00A70F1C" w:rsidTr="0067400B">
        <w:trPr>
          <w:jc w:val="center"/>
        </w:trPr>
        <w:tc>
          <w:tcPr>
            <w:tcW w:w="2836" w:type="dxa"/>
            <w:shd w:val="clear" w:color="auto" w:fill="FFFF99"/>
          </w:tcPr>
          <w:p w:rsidR="000710E3" w:rsidRPr="00A02A82" w:rsidRDefault="000710E3" w:rsidP="00CC1FB9">
            <w:pPr>
              <w:widowControl w:val="0"/>
              <w:spacing w:after="0" w:line="240" w:lineRule="auto"/>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Total judet</w:t>
            </w:r>
          </w:p>
        </w:tc>
        <w:tc>
          <w:tcPr>
            <w:tcW w:w="708"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1700</w:t>
            </w:r>
          </w:p>
        </w:tc>
        <w:tc>
          <w:tcPr>
            <w:tcW w:w="1070"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192</w:t>
            </w:r>
          </w:p>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11</w:t>
            </w:r>
            <w:r w:rsidR="001A533F">
              <w:rPr>
                <w:rFonts w:ascii="Arial" w:eastAsiaTheme="minorEastAsia" w:hAnsi="Arial" w:cs="Arial"/>
                <w:b/>
                <w:sz w:val="20"/>
                <w:szCs w:val="20"/>
                <w:lang w:val="ro-RO" w:eastAsia="ro-RO"/>
              </w:rPr>
              <w:t>,</w:t>
            </w:r>
            <w:r w:rsidRPr="00A02A82">
              <w:rPr>
                <w:rFonts w:ascii="Arial" w:eastAsiaTheme="minorEastAsia" w:hAnsi="Arial" w:cs="Arial"/>
                <w:b/>
                <w:sz w:val="20"/>
                <w:szCs w:val="20"/>
                <w:lang w:val="ro-RO" w:eastAsia="ro-RO"/>
              </w:rPr>
              <w:t>29%</w:t>
            </w:r>
          </w:p>
        </w:tc>
        <w:tc>
          <w:tcPr>
            <w:tcW w:w="699"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2669</w:t>
            </w:r>
          </w:p>
        </w:tc>
        <w:tc>
          <w:tcPr>
            <w:tcW w:w="1118"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208</w:t>
            </w:r>
          </w:p>
        </w:tc>
        <w:tc>
          <w:tcPr>
            <w:tcW w:w="750"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1762</w:t>
            </w:r>
          </w:p>
        </w:tc>
        <w:tc>
          <w:tcPr>
            <w:tcW w:w="1118"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152</w:t>
            </w:r>
          </w:p>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8</w:t>
            </w:r>
            <w:r w:rsidR="001A533F">
              <w:rPr>
                <w:rFonts w:ascii="Arial" w:eastAsiaTheme="minorEastAsia" w:hAnsi="Arial" w:cs="Arial"/>
                <w:b/>
                <w:sz w:val="20"/>
                <w:szCs w:val="20"/>
                <w:lang w:val="ro-RO" w:eastAsia="ro-RO"/>
              </w:rPr>
              <w:t>,</w:t>
            </w:r>
            <w:r w:rsidRPr="00A02A82">
              <w:rPr>
                <w:rFonts w:ascii="Arial" w:eastAsiaTheme="minorEastAsia" w:hAnsi="Arial" w:cs="Arial"/>
                <w:b/>
                <w:sz w:val="20"/>
                <w:szCs w:val="20"/>
                <w:lang w:val="ro-RO" w:eastAsia="ro-RO"/>
              </w:rPr>
              <w:t>62%</w:t>
            </w:r>
          </w:p>
        </w:tc>
        <w:tc>
          <w:tcPr>
            <w:tcW w:w="632"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4476</w:t>
            </w:r>
          </w:p>
        </w:tc>
        <w:tc>
          <w:tcPr>
            <w:tcW w:w="1134" w:type="dxa"/>
            <w:shd w:val="clear" w:color="auto" w:fill="FFFF99"/>
          </w:tcPr>
          <w:p w:rsidR="000710E3" w:rsidRPr="00A02A82" w:rsidRDefault="000710E3" w:rsidP="00CC1FB9">
            <w:pPr>
              <w:widowControl w:val="0"/>
              <w:spacing w:after="0" w:line="240" w:lineRule="auto"/>
              <w:jc w:val="center"/>
              <w:rPr>
                <w:rFonts w:ascii="Arial" w:eastAsiaTheme="minorEastAsia" w:hAnsi="Arial" w:cs="Arial"/>
                <w:b/>
                <w:sz w:val="20"/>
                <w:szCs w:val="20"/>
                <w:lang w:val="ro-RO" w:eastAsia="ro-RO"/>
              </w:rPr>
            </w:pPr>
            <w:r w:rsidRPr="00A02A82">
              <w:rPr>
                <w:rFonts w:ascii="Arial" w:eastAsiaTheme="minorEastAsia" w:hAnsi="Arial" w:cs="Arial"/>
                <w:b/>
                <w:sz w:val="20"/>
                <w:szCs w:val="20"/>
                <w:lang w:val="ro-RO" w:eastAsia="ro-RO"/>
              </w:rPr>
              <w:t>275</w:t>
            </w:r>
          </w:p>
        </w:tc>
      </w:tr>
    </w:tbl>
    <w:p w:rsidR="00FC7BCA" w:rsidRPr="00F12113" w:rsidRDefault="00FC7BCA" w:rsidP="00CC1FB9">
      <w:pPr>
        <w:widowControl w:val="0"/>
        <w:spacing w:after="0" w:line="240" w:lineRule="auto"/>
        <w:ind w:firstLine="720"/>
        <w:jc w:val="both"/>
        <w:rPr>
          <w:rFonts w:ascii="Arial" w:eastAsiaTheme="minorEastAsia" w:hAnsi="Arial" w:cs="Arial"/>
          <w:color w:val="FF0000"/>
          <w:sz w:val="6"/>
          <w:szCs w:val="6"/>
          <w:highlight w:val="yellow"/>
          <w:lang w:val="ro-RO" w:eastAsia="ro-RO"/>
        </w:rPr>
      </w:pPr>
    </w:p>
    <w:p w:rsidR="00E8193A" w:rsidRPr="00344C06" w:rsidRDefault="00E8193A" w:rsidP="00CC1FB9">
      <w:pPr>
        <w:widowControl w:val="0"/>
        <w:spacing w:after="0" w:line="240" w:lineRule="auto"/>
        <w:ind w:firstLine="720"/>
        <w:jc w:val="both"/>
        <w:rPr>
          <w:rFonts w:ascii="Arial" w:eastAsiaTheme="minorEastAsia" w:hAnsi="Arial" w:cs="Arial"/>
          <w:lang w:val="ro-RO" w:eastAsia="ro-RO"/>
        </w:rPr>
      </w:pPr>
      <w:r w:rsidRPr="00344C06">
        <w:rPr>
          <w:rFonts w:ascii="Arial" w:eastAsiaTheme="minorEastAsia" w:hAnsi="Arial" w:cs="Arial"/>
          <w:lang w:val="ro-RO" w:eastAsia="ro-RO"/>
        </w:rPr>
        <w:t>În urma înregistrării probelor neconforme</w:t>
      </w:r>
      <w:r w:rsidR="0078618A">
        <w:rPr>
          <w:rFonts w:ascii="Arial" w:eastAsiaTheme="minorEastAsia" w:hAnsi="Arial" w:cs="Arial"/>
          <w:lang w:val="ro-RO" w:eastAsia="ro-RO"/>
        </w:rPr>
        <w:t>,</w:t>
      </w:r>
      <w:r w:rsidRPr="00344C06">
        <w:rPr>
          <w:rFonts w:ascii="Arial" w:eastAsiaTheme="minorEastAsia" w:hAnsi="Arial" w:cs="Arial"/>
          <w:lang w:val="ro-RO" w:eastAsia="ro-RO"/>
        </w:rPr>
        <w:t xml:space="preserve"> </w:t>
      </w:r>
      <w:r w:rsidR="00B87F7A">
        <w:rPr>
          <w:rFonts w:ascii="Arial" w:eastAsiaTheme="minorEastAsia" w:hAnsi="Arial" w:cs="Arial"/>
          <w:lang w:val="ro-RO" w:eastAsia="ro-RO"/>
        </w:rPr>
        <w:t xml:space="preserve">DSP Suceava </w:t>
      </w:r>
      <w:r w:rsidRPr="00344C06">
        <w:rPr>
          <w:rFonts w:ascii="Arial" w:eastAsiaTheme="minorEastAsia" w:hAnsi="Arial" w:cs="Arial"/>
          <w:lang w:val="ro-RO" w:eastAsia="ro-RO"/>
        </w:rPr>
        <w:t>a înștiințat primăriile și societățile în administrarea cărora sunt sistemele centralizate de alimentare  cu apă potabilă depistate ca livrând apă ce nu corespunde din punct de vedere chimic și microbiologic</w:t>
      </w:r>
      <w:r w:rsidR="0078618A">
        <w:rPr>
          <w:rFonts w:ascii="Arial" w:eastAsiaTheme="minorEastAsia" w:hAnsi="Arial" w:cs="Arial"/>
          <w:lang w:val="ro-RO" w:eastAsia="ro-RO"/>
        </w:rPr>
        <w:t>,</w:t>
      </w:r>
      <w:r w:rsidRPr="00344C06">
        <w:rPr>
          <w:rFonts w:ascii="Arial" w:eastAsiaTheme="minorEastAsia" w:hAnsi="Arial" w:cs="Arial"/>
          <w:lang w:val="ro-RO" w:eastAsia="ro-RO"/>
        </w:rPr>
        <w:t xml:space="preserve"> pentru a fi luate măsurile ce se impun pentru potabilizarea apei.</w:t>
      </w:r>
    </w:p>
    <w:p w:rsidR="00E8193A" w:rsidRPr="00F12113" w:rsidRDefault="00E8193A" w:rsidP="00CC1FB9">
      <w:pPr>
        <w:widowControl w:val="0"/>
        <w:spacing w:after="0" w:line="240" w:lineRule="auto"/>
        <w:ind w:firstLine="720"/>
        <w:jc w:val="both"/>
        <w:rPr>
          <w:rFonts w:ascii="Arial" w:eastAsiaTheme="minorEastAsia" w:hAnsi="Arial" w:cs="Arial"/>
          <w:sz w:val="6"/>
          <w:szCs w:val="6"/>
          <w:highlight w:val="yellow"/>
          <w:lang w:val="ro-RO" w:eastAsia="ro-RO"/>
        </w:rPr>
      </w:pPr>
    </w:p>
    <w:p w:rsidR="00E705E8" w:rsidRPr="00797D1F" w:rsidRDefault="00963E90" w:rsidP="00CC1FB9">
      <w:pPr>
        <w:widowControl w:val="0"/>
        <w:spacing w:after="0" w:line="240" w:lineRule="auto"/>
        <w:ind w:firstLine="720"/>
        <w:jc w:val="both"/>
        <w:rPr>
          <w:rFonts w:ascii="Arial" w:eastAsiaTheme="minorEastAsia" w:hAnsi="Arial" w:cs="Arial"/>
          <w:sz w:val="24"/>
          <w:szCs w:val="24"/>
          <w:lang w:val="ro-RO" w:eastAsia="ro-RO"/>
        </w:rPr>
      </w:pPr>
      <w:r w:rsidRPr="00797D1F">
        <w:rPr>
          <w:rFonts w:ascii="Arial" w:eastAsiaTheme="minorEastAsia" w:hAnsi="Arial" w:cs="Arial"/>
          <w:sz w:val="24"/>
          <w:szCs w:val="24"/>
          <w:lang w:val="ro-RO" w:eastAsia="ro-RO"/>
        </w:rPr>
        <w:t>Concluziile</w:t>
      </w:r>
      <w:r w:rsidR="004E7258" w:rsidRPr="00797D1F">
        <w:rPr>
          <w:rFonts w:ascii="Arial" w:eastAsiaTheme="minorEastAsia" w:hAnsi="Arial" w:cs="Arial"/>
          <w:sz w:val="24"/>
          <w:szCs w:val="24"/>
          <w:lang w:val="ro-RO" w:eastAsia="ro-RO"/>
        </w:rPr>
        <w:t xml:space="preserve"> monitorizării </w:t>
      </w:r>
      <w:r w:rsidR="001D365F" w:rsidRPr="00797D1F">
        <w:rPr>
          <w:rFonts w:ascii="Arial" w:eastAsiaTheme="minorEastAsia" w:hAnsi="Arial" w:cs="Arial"/>
          <w:sz w:val="24"/>
          <w:szCs w:val="24"/>
          <w:lang w:val="ro-RO" w:eastAsia="ro-RO"/>
        </w:rPr>
        <w:t>calităţii</w:t>
      </w:r>
      <w:r w:rsidR="004E7258" w:rsidRPr="00797D1F">
        <w:rPr>
          <w:rFonts w:ascii="Arial" w:eastAsiaTheme="minorEastAsia" w:hAnsi="Arial" w:cs="Arial"/>
          <w:sz w:val="24"/>
          <w:szCs w:val="24"/>
          <w:lang w:val="ro-RO" w:eastAsia="ro-RO"/>
        </w:rPr>
        <w:t xml:space="preserve"> apei potabile în jud. Suceava</w:t>
      </w:r>
      <w:r w:rsidR="00BE1E83" w:rsidRPr="00797D1F">
        <w:rPr>
          <w:rFonts w:ascii="Arial" w:eastAsiaTheme="minorEastAsia" w:hAnsi="Arial" w:cs="Arial"/>
          <w:sz w:val="24"/>
          <w:szCs w:val="24"/>
          <w:lang w:val="ro-RO" w:eastAsia="ro-RO"/>
        </w:rPr>
        <w:t xml:space="preserve"> </w:t>
      </w:r>
      <w:r w:rsidR="00E705E8" w:rsidRPr="00797D1F">
        <w:rPr>
          <w:rFonts w:ascii="Arial" w:eastAsiaTheme="minorEastAsia" w:hAnsi="Arial" w:cs="Arial"/>
          <w:sz w:val="24"/>
          <w:szCs w:val="24"/>
          <w:lang w:val="ro-RO" w:eastAsia="ro-RO"/>
        </w:rPr>
        <w:t xml:space="preserve">de către </w:t>
      </w:r>
      <w:r w:rsidR="005E0B6D" w:rsidRPr="00797D1F">
        <w:rPr>
          <w:rFonts w:ascii="Arial" w:eastAsiaTheme="minorEastAsia" w:hAnsi="Arial" w:cs="Arial"/>
          <w:sz w:val="24"/>
          <w:szCs w:val="24"/>
          <w:lang w:val="ro-RO" w:eastAsia="ro-RO"/>
        </w:rPr>
        <w:t>DSP</w:t>
      </w:r>
      <w:r w:rsidR="00E705E8" w:rsidRPr="00797D1F">
        <w:rPr>
          <w:rFonts w:ascii="Arial" w:eastAsiaTheme="minorEastAsia" w:hAnsi="Arial" w:cs="Arial"/>
          <w:sz w:val="24"/>
          <w:szCs w:val="24"/>
          <w:lang w:val="ro-RO" w:eastAsia="ro-RO"/>
        </w:rPr>
        <w:t xml:space="preserve"> Suceava,</w:t>
      </w:r>
      <w:r w:rsidR="00BE1E83" w:rsidRPr="00797D1F">
        <w:rPr>
          <w:rFonts w:ascii="Arial" w:eastAsiaTheme="minorEastAsia" w:hAnsi="Arial" w:cs="Arial"/>
          <w:sz w:val="24"/>
          <w:szCs w:val="24"/>
          <w:lang w:val="ro-RO" w:eastAsia="ro-RO"/>
        </w:rPr>
        <w:t xml:space="preserve"> </w:t>
      </w:r>
      <w:r w:rsidR="004E7258" w:rsidRPr="00797D1F">
        <w:rPr>
          <w:rFonts w:ascii="Arial" w:eastAsiaTheme="minorEastAsia" w:hAnsi="Arial" w:cs="Arial"/>
          <w:sz w:val="24"/>
          <w:szCs w:val="24"/>
          <w:lang w:val="ro-RO" w:eastAsia="ro-RO"/>
        </w:rPr>
        <w:t>în ultimii 5 ani</w:t>
      </w:r>
      <w:r w:rsidRPr="00797D1F">
        <w:rPr>
          <w:rFonts w:ascii="Arial" w:eastAsiaTheme="minorEastAsia" w:hAnsi="Arial" w:cs="Arial"/>
          <w:sz w:val="24"/>
          <w:szCs w:val="24"/>
          <w:lang w:val="ro-RO" w:eastAsia="ro-RO"/>
        </w:rPr>
        <w:t>,</w:t>
      </w:r>
      <w:r w:rsidR="004E7258" w:rsidRPr="00797D1F">
        <w:rPr>
          <w:rFonts w:ascii="Arial" w:eastAsiaTheme="minorEastAsia" w:hAnsi="Arial" w:cs="Arial"/>
          <w:sz w:val="24"/>
          <w:szCs w:val="24"/>
          <w:lang w:val="ro-RO" w:eastAsia="ro-RO"/>
        </w:rPr>
        <w:t xml:space="preserve"> </w:t>
      </w:r>
      <w:r w:rsidRPr="00797D1F">
        <w:rPr>
          <w:rFonts w:ascii="Arial" w:eastAsiaTheme="minorEastAsia" w:hAnsi="Arial" w:cs="Arial"/>
          <w:sz w:val="24"/>
          <w:szCs w:val="24"/>
          <w:lang w:val="ro-RO" w:eastAsia="ro-RO"/>
        </w:rPr>
        <w:t>sunt</w:t>
      </w:r>
      <w:r w:rsidR="00BE1E83" w:rsidRPr="00797D1F">
        <w:rPr>
          <w:rFonts w:ascii="Arial" w:eastAsiaTheme="minorEastAsia" w:hAnsi="Arial" w:cs="Arial"/>
          <w:sz w:val="24"/>
          <w:szCs w:val="24"/>
          <w:lang w:val="ro-RO" w:eastAsia="ro-RO"/>
        </w:rPr>
        <w:t xml:space="preserve"> </w:t>
      </w:r>
      <w:r w:rsidR="00E705E8" w:rsidRPr="00797D1F">
        <w:rPr>
          <w:rFonts w:ascii="Arial" w:eastAsiaTheme="minorEastAsia" w:hAnsi="Arial" w:cs="Arial"/>
          <w:sz w:val="24"/>
          <w:szCs w:val="24"/>
          <w:lang w:val="ro-RO" w:eastAsia="ro-RO"/>
        </w:rPr>
        <w:t>prezentat</w:t>
      </w:r>
      <w:r w:rsidRPr="00797D1F">
        <w:rPr>
          <w:rFonts w:ascii="Arial" w:eastAsiaTheme="minorEastAsia" w:hAnsi="Arial" w:cs="Arial"/>
          <w:sz w:val="24"/>
          <w:szCs w:val="24"/>
          <w:lang w:val="ro-RO" w:eastAsia="ro-RO"/>
        </w:rPr>
        <w:t>e</w:t>
      </w:r>
      <w:r w:rsidR="00E705E8" w:rsidRPr="00797D1F">
        <w:rPr>
          <w:rFonts w:ascii="Arial" w:eastAsiaTheme="minorEastAsia" w:hAnsi="Arial" w:cs="Arial"/>
          <w:sz w:val="24"/>
          <w:szCs w:val="24"/>
          <w:lang w:val="ro-RO" w:eastAsia="ro-RO"/>
        </w:rPr>
        <w:t xml:space="preserve"> </w:t>
      </w:r>
      <w:r w:rsidR="00BE1E83" w:rsidRPr="00797D1F">
        <w:rPr>
          <w:rFonts w:ascii="Arial" w:eastAsiaTheme="minorEastAsia" w:hAnsi="Arial" w:cs="Arial"/>
          <w:sz w:val="24"/>
          <w:szCs w:val="24"/>
          <w:lang w:val="ro-RO" w:eastAsia="ro-RO"/>
        </w:rPr>
        <w:t xml:space="preserve">sintetic </w:t>
      </w:r>
      <w:r w:rsidR="00E705E8" w:rsidRPr="00797D1F">
        <w:rPr>
          <w:rFonts w:ascii="Arial" w:eastAsiaTheme="minorEastAsia" w:hAnsi="Arial" w:cs="Arial"/>
          <w:sz w:val="24"/>
          <w:szCs w:val="24"/>
          <w:lang w:val="ro-RO" w:eastAsia="ro-RO"/>
        </w:rPr>
        <w:t xml:space="preserve">în tabelul </w:t>
      </w:r>
      <w:r w:rsidR="00BE1E83" w:rsidRPr="00797D1F">
        <w:rPr>
          <w:rFonts w:ascii="Arial" w:eastAsiaTheme="minorEastAsia" w:hAnsi="Arial" w:cs="Arial"/>
          <w:sz w:val="24"/>
          <w:szCs w:val="24"/>
          <w:lang w:val="ro-RO" w:eastAsia="ro-RO"/>
        </w:rPr>
        <w:t>VIII.1.3.4.</w:t>
      </w:r>
      <w:r w:rsidR="00E705E8" w:rsidRPr="00797D1F">
        <w:rPr>
          <w:rFonts w:ascii="Arial" w:eastAsiaTheme="minorEastAsia" w:hAnsi="Arial" w:cs="Arial"/>
          <w:sz w:val="24"/>
          <w:szCs w:val="24"/>
          <w:lang w:val="ro-RO" w:eastAsia="ro-RO"/>
        </w:rPr>
        <w:t xml:space="preserve"> de mai jos.</w:t>
      </w:r>
    </w:p>
    <w:p w:rsidR="003C1C5F" w:rsidRPr="00F12113" w:rsidRDefault="003C1C5F" w:rsidP="00CC1FB9">
      <w:pPr>
        <w:widowControl w:val="0"/>
        <w:autoSpaceDE w:val="0"/>
        <w:autoSpaceDN w:val="0"/>
        <w:adjustRightInd w:val="0"/>
        <w:spacing w:after="0" w:line="240" w:lineRule="auto"/>
        <w:jc w:val="center"/>
        <w:rPr>
          <w:rFonts w:ascii="Arial" w:eastAsiaTheme="minorEastAsia" w:hAnsi="Arial" w:cs="Arial"/>
          <w:color w:val="FF0000"/>
          <w:sz w:val="8"/>
          <w:szCs w:val="8"/>
          <w:lang w:val="ro-RO" w:eastAsia="ro-RO"/>
        </w:rPr>
      </w:pPr>
    </w:p>
    <w:p w:rsidR="001D365F" w:rsidRPr="00B01DE5" w:rsidRDefault="00E705E8" w:rsidP="00CC1FB9">
      <w:pPr>
        <w:widowControl w:val="0"/>
        <w:autoSpaceDE w:val="0"/>
        <w:autoSpaceDN w:val="0"/>
        <w:adjustRightInd w:val="0"/>
        <w:spacing w:after="0" w:line="240" w:lineRule="auto"/>
        <w:jc w:val="center"/>
        <w:rPr>
          <w:rFonts w:ascii="Arial" w:eastAsiaTheme="minorEastAsia" w:hAnsi="Arial" w:cs="Arial"/>
          <w:lang w:val="ro-RO" w:eastAsia="ro-RO"/>
        </w:rPr>
      </w:pPr>
      <w:r w:rsidRPr="00B01DE5">
        <w:rPr>
          <w:rFonts w:ascii="Arial" w:eastAsiaTheme="minorEastAsia" w:hAnsi="Arial" w:cs="Arial"/>
          <w:lang w:val="ro-RO" w:eastAsia="ro-RO"/>
        </w:rPr>
        <w:t>Tabe</w:t>
      </w:r>
      <w:r w:rsidR="004E7258" w:rsidRPr="00B01DE5">
        <w:rPr>
          <w:rFonts w:ascii="Arial" w:eastAsiaTheme="minorEastAsia" w:hAnsi="Arial" w:cs="Arial"/>
          <w:lang w:val="ro-RO" w:eastAsia="ro-RO"/>
        </w:rPr>
        <w:t>lul VIII</w:t>
      </w:r>
      <w:r w:rsidRPr="00B01DE5">
        <w:rPr>
          <w:rFonts w:ascii="Arial" w:eastAsiaTheme="minorEastAsia" w:hAnsi="Arial" w:cs="Arial"/>
          <w:lang w:val="ro-RO" w:eastAsia="ro-RO"/>
        </w:rPr>
        <w:t xml:space="preserve">.1.3.4. </w:t>
      </w:r>
      <w:r w:rsidR="001D365F" w:rsidRPr="00B01DE5">
        <w:rPr>
          <w:rFonts w:ascii="Arial" w:eastAsiaTheme="minorEastAsia" w:hAnsi="Arial" w:cs="Arial"/>
          <w:lang w:val="ro-RO" w:eastAsia="ro-RO"/>
        </w:rPr>
        <w:t>Calitatea chimică şi bacteriologică a apei potabile</w:t>
      </w:r>
      <w:r w:rsidR="005E0B6D" w:rsidRPr="00B01DE5">
        <w:rPr>
          <w:rFonts w:ascii="Arial" w:eastAsiaTheme="minorEastAsia" w:hAnsi="Arial" w:cs="Arial"/>
          <w:lang w:val="ro-RO" w:eastAsia="ro-RO"/>
        </w:rPr>
        <w:t>,</w:t>
      </w:r>
      <w:r w:rsidR="001D365F" w:rsidRPr="00B01DE5">
        <w:rPr>
          <w:rFonts w:ascii="Arial" w:eastAsiaTheme="minorEastAsia" w:hAnsi="Arial" w:cs="Arial"/>
          <w:lang w:val="ro-RO" w:eastAsia="ro-RO"/>
        </w:rPr>
        <w:t xml:space="preserve"> </w:t>
      </w:r>
      <w:r w:rsidR="004E7258" w:rsidRPr="00B01DE5">
        <w:rPr>
          <w:rFonts w:ascii="Arial" w:eastAsiaTheme="minorEastAsia" w:hAnsi="Arial" w:cs="Arial"/>
          <w:lang w:val="ro-RO" w:eastAsia="ro-RO"/>
        </w:rPr>
        <w:t xml:space="preserve">în jud. Suceava </w:t>
      </w:r>
    </w:p>
    <w:p w:rsidR="00E705E8" w:rsidRPr="00B01DE5" w:rsidRDefault="001D365F" w:rsidP="00CC1FB9">
      <w:pPr>
        <w:widowControl w:val="0"/>
        <w:autoSpaceDE w:val="0"/>
        <w:autoSpaceDN w:val="0"/>
        <w:adjustRightInd w:val="0"/>
        <w:spacing w:after="0" w:line="240" w:lineRule="auto"/>
        <w:jc w:val="center"/>
        <w:rPr>
          <w:rFonts w:ascii="Arial" w:eastAsiaTheme="minorEastAsia" w:hAnsi="Arial" w:cs="Arial"/>
          <w:lang w:val="ro-RO" w:eastAsia="ro-RO"/>
        </w:rPr>
      </w:pPr>
      <w:r w:rsidRPr="00B01DE5">
        <w:rPr>
          <w:rFonts w:ascii="Arial" w:eastAsiaTheme="minorEastAsia" w:hAnsi="Arial" w:cs="Arial"/>
          <w:lang w:val="ro-RO" w:eastAsia="ro-RO"/>
        </w:rPr>
        <w:t>în perioada 201</w:t>
      </w:r>
      <w:r w:rsidR="00351AA2" w:rsidRPr="00B01DE5">
        <w:rPr>
          <w:rFonts w:ascii="Arial" w:eastAsiaTheme="minorEastAsia" w:hAnsi="Arial" w:cs="Arial"/>
          <w:lang w:val="ro-RO" w:eastAsia="ro-RO"/>
        </w:rPr>
        <w:t>3</w:t>
      </w:r>
      <w:r w:rsidRPr="00B01DE5">
        <w:rPr>
          <w:rFonts w:ascii="Arial" w:eastAsiaTheme="minorEastAsia" w:hAnsi="Arial" w:cs="Arial"/>
          <w:lang w:val="ro-RO" w:eastAsia="ro-RO"/>
        </w:rPr>
        <w:t xml:space="preserve"> - </w:t>
      </w:r>
      <w:r w:rsidR="00351AA2" w:rsidRPr="00B01DE5">
        <w:rPr>
          <w:rFonts w:ascii="Arial" w:eastAsiaTheme="minorEastAsia" w:hAnsi="Arial" w:cs="Arial"/>
          <w:lang w:val="ro-RO" w:eastAsia="ro-RO"/>
        </w:rPr>
        <w:t>2017</w:t>
      </w:r>
      <w:r w:rsidR="00E705E8" w:rsidRPr="00B01DE5">
        <w:rPr>
          <w:rFonts w:ascii="Arial" w:eastAsiaTheme="minorEastAsia" w:hAnsi="Arial" w:cs="Arial"/>
          <w:lang w:val="ro-RO" w:eastAsia="ro-RO"/>
        </w:rPr>
        <w:t xml:space="preserve"> </w:t>
      </w:r>
      <w:r w:rsidR="004E7258" w:rsidRPr="00B01DE5">
        <w:rPr>
          <w:rFonts w:ascii="Arial" w:eastAsiaTheme="minorEastAsia" w:hAnsi="Arial" w:cs="Arial"/>
          <w:lang w:val="ro-RO" w:eastAsia="ro-RO"/>
        </w:rPr>
        <w:t>(</w:t>
      </w:r>
      <w:r w:rsidR="004E7258" w:rsidRPr="00B01DE5">
        <w:rPr>
          <w:rFonts w:ascii="Arial" w:eastAsiaTheme="minorEastAsia" w:hAnsi="Arial" w:cs="Arial"/>
          <w:i/>
          <w:lang w:val="ro-RO" w:eastAsia="ro-RO"/>
        </w:rPr>
        <w:t>Sursa:</w:t>
      </w:r>
      <w:r w:rsidR="00E705E8" w:rsidRPr="00B01DE5">
        <w:rPr>
          <w:rFonts w:ascii="Arial" w:eastAsiaTheme="minorEastAsia" w:hAnsi="Arial" w:cs="Arial"/>
          <w:i/>
          <w:lang w:val="ro-RO" w:eastAsia="ro-RO"/>
        </w:rPr>
        <w:t xml:space="preserve"> </w:t>
      </w:r>
      <w:r w:rsidR="004D2A53" w:rsidRPr="00B01DE5">
        <w:rPr>
          <w:rFonts w:ascii="Arial" w:eastAsiaTheme="minorEastAsia" w:hAnsi="Arial" w:cs="Arial"/>
          <w:i/>
          <w:lang w:val="ro-RO" w:eastAsia="ro-RO"/>
        </w:rPr>
        <w:t>Direcţia de Sănătate Publică Judeţeană Suceava</w:t>
      </w:r>
      <w:r w:rsidR="004E7258" w:rsidRPr="00B01DE5">
        <w:rPr>
          <w:rFonts w:ascii="Arial" w:eastAsiaTheme="minorEastAsia" w:hAnsi="Arial" w:cs="Arial"/>
          <w:lang w:val="ro-RO" w:eastAsia="ro-RO"/>
        </w:rPr>
        <w:t>)</w:t>
      </w:r>
    </w:p>
    <w:p w:rsidR="004E7258" w:rsidRPr="00F12113" w:rsidRDefault="004E7258" w:rsidP="00CC1FB9">
      <w:pPr>
        <w:widowControl w:val="0"/>
        <w:autoSpaceDE w:val="0"/>
        <w:autoSpaceDN w:val="0"/>
        <w:adjustRightInd w:val="0"/>
        <w:spacing w:after="0" w:line="240" w:lineRule="auto"/>
        <w:jc w:val="center"/>
        <w:rPr>
          <w:rFonts w:ascii="Arial" w:eastAsiaTheme="minorEastAsia" w:hAnsi="Arial" w:cs="Arial"/>
          <w:sz w:val="8"/>
          <w:szCs w:val="8"/>
          <w:lang w:val="ro-RO" w:eastAsia="ro-RO"/>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00"/>
        <w:gridCol w:w="709"/>
        <w:gridCol w:w="1276"/>
        <w:gridCol w:w="850"/>
        <w:gridCol w:w="1418"/>
        <w:gridCol w:w="850"/>
        <w:gridCol w:w="1276"/>
        <w:gridCol w:w="992"/>
        <w:gridCol w:w="1342"/>
      </w:tblGrid>
      <w:tr w:rsidR="00BE1E83" w:rsidRPr="00F73342" w:rsidTr="00BE1E83">
        <w:trPr>
          <w:trHeight w:val="108"/>
          <w:tblHeader/>
          <w:jc w:val="center"/>
        </w:trPr>
        <w:tc>
          <w:tcPr>
            <w:tcW w:w="1200" w:type="dxa"/>
            <w:vMerge w:val="restart"/>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Anul</w:t>
            </w:r>
          </w:p>
        </w:tc>
        <w:tc>
          <w:tcPr>
            <w:tcW w:w="4253" w:type="dxa"/>
            <w:gridSpan w:val="4"/>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Determinări chimice</w:t>
            </w:r>
          </w:p>
        </w:tc>
        <w:tc>
          <w:tcPr>
            <w:tcW w:w="4460" w:type="dxa"/>
            <w:gridSpan w:val="4"/>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Determinări microbiologice</w:t>
            </w:r>
          </w:p>
        </w:tc>
      </w:tr>
      <w:tr w:rsidR="00BE1E83" w:rsidRPr="00A70F1C" w:rsidTr="00BE1E83">
        <w:trPr>
          <w:trHeight w:val="108"/>
          <w:tblHeader/>
          <w:jc w:val="center"/>
        </w:trPr>
        <w:tc>
          <w:tcPr>
            <w:tcW w:w="1200" w:type="dxa"/>
            <w:vMerge/>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p>
        </w:tc>
        <w:tc>
          <w:tcPr>
            <w:tcW w:w="709"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 xml:space="preserve">Nr. probe </w:t>
            </w:r>
          </w:p>
        </w:tc>
        <w:tc>
          <w:tcPr>
            <w:tcW w:w="1276"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probe</w:t>
            </w:r>
          </w:p>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necoresp.</w:t>
            </w:r>
          </w:p>
          <w:p w:rsidR="00BE1E83" w:rsidRPr="00F12113" w:rsidRDefault="00F12113" w:rsidP="00CC1FB9">
            <w:pPr>
              <w:widowControl w:val="0"/>
              <w:tabs>
                <w:tab w:val="center" w:pos="4153"/>
                <w:tab w:val="right" w:pos="8306"/>
              </w:tabs>
              <w:spacing w:after="0" w:line="240" w:lineRule="auto"/>
              <w:jc w:val="center"/>
              <w:rPr>
                <w:rFonts w:ascii="Arial" w:eastAsiaTheme="minorEastAsia" w:hAnsi="Arial" w:cs="Arial"/>
                <w:sz w:val="20"/>
                <w:szCs w:val="20"/>
                <w:lang w:val="ro-RO" w:eastAsia="ro-RO"/>
              </w:rPr>
            </w:pPr>
            <w:r w:rsidRPr="00F12113">
              <w:rPr>
                <w:rFonts w:ascii="Arial" w:eastAsiaTheme="minorEastAsia" w:hAnsi="Arial" w:cs="Arial"/>
                <w:sz w:val="20"/>
                <w:szCs w:val="20"/>
                <w:lang w:val="ro-RO" w:eastAsia="ro-RO"/>
              </w:rPr>
              <w:t>(</w:t>
            </w:r>
            <w:r w:rsidR="00BE1E83" w:rsidRPr="00F12113">
              <w:rPr>
                <w:rFonts w:ascii="Arial" w:eastAsiaTheme="minorEastAsia" w:hAnsi="Arial" w:cs="Arial"/>
                <w:sz w:val="20"/>
                <w:szCs w:val="20"/>
                <w:lang w:val="ro-RO" w:eastAsia="ro-RO"/>
              </w:rPr>
              <w:t>nr./%</w:t>
            </w:r>
            <w:r w:rsidRPr="00F12113">
              <w:rPr>
                <w:rFonts w:ascii="Arial" w:eastAsiaTheme="minorEastAsia" w:hAnsi="Arial" w:cs="Arial"/>
                <w:sz w:val="20"/>
                <w:szCs w:val="20"/>
                <w:lang w:val="ro-RO" w:eastAsia="ro-RO"/>
              </w:rPr>
              <w:t>)</w:t>
            </w:r>
          </w:p>
        </w:tc>
        <w:tc>
          <w:tcPr>
            <w:tcW w:w="850"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det.</w:t>
            </w:r>
          </w:p>
        </w:tc>
        <w:tc>
          <w:tcPr>
            <w:tcW w:w="1418"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det.</w:t>
            </w:r>
          </w:p>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necoresp.</w:t>
            </w:r>
          </w:p>
          <w:p w:rsidR="00BE1E83" w:rsidRPr="00F73342" w:rsidRDefault="00F1211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850"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probe</w:t>
            </w:r>
          </w:p>
        </w:tc>
        <w:tc>
          <w:tcPr>
            <w:tcW w:w="1276"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probe</w:t>
            </w:r>
          </w:p>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necoresp.</w:t>
            </w:r>
          </w:p>
          <w:p w:rsidR="00BE1E83" w:rsidRPr="00F73342" w:rsidRDefault="00F1211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992" w:type="dxa"/>
            <w:shd w:val="clear" w:color="auto" w:fill="FFFF99"/>
            <w:vAlign w:val="center"/>
          </w:tcPr>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w:t>
            </w:r>
          </w:p>
          <w:p w:rsidR="00BE1E83" w:rsidRPr="00F73342"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det.</w:t>
            </w:r>
          </w:p>
        </w:tc>
        <w:tc>
          <w:tcPr>
            <w:tcW w:w="1342" w:type="dxa"/>
            <w:shd w:val="clear" w:color="auto" w:fill="FFFF99"/>
            <w:vAlign w:val="center"/>
          </w:tcPr>
          <w:p w:rsidR="00BE1E83" w:rsidRDefault="00BE1E8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73342">
              <w:rPr>
                <w:rFonts w:ascii="Arial" w:eastAsiaTheme="minorEastAsia" w:hAnsi="Arial" w:cs="Arial"/>
                <w:b/>
                <w:sz w:val="20"/>
                <w:szCs w:val="20"/>
                <w:lang w:val="ro-RO" w:eastAsia="ro-RO"/>
              </w:rPr>
              <w:t>Nr. det.  necoresp.</w:t>
            </w:r>
          </w:p>
          <w:p w:rsidR="00F12113" w:rsidRPr="00F73342" w:rsidRDefault="00F1211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r>
      <w:tr w:rsidR="00351AA2" w:rsidRPr="00A70F1C" w:rsidTr="00BE1E83">
        <w:trPr>
          <w:trHeight w:val="353"/>
          <w:jc w:val="center"/>
        </w:trPr>
        <w:tc>
          <w:tcPr>
            <w:tcW w:w="1200" w:type="dxa"/>
            <w:vAlign w:val="center"/>
          </w:tcPr>
          <w:p w:rsidR="00351AA2" w:rsidRPr="00351AA2" w:rsidRDefault="00351AA2" w:rsidP="00CC1FB9">
            <w:pPr>
              <w:widowControl w:val="0"/>
              <w:tabs>
                <w:tab w:val="left" w:pos="0"/>
                <w:tab w:val="center" w:pos="4153"/>
                <w:tab w:val="right" w:pos="8306"/>
              </w:tabs>
              <w:spacing w:after="0" w:line="240" w:lineRule="auto"/>
              <w:jc w:val="center"/>
              <w:rPr>
                <w:rFonts w:ascii="Arial" w:eastAsiaTheme="minorEastAsia" w:hAnsi="Arial" w:cs="Arial"/>
                <w:b/>
                <w:bCs/>
                <w:sz w:val="20"/>
                <w:szCs w:val="20"/>
                <w:lang w:val="ro-RO" w:eastAsia="ro-RO"/>
              </w:rPr>
            </w:pPr>
            <w:r w:rsidRPr="00351AA2">
              <w:rPr>
                <w:rFonts w:ascii="Arial" w:eastAsiaTheme="minorEastAsia" w:hAnsi="Arial" w:cs="Arial"/>
                <w:b/>
                <w:bCs/>
                <w:sz w:val="20"/>
                <w:szCs w:val="20"/>
                <w:lang w:val="ro-RO" w:eastAsia="ro-RO"/>
              </w:rPr>
              <w:t>2013</w:t>
            </w:r>
          </w:p>
        </w:tc>
        <w:tc>
          <w:tcPr>
            <w:tcW w:w="709"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1963</w:t>
            </w:r>
          </w:p>
        </w:tc>
        <w:tc>
          <w:tcPr>
            <w:tcW w:w="1276"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181</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9,22%</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4033</w:t>
            </w:r>
          </w:p>
        </w:tc>
        <w:tc>
          <w:tcPr>
            <w:tcW w:w="1418"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182</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4,51%</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2172</w:t>
            </w:r>
          </w:p>
        </w:tc>
        <w:tc>
          <w:tcPr>
            <w:tcW w:w="1276"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68</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3,13%</w:t>
            </w:r>
          </w:p>
        </w:tc>
        <w:tc>
          <w:tcPr>
            <w:tcW w:w="992"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4809</w:t>
            </w:r>
          </w:p>
        </w:tc>
        <w:tc>
          <w:tcPr>
            <w:tcW w:w="1342"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81</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1,68%</w:t>
            </w:r>
          </w:p>
        </w:tc>
      </w:tr>
      <w:tr w:rsidR="00351AA2" w:rsidRPr="00A70F1C" w:rsidTr="00BE1E83">
        <w:trPr>
          <w:trHeight w:val="353"/>
          <w:jc w:val="center"/>
        </w:trPr>
        <w:tc>
          <w:tcPr>
            <w:tcW w:w="1200" w:type="dxa"/>
            <w:vAlign w:val="center"/>
          </w:tcPr>
          <w:p w:rsidR="00351AA2" w:rsidRPr="00351AA2" w:rsidRDefault="00351AA2" w:rsidP="00CC1FB9">
            <w:pPr>
              <w:widowControl w:val="0"/>
              <w:tabs>
                <w:tab w:val="left" w:pos="0"/>
                <w:tab w:val="center" w:pos="4153"/>
                <w:tab w:val="right" w:pos="8306"/>
              </w:tabs>
              <w:spacing w:after="0" w:line="240" w:lineRule="auto"/>
              <w:jc w:val="center"/>
              <w:rPr>
                <w:rFonts w:ascii="Arial" w:eastAsiaTheme="minorEastAsia" w:hAnsi="Arial" w:cs="Arial"/>
                <w:b/>
                <w:bCs/>
                <w:sz w:val="20"/>
                <w:szCs w:val="20"/>
                <w:lang w:val="ro-RO" w:eastAsia="ro-RO"/>
              </w:rPr>
            </w:pPr>
            <w:r w:rsidRPr="00351AA2">
              <w:rPr>
                <w:rFonts w:ascii="Arial" w:eastAsiaTheme="minorEastAsia" w:hAnsi="Arial" w:cs="Arial"/>
                <w:b/>
                <w:bCs/>
                <w:sz w:val="20"/>
                <w:szCs w:val="20"/>
                <w:lang w:val="ro-RO" w:eastAsia="ro-RO"/>
              </w:rPr>
              <w:t>2014</w:t>
            </w:r>
          </w:p>
        </w:tc>
        <w:tc>
          <w:tcPr>
            <w:tcW w:w="709"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1429</w:t>
            </w:r>
          </w:p>
        </w:tc>
        <w:tc>
          <w:tcPr>
            <w:tcW w:w="1276"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124</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8,67%</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2819</w:t>
            </w:r>
          </w:p>
        </w:tc>
        <w:tc>
          <w:tcPr>
            <w:tcW w:w="1418"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131</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4,65%</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1463</w:t>
            </w:r>
          </w:p>
        </w:tc>
        <w:tc>
          <w:tcPr>
            <w:tcW w:w="1276"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89</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6,08%</w:t>
            </w:r>
          </w:p>
        </w:tc>
        <w:tc>
          <w:tcPr>
            <w:tcW w:w="992"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3608</w:t>
            </w:r>
          </w:p>
        </w:tc>
        <w:tc>
          <w:tcPr>
            <w:tcW w:w="1342"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174</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4,82%</w:t>
            </w:r>
          </w:p>
        </w:tc>
      </w:tr>
      <w:tr w:rsidR="00351AA2" w:rsidRPr="00A70F1C" w:rsidTr="00637F58">
        <w:trPr>
          <w:trHeight w:val="353"/>
          <w:jc w:val="center"/>
        </w:trPr>
        <w:tc>
          <w:tcPr>
            <w:tcW w:w="1200" w:type="dxa"/>
            <w:vAlign w:val="center"/>
          </w:tcPr>
          <w:p w:rsidR="00351AA2" w:rsidRPr="00351AA2" w:rsidRDefault="00351AA2" w:rsidP="00CC1FB9">
            <w:pPr>
              <w:widowControl w:val="0"/>
              <w:tabs>
                <w:tab w:val="left" w:pos="0"/>
                <w:tab w:val="center" w:pos="4153"/>
                <w:tab w:val="right" w:pos="8306"/>
              </w:tabs>
              <w:spacing w:after="0" w:line="240" w:lineRule="auto"/>
              <w:jc w:val="center"/>
              <w:rPr>
                <w:rFonts w:ascii="Arial" w:eastAsiaTheme="minorEastAsia" w:hAnsi="Arial" w:cs="Arial"/>
                <w:b/>
                <w:bCs/>
                <w:sz w:val="20"/>
                <w:szCs w:val="20"/>
                <w:lang w:val="ro-RO" w:eastAsia="ro-RO"/>
              </w:rPr>
            </w:pPr>
            <w:r w:rsidRPr="00351AA2">
              <w:rPr>
                <w:rFonts w:ascii="Arial" w:eastAsiaTheme="minorEastAsia" w:hAnsi="Arial" w:cs="Arial"/>
                <w:b/>
                <w:bCs/>
                <w:sz w:val="20"/>
                <w:szCs w:val="20"/>
                <w:lang w:val="ro-RO" w:eastAsia="ro-RO"/>
              </w:rPr>
              <w:t>2015</w:t>
            </w:r>
          </w:p>
        </w:tc>
        <w:tc>
          <w:tcPr>
            <w:tcW w:w="709"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1718</w:t>
            </w:r>
          </w:p>
        </w:tc>
        <w:tc>
          <w:tcPr>
            <w:tcW w:w="1276"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136</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7,91%</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2874</w:t>
            </w:r>
          </w:p>
        </w:tc>
        <w:tc>
          <w:tcPr>
            <w:tcW w:w="1418" w:type="dxa"/>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144</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5,01%</w:t>
            </w:r>
          </w:p>
        </w:tc>
        <w:tc>
          <w:tcPr>
            <w:tcW w:w="850"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1724</w:t>
            </w:r>
          </w:p>
        </w:tc>
        <w:tc>
          <w:tcPr>
            <w:tcW w:w="1276"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85</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4,93%</w:t>
            </w:r>
          </w:p>
        </w:tc>
        <w:tc>
          <w:tcPr>
            <w:tcW w:w="992"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4223</w:t>
            </w:r>
          </w:p>
        </w:tc>
        <w:tc>
          <w:tcPr>
            <w:tcW w:w="1342"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186</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4,40%</w:t>
            </w:r>
          </w:p>
        </w:tc>
      </w:tr>
      <w:tr w:rsidR="00351AA2" w:rsidRPr="00A70F1C" w:rsidTr="00B53A8C">
        <w:trPr>
          <w:trHeight w:val="353"/>
          <w:jc w:val="center"/>
        </w:trPr>
        <w:tc>
          <w:tcPr>
            <w:tcW w:w="1200" w:type="dxa"/>
            <w:vAlign w:val="center"/>
          </w:tcPr>
          <w:p w:rsidR="00351AA2" w:rsidRPr="00351AA2" w:rsidRDefault="00351AA2" w:rsidP="00CC1FB9">
            <w:pPr>
              <w:widowControl w:val="0"/>
              <w:tabs>
                <w:tab w:val="left" w:pos="0"/>
                <w:tab w:val="center" w:pos="4153"/>
                <w:tab w:val="right" w:pos="8306"/>
              </w:tabs>
              <w:spacing w:after="0" w:line="240" w:lineRule="auto"/>
              <w:jc w:val="center"/>
              <w:rPr>
                <w:rFonts w:ascii="Arial" w:eastAsiaTheme="minorEastAsia" w:hAnsi="Arial" w:cs="Arial"/>
                <w:b/>
                <w:bCs/>
                <w:sz w:val="20"/>
                <w:szCs w:val="20"/>
                <w:lang w:val="ro-RO" w:eastAsia="ro-RO"/>
              </w:rPr>
            </w:pPr>
            <w:r w:rsidRPr="00351AA2">
              <w:rPr>
                <w:rFonts w:ascii="Arial" w:eastAsiaTheme="minorEastAsia" w:hAnsi="Arial" w:cs="Arial"/>
                <w:b/>
                <w:bCs/>
                <w:sz w:val="20"/>
                <w:szCs w:val="20"/>
                <w:lang w:val="ro-RO" w:eastAsia="ro-RO"/>
              </w:rPr>
              <w:t>2016</w:t>
            </w:r>
          </w:p>
        </w:tc>
        <w:tc>
          <w:tcPr>
            <w:tcW w:w="709"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1659</w:t>
            </w:r>
          </w:p>
        </w:tc>
        <w:tc>
          <w:tcPr>
            <w:tcW w:w="1276"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196</w:t>
            </w:r>
          </w:p>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11,82%</w:t>
            </w:r>
          </w:p>
        </w:tc>
        <w:tc>
          <w:tcPr>
            <w:tcW w:w="850" w:type="dxa"/>
            <w:vAlign w:val="center"/>
          </w:tcPr>
          <w:p w:rsidR="00351AA2" w:rsidRPr="00351AA2" w:rsidRDefault="00351AA2" w:rsidP="00CC1FB9">
            <w:pPr>
              <w:widowControl w:val="0"/>
              <w:spacing w:after="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2686</w:t>
            </w:r>
          </w:p>
        </w:tc>
        <w:tc>
          <w:tcPr>
            <w:tcW w:w="1418" w:type="dxa"/>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227</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8,45%</w:t>
            </w:r>
          </w:p>
        </w:tc>
        <w:tc>
          <w:tcPr>
            <w:tcW w:w="850"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1713</w:t>
            </w:r>
          </w:p>
        </w:tc>
        <w:tc>
          <w:tcPr>
            <w:tcW w:w="1276"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157</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9,16%</w:t>
            </w:r>
          </w:p>
        </w:tc>
        <w:tc>
          <w:tcPr>
            <w:tcW w:w="992"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4400</w:t>
            </w:r>
          </w:p>
        </w:tc>
        <w:tc>
          <w:tcPr>
            <w:tcW w:w="1342" w:type="dxa"/>
            <w:vAlign w:val="center"/>
          </w:tcPr>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298</w:t>
            </w:r>
          </w:p>
          <w:p w:rsidR="00351AA2" w:rsidRPr="00351AA2" w:rsidRDefault="00351AA2" w:rsidP="00CC1FB9">
            <w:pPr>
              <w:widowControl w:val="0"/>
              <w:spacing w:before="20" w:after="20" w:line="240" w:lineRule="auto"/>
              <w:jc w:val="center"/>
              <w:rPr>
                <w:rFonts w:ascii="Arial" w:eastAsiaTheme="minorEastAsia" w:hAnsi="Arial" w:cs="Arial"/>
                <w:sz w:val="20"/>
                <w:szCs w:val="20"/>
                <w:lang w:val="ro-RO" w:eastAsia="ro-RO"/>
              </w:rPr>
            </w:pPr>
            <w:r w:rsidRPr="00351AA2">
              <w:rPr>
                <w:rFonts w:ascii="Arial" w:eastAsiaTheme="minorEastAsia" w:hAnsi="Arial" w:cs="Arial"/>
                <w:sz w:val="20"/>
                <w:szCs w:val="20"/>
                <w:lang w:val="ro-RO" w:eastAsia="ro-RO"/>
              </w:rPr>
              <w:t>6,77%</w:t>
            </w:r>
          </w:p>
        </w:tc>
      </w:tr>
      <w:tr w:rsidR="00351AA2" w:rsidRPr="00EA15E1" w:rsidTr="00C17BF9">
        <w:trPr>
          <w:trHeight w:val="353"/>
          <w:jc w:val="center"/>
        </w:trPr>
        <w:tc>
          <w:tcPr>
            <w:tcW w:w="1200" w:type="dxa"/>
            <w:vAlign w:val="center"/>
          </w:tcPr>
          <w:p w:rsidR="00351AA2" w:rsidRPr="00EA15E1" w:rsidRDefault="00351AA2" w:rsidP="00CC1FB9">
            <w:pPr>
              <w:widowControl w:val="0"/>
              <w:tabs>
                <w:tab w:val="left" w:pos="0"/>
                <w:tab w:val="center" w:pos="4153"/>
                <w:tab w:val="right" w:pos="8306"/>
              </w:tabs>
              <w:spacing w:after="0" w:line="240" w:lineRule="auto"/>
              <w:jc w:val="center"/>
              <w:rPr>
                <w:rFonts w:ascii="Arial" w:eastAsiaTheme="minorEastAsia" w:hAnsi="Arial" w:cs="Arial"/>
                <w:b/>
                <w:bCs/>
                <w:sz w:val="20"/>
                <w:szCs w:val="20"/>
                <w:lang w:val="ro-RO" w:eastAsia="ro-RO"/>
              </w:rPr>
            </w:pPr>
            <w:r w:rsidRPr="00EA15E1">
              <w:rPr>
                <w:rFonts w:ascii="Arial" w:eastAsiaTheme="minorEastAsia" w:hAnsi="Arial" w:cs="Arial"/>
                <w:b/>
                <w:bCs/>
                <w:sz w:val="20"/>
                <w:szCs w:val="20"/>
                <w:lang w:val="ro-RO" w:eastAsia="ro-RO"/>
              </w:rPr>
              <w:t>2017</w:t>
            </w:r>
          </w:p>
        </w:tc>
        <w:tc>
          <w:tcPr>
            <w:tcW w:w="709" w:type="dxa"/>
            <w:vAlign w:val="center"/>
          </w:tcPr>
          <w:p w:rsidR="00351AA2" w:rsidRPr="00EA15E1" w:rsidRDefault="00351AA2" w:rsidP="00CC1FB9">
            <w:pPr>
              <w:widowControl w:val="0"/>
              <w:spacing w:after="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1700</w:t>
            </w:r>
          </w:p>
        </w:tc>
        <w:tc>
          <w:tcPr>
            <w:tcW w:w="1276" w:type="dxa"/>
            <w:vAlign w:val="center"/>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192</w:t>
            </w:r>
          </w:p>
          <w:p w:rsidR="00351AA2" w:rsidRPr="00EA15E1" w:rsidRDefault="00351AA2" w:rsidP="00CC1FB9">
            <w:pPr>
              <w:widowControl w:val="0"/>
              <w:spacing w:after="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11,29%</w:t>
            </w:r>
          </w:p>
        </w:tc>
        <w:tc>
          <w:tcPr>
            <w:tcW w:w="850" w:type="dxa"/>
            <w:vAlign w:val="center"/>
          </w:tcPr>
          <w:p w:rsidR="00351AA2" w:rsidRPr="00EA15E1" w:rsidRDefault="00351AA2" w:rsidP="00CC1FB9">
            <w:pPr>
              <w:widowControl w:val="0"/>
              <w:spacing w:after="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2669</w:t>
            </w:r>
          </w:p>
        </w:tc>
        <w:tc>
          <w:tcPr>
            <w:tcW w:w="1418" w:type="dxa"/>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208</w:t>
            </w:r>
          </w:p>
          <w:p w:rsidR="00351AA2" w:rsidRPr="00EA15E1" w:rsidRDefault="00304E2E" w:rsidP="00CC1FB9">
            <w:pPr>
              <w:widowControl w:val="0"/>
              <w:spacing w:before="20" w:after="20" w:line="240" w:lineRule="auto"/>
              <w:jc w:val="center"/>
              <w:rPr>
                <w:rFonts w:ascii="Arial" w:eastAsiaTheme="minorEastAsia" w:hAnsi="Arial" w:cs="Arial"/>
                <w:color w:val="FF0000"/>
                <w:sz w:val="20"/>
                <w:szCs w:val="20"/>
                <w:lang w:val="ro-RO" w:eastAsia="ro-RO"/>
              </w:rPr>
            </w:pPr>
            <w:r w:rsidRPr="00EA15E1">
              <w:rPr>
                <w:rFonts w:ascii="Arial" w:eastAsiaTheme="minorEastAsia" w:hAnsi="Arial" w:cs="Arial"/>
                <w:sz w:val="20"/>
                <w:szCs w:val="20"/>
                <w:lang w:val="ro-RO" w:eastAsia="ro-RO"/>
              </w:rPr>
              <w:t>7,79</w:t>
            </w:r>
            <w:r w:rsidR="00351AA2" w:rsidRPr="00EA15E1">
              <w:rPr>
                <w:rFonts w:ascii="Arial" w:eastAsiaTheme="minorEastAsia" w:hAnsi="Arial" w:cs="Arial"/>
                <w:sz w:val="20"/>
                <w:szCs w:val="20"/>
                <w:lang w:val="ro-RO" w:eastAsia="ro-RO"/>
              </w:rPr>
              <w:t>%</w:t>
            </w:r>
          </w:p>
        </w:tc>
        <w:tc>
          <w:tcPr>
            <w:tcW w:w="850" w:type="dxa"/>
            <w:vAlign w:val="center"/>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1762</w:t>
            </w:r>
          </w:p>
        </w:tc>
        <w:tc>
          <w:tcPr>
            <w:tcW w:w="1276" w:type="dxa"/>
            <w:vAlign w:val="center"/>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152</w:t>
            </w:r>
          </w:p>
          <w:p w:rsidR="00351AA2" w:rsidRPr="00EA15E1" w:rsidRDefault="00351AA2" w:rsidP="00CC1FB9">
            <w:pPr>
              <w:widowControl w:val="0"/>
              <w:spacing w:before="20" w:after="20" w:line="240" w:lineRule="auto"/>
              <w:jc w:val="center"/>
              <w:rPr>
                <w:rFonts w:ascii="Arial" w:eastAsiaTheme="minorEastAsia" w:hAnsi="Arial" w:cs="Arial"/>
                <w:color w:val="FF0000"/>
                <w:sz w:val="20"/>
                <w:szCs w:val="20"/>
                <w:lang w:val="ro-RO" w:eastAsia="ro-RO"/>
              </w:rPr>
            </w:pPr>
            <w:r w:rsidRPr="00EA15E1">
              <w:rPr>
                <w:rFonts w:ascii="Arial" w:eastAsiaTheme="minorEastAsia" w:hAnsi="Arial" w:cs="Arial"/>
                <w:sz w:val="20"/>
                <w:szCs w:val="20"/>
                <w:lang w:val="ro-RO" w:eastAsia="ro-RO"/>
              </w:rPr>
              <w:t>8,62%</w:t>
            </w:r>
          </w:p>
        </w:tc>
        <w:tc>
          <w:tcPr>
            <w:tcW w:w="992" w:type="dxa"/>
            <w:vAlign w:val="center"/>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4476</w:t>
            </w:r>
          </w:p>
        </w:tc>
        <w:tc>
          <w:tcPr>
            <w:tcW w:w="1342" w:type="dxa"/>
            <w:vAlign w:val="center"/>
          </w:tcPr>
          <w:p w:rsidR="00351AA2" w:rsidRPr="00EA15E1" w:rsidRDefault="00351AA2"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275</w:t>
            </w:r>
          </w:p>
          <w:p w:rsidR="00351AA2" w:rsidRPr="00EA15E1" w:rsidRDefault="00304E2E" w:rsidP="00CC1FB9">
            <w:pPr>
              <w:widowControl w:val="0"/>
              <w:spacing w:before="20" w:after="20" w:line="240" w:lineRule="auto"/>
              <w:jc w:val="center"/>
              <w:rPr>
                <w:rFonts w:ascii="Arial" w:eastAsiaTheme="minorEastAsia" w:hAnsi="Arial" w:cs="Arial"/>
                <w:sz w:val="20"/>
                <w:szCs w:val="20"/>
                <w:lang w:val="ro-RO" w:eastAsia="ro-RO"/>
              </w:rPr>
            </w:pPr>
            <w:r w:rsidRPr="00EA15E1">
              <w:rPr>
                <w:rFonts w:ascii="Arial" w:eastAsiaTheme="minorEastAsia" w:hAnsi="Arial" w:cs="Arial"/>
                <w:sz w:val="20"/>
                <w:szCs w:val="20"/>
                <w:lang w:val="ro-RO" w:eastAsia="ro-RO"/>
              </w:rPr>
              <w:t>6,14</w:t>
            </w:r>
            <w:r w:rsidR="00351AA2" w:rsidRPr="00EA15E1">
              <w:rPr>
                <w:rFonts w:ascii="Arial" w:eastAsiaTheme="minorEastAsia" w:hAnsi="Arial" w:cs="Arial"/>
                <w:sz w:val="20"/>
                <w:szCs w:val="20"/>
                <w:lang w:val="ro-RO" w:eastAsia="ro-RO"/>
              </w:rPr>
              <w:t>%</w:t>
            </w:r>
          </w:p>
        </w:tc>
      </w:tr>
    </w:tbl>
    <w:p w:rsidR="00E705E8" w:rsidRPr="00F12113" w:rsidRDefault="00E705E8" w:rsidP="00CC1FB9">
      <w:pPr>
        <w:widowControl w:val="0"/>
        <w:spacing w:after="0" w:line="240" w:lineRule="auto"/>
        <w:ind w:firstLine="708"/>
        <w:jc w:val="both"/>
        <w:rPr>
          <w:rFonts w:ascii="Arial" w:eastAsiaTheme="minorEastAsia" w:hAnsi="Arial" w:cs="Arial"/>
          <w:color w:val="FF0000"/>
          <w:sz w:val="6"/>
          <w:szCs w:val="6"/>
          <w:lang w:val="ro-RO" w:eastAsia="ro-RO"/>
        </w:rPr>
      </w:pPr>
    </w:p>
    <w:p w:rsidR="00052234" w:rsidRPr="00EA15E1" w:rsidRDefault="00474458" w:rsidP="00CC1FB9">
      <w:pPr>
        <w:widowControl w:val="0"/>
        <w:spacing w:after="0" w:line="240" w:lineRule="auto"/>
        <w:ind w:firstLine="720"/>
        <w:jc w:val="both"/>
        <w:rPr>
          <w:rFonts w:ascii="Arial" w:eastAsiaTheme="minorEastAsia" w:hAnsi="Arial" w:cs="Arial"/>
          <w:sz w:val="24"/>
          <w:szCs w:val="24"/>
          <w:lang w:val="ro-RO" w:eastAsia="ro-RO"/>
        </w:rPr>
      </w:pPr>
      <w:r w:rsidRPr="00EA15E1">
        <w:rPr>
          <w:rFonts w:ascii="Arial" w:eastAsiaTheme="minorEastAsia" w:hAnsi="Arial" w:cs="Arial"/>
          <w:sz w:val="24"/>
          <w:szCs w:val="24"/>
          <w:lang w:val="ro-RO" w:eastAsia="ro-RO"/>
        </w:rPr>
        <w:t>În anul 2017</w:t>
      </w:r>
      <w:r w:rsidR="00052234" w:rsidRPr="00EA15E1">
        <w:rPr>
          <w:rFonts w:ascii="Arial" w:eastAsiaTheme="minorEastAsia" w:hAnsi="Arial" w:cs="Arial"/>
          <w:sz w:val="24"/>
          <w:szCs w:val="24"/>
          <w:lang w:val="ro-RO" w:eastAsia="ro-RO"/>
        </w:rPr>
        <w:t>, la nivelul judeţului Suceava, probele găsite necorespunzătoare au reprezentat (vezi tab. VIII.1.3.4):</w:t>
      </w:r>
    </w:p>
    <w:p w:rsidR="00052234" w:rsidRPr="00EA15E1" w:rsidRDefault="00474458" w:rsidP="00CC1FB9">
      <w:pPr>
        <w:widowControl w:val="0"/>
        <w:spacing w:after="0" w:line="240" w:lineRule="auto"/>
        <w:jc w:val="both"/>
        <w:rPr>
          <w:rFonts w:ascii="Arial" w:eastAsiaTheme="minorEastAsia" w:hAnsi="Arial" w:cs="Arial"/>
          <w:sz w:val="24"/>
          <w:szCs w:val="24"/>
          <w:lang w:val="ro-RO" w:eastAsia="ro-RO"/>
        </w:rPr>
      </w:pPr>
      <w:r w:rsidRPr="00EA15E1">
        <w:rPr>
          <w:rFonts w:ascii="Arial" w:eastAsiaTheme="minorEastAsia" w:hAnsi="Arial" w:cs="Arial"/>
          <w:sz w:val="24"/>
          <w:szCs w:val="24"/>
          <w:lang w:val="ro-RO" w:eastAsia="ro-RO"/>
        </w:rPr>
        <w:t>- 11,3</w:t>
      </w:r>
      <w:r w:rsidR="00052234" w:rsidRPr="00EA15E1">
        <w:rPr>
          <w:rFonts w:ascii="Arial" w:eastAsiaTheme="minorEastAsia" w:hAnsi="Arial" w:cs="Arial"/>
          <w:sz w:val="24"/>
          <w:szCs w:val="24"/>
          <w:lang w:val="ro-RO" w:eastAsia="ro-RO"/>
        </w:rPr>
        <w:t>% din numărul total de probe prelevate pentru determinări de parametri chimici</w:t>
      </w:r>
      <w:r w:rsidR="0067400B">
        <w:rPr>
          <w:rFonts w:ascii="Arial" w:eastAsiaTheme="minorEastAsia" w:hAnsi="Arial" w:cs="Arial"/>
          <w:sz w:val="24"/>
          <w:szCs w:val="24"/>
          <w:lang w:val="ro-RO" w:eastAsia="ro-RO"/>
        </w:rPr>
        <w:t>;</w:t>
      </w:r>
      <w:r w:rsidR="00052234" w:rsidRPr="00EA15E1">
        <w:rPr>
          <w:rFonts w:ascii="Arial" w:eastAsiaTheme="minorEastAsia" w:hAnsi="Arial" w:cs="Arial"/>
          <w:sz w:val="24"/>
          <w:szCs w:val="24"/>
          <w:lang w:val="ro-RO" w:eastAsia="ro-RO"/>
        </w:rPr>
        <w:t xml:space="preserve"> </w:t>
      </w:r>
    </w:p>
    <w:p w:rsidR="00052234" w:rsidRPr="004459CA" w:rsidRDefault="004459CA" w:rsidP="00CC1FB9">
      <w:pPr>
        <w:widowControl w:val="0"/>
        <w:spacing w:after="0" w:line="240" w:lineRule="auto"/>
        <w:jc w:val="both"/>
        <w:rPr>
          <w:rFonts w:ascii="Arial" w:eastAsiaTheme="minorEastAsia" w:hAnsi="Arial" w:cs="Arial"/>
          <w:sz w:val="24"/>
          <w:szCs w:val="24"/>
          <w:lang w:val="ro-RO" w:eastAsia="ro-RO"/>
        </w:rPr>
      </w:pPr>
      <w:r w:rsidRPr="00EA15E1">
        <w:rPr>
          <w:rFonts w:ascii="Arial" w:eastAsiaTheme="minorEastAsia" w:hAnsi="Arial" w:cs="Arial"/>
          <w:sz w:val="24"/>
          <w:szCs w:val="24"/>
          <w:lang w:val="ro-RO" w:eastAsia="ro-RO"/>
        </w:rPr>
        <w:t>- 8</w:t>
      </w:r>
      <w:r w:rsidR="0040563E" w:rsidRPr="00EA15E1">
        <w:rPr>
          <w:rFonts w:ascii="Arial" w:eastAsiaTheme="minorEastAsia" w:hAnsi="Arial" w:cs="Arial"/>
          <w:sz w:val="24"/>
          <w:szCs w:val="24"/>
          <w:lang w:val="ro-RO" w:eastAsia="ro-RO"/>
        </w:rPr>
        <w:t>,</w:t>
      </w:r>
      <w:r w:rsidRPr="00EA15E1">
        <w:rPr>
          <w:rFonts w:ascii="Arial" w:eastAsiaTheme="minorEastAsia" w:hAnsi="Arial" w:cs="Arial"/>
          <w:sz w:val="24"/>
          <w:szCs w:val="24"/>
          <w:lang w:val="ro-RO" w:eastAsia="ro-RO"/>
        </w:rPr>
        <w:t>6</w:t>
      </w:r>
      <w:r w:rsidR="00052234" w:rsidRPr="00EA15E1">
        <w:rPr>
          <w:rFonts w:ascii="Arial" w:eastAsiaTheme="minorEastAsia" w:hAnsi="Arial" w:cs="Arial"/>
          <w:sz w:val="24"/>
          <w:szCs w:val="24"/>
          <w:lang w:val="ro-RO" w:eastAsia="ro-RO"/>
        </w:rPr>
        <w:t>% din numărul total de probe prelevate pentru determinări microbiologice.</w:t>
      </w:r>
      <w:r w:rsidR="00052234" w:rsidRPr="004459CA">
        <w:rPr>
          <w:rFonts w:ascii="Arial" w:eastAsiaTheme="minorEastAsia" w:hAnsi="Arial" w:cs="Arial"/>
          <w:sz w:val="24"/>
          <w:szCs w:val="24"/>
          <w:lang w:val="ro-RO" w:eastAsia="ro-RO"/>
        </w:rPr>
        <w:t xml:space="preserve"> </w:t>
      </w:r>
    </w:p>
    <w:p w:rsidR="00742FDD" w:rsidRPr="00F12113" w:rsidRDefault="00742FDD" w:rsidP="00CC1FB9">
      <w:pPr>
        <w:widowControl w:val="0"/>
        <w:spacing w:after="0" w:line="240" w:lineRule="auto"/>
        <w:ind w:firstLine="720"/>
        <w:jc w:val="both"/>
        <w:rPr>
          <w:rFonts w:ascii="Arial" w:eastAsiaTheme="minorEastAsia" w:hAnsi="Arial" w:cs="Arial"/>
          <w:color w:val="FF0000"/>
          <w:sz w:val="6"/>
          <w:szCs w:val="6"/>
          <w:lang w:val="ro-RO" w:eastAsia="ro-RO"/>
        </w:rPr>
      </w:pPr>
    </w:p>
    <w:p w:rsidR="002E2877" w:rsidRPr="00FD0289" w:rsidRDefault="002E2877" w:rsidP="00CC1FB9">
      <w:pPr>
        <w:widowControl w:val="0"/>
        <w:spacing w:after="0" w:line="240" w:lineRule="auto"/>
        <w:ind w:firstLine="720"/>
        <w:jc w:val="both"/>
        <w:rPr>
          <w:rFonts w:ascii="Arial" w:eastAsiaTheme="minorEastAsia" w:hAnsi="Arial" w:cs="Arial"/>
          <w:sz w:val="24"/>
          <w:szCs w:val="24"/>
          <w:lang w:val="ro-RO" w:eastAsia="ro-RO"/>
        </w:rPr>
      </w:pPr>
      <w:r w:rsidRPr="00FD0289">
        <w:rPr>
          <w:rFonts w:ascii="Arial" w:eastAsiaTheme="minorEastAsia" w:hAnsi="Arial" w:cs="Arial"/>
          <w:sz w:val="24"/>
          <w:szCs w:val="24"/>
          <w:lang w:val="ro-RO" w:eastAsia="ro-RO"/>
        </w:rPr>
        <w:t xml:space="preserve">Calitatea apei din fântâni în județul Suceava a fost monitorizată în anul 2017 prin prelevarea a 300 probe de apă pentru determinări chimice și microbiologice. Probele de apă au fost recoltate din fântânile publice </w:t>
      </w:r>
      <w:r w:rsidR="0067400B">
        <w:rPr>
          <w:rFonts w:ascii="Arial" w:eastAsiaTheme="minorEastAsia" w:hAnsi="Arial" w:cs="Arial"/>
          <w:sz w:val="24"/>
          <w:szCs w:val="24"/>
          <w:lang w:val="ro-RO" w:eastAsia="ro-RO"/>
        </w:rPr>
        <w:t>indic</w:t>
      </w:r>
      <w:r w:rsidRPr="00FD0289">
        <w:rPr>
          <w:rFonts w:ascii="Arial" w:eastAsiaTheme="minorEastAsia" w:hAnsi="Arial" w:cs="Arial"/>
          <w:sz w:val="24"/>
          <w:szCs w:val="24"/>
          <w:lang w:val="ro-RO" w:eastAsia="ro-RO"/>
        </w:rPr>
        <w:t>ate de primăriile locale.</w:t>
      </w:r>
    </w:p>
    <w:p w:rsidR="00FD0289" w:rsidRPr="00F12113" w:rsidRDefault="00FD0289" w:rsidP="00CC1FB9">
      <w:pPr>
        <w:widowControl w:val="0"/>
        <w:spacing w:after="0" w:line="240" w:lineRule="auto"/>
        <w:ind w:firstLine="720"/>
        <w:jc w:val="both"/>
        <w:rPr>
          <w:rFonts w:ascii="Arial" w:eastAsiaTheme="minorEastAsia" w:hAnsi="Arial" w:cs="Arial"/>
          <w:sz w:val="6"/>
          <w:szCs w:val="6"/>
          <w:lang w:val="ro-RO" w:eastAsia="ro-RO"/>
        </w:rPr>
      </w:pPr>
    </w:p>
    <w:p w:rsidR="00F84A55" w:rsidRPr="00FD0289" w:rsidRDefault="00F84A55" w:rsidP="00CC1FB9">
      <w:pPr>
        <w:widowControl w:val="0"/>
        <w:spacing w:after="0" w:line="240" w:lineRule="auto"/>
        <w:jc w:val="center"/>
        <w:rPr>
          <w:rFonts w:ascii="Arial" w:eastAsiaTheme="minorEastAsia" w:hAnsi="Arial" w:cs="Arial"/>
          <w:lang w:val="ro-RO" w:eastAsia="ro-RO"/>
        </w:rPr>
      </w:pPr>
      <w:r w:rsidRPr="00FD0289">
        <w:rPr>
          <w:rFonts w:ascii="Arial" w:eastAsiaTheme="minorEastAsia" w:hAnsi="Arial" w:cs="Arial"/>
          <w:lang w:val="ro-RO" w:eastAsia="ro-RO"/>
        </w:rPr>
        <w:lastRenderedPageBreak/>
        <w:t xml:space="preserve">Tabelul VIII.1.3.5. Calitatea chimică şi bacteriologică a apei din fântâni în jud. Suceava </w:t>
      </w:r>
    </w:p>
    <w:p w:rsidR="00F84A55" w:rsidRDefault="00F84A55" w:rsidP="00CC1FB9">
      <w:pPr>
        <w:widowControl w:val="0"/>
        <w:spacing w:after="0" w:line="240" w:lineRule="auto"/>
        <w:jc w:val="center"/>
        <w:rPr>
          <w:rFonts w:ascii="Arial" w:eastAsiaTheme="minorEastAsia" w:hAnsi="Arial" w:cs="Arial"/>
          <w:lang w:val="ro-RO" w:eastAsia="ro-RO"/>
        </w:rPr>
      </w:pPr>
      <w:r w:rsidRPr="00FD0289">
        <w:rPr>
          <w:rFonts w:ascii="Arial" w:eastAsiaTheme="minorEastAsia" w:hAnsi="Arial" w:cs="Arial"/>
          <w:lang w:val="ro-RO" w:eastAsia="ro-RO"/>
        </w:rPr>
        <w:t>în anul 2017 (</w:t>
      </w:r>
      <w:r w:rsidRPr="00FD0289">
        <w:rPr>
          <w:rFonts w:ascii="Arial" w:eastAsiaTheme="minorEastAsia" w:hAnsi="Arial" w:cs="Arial"/>
          <w:i/>
          <w:lang w:val="ro-RO" w:eastAsia="ro-RO"/>
        </w:rPr>
        <w:t>Sursa: Direcţia de Sănătate Publică Judeţeană Suceava</w:t>
      </w:r>
      <w:r w:rsidRPr="00FD0289">
        <w:rPr>
          <w:rFonts w:ascii="Arial" w:eastAsiaTheme="minorEastAsia" w:hAnsi="Arial" w:cs="Arial"/>
          <w:lang w:val="ro-RO" w:eastAsia="ro-RO"/>
        </w:rPr>
        <w:t>)</w:t>
      </w:r>
    </w:p>
    <w:p w:rsidR="0067400B" w:rsidRPr="0067400B" w:rsidRDefault="0067400B" w:rsidP="00CC1FB9">
      <w:pPr>
        <w:widowControl w:val="0"/>
        <w:spacing w:after="0" w:line="240" w:lineRule="auto"/>
        <w:jc w:val="center"/>
        <w:rPr>
          <w:rFonts w:ascii="Arial" w:eastAsiaTheme="minorEastAsia" w:hAnsi="Arial" w:cs="Arial"/>
          <w:sz w:val="10"/>
          <w:szCs w:val="10"/>
          <w:lang w:val="ro-RO" w:eastAsia="ro-RO"/>
        </w:rPr>
      </w:pPr>
    </w:p>
    <w:tbl>
      <w:tblPr>
        <w:tblStyle w:val="TableGrid"/>
        <w:tblW w:w="10013" w:type="dxa"/>
        <w:tblInd w:w="-34" w:type="dxa"/>
        <w:tblLayout w:type="fixed"/>
        <w:tblCellMar>
          <w:left w:w="57" w:type="dxa"/>
          <w:right w:w="57" w:type="dxa"/>
        </w:tblCellMar>
        <w:tblLook w:val="01E0"/>
      </w:tblPr>
      <w:tblGrid>
        <w:gridCol w:w="2514"/>
        <w:gridCol w:w="789"/>
        <w:gridCol w:w="1118"/>
        <w:gridCol w:w="699"/>
        <w:gridCol w:w="1118"/>
        <w:gridCol w:w="750"/>
        <w:gridCol w:w="1118"/>
        <w:gridCol w:w="789"/>
        <w:gridCol w:w="1118"/>
      </w:tblGrid>
      <w:tr w:rsidR="00BD06E0" w:rsidRPr="00A70F1C" w:rsidTr="0067400B">
        <w:trPr>
          <w:trHeight w:val="199"/>
          <w:tblHeader/>
        </w:trPr>
        <w:tc>
          <w:tcPr>
            <w:tcW w:w="2514" w:type="dxa"/>
            <w:vMerge w:val="restart"/>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Locul recoltării</w:t>
            </w:r>
          </w:p>
        </w:tc>
        <w:tc>
          <w:tcPr>
            <w:tcW w:w="3724" w:type="dxa"/>
            <w:gridSpan w:val="4"/>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Determinări chimice</w:t>
            </w:r>
          </w:p>
        </w:tc>
        <w:tc>
          <w:tcPr>
            <w:tcW w:w="3775" w:type="dxa"/>
            <w:gridSpan w:val="4"/>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Determinări microbiologice</w:t>
            </w:r>
          </w:p>
        </w:tc>
      </w:tr>
      <w:tr w:rsidR="00BD06E0" w:rsidRPr="00A70F1C" w:rsidTr="00685C4E">
        <w:trPr>
          <w:trHeight w:val="652"/>
          <w:tblHeader/>
        </w:trPr>
        <w:tc>
          <w:tcPr>
            <w:tcW w:w="2514" w:type="dxa"/>
            <w:vMerge/>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p>
        </w:tc>
        <w:tc>
          <w:tcPr>
            <w:tcW w:w="789"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 xml:space="preserve">probe </w:t>
            </w:r>
          </w:p>
        </w:tc>
        <w:tc>
          <w:tcPr>
            <w:tcW w:w="1118"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 probe</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 xml:space="preserve">necoresp. </w:t>
            </w:r>
          </w:p>
          <w:p w:rsidR="00BD06E0" w:rsidRPr="00602A33" w:rsidRDefault="007D6C2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699"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 det. chim.</w:t>
            </w:r>
          </w:p>
        </w:tc>
        <w:tc>
          <w:tcPr>
            <w:tcW w:w="1118"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 det. chimice</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necoresp.</w:t>
            </w:r>
          </w:p>
        </w:tc>
        <w:tc>
          <w:tcPr>
            <w:tcW w:w="750"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probe</w:t>
            </w:r>
          </w:p>
        </w:tc>
        <w:tc>
          <w:tcPr>
            <w:tcW w:w="1118"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 probe</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necoresp.</w:t>
            </w:r>
          </w:p>
          <w:p w:rsidR="00BD06E0" w:rsidRPr="00602A33" w:rsidRDefault="007D6C23"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F12113">
              <w:rPr>
                <w:rFonts w:ascii="Arial" w:eastAsiaTheme="minorEastAsia" w:hAnsi="Arial" w:cs="Arial"/>
                <w:sz w:val="20"/>
                <w:szCs w:val="20"/>
                <w:lang w:val="ro-RO" w:eastAsia="ro-RO"/>
              </w:rPr>
              <w:t>(nr./%)</w:t>
            </w:r>
          </w:p>
        </w:tc>
        <w:tc>
          <w:tcPr>
            <w:tcW w:w="789"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 xml:space="preserve">Nr. det. </w:t>
            </w:r>
          </w:p>
        </w:tc>
        <w:tc>
          <w:tcPr>
            <w:tcW w:w="1118" w:type="dxa"/>
            <w:shd w:val="clear" w:color="auto" w:fill="FFFF99"/>
          </w:tcPr>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Nr. det. microbiol.</w:t>
            </w:r>
          </w:p>
          <w:p w:rsidR="00BD06E0" w:rsidRPr="00602A33" w:rsidRDefault="00BD06E0" w:rsidP="00CC1FB9">
            <w:pPr>
              <w:widowControl w:val="0"/>
              <w:tabs>
                <w:tab w:val="center" w:pos="4153"/>
                <w:tab w:val="right" w:pos="8306"/>
              </w:tabs>
              <w:spacing w:after="0" w:line="240" w:lineRule="auto"/>
              <w:jc w:val="center"/>
              <w:rPr>
                <w:rFonts w:ascii="Arial" w:eastAsiaTheme="minorEastAsia" w:hAnsi="Arial" w:cs="Arial"/>
                <w:b/>
                <w:sz w:val="20"/>
                <w:szCs w:val="20"/>
                <w:lang w:val="ro-RO" w:eastAsia="ro-RO"/>
              </w:rPr>
            </w:pPr>
            <w:r w:rsidRPr="00602A33">
              <w:rPr>
                <w:rFonts w:ascii="Arial" w:eastAsiaTheme="minorEastAsia" w:hAnsi="Arial" w:cs="Arial"/>
                <w:b/>
                <w:sz w:val="20"/>
                <w:szCs w:val="20"/>
                <w:lang w:val="ro-RO" w:eastAsia="ro-RO"/>
              </w:rPr>
              <w:t>necoresp.</w:t>
            </w:r>
          </w:p>
        </w:tc>
      </w:tr>
      <w:tr w:rsidR="00602A33" w:rsidRPr="00A70F1C" w:rsidTr="0067400B">
        <w:trPr>
          <w:trHeight w:val="29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Adancata</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7400B">
        <w:trPr>
          <w:trHeight w:val="273"/>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Arbore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tc>
      </w:tr>
      <w:tr w:rsidR="00602A33" w:rsidRPr="00A70F1C" w:rsidTr="00602A33">
        <w:trPr>
          <w:trHeight w:val="370"/>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Balaceana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tc>
      </w:tr>
      <w:tr w:rsidR="00602A33" w:rsidRPr="00A70F1C" w:rsidTr="00602A33">
        <w:trPr>
          <w:trHeight w:val="46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Botosana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w:t>
            </w:r>
          </w:p>
        </w:tc>
      </w:tr>
      <w:tr w:rsidR="00602A33" w:rsidRPr="00A70F1C" w:rsidTr="00602A33">
        <w:trPr>
          <w:trHeight w:val="426"/>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Cacica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r w:rsidR="0067400B">
              <w:rPr>
                <w:rFonts w:ascii="Arial" w:hAnsi="Arial" w:cs="Arial"/>
                <w:sz w:val="20"/>
                <w:szCs w:val="20"/>
              </w:rPr>
              <w:t>,</w:t>
            </w:r>
            <w:r w:rsidRPr="00602A33">
              <w:rPr>
                <w:rFonts w:ascii="Arial" w:hAnsi="Arial" w:cs="Arial"/>
                <w:sz w:val="20"/>
                <w:szCs w:val="20"/>
              </w:rPr>
              <w:t>66%</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66</w:t>
            </w:r>
            <w:r w:rsidR="0067400B">
              <w:rPr>
                <w:rFonts w:ascii="Arial" w:hAnsi="Arial" w:cs="Arial"/>
                <w:sz w:val="20"/>
                <w:szCs w:val="20"/>
              </w:rPr>
              <w:t>,</w:t>
            </w:r>
            <w:r w:rsidRPr="00602A33">
              <w:rPr>
                <w:rFonts w:ascii="Arial" w:hAnsi="Arial" w:cs="Arial"/>
                <w:sz w:val="20"/>
                <w:szCs w:val="20"/>
              </w:rPr>
              <w:t>66%</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9</w:t>
            </w:r>
          </w:p>
        </w:tc>
      </w:tr>
      <w:tr w:rsidR="00602A33" w:rsidRPr="00A70F1C" w:rsidTr="00602A33">
        <w:trPr>
          <w:trHeight w:val="376"/>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Cajvana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87</w:t>
            </w:r>
            <w:r w:rsidR="0067400B">
              <w:rPr>
                <w:rFonts w:ascii="Arial" w:hAnsi="Arial" w:cs="Arial"/>
                <w:sz w:val="20"/>
                <w:szCs w:val="20"/>
              </w:rPr>
              <w:t>,</w:t>
            </w:r>
            <w:r w:rsidRPr="00602A33">
              <w:rPr>
                <w:rFonts w:ascii="Arial" w:hAnsi="Arial" w:cs="Arial"/>
                <w:sz w:val="20"/>
                <w:szCs w:val="20"/>
              </w:rPr>
              <w:t>5%</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28</w:t>
            </w:r>
          </w:p>
        </w:tc>
      </w:tr>
      <w:tr w:rsidR="00602A33" w:rsidRPr="00A70F1C" w:rsidTr="00602A33">
        <w:trPr>
          <w:trHeight w:val="46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Calafindesti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p w:rsidR="00602A33" w:rsidRPr="00602A33" w:rsidRDefault="00602A33" w:rsidP="00CC1FB9">
            <w:pPr>
              <w:widowControl w:val="0"/>
              <w:spacing w:after="0" w:line="240" w:lineRule="auto"/>
              <w:jc w:val="center"/>
              <w:rPr>
                <w:rFonts w:ascii="Arial" w:hAnsi="Arial" w:cs="Arial"/>
                <w:sz w:val="20"/>
                <w:szCs w:val="20"/>
              </w:rPr>
            </w:pP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r>
      <w:tr w:rsidR="00602A33" w:rsidRPr="00A70F1C" w:rsidTr="00602A33">
        <w:trPr>
          <w:trHeight w:val="41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Comanesti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27</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17</w:t>
            </w:r>
          </w:p>
        </w:tc>
      </w:tr>
      <w:tr w:rsidR="00602A33" w:rsidRPr="00A70F1C" w:rsidTr="00602A33">
        <w:trPr>
          <w:trHeight w:val="38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Dragoiesti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r>
      <w:tr w:rsidR="00602A33" w:rsidRPr="00A70F1C" w:rsidTr="00602A33">
        <w:trPr>
          <w:trHeight w:val="33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Falticeni</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w:t>
            </w:r>
          </w:p>
        </w:tc>
      </w:tr>
      <w:tr w:rsidR="00602A33" w:rsidRPr="00A70F1C" w:rsidTr="00602A33">
        <w:trPr>
          <w:trHeight w:val="425"/>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Frasin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r>
      <w:tr w:rsidR="00602A33" w:rsidRPr="00A70F1C" w:rsidTr="00602A33">
        <w:trPr>
          <w:trHeight w:val="38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Gura Humorului</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75%</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9</w:t>
            </w:r>
          </w:p>
        </w:tc>
      </w:tr>
      <w:tr w:rsidR="00602A33" w:rsidRPr="00A70F1C" w:rsidTr="0067400B">
        <w:trPr>
          <w:trHeight w:val="140"/>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Granicesti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33</w:t>
            </w:r>
            <w:r w:rsidR="0067400B">
              <w:rPr>
                <w:rFonts w:ascii="Arial" w:hAnsi="Arial" w:cs="Arial"/>
                <w:sz w:val="20"/>
                <w:szCs w:val="20"/>
              </w:rPr>
              <w:t>,</w:t>
            </w:r>
            <w:r w:rsidRPr="00602A33">
              <w:rPr>
                <w:rFonts w:ascii="Arial" w:hAnsi="Arial" w:cs="Arial"/>
                <w:sz w:val="20"/>
                <w:szCs w:val="20"/>
              </w:rPr>
              <w:t>33%</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39</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27</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14</w:t>
            </w:r>
          </w:p>
        </w:tc>
      </w:tr>
      <w:tr w:rsidR="00602A33" w:rsidRPr="00A70F1C" w:rsidTr="0067400B">
        <w:trPr>
          <w:trHeight w:val="23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Hantesti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02A33">
        <w:trPr>
          <w:trHeight w:val="344"/>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Horodniceni </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02A33">
        <w:trPr>
          <w:trHeight w:val="294"/>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Horodnic de Jos</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13</w:t>
            </w:r>
          </w:p>
        </w:tc>
      </w:tr>
      <w:tr w:rsidR="00602A33" w:rsidRPr="00A70F1C" w:rsidTr="00602A33">
        <w:trPr>
          <w:trHeight w:val="25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Horodnic de Sus</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13</w:t>
            </w:r>
          </w:p>
        </w:tc>
      </w:tr>
      <w:tr w:rsidR="00602A33" w:rsidRPr="00A70F1C" w:rsidTr="00602A33">
        <w:trPr>
          <w:trHeight w:val="365"/>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Ilisesti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19</w:t>
            </w:r>
          </w:p>
        </w:tc>
      </w:tr>
      <w:tr w:rsidR="00602A33" w:rsidRPr="00A70F1C" w:rsidTr="00602A33">
        <w:trPr>
          <w:trHeight w:val="457"/>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Ipotesti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02A33">
        <w:trPr>
          <w:trHeight w:val="264"/>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Ostra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19</w:t>
            </w:r>
          </w:p>
        </w:tc>
      </w:tr>
      <w:tr w:rsidR="00602A33" w:rsidRPr="00A70F1C" w:rsidTr="00602A33">
        <w:trPr>
          <w:trHeight w:val="370"/>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Partesti de Jos</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17</w:t>
            </w:r>
          </w:p>
        </w:tc>
      </w:tr>
      <w:tr w:rsidR="00602A33" w:rsidRPr="00A70F1C" w:rsidTr="00602A33">
        <w:trPr>
          <w:trHeight w:val="46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Putna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r>
      <w:tr w:rsidR="00602A33" w:rsidRPr="00A70F1C" w:rsidTr="00602A33">
        <w:trPr>
          <w:trHeight w:val="41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Radaseni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25%</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13</w:t>
            </w:r>
          </w:p>
        </w:tc>
      </w:tr>
      <w:tr w:rsidR="00602A33" w:rsidRPr="00A70F1C" w:rsidTr="00602A33">
        <w:trPr>
          <w:trHeight w:val="376"/>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Scheia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83</w:t>
            </w:r>
            <w:r w:rsidR="0067400B">
              <w:rPr>
                <w:rFonts w:ascii="Arial" w:hAnsi="Arial" w:cs="Arial"/>
                <w:sz w:val="20"/>
                <w:szCs w:val="20"/>
              </w:rPr>
              <w:t>,</w:t>
            </w:r>
            <w:r w:rsidRPr="00602A33">
              <w:rPr>
                <w:rFonts w:ascii="Arial" w:hAnsi="Arial" w:cs="Arial"/>
                <w:sz w:val="20"/>
                <w:szCs w:val="20"/>
              </w:rPr>
              <w:t>33%</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19</w:t>
            </w:r>
          </w:p>
        </w:tc>
      </w:tr>
      <w:tr w:rsidR="00602A33" w:rsidRPr="00A70F1C" w:rsidTr="00602A33">
        <w:trPr>
          <w:trHeight w:val="469"/>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Stroiesti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02A33">
        <w:trPr>
          <w:trHeight w:val="262"/>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Stulpicani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0</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21</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17</w:t>
            </w:r>
          </w:p>
        </w:tc>
      </w:tr>
      <w:tr w:rsidR="00602A33" w:rsidRPr="00A70F1C" w:rsidTr="00602A33">
        <w:trPr>
          <w:trHeight w:val="36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Sucevita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33</w:t>
            </w:r>
            <w:r w:rsidR="0067400B">
              <w:rPr>
                <w:rFonts w:ascii="Arial" w:hAnsi="Arial" w:cs="Arial"/>
                <w:sz w:val="20"/>
                <w:szCs w:val="20"/>
              </w:rPr>
              <w:t>,</w:t>
            </w:r>
            <w:r w:rsidRPr="00602A33">
              <w:rPr>
                <w:rFonts w:ascii="Arial" w:hAnsi="Arial" w:cs="Arial"/>
                <w:sz w:val="20"/>
                <w:szCs w:val="20"/>
              </w:rPr>
              <w:t>33%</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33</w:t>
            </w:r>
            <w:r w:rsidR="0067400B">
              <w:rPr>
                <w:rFonts w:ascii="Arial" w:hAnsi="Arial" w:cs="Arial"/>
                <w:sz w:val="20"/>
                <w:szCs w:val="20"/>
              </w:rPr>
              <w:t>,</w:t>
            </w:r>
            <w:r w:rsidRPr="00602A33">
              <w:rPr>
                <w:rFonts w:ascii="Arial" w:hAnsi="Arial" w:cs="Arial"/>
                <w:sz w:val="20"/>
                <w:szCs w:val="20"/>
              </w:rPr>
              <w:t>33%</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r>
      <w:tr w:rsidR="00602A33" w:rsidRPr="00A70F1C" w:rsidTr="00602A33">
        <w:trPr>
          <w:trHeight w:val="31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Serbauti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lastRenderedPageBreak/>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lastRenderedPageBreak/>
              <w:t>26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lastRenderedPageBreak/>
              <w:t>75%</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lastRenderedPageBreak/>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r>
      <w:tr w:rsidR="00602A33" w:rsidRPr="00A70F1C" w:rsidTr="00602A33">
        <w:trPr>
          <w:trHeight w:val="410"/>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lastRenderedPageBreak/>
              <w:t xml:space="preserve">Udesti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50%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p>
        </w:tc>
      </w:tr>
      <w:tr w:rsidR="00602A33" w:rsidRPr="00A70F1C" w:rsidTr="00602A33">
        <w:trPr>
          <w:trHeight w:val="375"/>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Vatra Dornei</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16</w:t>
            </w:r>
            <w:r w:rsidR="0067400B">
              <w:rPr>
                <w:rFonts w:ascii="Arial" w:hAnsi="Arial" w:cs="Arial"/>
                <w:sz w:val="20"/>
                <w:szCs w:val="20"/>
              </w:rPr>
              <w:t>,</w:t>
            </w:r>
            <w:r w:rsidRPr="00602A33">
              <w:rPr>
                <w:rFonts w:ascii="Arial" w:hAnsi="Arial" w:cs="Arial"/>
                <w:sz w:val="20"/>
                <w:szCs w:val="20"/>
              </w:rPr>
              <w:t>66</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39</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33</w:t>
            </w:r>
            <w:r w:rsidR="0067400B">
              <w:rPr>
                <w:rFonts w:ascii="Arial" w:hAnsi="Arial" w:cs="Arial"/>
                <w:sz w:val="20"/>
                <w:szCs w:val="20"/>
              </w:rPr>
              <w:t>,</w:t>
            </w:r>
            <w:r w:rsidRPr="00602A33">
              <w:rPr>
                <w:rFonts w:ascii="Arial" w:hAnsi="Arial" w:cs="Arial"/>
                <w:sz w:val="20"/>
                <w:szCs w:val="20"/>
              </w:rPr>
              <w:t>33%</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27</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r>
      <w:tr w:rsidR="00602A33" w:rsidRPr="00A70F1C" w:rsidTr="0067400B">
        <w:trPr>
          <w:trHeight w:val="65"/>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 xml:space="preserve">Veresti </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2</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w:t>
            </w:r>
          </w:p>
        </w:tc>
      </w:tr>
      <w:tr w:rsidR="00602A33" w:rsidRPr="00A70F1C" w:rsidTr="0067400B">
        <w:trPr>
          <w:trHeight w:val="65"/>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Voitinel</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18</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100%</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9</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3</w:t>
            </w:r>
          </w:p>
        </w:tc>
      </w:tr>
      <w:tr w:rsidR="00602A33" w:rsidRPr="00A70F1C" w:rsidTr="00602A33">
        <w:trPr>
          <w:trHeight w:val="238"/>
        </w:trPr>
        <w:tc>
          <w:tcPr>
            <w:tcW w:w="2514" w:type="dxa"/>
          </w:tcPr>
          <w:p w:rsidR="00602A33" w:rsidRPr="00602A33" w:rsidRDefault="00602A33" w:rsidP="00CC1FB9">
            <w:pPr>
              <w:widowControl w:val="0"/>
              <w:spacing w:after="0" w:line="240" w:lineRule="auto"/>
              <w:rPr>
                <w:rFonts w:ascii="Arial" w:hAnsi="Arial" w:cs="Arial"/>
                <w:sz w:val="20"/>
                <w:szCs w:val="20"/>
              </w:rPr>
            </w:pPr>
            <w:r w:rsidRPr="00602A33">
              <w:rPr>
                <w:rFonts w:ascii="Arial" w:hAnsi="Arial" w:cs="Arial"/>
                <w:sz w:val="20"/>
                <w:szCs w:val="20"/>
              </w:rPr>
              <w:t>Total judet</w:t>
            </w:r>
          </w:p>
          <w:p w:rsidR="00602A33" w:rsidRPr="00602A33" w:rsidRDefault="00602A33" w:rsidP="00CC1FB9">
            <w:pPr>
              <w:widowControl w:val="0"/>
              <w:spacing w:after="0" w:line="240" w:lineRule="auto"/>
              <w:rPr>
                <w:rFonts w:ascii="Arial" w:hAnsi="Arial" w:cs="Arial"/>
                <w:sz w:val="20"/>
                <w:szCs w:val="20"/>
              </w:rPr>
            </w:pP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65</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43</w:t>
            </w:r>
            <w:r w:rsidR="0067400B">
              <w:rPr>
                <w:rFonts w:ascii="Arial" w:hAnsi="Arial" w:cs="Arial"/>
                <w:sz w:val="20"/>
                <w:szCs w:val="20"/>
              </w:rPr>
              <w:t>,</w:t>
            </w:r>
            <w:r w:rsidRPr="00602A33">
              <w:rPr>
                <w:rFonts w:ascii="Arial" w:hAnsi="Arial" w:cs="Arial"/>
                <w:sz w:val="20"/>
                <w:szCs w:val="20"/>
              </w:rPr>
              <w:t>33%</w:t>
            </w:r>
          </w:p>
        </w:tc>
        <w:tc>
          <w:tcPr>
            <w:tcW w:w="69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982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66</w:t>
            </w:r>
          </w:p>
        </w:tc>
        <w:tc>
          <w:tcPr>
            <w:tcW w:w="750"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150</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130</w:t>
            </w:r>
          </w:p>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86</w:t>
            </w:r>
            <w:r w:rsidR="0067400B">
              <w:rPr>
                <w:rFonts w:ascii="Arial" w:hAnsi="Arial" w:cs="Arial"/>
                <w:sz w:val="20"/>
                <w:szCs w:val="20"/>
              </w:rPr>
              <w:t>,</w:t>
            </w:r>
            <w:r w:rsidRPr="00602A33">
              <w:rPr>
                <w:rFonts w:ascii="Arial" w:hAnsi="Arial" w:cs="Arial"/>
                <w:sz w:val="20"/>
                <w:szCs w:val="20"/>
              </w:rPr>
              <w:t>66%</w:t>
            </w:r>
          </w:p>
        </w:tc>
        <w:tc>
          <w:tcPr>
            <w:tcW w:w="789"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662</w:t>
            </w:r>
          </w:p>
        </w:tc>
        <w:tc>
          <w:tcPr>
            <w:tcW w:w="1118" w:type="dxa"/>
          </w:tcPr>
          <w:p w:rsidR="00602A33" w:rsidRPr="00602A33" w:rsidRDefault="00602A33" w:rsidP="00CC1FB9">
            <w:pPr>
              <w:widowControl w:val="0"/>
              <w:spacing w:after="0" w:line="240" w:lineRule="auto"/>
              <w:jc w:val="center"/>
              <w:rPr>
                <w:rFonts w:ascii="Arial" w:hAnsi="Arial" w:cs="Arial"/>
                <w:sz w:val="20"/>
                <w:szCs w:val="20"/>
              </w:rPr>
            </w:pPr>
            <w:r w:rsidRPr="00602A33">
              <w:rPr>
                <w:rFonts w:ascii="Arial" w:hAnsi="Arial" w:cs="Arial"/>
                <w:sz w:val="20"/>
                <w:szCs w:val="20"/>
              </w:rPr>
              <w:t>426</w:t>
            </w:r>
          </w:p>
        </w:tc>
      </w:tr>
    </w:tbl>
    <w:p w:rsidR="00BD06E0" w:rsidRPr="00CC1FB9" w:rsidRDefault="00BD06E0" w:rsidP="00CC1FB9">
      <w:pPr>
        <w:widowControl w:val="0"/>
        <w:spacing w:after="0" w:line="240" w:lineRule="auto"/>
        <w:ind w:firstLine="720"/>
        <w:jc w:val="both"/>
        <w:rPr>
          <w:rFonts w:ascii="Arial" w:eastAsiaTheme="minorEastAsia" w:hAnsi="Arial" w:cs="Arial"/>
          <w:color w:val="FF0000"/>
          <w:sz w:val="6"/>
          <w:szCs w:val="6"/>
          <w:lang w:val="ro-RO" w:eastAsia="ro-RO"/>
        </w:rPr>
      </w:pPr>
    </w:p>
    <w:p w:rsidR="00384EAD" w:rsidRPr="00EA15E1" w:rsidRDefault="00384EAD" w:rsidP="00CC1FB9">
      <w:pPr>
        <w:widowControl w:val="0"/>
        <w:spacing w:after="0" w:line="240" w:lineRule="auto"/>
        <w:ind w:firstLine="720"/>
        <w:jc w:val="both"/>
        <w:rPr>
          <w:rFonts w:ascii="Arial" w:eastAsiaTheme="minorEastAsia" w:hAnsi="Arial" w:cs="Arial"/>
          <w:sz w:val="24"/>
          <w:szCs w:val="24"/>
          <w:lang w:val="ro-RO" w:eastAsia="ro-RO"/>
        </w:rPr>
      </w:pPr>
      <w:r w:rsidRPr="00EA15E1">
        <w:rPr>
          <w:rFonts w:ascii="Arial" w:eastAsiaTheme="minorEastAsia" w:hAnsi="Arial" w:cs="Arial"/>
          <w:sz w:val="24"/>
          <w:szCs w:val="24"/>
          <w:lang w:val="ro-RO" w:eastAsia="ro-RO"/>
        </w:rPr>
        <w:t>În anul 2017, la nivelul judeţului Suceava, probele</w:t>
      </w:r>
      <w:r>
        <w:rPr>
          <w:rFonts w:ascii="Arial" w:eastAsiaTheme="minorEastAsia" w:hAnsi="Arial" w:cs="Arial"/>
          <w:sz w:val="24"/>
          <w:szCs w:val="24"/>
          <w:lang w:val="ro-RO" w:eastAsia="ro-RO"/>
        </w:rPr>
        <w:t xml:space="preserve"> de ape din fântâni </w:t>
      </w:r>
      <w:r w:rsidRPr="00EA15E1">
        <w:rPr>
          <w:rFonts w:ascii="Arial" w:eastAsiaTheme="minorEastAsia" w:hAnsi="Arial" w:cs="Arial"/>
          <w:sz w:val="24"/>
          <w:szCs w:val="24"/>
          <w:lang w:val="ro-RO" w:eastAsia="ro-RO"/>
        </w:rPr>
        <w:t>găsite necorespunzătoare au r</w:t>
      </w:r>
      <w:r>
        <w:rPr>
          <w:rFonts w:ascii="Arial" w:eastAsiaTheme="minorEastAsia" w:hAnsi="Arial" w:cs="Arial"/>
          <w:sz w:val="24"/>
          <w:szCs w:val="24"/>
          <w:lang w:val="ro-RO" w:eastAsia="ro-RO"/>
        </w:rPr>
        <w:t>eprezentat (vezi tab. VIII.1.3.</w:t>
      </w:r>
      <w:r w:rsidR="0067400B">
        <w:rPr>
          <w:rFonts w:ascii="Arial" w:eastAsiaTheme="minorEastAsia" w:hAnsi="Arial" w:cs="Arial"/>
          <w:sz w:val="24"/>
          <w:szCs w:val="24"/>
          <w:lang w:val="ro-RO" w:eastAsia="ro-RO"/>
        </w:rPr>
        <w:t>5</w:t>
      </w:r>
      <w:r w:rsidRPr="00EA15E1">
        <w:rPr>
          <w:rFonts w:ascii="Arial" w:eastAsiaTheme="minorEastAsia" w:hAnsi="Arial" w:cs="Arial"/>
          <w:sz w:val="24"/>
          <w:szCs w:val="24"/>
          <w:lang w:val="ro-RO" w:eastAsia="ro-RO"/>
        </w:rPr>
        <w:t>):</w:t>
      </w:r>
    </w:p>
    <w:p w:rsidR="00384EAD" w:rsidRPr="00EA15E1" w:rsidRDefault="00384EAD" w:rsidP="00CC1FB9">
      <w:pPr>
        <w:widowControl w:val="0"/>
        <w:spacing w:after="0" w:line="240" w:lineRule="auto"/>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 xml:space="preserve">          - 43</w:t>
      </w:r>
      <w:r w:rsidRPr="00EA15E1">
        <w:rPr>
          <w:rFonts w:ascii="Arial" w:eastAsiaTheme="minorEastAsia" w:hAnsi="Arial" w:cs="Arial"/>
          <w:sz w:val="24"/>
          <w:szCs w:val="24"/>
          <w:lang w:val="ro-RO" w:eastAsia="ro-RO"/>
        </w:rPr>
        <w:t xml:space="preserve">,3 % din numărul total de probe prelevate pentru determinări de parametri chimici </w:t>
      </w:r>
    </w:p>
    <w:p w:rsidR="00384EAD" w:rsidRDefault="00384EAD" w:rsidP="00CC1FB9">
      <w:pPr>
        <w:widowControl w:val="0"/>
        <w:spacing w:after="0" w:line="240" w:lineRule="auto"/>
        <w:ind w:firstLine="720"/>
        <w:jc w:val="both"/>
        <w:rPr>
          <w:rFonts w:ascii="Arial" w:eastAsiaTheme="minorEastAsia" w:hAnsi="Arial" w:cs="Arial"/>
          <w:color w:val="FF0000"/>
          <w:lang w:val="ro-RO" w:eastAsia="ro-RO"/>
        </w:rPr>
      </w:pPr>
      <w:r w:rsidRPr="00EA15E1">
        <w:rPr>
          <w:rFonts w:ascii="Arial" w:eastAsiaTheme="minorEastAsia" w:hAnsi="Arial" w:cs="Arial"/>
          <w:sz w:val="24"/>
          <w:szCs w:val="24"/>
          <w:lang w:val="ro-RO" w:eastAsia="ro-RO"/>
        </w:rPr>
        <w:t>- 8</w:t>
      </w:r>
      <w:r>
        <w:rPr>
          <w:rFonts w:ascii="Arial" w:eastAsiaTheme="minorEastAsia" w:hAnsi="Arial" w:cs="Arial"/>
          <w:sz w:val="24"/>
          <w:szCs w:val="24"/>
          <w:lang w:val="ro-RO" w:eastAsia="ro-RO"/>
        </w:rPr>
        <w:t>6</w:t>
      </w:r>
      <w:r w:rsidRPr="00EA15E1">
        <w:rPr>
          <w:rFonts w:ascii="Arial" w:eastAsiaTheme="minorEastAsia" w:hAnsi="Arial" w:cs="Arial"/>
          <w:sz w:val="24"/>
          <w:szCs w:val="24"/>
          <w:lang w:val="ro-RO" w:eastAsia="ro-RO"/>
        </w:rPr>
        <w:t>,</w:t>
      </w:r>
      <w:r>
        <w:rPr>
          <w:rFonts w:ascii="Arial" w:eastAsiaTheme="minorEastAsia" w:hAnsi="Arial" w:cs="Arial"/>
          <w:sz w:val="24"/>
          <w:szCs w:val="24"/>
          <w:lang w:val="ro-RO" w:eastAsia="ro-RO"/>
        </w:rPr>
        <w:t>7</w:t>
      </w:r>
      <w:r w:rsidRPr="00EA15E1">
        <w:rPr>
          <w:rFonts w:ascii="Arial" w:eastAsiaTheme="minorEastAsia" w:hAnsi="Arial" w:cs="Arial"/>
          <w:sz w:val="24"/>
          <w:szCs w:val="24"/>
          <w:lang w:val="ro-RO" w:eastAsia="ro-RO"/>
        </w:rPr>
        <w:t xml:space="preserve"> % din numărul total de probe prelevate pentru determinări microbiologice</w:t>
      </w:r>
    </w:p>
    <w:p w:rsidR="001D7C47" w:rsidRPr="007E1E59" w:rsidRDefault="001D7C47" w:rsidP="00CC1FB9">
      <w:pPr>
        <w:widowControl w:val="0"/>
        <w:spacing w:after="0" w:line="240" w:lineRule="auto"/>
        <w:ind w:firstLine="720"/>
        <w:jc w:val="both"/>
        <w:rPr>
          <w:rFonts w:ascii="Arial" w:eastAsiaTheme="minorEastAsia" w:hAnsi="Arial" w:cs="Arial"/>
          <w:lang w:val="ro-RO" w:eastAsia="ro-RO"/>
        </w:rPr>
      </w:pPr>
      <w:r w:rsidRPr="007E1E59">
        <w:rPr>
          <w:rFonts w:ascii="Arial" w:eastAsiaTheme="minorEastAsia" w:hAnsi="Arial" w:cs="Arial"/>
          <w:lang w:val="ro-RO" w:eastAsia="ro-RO"/>
        </w:rPr>
        <w:t>În urma înregistrării probelor neconforme</w:t>
      </w:r>
      <w:r w:rsidR="002B362C">
        <w:rPr>
          <w:rFonts w:ascii="Arial" w:eastAsiaTheme="minorEastAsia" w:hAnsi="Arial" w:cs="Arial"/>
          <w:lang w:val="ro-RO" w:eastAsia="ro-RO"/>
        </w:rPr>
        <w:t>,</w:t>
      </w:r>
      <w:r w:rsidRPr="007E1E59">
        <w:rPr>
          <w:rFonts w:ascii="Arial" w:eastAsiaTheme="minorEastAsia" w:hAnsi="Arial" w:cs="Arial"/>
          <w:lang w:val="ro-RO" w:eastAsia="ro-RO"/>
        </w:rPr>
        <w:t xml:space="preserve"> </w:t>
      </w:r>
      <w:r w:rsidR="00B87F7A">
        <w:rPr>
          <w:rFonts w:ascii="Arial" w:eastAsiaTheme="minorEastAsia" w:hAnsi="Arial" w:cs="Arial"/>
          <w:lang w:val="ro-RO" w:eastAsia="ro-RO"/>
        </w:rPr>
        <w:t xml:space="preserve">DSP Suceava </w:t>
      </w:r>
      <w:r w:rsidRPr="007E1E59">
        <w:rPr>
          <w:rFonts w:ascii="Arial" w:eastAsiaTheme="minorEastAsia" w:hAnsi="Arial" w:cs="Arial"/>
          <w:lang w:val="ro-RO" w:eastAsia="ro-RO"/>
        </w:rPr>
        <w:t>a înștiințat primăriile în administrarea cărora sunt fântânile</w:t>
      </w:r>
      <w:r w:rsidR="007A2895" w:rsidRPr="007E1E59">
        <w:rPr>
          <w:rFonts w:ascii="Arial" w:eastAsiaTheme="minorEastAsia" w:hAnsi="Arial" w:cs="Arial"/>
          <w:lang w:val="ro-RO" w:eastAsia="ro-RO"/>
        </w:rPr>
        <w:t xml:space="preserve"> </w:t>
      </w:r>
      <w:r w:rsidRPr="007E1E59">
        <w:rPr>
          <w:rFonts w:ascii="Arial" w:eastAsiaTheme="minorEastAsia" w:hAnsi="Arial" w:cs="Arial"/>
          <w:lang w:val="ro-RO" w:eastAsia="ro-RO"/>
        </w:rPr>
        <w:t>publice depistate ca având apă ce nu corespunde din punct de vedere chimic și microbiologic</w:t>
      </w:r>
      <w:r w:rsidR="00B87F7A">
        <w:rPr>
          <w:rFonts w:ascii="Arial" w:eastAsiaTheme="minorEastAsia" w:hAnsi="Arial" w:cs="Arial"/>
          <w:lang w:val="ro-RO" w:eastAsia="ro-RO"/>
        </w:rPr>
        <w:t>,</w:t>
      </w:r>
      <w:r w:rsidRPr="007E1E59">
        <w:rPr>
          <w:rFonts w:ascii="Arial" w:eastAsiaTheme="minorEastAsia" w:hAnsi="Arial" w:cs="Arial"/>
          <w:lang w:val="ro-RO" w:eastAsia="ro-RO"/>
        </w:rPr>
        <w:t xml:space="preserve"> pentru a fi luate măsurile ce se impun pentru potabilizarea apei</w:t>
      </w:r>
      <w:r w:rsidR="00B87F7A">
        <w:rPr>
          <w:rFonts w:ascii="Arial" w:eastAsiaTheme="minorEastAsia" w:hAnsi="Arial" w:cs="Arial"/>
          <w:lang w:val="ro-RO" w:eastAsia="ro-RO"/>
        </w:rPr>
        <w:t>,</w:t>
      </w:r>
      <w:r w:rsidRPr="007E1E59">
        <w:rPr>
          <w:rFonts w:ascii="Arial" w:eastAsiaTheme="minorEastAsia" w:hAnsi="Arial" w:cs="Arial"/>
          <w:lang w:val="ro-RO" w:eastAsia="ro-RO"/>
        </w:rPr>
        <w:t xml:space="preserve"> prin </w:t>
      </w:r>
      <w:r w:rsidR="007A2895" w:rsidRPr="007E1E59">
        <w:rPr>
          <w:rFonts w:ascii="Arial" w:eastAsiaTheme="minorEastAsia" w:hAnsi="Arial" w:cs="Arial"/>
          <w:lang w:val="ro-RO" w:eastAsia="ro-RO"/>
        </w:rPr>
        <w:t>curăț</w:t>
      </w:r>
      <w:r w:rsidR="00B87F7A">
        <w:rPr>
          <w:rFonts w:ascii="Arial" w:eastAsiaTheme="minorEastAsia" w:hAnsi="Arial" w:cs="Arial"/>
          <w:lang w:val="ro-RO" w:eastAsia="ro-RO"/>
        </w:rPr>
        <w:t>area și dezinfecția apei. Primăriile au obligația de a</w:t>
      </w:r>
      <w:r w:rsidR="007A2895" w:rsidRPr="007E1E59">
        <w:rPr>
          <w:rFonts w:ascii="Arial" w:eastAsiaTheme="minorEastAsia" w:hAnsi="Arial" w:cs="Arial"/>
          <w:lang w:val="ro-RO" w:eastAsia="ro-RO"/>
        </w:rPr>
        <w:t xml:space="preserve"> informa populați</w:t>
      </w:r>
      <w:r w:rsidR="00B87F7A">
        <w:rPr>
          <w:rFonts w:ascii="Arial" w:eastAsiaTheme="minorEastAsia" w:hAnsi="Arial" w:cs="Arial"/>
          <w:lang w:val="ro-RO" w:eastAsia="ro-RO"/>
        </w:rPr>
        <w:t>a privind potabilitatea apei din fântânile publice,</w:t>
      </w:r>
      <w:r w:rsidR="007A2895" w:rsidRPr="007E1E59">
        <w:rPr>
          <w:rFonts w:ascii="Arial" w:eastAsiaTheme="minorEastAsia" w:hAnsi="Arial" w:cs="Arial"/>
          <w:lang w:val="ro-RO" w:eastAsia="ro-RO"/>
        </w:rPr>
        <w:t xml:space="preserve"> prin aplicarea la loc vizibil de afișe cu mențiunea </w:t>
      </w:r>
      <w:r w:rsidR="007A2895" w:rsidRPr="007E1E59">
        <w:rPr>
          <w:rFonts w:ascii="Arial" w:eastAsiaTheme="minorEastAsia" w:hAnsi="Arial" w:cs="Arial"/>
          <w:b/>
          <w:lang w:val="ro-RO" w:eastAsia="ro-RO"/>
        </w:rPr>
        <w:t>,,</w:t>
      </w:r>
      <w:r w:rsidR="007A2895" w:rsidRPr="007E1E59">
        <w:rPr>
          <w:rFonts w:ascii="Arial" w:eastAsiaTheme="minorEastAsia" w:hAnsi="Arial" w:cs="Arial"/>
          <w:b/>
          <w:i/>
          <w:lang w:val="ro-RO" w:eastAsia="ro-RO"/>
        </w:rPr>
        <w:t>apa este bună de băut</w:t>
      </w:r>
      <w:r w:rsidR="007A2895" w:rsidRPr="007E1E59">
        <w:rPr>
          <w:rFonts w:ascii="Arial" w:eastAsiaTheme="minorEastAsia" w:hAnsi="Arial" w:cs="Arial"/>
          <w:b/>
          <w:lang w:eastAsia="ro-RO"/>
        </w:rPr>
        <w:t>’’</w:t>
      </w:r>
      <w:r w:rsidR="007A2895" w:rsidRPr="007E1E59">
        <w:rPr>
          <w:rFonts w:ascii="Arial" w:eastAsiaTheme="minorEastAsia" w:hAnsi="Arial" w:cs="Arial"/>
          <w:lang w:val="ro-RO" w:eastAsia="ro-RO"/>
        </w:rPr>
        <w:t xml:space="preserve"> sau </w:t>
      </w:r>
      <w:r w:rsidR="00B87F7A">
        <w:rPr>
          <w:rFonts w:ascii="Arial" w:eastAsiaTheme="minorEastAsia" w:hAnsi="Arial" w:cs="Arial"/>
          <w:b/>
          <w:i/>
          <w:lang w:val="ro-RO" w:eastAsia="ro-RO"/>
        </w:rPr>
        <w:t>,,</w:t>
      </w:r>
      <w:r w:rsidR="007A2895" w:rsidRPr="007E1E59">
        <w:rPr>
          <w:rFonts w:ascii="Arial" w:eastAsiaTheme="minorEastAsia" w:hAnsi="Arial" w:cs="Arial"/>
          <w:b/>
          <w:i/>
          <w:lang w:val="ro-RO" w:eastAsia="ro-RO"/>
        </w:rPr>
        <w:t>apa nu este bună de băut</w:t>
      </w:r>
      <w:r w:rsidR="007A2895" w:rsidRPr="007E1E59">
        <w:rPr>
          <w:rFonts w:ascii="Arial" w:eastAsiaTheme="minorEastAsia" w:hAnsi="Arial" w:cs="Arial"/>
          <w:b/>
          <w:i/>
          <w:lang w:eastAsia="ro-RO"/>
        </w:rPr>
        <w:t>’’</w:t>
      </w:r>
      <w:r w:rsidR="007A2895" w:rsidRPr="007E1E59">
        <w:rPr>
          <w:rFonts w:ascii="Arial" w:eastAsiaTheme="minorEastAsia" w:hAnsi="Arial" w:cs="Arial"/>
          <w:lang w:val="ro-RO" w:eastAsia="ro-RO"/>
        </w:rPr>
        <w:t xml:space="preserve"> sau </w:t>
      </w:r>
      <w:r w:rsidR="007A2895" w:rsidRPr="007E1E59">
        <w:rPr>
          <w:rFonts w:ascii="Arial" w:eastAsiaTheme="minorEastAsia" w:hAnsi="Arial" w:cs="Arial"/>
          <w:b/>
          <w:i/>
          <w:lang w:val="ro-RO" w:eastAsia="ro-RO"/>
        </w:rPr>
        <w:t>,,apa nu este bună de folos</w:t>
      </w:r>
      <w:r w:rsidR="00B87F7A">
        <w:rPr>
          <w:rFonts w:ascii="Arial" w:eastAsiaTheme="minorEastAsia" w:hAnsi="Arial" w:cs="Arial"/>
          <w:b/>
          <w:i/>
          <w:lang w:val="ro-RO" w:eastAsia="ro-RO"/>
        </w:rPr>
        <w:t>it pentru sugari și copiii mici</w:t>
      </w:r>
      <w:r w:rsidR="007A2895" w:rsidRPr="007E1E59">
        <w:rPr>
          <w:rFonts w:ascii="Arial" w:eastAsiaTheme="minorEastAsia" w:hAnsi="Arial" w:cs="Arial"/>
          <w:b/>
          <w:i/>
          <w:lang w:eastAsia="ro-RO"/>
        </w:rPr>
        <w:t>‘’</w:t>
      </w:r>
      <w:r w:rsidR="007A2895" w:rsidRPr="007E1E59">
        <w:rPr>
          <w:rFonts w:ascii="Arial" w:eastAsiaTheme="minorEastAsia" w:hAnsi="Arial" w:cs="Arial"/>
          <w:lang w:val="ro-RO" w:eastAsia="ro-RO"/>
        </w:rPr>
        <w:t>, după caz.</w:t>
      </w:r>
    </w:p>
    <w:p w:rsidR="0011109B" w:rsidRPr="001E5907" w:rsidRDefault="0011109B" w:rsidP="00CC1FB9">
      <w:pPr>
        <w:widowControl w:val="0"/>
        <w:spacing w:after="0" w:line="240" w:lineRule="auto"/>
        <w:ind w:firstLine="720"/>
        <w:jc w:val="both"/>
        <w:rPr>
          <w:rFonts w:ascii="Arial" w:eastAsiaTheme="minorEastAsia" w:hAnsi="Arial" w:cs="Arial"/>
          <w:sz w:val="16"/>
          <w:szCs w:val="16"/>
          <w:lang w:val="ro-RO" w:eastAsia="ro-RO"/>
        </w:rPr>
      </w:pPr>
    </w:p>
    <w:p w:rsidR="0011109B" w:rsidRPr="001E5907" w:rsidRDefault="0011109B" w:rsidP="00CC1FB9">
      <w:pPr>
        <w:widowControl w:val="0"/>
        <w:autoSpaceDE w:val="0"/>
        <w:autoSpaceDN w:val="0"/>
        <w:adjustRightInd w:val="0"/>
        <w:spacing w:after="0" w:line="240" w:lineRule="auto"/>
        <w:jc w:val="both"/>
        <w:rPr>
          <w:rFonts w:ascii="Arial" w:eastAsiaTheme="minorEastAsia" w:hAnsi="Arial" w:cs="Arial"/>
          <w:b/>
          <w:bCs/>
          <w:i/>
          <w:sz w:val="24"/>
          <w:szCs w:val="24"/>
          <w:lang w:val="ro-RO" w:eastAsia="ro-RO"/>
        </w:rPr>
      </w:pPr>
      <w:r w:rsidRPr="001E5907">
        <w:rPr>
          <w:rFonts w:ascii="Arial" w:eastAsiaTheme="minorEastAsia" w:hAnsi="Arial" w:cs="Arial"/>
          <w:b/>
          <w:bCs/>
          <w:i/>
          <w:sz w:val="24"/>
          <w:szCs w:val="24"/>
          <w:lang w:val="ro-RO" w:eastAsia="ro-RO"/>
        </w:rPr>
        <w:t>VIII.1.4. Spaţiile verzi şi efectele asupra sănăţii şi calităţii vieţii</w:t>
      </w:r>
    </w:p>
    <w:p w:rsidR="0011109B" w:rsidRPr="001E5907" w:rsidRDefault="0011109B" w:rsidP="00CC1FB9">
      <w:pPr>
        <w:widowControl w:val="0"/>
        <w:autoSpaceDE w:val="0"/>
        <w:autoSpaceDN w:val="0"/>
        <w:adjustRightInd w:val="0"/>
        <w:spacing w:after="0" w:line="240" w:lineRule="auto"/>
        <w:jc w:val="both"/>
        <w:rPr>
          <w:rFonts w:ascii="Arial" w:eastAsiaTheme="minorEastAsia" w:hAnsi="Arial" w:cs="Arial"/>
          <w:b/>
          <w:bCs/>
          <w:i/>
          <w:sz w:val="10"/>
          <w:szCs w:val="10"/>
          <w:lang w:val="ro-RO" w:eastAsia="ro-RO"/>
        </w:rPr>
      </w:pPr>
    </w:p>
    <w:p w:rsidR="0011109B" w:rsidRPr="001E5907" w:rsidRDefault="0011109B" w:rsidP="00CC1FB9">
      <w:pPr>
        <w:widowControl w:val="0"/>
        <w:autoSpaceDE w:val="0"/>
        <w:autoSpaceDN w:val="0"/>
        <w:adjustRightInd w:val="0"/>
        <w:spacing w:after="0" w:line="240" w:lineRule="auto"/>
        <w:jc w:val="both"/>
        <w:rPr>
          <w:rFonts w:ascii="Arial" w:eastAsiaTheme="minorEastAsia" w:hAnsi="Arial" w:cs="Arial"/>
          <w:b/>
          <w:bCs/>
          <w:sz w:val="24"/>
          <w:szCs w:val="24"/>
          <w:lang w:val="ro-RO" w:eastAsia="ro-RO"/>
        </w:rPr>
      </w:pPr>
      <w:r w:rsidRPr="001E5907">
        <w:rPr>
          <w:rFonts w:ascii="Arial" w:eastAsiaTheme="minorEastAsia" w:hAnsi="Arial" w:cs="Arial"/>
          <w:b/>
          <w:bCs/>
          <w:sz w:val="24"/>
          <w:szCs w:val="24"/>
          <w:lang w:val="ro-RO" w:eastAsia="ro-RO"/>
        </w:rPr>
        <w:t>VIII.1.4.1. Suprafaţa ocupată de spaţiile verzi în aglomerările urbane</w:t>
      </w:r>
    </w:p>
    <w:p w:rsidR="0011109B" w:rsidRPr="001E5907" w:rsidRDefault="0011109B" w:rsidP="00CC1FB9">
      <w:pPr>
        <w:widowControl w:val="0"/>
        <w:autoSpaceDE w:val="0"/>
        <w:autoSpaceDN w:val="0"/>
        <w:adjustRightInd w:val="0"/>
        <w:spacing w:after="0" w:line="240" w:lineRule="auto"/>
        <w:jc w:val="both"/>
        <w:rPr>
          <w:rFonts w:ascii="Arial" w:eastAsiaTheme="minorEastAsia" w:hAnsi="Arial" w:cs="Arial"/>
          <w:b/>
          <w:bCs/>
          <w:i/>
          <w:sz w:val="10"/>
          <w:szCs w:val="10"/>
          <w:lang w:val="ro-RO" w:eastAsia="ro-RO"/>
        </w:rPr>
      </w:pPr>
    </w:p>
    <w:p w:rsidR="004076A7" w:rsidRPr="001E5907" w:rsidRDefault="0011109B" w:rsidP="004076A7">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ab/>
      </w:r>
      <w:r w:rsidR="004076A7" w:rsidRPr="001E5907">
        <w:rPr>
          <w:rFonts w:ascii="Arial" w:hAnsi="Arial" w:cs="Arial"/>
          <w:sz w:val="24"/>
          <w:szCs w:val="24"/>
          <w:lang w:val="ro-RO"/>
        </w:rPr>
        <w:t>Creșterea calității și a numărului de spații verzi și, în special, a numărului de copaci în zonele urbane, poate contribui la reducerea temperaturilor extreme. Este posibil ca optimizarea proiectării zonelor urbane, încorporarea parcurilor și a spațiilor verzi, precum și conservarea de fâșii de teren permeabile și neacoperite („coridoare de aer proaspăt”) pentru a sprijini ventilarea centrelor urbane, să devină din ce în ce mai importante</w:t>
      </w:r>
      <w:r w:rsidR="004076A7" w:rsidRPr="001E5907">
        <w:rPr>
          <w:rStyle w:val="FootnoteReference"/>
          <w:rFonts w:ascii="Arial" w:hAnsi="Arial" w:cs="Arial"/>
          <w:sz w:val="24"/>
          <w:szCs w:val="24"/>
          <w:lang w:val="ro-RO"/>
        </w:rPr>
        <w:footnoteReference w:id="2"/>
      </w:r>
      <w:r w:rsidR="004076A7">
        <w:rPr>
          <w:rFonts w:ascii="Arial" w:hAnsi="Arial" w:cs="Arial"/>
          <w:sz w:val="24"/>
          <w:szCs w:val="24"/>
          <w:lang w:val="ro-RO"/>
        </w:rPr>
        <w:t>.</w:t>
      </w:r>
    </w:p>
    <w:p w:rsidR="004076A7" w:rsidRPr="004076A7" w:rsidRDefault="004076A7" w:rsidP="00CC1FB9">
      <w:pPr>
        <w:widowControl w:val="0"/>
        <w:autoSpaceDE w:val="0"/>
        <w:autoSpaceDN w:val="0"/>
        <w:adjustRightInd w:val="0"/>
        <w:spacing w:after="0" w:line="240" w:lineRule="auto"/>
        <w:jc w:val="both"/>
        <w:rPr>
          <w:rFonts w:ascii="Arial" w:hAnsi="Arial" w:cs="Arial"/>
          <w:sz w:val="10"/>
          <w:szCs w:val="10"/>
          <w:lang w:val="ro-RO"/>
        </w:rPr>
      </w:pPr>
    </w:p>
    <w:p w:rsidR="0011109B" w:rsidRPr="001E5907" w:rsidRDefault="0011109B" w:rsidP="004076A7">
      <w:pPr>
        <w:widowControl w:val="0"/>
        <w:autoSpaceDE w:val="0"/>
        <w:autoSpaceDN w:val="0"/>
        <w:adjustRightInd w:val="0"/>
        <w:spacing w:after="0" w:line="240" w:lineRule="auto"/>
        <w:ind w:firstLine="720"/>
        <w:jc w:val="both"/>
        <w:rPr>
          <w:rFonts w:ascii="Arial" w:hAnsi="Arial" w:cs="Arial"/>
          <w:sz w:val="24"/>
          <w:szCs w:val="24"/>
          <w:lang w:val="ro-RO"/>
        </w:rPr>
      </w:pPr>
      <w:r w:rsidRPr="001E5907">
        <w:rPr>
          <w:rFonts w:ascii="Arial" w:hAnsi="Arial" w:cs="Arial"/>
          <w:sz w:val="24"/>
          <w:szCs w:val="24"/>
          <w:lang w:val="ro-RO"/>
        </w:rPr>
        <w:t>Spațiile verzi se compun din următoarele tipuri de terenuri din intravilanul localităţilor:</w:t>
      </w:r>
    </w:p>
    <w:p w:rsidR="0011109B" w:rsidRPr="001E5907" w:rsidRDefault="0011109B" w:rsidP="00CC1FB9">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 xml:space="preserve">    a) spaţii verzi publice cu acces nelimitat: parcuri, grădini, scuaruri, fâşii plantate;</w:t>
      </w:r>
    </w:p>
    <w:p w:rsidR="0011109B" w:rsidRPr="001E5907" w:rsidRDefault="0011109B" w:rsidP="00CC1FB9">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 xml:space="preserve">    b) spaţii verzi publice de folosinţă specializată:</w:t>
      </w:r>
    </w:p>
    <w:p w:rsidR="0011109B" w:rsidRPr="001E5907" w:rsidRDefault="0011109B" w:rsidP="00CC1FB9">
      <w:pPr>
        <w:pStyle w:val="ListParagraph"/>
        <w:widowControl w:val="0"/>
        <w:numPr>
          <w:ilvl w:val="0"/>
          <w:numId w:val="21"/>
        </w:numPr>
        <w:overflowPunct/>
        <w:contextualSpacing/>
        <w:jc w:val="both"/>
        <w:textAlignment w:val="auto"/>
        <w:rPr>
          <w:rFonts w:ascii="Arial" w:hAnsi="Arial" w:cs="Arial"/>
          <w:sz w:val="24"/>
          <w:szCs w:val="24"/>
          <w:lang w:val="ro-RO"/>
        </w:rPr>
      </w:pPr>
      <w:r w:rsidRPr="001E5907">
        <w:rPr>
          <w:rFonts w:ascii="Arial" w:hAnsi="Arial" w:cs="Arial"/>
          <w:sz w:val="24"/>
          <w:szCs w:val="24"/>
          <w:lang w:val="ro-RO"/>
        </w:rPr>
        <w:t>grădini botanice şi zoologice, muzee în aer liber, parcuri expoziţionale, zone ambientale şi de agrement pentru animalele dresate în spectacolele de circ;</w:t>
      </w:r>
    </w:p>
    <w:p w:rsidR="0011109B" w:rsidRPr="001E5907" w:rsidRDefault="0011109B" w:rsidP="00CC1FB9">
      <w:pPr>
        <w:pStyle w:val="ListParagraph"/>
        <w:widowControl w:val="0"/>
        <w:numPr>
          <w:ilvl w:val="0"/>
          <w:numId w:val="21"/>
        </w:numPr>
        <w:overflowPunct/>
        <w:contextualSpacing/>
        <w:jc w:val="both"/>
        <w:textAlignment w:val="auto"/>
        <w:rPr>
          <w:rFonts w:ascii="Arial" w:hAnsi="Arial" w:cs="Arial"/>
          <w:sz w:val="24"/>
          <w:szCs w:val="24"/>
          <w:lang w:val="ro-RO"/>
        </w:rPr>
      </w:pPr>
      <w:r w:rsidRPr="001E5907">
        <w:rPr>
          <w:rFonts w:ascii="Arial" w:hAnsi="Arial" w:cs="Arial"/>
          <w:sz w:val="24"/>
          <w:szCs w:val="24"/>
          <w:lang w:val="ro-RO"/>
        </w:rPr>
        <w:t>cele aferente dotărilor publice: creşe, grădiniţe, şcoli, unităţi sanitare sau de protecţie socială, instituţii, edificii de cult, cimitire;</w:t>
      </w:r>
    </w:p>
    <w:p w:rsidR="0011109B" w:rsidRPr="001E5907" w:rsidRDefault="0011109B" w:rsidP="00CC1FB9">
      <w:pPr>
        <w:pStyle w:val="ListParagraph"/>
        <w:widowControl w:val="0"/>
        <w:numPr>
          <w:ilvl w:val="0"/>
          <w:numId w:val="21"/>
        </w:numPr>
        <w:overflowPunct/>
        <w:contextualSpacing/>
        <w:jc w:val="both"/>
        <w:textAlignment w:val="auto"/>
        <w:rPr>
          <w:rFonts w:ascii="Arial" w:hAnsi="Arial" w:cs="Arial"/>
          <w:sz w:val="24"/>
          <w:szCs w:val="24"/>
          <w:lang w:val="ro-RO"/>
        </w:rPr>
      </w:pPr>
      <w:r w:rsidRPr="001E5907">
        <w:rPr>
          <w:rFonts w:ascii="Arial" w:hAnsi="Arial" w:cs="Arial"/>
          <w:sz w:val="24"/>
          <w:szCs w:val="24"/>
          <w:lang w:val="ro-RO"/>
        </w:rPr>
        <w:t>baze sau parcuri sportive pentru practicarea sportului de performanţă;</w:t>
      </w:r>
    </w:p>
    <w:p w:rsidR="0011109B" w:rsidRPr="001E5907" w:rsidRDefault="0011109B" w:rsidP="00CC1FB9">
      <w:pPr>
        <w:widowControl w:val="0"/>
        <w:autoSpaceDE w:val="0"/>
        <w:autoSpaceDN w:val="0"/>
        <w:adjustRightInd w:val="0"/>
        <w:spacing w:after="0" w:line="240" w:lineRule="auto"/>
        <w:ind w:left="567" w:hanging="567"/>
        <w:jc w:val="both"/>
        <w:rPr>
          <w:rFonts w:ascii="Arial" w:hAnsi="Arial" w:cs="Arial"/>
          <w:sz w:val="24"/>
          <w:szCs w:val="24"/>
          <w:lang w:val="ro-RO"/>
        </w:rPr>
      </w:pPr>
      <w:r w:rsidRPr="001E5907">
        <w:rPr>
          <w:rFonts w:ascii="Arial" w:hAnsi="Arial" w:cs="Arial"/>
          <w:sz w:val="24"/>
          <w:szCs w:val="24"/>
          <w:lang w:val="ro-RO"/>
        </w:rPr>
        <w:t xml:space="preserve">    c) spaţii verzi pentru agrement: baze de agrement, poli de agrement, complexuri şi baze sportive;</w:t>
      </w:r>
    </w:p>
    <w:p w:rsidR="0011109B" w:rsidRPr="001E5907" w:rsidRDefault="0011109B" w:rsidP="00CC1FB9">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 xml:space="preserve">    d) spaţii verzi pentru protecţia lacurilor şi cursurilor de apă;</w:t>
      </w:r>
    </w:p>
    <w:p w:rsidR="0011109B" w:rsidRPr="001E5907" w:rsidRDefault="0011109B" w:rsidP="00CC1FB9">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 xml:space="preserve">    e) culoare de protecţie faţă de infrastructura tehnică;</w:t>
      </w:r>
    </w:p>
    <w:p w:rsidR="0011109B" w:rsidRPr="001E5907" w:rsidRDefault="004076A7" w:rsidP="00CC1FB9">
      <w:pPr>
        <w:widowControl w:val="0"/>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f) păduri de agrement;</w:t>
      </w:r>
    </w:p>
    <w:p w:rsidR="0096512B" w:rsidRDefault="0011109B" w:rsidP="00CC1FB9">
      <w:pPr>
        <w:widowControl w:val="0"/>
        <w:autoSpaceDE w:val="0"/>
        <w:autoSpaceDN w:val="0"/>
        <w:adjustRightInd w:val="0"/>
        <w:spacing w:after="0" w:line="240" w:lineRule="auto"/>
        <w:jc w:val="both"/>
        <w:rPr>
          <w:rFonts w:ascii="Arial" w:hAnsi="Arial" w:cs="Arial"/>
          <w:sz w:val="24"/>
          <w:szCs w:val="24"/>
          <w:lang w:val="ro-RO"/>
        </w:rPr>
      </w:pPr>
      <w:r w:rsidRPr="001E5907">
        <w:rPr>
          <w:rFonts w:ascii="Arial" w:hAnsi="Arial" w:cs="Arial"/>
          <w:sz w:val="24"/>
          <w:szCs w:val="24"/>
          <w:lang w:val="ro-RO"/>
        </w:rPr>
        <w:t xml:space="preserve">    g) pepiniere şi sere</w:t>
      </w:r>
      <w:r w:rsidR="004076A7">
        <w:rPr>
          <w:rFonts w:ascii="Arial" w:hAnsi="Arial" w:cs="Arial"/>
          <w:sz w:val="24"/>
          <w:szCs w:val="24"/>
          <w:lang w:val="ro-RO"/>
        </w:rPr>
        <w:t>.</w:t>
      </w:r>
    </w:p>
    <w:p w:rsidR="0011109B" w:rsidRPr="001E5907" w:rsidRDefault="0096512B" w:rsidP="0096512B">
      <w:pPr>
        <w:widowControl w:val="0"/>
        <w:spacing w:after="0" w:line="240" w:lineRule="auto"/>
        <w:ind w:firstLine="709"/>
        <w:jc w:val="both"/>
        <w:rPr>
          <w:rFonts w:ascii="Arial" w:hAnsi="Arial" w:cs="Arial"/>
          <w:sz w:val="24"/>
          <w:szCs w:val="24"/>
          <w:lang w:val="ro-RO"/>
        </w:rPr>
      </w:pPr>
      <w:r w:rsidRPr="0096512B">
        <w:rPr>
          <w:rFonts w:ascii="Arial" w:hAnsi="Arial" w:cs="Arial"/>
          <w:sz w:val="24"/>
          <w:szCs w:val="24"/>
          <w:lang w:val="ro-RO"/>
        </w:rPr>
        <w:t xml:space="preserve">Autorităţile administraţiei publice locale au obligaţia să ţină evidenţa spaţiilor verzi de pe teritoriul unităţilor administrative, prin constituirea registrelor locale ale spaţiilor verzi, pe </w:t>
      </w:r>
      <w:r w:rsidRPr="0096512B">
        <w:rPr>
          <w:rFonts w:ascii="Arial" w:hAnsi="Arial" w:cs="Arial"/>
          <w:sz w:val="24"/>
          <w:szCs w:val="24"/>
          <w:lang w:val="ro-RO"/>
        </w:rPr>
        <w:lastRenderedPageBreak/>
        <w:t>care le actualizează ori de câte ori intervin modificări.</w:t>
      </w:r>
      <w:r>
        <w:rPr>
          <w:rFonts w:ascii="Arial" w:hAnsi="Arial" w:cs="Arial"/>
          <w:sz w:val="24"/>
          <w:szCs w:val="24"/>
          <w:lang w:val="ro-RO"/>
        </w:rPr>
        <w:t xml:space="preserve"> </w:t>
      </w:r>
      <w:r w:rsidRPr="0096512B">
        <w:rPr>
          <w:rFonts w:ascii="Arial" w:hAnsi="Arial" w:cs="Arial"/>
          <w:sz w:val="24"/>
          <w:szCs w:val="24"/>
          <w:lang w:val="ro-RO"/>
        </w:rPr>
        <w:t>Evidenţa spaţiilor verzi are drept scop organizarea folosirii raţionale a acestora, a regenerării şi protecţiei lor eficiente, cu exercitarea controlului sistematic al schimbărilor calitative şi cantitative, precum şi asigurarea informaţiilor despre spaţiile verzi.</w:t>
      </w:r>
      <w:r w:rsidR="0011109B" w:rsidRPr="001E5907">
        <w:rPr>
          <w:rStyle w:val="FootnoteReference"/>
          <w:rFonts w:ascii="Arial" w:hAnsi="Arial" w:cs="Arial"/>
          <w:sz w:val="24"/>
          <w:szCs w:val="24"/>
          <w:lang w:val="ro-RO"/>
        </w:rPr>
        <w:footnoteReference w:id="3"/>
      </w:r>
    </w:p>
    <w:p w:rsidR="0011109B" w:rsidRPr="001E5907" w:rsidRDefault="0011109B" w:rsidP="00CC1FB9">
      <w:pPr>
        <w:widowControl w:val="0"/>
        <w:autoSpaceDE w:val="0"/>
        <w:autoSpaceDN w:val="0"/>
        <w:adjustRightInd w:val="0"/>
        <w:spacing w:after="0" w:line="240" w:lineRule="auto"/>
        <w:jc w:val="both"/>
        <w:rPr>
          <w:rFonts w:ascii="Arial" w:hAnsi="Arial" w:cs="Arial"/>
          <w:sz w:val="8"/>
          <w:szCs w:val="8"/>
          <w:lang w:val="ro-RO"/>
        </w:rPr>
      </w:pPr>
    </w:p>
    <w:p w:rsidR="0011109B" w:rsidRPr="001E5907" w:rsidRDefault="0011109B" w:rsidP="00CC1FB9">
      <w:pPr>
        <w:widowControl w:val="0"/>
        <w:autoSpaceDE w:val="0"/>
        <w:autoSpaceDN w:val="0"/>
        <w:adjustRightInd w:val="0"/>
        <w:spacing w:after="0" w:line="240" w:lineRule="auto"/>
        <w:jc w:val="center"/>
        <w:rPr>
          <w:rFonts w:ascii="Arial" w:eastAsiaTheme="minorEastAsia" w:hAnsi="Arial" w:cs="Arial"/>
          <w:lang w:val="ro-RO" w:eastAsia="ro-RO"/>
        </w:rPr>
      </w:pPr>
      <w:r w:rsidRPr="001E5907">
        <w:rPr>
          <w:rFonts w:ascii="Arial" w:eastAsiaTheme="minorEastAsia" w:hAnsi="Arial" w:cs="Arial"/>
          <w:lang w:val="ro-RO" w:eastAsia="ro-RO"/>
        </w:rPr>
        <w:t xml:space="preserve">Tabel VIII.1.4.1.1. Evoluţia suprafeţelor </w:t>
      </w:r>
      <w:r w:rsidR="004F3842">
        <w:rPr>
          <w:rFonts w:ascii="Arial" w:eastAsiaTheme="minorEastAsia" w:hAnsi="Arial" w:cs="Arial"/>
          <w:lang w:val="ro-RO" w:eastAsia="ro-RO"/>
        </w:rPr>
        <w:t>totale de spaţii</w:t>
      </w:r>
      <w:r w:rsidRPr="001E5907">
        <w:rPr>
          <w:rFonts w:ascii="Arial" w:eastAsiaTheme="minorEastAsia" w:hAnsi="Arial" w:cs="Arial"/>
          <w:lang w:val="ro-RO" w:eastAsia="ro-RO"/>
        </w:rPr>
        <w:t xml:space="preserve"> verzi </w:t>
      </w:r>
      <w:r w:rsidR="004F3842" w:rsidRPr="0011109B">
        <w:rPr>
          <w:rFonts w:ascii="Arial" w:hAnsi="Arial" w:cs="Arial"/>
          <w:lang w:val="ro-RO"/>
        </w:rPr>
        <w:t xml:space="preserve">în </w:t>
      </w:r>
      <w:r w:rsidR="004F3842">
        <w:rPr>
          <w:rFonts w:ascii="Arial" w:hAnsi="Arial" w:cs="Arial"/>
          <w:lang w:val="ro-RO"/>
        </w:rPr>
        <w:t>localitățile</w:t>
      </w:r>
      <w:r w:rsidR="004F3842" w:rsidRPr="0011109B">
        <w:rPr>
          <w:rFonts w:ascii="Arial" w:hAnsi="Arial" w:cs="Arial"/>
          <w:lang w:val="ro-RO"/>
        </w:rPr>
        <w:t xml:space="preserve"> urbane</w:t>
      </w:r>
      <w:r w:rsidR="004F3842" w:rsidRPr="001E5907">
        <w:rPr>
          <w:rFonts w:ascii="Arial" w:eastAsiaTheme="minorEastAsia" w:hAnsi="Arial" w:cs="Arial"/>
          <w:lang w:val="ro-RO" w:eastAsia="ro-RO"/>
        </w:rPr>
        <w:t xml:space="preserve"> </w:t>
      </w:r>
      <w:r w:rsidRPr="001E5907">
        <w:rPr>
          <w:rFonts w:ascii="Arial" w:eastAsiaTheme="minorEastAsia" w:hAnsi="Arial" w:cs="Arial"/>
          <w:lang w:val="ro-RO" w:eastAsia="ro-RO"/>
        </w:rPr>
        <w:t>din jud. Suceava</w:t>
      </w:r>
    </w:p>
    <w:p w:rsidR="0011109B" w:rsidRPr="001E5907" w:rsidRDefault="0011109B" w:rsidP="00CC1FB9">
      <w:pPr>
        <w:widowControl w:val="0"/>
        <w:autoSpaceDE w:val="0"/>
        <w:autoSpaceDN w:val="0"/>
        <w:adjustRightInd w:val="0"/>
        <w:spacing w:after="0" w:line="240" w:lineRule="auto"/>
        <w:jc w:val="center"/>
        <w:rPr>
          <w:rFonts w:ascii="Arial" w:eastAsiaTheme="minorEastAsia" w:hAnsi="Arial" w:cs="Arial"/>
          <w:lang w:val="ro-RO" w:eastAsia="ro-RO"/>
        </w:rPr>
      </w:pPr>
      <w:r w:rsidRPr="001E5907">
        <w:rPr>
          <w:rFonts w:ascii="Arial" w:eastAsiaTheme="minorEastAsia" w:hAnsi="Arial" w:cs="Arial"/>
          <w:lang w:val="ro-RO" w:eastAsia="ro-RO"/>
        </w:rPr>
        <w:t xml:space="preserve"> (</w:t>
      </w:r>
      <w:r w:rsidRPr="001E5907">
        <w:rPr>
          <w:rFonts w:ascii="Arial" w:eastAsiaTheme="minorEastAsia" w:hAnsi="Arial" w:cs="Arial"/>
          <w:i/>
          <w:lang w:val="ro-RO" w:eastAsia="ro-RO"/>
        </w:rPr>
        <w:t xml:space="preserve">Sursa: </w:t>
      </w:r>
      <w:r w:rsidRPr="001E5907">
        <w:rPr>
          <w:rFonts w:ascii="Arial" w:hAnsi="Arial" w:cs="Arial"/>
          <w:i/>
          <w:lang w:val="ro-RO"/>
        </w:rPr>
        <w:t>Anuarul Statistic al judeţului Suceava – 201</w:t>
      </w:r>
      <w:r w:rsidR="00CC1FB9">
        <w:rPr>
          <w:rFonts w:ascii="Arial" w:hAnsi="Arial" w:cs="Arial"/>
          <w:i/>
          <w:lang w:val="ro-RO"/>
        </w:rPr>
        <w:t>7</w:t>
      </w:r>
      <w:r w:rsidRPr="001E5907">
        <w:rPr>
          <w:rFonts w:ascii="Arial" w:eastAsiaTheme="minorEastAsia" w:hAnsi="Arial" w:cs="Arial"/>
          <w:lang w:val="ro-RO" w:eastAsia="ro-RO"/>
        </w:rPr>
        <w:t>)</w:t>
      </w:r>
    </w:p>
    <w:p w:rsidR="0011109B" w:rsidRPr="001E5907" w:rsidRDefault="0011109B" w:rsidP="00CC1FB9">
      <w:pPr>
        <w:widowControl w:val="0"/>
        <w:autoSpaceDE w:val="0"/>
        <w:autoSpaceDN w:val="0"/>
        <w:adjustRightInd w:val="0"/>
        <w:spacing w:after="0" w:line="240" w:lineRule="auto"/>
        <w:jc w:val="center"/>
        <w:rPr>
          <w:rFonts w:ascii="Arial" w:eastAsiaTheme="minorEastAsia" w:hAnsi="Arial" w:cs="Arial"/>
          <w:sz w:val="6"/>
          <w:szCs w:val="6"/>
          <w:lang w:val="ro-RO" w:eastAsia="ro-RO"/>
        </w:rPr>
      </w:pPr>
    </w:p>
    <w:tbl>
      <w:tblPr>
        <w:tblStyle w:val="TableGrid"/>
        <w:tblW w:w="9776" w:type="dxa"/>
        <w:tblInd w:w="108" w:type="dxa"/>
        <w:tblLook w:val="04A0"/>
      </w:tblPr>
      <w:tblGrid>
        <w:gridCol w:w="2066"/>
        <w:gridCol w:w="1180"/>
        <w:gridCol w:w="1092"/>
        <w:gridCol w:w="1085"/>
        <w:gridCol w:w="1084"/>
        <w:gridCol w:w="1240"/>
        <w:gridCol w:w="1084"/>
        <w:gridCol w:w="945"/>
      </w:tblGrid>
      <w:tr w:rsidR="009E158F" w:rsidRPr="001E5907" w:rsidTr="009E158F">
        <w:trPr>
          <w:trHeight w:val="41"/>
        </w:trPr>
        <w:tc>
          <w:tcPr>
            <w:tcW w:w="2066"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Anul</w:t>
            </w:r>
          </w:p>
        </w:tc>
        <w:tc>
          <w:tcPr>
            <w:tcW w:w="1180"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2010</w:t>
            </w:r>
          </w:p>
        </w:tc>
        <w:tc>
          <w:tcPr>
            <w:tcW w:w="1092"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2011</w:t>
            </w:r>
          </w:p>
        </w:tc>
        <w:tc>
          <w:tcPr>
            <w:tcW w:w="1085"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2012</w:t>
            </w:r>
          </w:p>
        </w:tc>
        <w:tc>
          <w:tcPr>
            <w:tcW w:w="1084"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2013</w:t>
            </w:r>
          </w:p>
        </w:tc>
        <w:tc>
          <w:tcPr>
            <w:tcW w:w="1240" w:type="dxa"/>
            <w:shd w:val="clear" w:color="auto" w:fill="FFFF99"/>
            <w:vAlign w:val="center"/>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2014</w:t>
            </w:r>
          </w:p>
        </w:tc>
        <w:tc>
          <w:tcPr>
            <w:tcW w:w="1084" w:type="dxa"/>
            <w:shd w:val="clear" w:color="auto" w:fill="FFFF99"/>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2015</w:t>
            </w:r>
          </w:p>
        </w:tc>
        <w:tc>
          <w:tcPr>
            <w:tcW w:w="945" w:type="dxa"/>
            <w:shd w:val="clear" w:color="auto" w:fill="FFFF99"/>
          </w:tcPr>
          <w:p w:rsidR="009E158F" w:rsidRPr="001E5907" w:rsidRDefault="009E158F" w:rsidP="00CC1FB9">
            <w:pPr>
              <w:widowControl w:val="0"/>
              <w:spacing w:after="0" w:line="240" w:lineRule="auto"/>
              <w:jc w:val="center"/>
              <w:rPr>
                <w:rFonts w:ascii="Arial" w:hAnsi="Arial" w:cs="Arial"/>
                <w:b/>
                <w:lang w:val="ro-RO"/>
              </w:rPr>
            </w:pPr>
            <w:r w:rsidRPr="001E5907">
              <w:rPr>
                <w:rFonts w:ascii="Arial" w:hAnsi="Arial" w:cs="Arial"/>
                <w:b/>
                <w:lang w:val="ro-RO"/>
              </w:rPr>
              <w:t>2016</w:t>
            </w:r>
          </w:p>
        </w:tc>
      </w:tr>
      <w:tr w:rsidR="009E158F" w:rsidRPr="001E5907" w:rsidTr="009E158F">
        <w:trPr>
          <w:trHeight w:val="245"/>
        </w:trPr>
        <w:tc>
          <w:tcPr>
            <w:tcW w:w="2066" w:type="dxa"/>
          </w:tcPr>
          <w:p w:rsidR="009E158F" w:rsidRPr="001E5907" w:rsidRDefault="009E158F" w:rsidP="007D6C23">
            <w:pPr>
              <w:widowControl w:val="0"/>
              <w:spacing w:after="0" w:line="240" w:lineRule="auto"/>
              <w:jc w:val="center"/>
              <w:rPr>
                <w:rFonts w:ascii="Arial" w:hAnsi="Arial" w:cs="Arial"/>
                <w:lang w:val="ro-RO"/>
              </w:rPr>
            </w:pPr>
            <w:r w:rsidRPr="001E5907">
              <w:rPr>
                <w:rFonts w:ascii="Arial" w:hAnsi="Arial" w:cs="Arial"/>
                <w:lang w:val="ro-RO"/>
              </w:rPr>
              <w:t>Suprafeţe spaţii verzi (h</w:t>
            </w:r>
            <w:r w:rsidR="007D6C23">
              <w:rPr>
                <w:rFonts w:ascii="Arial" w:hAnsi="Arial" w:cs="Arial"/>
                <w:lang w:val="ro-RO"/>
              </w:rPr>
              <w:t>a</w:t>
            </w:r>
            <w:r w:rsidRPr="001E5907">
              <w:rPr>
                <w:rFonts w:ascii="Arial" w:hAnsi="Arial" w:cs="Arial"/>
                <w:lang w:val="ro-RO"/>
              </w:rPr>
              <w:t>)</w:t>
            </w:r>
          </w:p>
        </w:tc>
        <w:tc>
          <w:tcPr>
            <w:tcW w:w="1180" w:type="dxa"/>
          </w:tcPr>
          <w:p w:rsidR="009E158F" w:rsidRPr="001E5907" w:rsidRDefault="009E158F" w:rsidP="00CC1FB9">
            <w:pPr>
              <w:widowControl w:val="0"/>
              <w:spacing w:after="0" w:line="240" w:lineRule="auto"/>
              <w:jc w:val="center"/>
              <w:rPr>
                <w:rFonts w:ascii="Arial" w:hAnsi="Arial" w:cs="Arial"/>
                <w:lang w:val="ro-RO"/>
              </w:rPr>
            </w:pPr>
            <w:r w:rsidRPr="001E5907">
              <w:rPr>
                <w:rFonts w:ascii="Arial" w:hAnsi="Arial" w:cs="Arial"/>
                <w:lang w:val="ro-RO"/>
              </w:rPr>
              <w:t>502</w:t>
            </w:r>
          </w:p>
        </w:tc>
        <w:tc>
          <w:tcPr>
            <w:tcW w:w="1092" w:type="dxa"/>
          </w:tcPr>
          <w:p w:rsidR="009E158F" w:rsidRPr="001E5907" w:rsidRDefault="009E158F" w:rsidP="00CC1FB9">
            <w:pPr>
              <w:widowControl w:val="0"/>
              <w:spacing w:after="0" w:line="240" w:lineRule="auto"/>
              <w:jc w:val="center"/>
              <w:rPr>
                <w:rFonts w:ascii="Arial" w:hAnsi="Arial" w:cs="Arial"/>
                <w:lang w:val="ro-RO"/>
              </w:rPr>
            </w:pPr>
            <w:r w:rsidRPr="001E5907">
              <w:rPr>
                <w:rFonts w:ascii="Arial" w:hAnsi="Arial" w:cs="Arial"/>
                <w:lang w:val="ro-RO"/>
              </w:rPr>
              <w:t>519</w:t>
            </w:r>
          </w:p>
        </w:tc>
        <w:tc>
          <w:tcPr>
            <w:tcW w:w="1085" w:type="dxa"/>
          </w:tcPr>
          <w:p w:rsidR="009E158F" w:rsidRPr="001E5907" w:rsidRDefault="009E158F" w:rsidP="00CC1FB9">
            <w:pPr>
              <w:widowControl w:val="0"/>
              <w:spacing w:after="0" w:line="240" w:lineRule="auto"/>
              <w:jc w:val="center"/>
              <w:rPr>
                <w:rFonts w:ascii="Arial" w:hAnsi="Arial" w:cs="Arial"/>
                <w:lang w:val="ro-RO"/>
              </w:rPr>
            </w:pPr>
            <w:r w:rsidRPr="001E5907">
              <w:rPr>
                <w:rFonts w:ascii="Arial" w:hAnsi="Arial" w:cs="Arial"/>
                <w:lang w:val="ro-RO"/>
              </w:rPr>
              <w:t>523</w:t>
            </w:r>
          </w:p>
        </w:tc>
        <w:tc>
          <w:tcPr>
            <w:tcW w:w="1084" w:type="dxa"/>
          </w:tcPr>
          <w:p w:rsidR="009E158F" w:rsidRPr="001E5907" w:rsidRDefault="009E158F" w:rsidP="00CC1FB9">
            <w:pPr>
              <w:widowControl w:val="0"/>
              <w:spacing w:after="0" w:line="240" w:lineRule="auto"/>
              <w:jc w:val="center"/>
              <w:rPr>
                <w:rFonts w:ascii="Arial" w:hAnsi="Arial" w:cs="Arial"/>
                <w:lang w:val="ro-RO"/>
              </w:rPr>
            </w:pPr>
            <w:r w:rsidRPr="001E5907">
              <w:rPr>
                <w:rFonts w:ascii="Arial" w:hAnsi="Arial" w:cs="Arial"/>
                <w:lang w:val="ro-RO"/>
              </w:rPr>
              <w:t>523</w:t>
            </w:r>
          </w:p>
        </w:tc>
        <w:tc>
          <w:tcPr>
            <w:tcW w:w="1240" w:type="dxa"/>
          </w:tcPr>
          <w:p w:rsidR="009E158F" w:rsidRPr="001E5907" w:rsidRDefault="009E158F" w:rsidP="00CC1FB9">
            <w:pPr>
              <w:widowControl w:val="0"/>
              <w:spacing w:after="0" w:line="240" w:lineRule="auto"/>
              <w:jc w:val="center"/>
              <w:rPr>
                <w:rFonts w:ascii="Arial" w:hAnsi="Arial" w:cs="Arial"/>
                <w:lang w:val="ro-RO"/>
              </w:rPr>
            </w:pPr>
            <w:r w:rsidRPr="001E5907">
              <w:rPr>
                <w:rFonts w:ascii="Arial" w:hAnsi="Arial" w:cs="Arial"/>
                <w:lang w:val="ro-RO"/>
              </w:rPr>
              <w:t>523</w:t>
            </w:r>
          </w:p>
        </w:tc>
        <w:tc>
          <w:tcPr>
            <w:tcW w:w="1084" w:type="dxa"/>
            <w:shd w:val="clear" w:color="auto" w:fill="auto"/>
          </w:tcPr>
          <w:p w:rsidR="009E158F" w:rsidRPr="001E5907" w:rsidRDefault="009E158F" w:rsidP="009E158F">
            <w:pPr>
              <w:widowControl w:val="0"/>
              <w:spacing w:after="0" w:line="240" w:lineRule="auto"/>
              <w:jc w:val="center"/>
              <w:rPr>
                <w:rFonts w:ascii="Arial" w:hAnsi="Arial" w:cs="Arial"/>
                <w:lang w:val="ro-RO"/>
              </w:rPr>
            </w:pPr>
            <w:r w:rsidRPr="001E5907">
              <w:rPr>
                <w:rFonts w:ascii="Arial" w:hAnsi="Arial" w:cs="Arial"/>
                <w:lang w:val="ro-RO"/>
              </w:rPr>
              <w:t>5</w:t>
            </w:r>
            <w:r>
              <w:rPr>
                <w:rFonts w:ascii="Arial" w:hAnsi="Arial" w:cs="Arial"/>
                <w:lang w:val="ro-RO"/>
              </w:rPr>
              <w:t>52</w:t>
            </w:r>
          </w:p>
        </w:tc>
        <w:tc>
          <w:tcPr>
            <w:tcW w:w="945" w:type="dxa"/>
            <w:shd w:val="clear" w:color="auto" w:fill="auto"/>
          </w:tcPr>
          <w:p w:rsidR="009E158F" w:rsidRPr="001E5907" w:rsidRDefault="009E158F" w:rsidP="009E158F">
            <w:pPr>
              <w:widowControl w:val="0"/>
              <w:spacing w:after="0" w:line="240" w:lineRule="auto"/>
              <w:jc w:val="center"/>
              <w:rPr>
                <w:rFonts w:ascii="Arial" w:hAnsi="Arial" w:cs="Arial"/>
                <w:lang w:val="ro-RO"/>
              </w:rPr>
            </w:pPr>
            <w:r w:rsidRPr="001E5907">
              <w:rPr>
                <w:rFonts w:ascii="Arial" w:hAnsi="Arial" w:cs="Arial"/>
                <w:lang w:val="ro-RO"/>
              </w:rPr>
              <w:t>5</w:t>
            </w:r>
            <w:r>
              <w:rPr>
                <w:rFonts w:ascii="Arial" w:hAnsi="Arial" w:cs="Arial"/>
                <w:lang w:val="ro-RO"/>
              </w:rPr>
              <w:t>5</w:t>
            </w:r>
            <w:r w:rsidRPr="001E5907">
              <w:rPr>
                <w:rFonts w:ascii="Arial" w:hAnsi="Arial" w:cs="Arial"/>
                <w:lang w:val="ro-RO"/>
              </w:rPr>
              <w:t>2</w:t>
            </w:r>
          </w:p>
        </w:tc>
      </w:tr>
    </w:tbl>
    <w:p w:rsidR="0011109B" w:rsidRPr="001E5907" w:rsidRDefault="0011109B" w:rsidP="00CC1FB9">
      <w:pPr>
        <w:widowControl w:val="0"/>
        <w:spacing w:after="0" w:line="240" w:lineRule="auto"/>
        <w:ind w:firstLine="708"/>
        <w:rPr>
          <w:rFonts w:ascii="Arial" w:hAnsi="Arial" w:cs="Arial"/>
          <w:sz w:val="6"/>
          <w:szCs w:val="6"/>
          <w:lang w:val="ro-RO"/>
        </w:rPr>
      </w:pPr>
    </w:p>
    <w:p w:rsidR="004F3842" w:rsidRDefault="004F3842" w:rsidP="00CC1FB9">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Evoluția suprafețelor ocupate de spații verzi în fiecare dintre localitățile urbane ale județului în perioada 2011-2016 este prezentată în fig.</w:t>
      </w:r>
      <w:r w:rsidRPr="004F3842">
        <w:rPr>
          <w:rFonts w:ascii="Arial" w:hAnsi="Arial" w:cs="Arial"/>
          <w:sz w:val="24"/>
          <w:szCs w:val="24"/>
          <w:lang w:val="ro-RO"/>
        </w:rPr>
        <w:t xml:space="preserve"> VIII.1.4.1.1.</w:t>
      </w:r>
      <w:r>
        <w:rPr>
          <w:rFonts w:ascii="Arial" w:hAnsi="Arial" w:cs="Arial"/>
          <w:sz w:val="24"/>
          <w:szCs w:val="24"/>
          <w:lang w:val="ro-RO"/>
        </w:rPr>
        <w:t xml:space="preserve"> </w:t>
      </w:r>
    </w:p>
    <w:p w:rsidR="004F3842" w:rsidRPr="004F3842" w:rsidRDefault="004F3842" w:rsidP="00CC1FB9">
      <w:pPr>
        <w:widowControl w:val="0"/>
        <w:spacing w:after="0" w:line="240" w:lineRule="auto"/>
        <w:ind w:firstLine="709"/>
        <w:jc w:val="both"/>
        <w:rPr>
          <w:rFonts w:ascii="Arial" w:hAnsi="Arial" w:cs="Arial"/>
          <w:sz w:val="10"/>
          <w:szCs w:val="10"/>
          <w:lang w:val="ro-RO"/>
        </w:rPr>
      </w:pPr>
    </w:p>
    <w:p w:rsidR="004F3842" w:rsidRPr="0011109B" w:rsidRDefault="004F3842" w:rsidP="004F3842">
      <w:pPr>
        <w:widowControl w:val="0"/>
        <w:spacing w:after="0" w:line="240" w:lineRule="auto"/>
        <w:jc w:val="center"/>
        <w:rPr>
          <w:rFonts w:ascii="Arial" w:hAnsi="Arial" w:cs="Arial"/>
          <w:lang w:val="ro-RO"/>
        </w:rPr>
      </w:pPr>
      <w:r w:rsidRPr="0011109B">
        <w:rPr>
          <w:rFonts w:ascii="Arial" w:hAnsi="Arial" w:cs="Arial"/>
          <w:lang w:val="ro-RO"/>
        </w:rPr>
        <w:t xml:space="preserve">Fig. VIII.1.4.1.1. Evoluţia suprafeţelor de spaţii verzi </w:t>
      </w:r>
      <w:r w:rsidRPr="001E5907">
        <w:rPr>
          <w:rFonts w:ascii="Arial" w:eastAsiaTheme="minorEastAsia" w:hAnsi="Arial" w:cs="Arial"/>
          <w:lang w:val="ro-RO" w:eastAsia="ro-RO"/>
        </w:rPr>
        <w:t>din municipii şi oraşe din jud. Suceava</w:t>
      </w:r>
    </w:p>
    <w:p w:rsidR="0008113A" w:rsidRPr="001E5907" w:rsidRDefault="004F3842" w:rsidP="0008113A">
      <w:pPr>
        <w:widowControl w:val="0"/>
        <w:autoSpaceDE w:val="0"/>
        <w:autoSpaceDN w:val="0"/>
        <w:adjustRightInd w:val="0"/>
        <w:spacing w:after="0" w:line="240" w:lineRule="auto"/>
        <w:jc w:val="center"/>
        <w:rPr>
          <w:rFonts w:ascii="Arial" w:eastAsiaTheme="minorEastAsia" w:hAnsi="Arial" w:cs="Arial"/>
          <w:lang w:val="ro-RO" w:eastAsia="ro-RO"/>
        </w:rPr>
      </w:pPr>
      <w:r w:rsidRPr="0011109B">
        <w:rPr>
          <w:rFonts w:ascii="Arial" w:hAnsi="Arial" w:cs="Arial"/>
          <w:lang w:val="ro-RO"/>
        </w:rPr>
        <w:t>în perioada 2011 – 201</w:t>
      </w:r>
      <w:r>
        <w:rPr>
          <w:rFonts w:ascii="Arial" w:hAnsi="Arial" w:cs="Arial"/>
          <w:lang w:val="ro-RO"/>
        </w:rPr>
        <w:t>6</w:t>
      </w:r>
      <w:r w:rsidR="0008113A">
        <w:rPr>
          <w:rFonts w:ascii="Arial" w:hAnsi="Arial" w:cs="Arial"/>
          <w:lang w:val="ro-RO"/>
        </w:rPr>
        <w:t xml:space="preserve"> </w:t>
      </w:r>
      <w:r w:rsidR="0008113A" w:rsidRPr="001E5907">
        <w:rPr>
          <w:rFonts w:ascii="Arial" w:eastAsiaTheme="minorEastAsia" w:hAnsi="Arial" w:cs="Arial"/>
          <w:lang w:val="ro-RO" w:eastAsia="ro-RO"/>
        </w:rPr>
        <w:t xml:space="preserve"> (</w:t>
      </w:r>
      <w:r w:rsidR="0008113A" w:rsidRPr="001E5907">
        <w:rPr>
          <w:rFonts w:ascii="Arial" w:eastAsiaTheme="minorEastAsia" w:hAnsi="Arial" w:cs="Arial"/>
          <w:i/>
          <w:lang w:val="ro-RO" w:eastAsia="ro-RO"/>
        </w:rPr>
        <w:t xml:space="preserve">Sursa: </w:t>
      </w:r>
      <w:r w:rsidR="0008113A" w:rsidRPr="001E5907">
        <w:rPr>
          <w:rFonts w:ascii="Arial" w:hAnsi="Arial" w:cs="Arial"/>
          <w:i/>
          <w:lang w:val="ro-RO"/>
        </w:rPr>
        <w:t>Anuarul Statistic al judeţului Suceava – 201</w:t>
      </w:r>
      <w:r w:rsidR="0008113A">
        <w:rPr>
          <w:rFonts w:ascii="Arial" w:hAnsi="Arial" w:cs="Arial"/>
          <w:i/>
          <w:lang w:val="ro-RO"/>
        </w:rPr>
        <w:t>7</w:t>
      </w:r>
      <w:r w:rsidR="0008113A" w:rsidRPr="001E5907">
        <w:rPr>
          <w:rFonts w:ascii="Arial" w:eastAsiaTheme="minorEastAsia" w:hAnsi="Arial" w:cs="Arial"/>
          <w:lang w:val="ro-RO" w:eastAsia="ro-RO"/>
        </w:rPr>
        <w:t>)</w:t>
      </w:r>
    </w:p>
    <w:p w:rsidR="004F3842" w:rsidRPr="00A70F1C" w:rsidRDefault="004F3842" w:rsidP="004F3842">
      <w:pPr>
        <w:widowControl w:val="0"/>
        <w:spacing w:after="0" w:line="240" w:lineRule="auto"/>
        <w:jc w:val="center"/>
        <w:rPr>
          <w:color w:val="FF0000"/>
          <w:lang w:val="ro-RO"/>
        </w:rPr>
      </w:pPr>
      <w:r w:rsidRPr="00A70F1C">
        <w:rPr>
          <w:noProof/>
          <w:color w:val="FF0000"/>
          <w:lang w:val="ro-RO" w:eastAsia="ro-RO"/>
        </w:rPr>
        <w:drawing>
          <wp:inline distT="0" distB="0" distL="0" distR="0">
            <wp:extent cx="5978769" cy="214532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3842" w:rsidRPr="0008113A" w:rsidRDefault="004F3842" w:rsidP="00CC1FB9">
      <w:pPr>
        <w:widowControl w:val="0"/>
        <w:spacing w:after="0" w:line="240" w:lineRule="auto"/>
        <w:ind w:firstLine="709"/>
        <w:jc w:val="both"/>
        <w:rPr>
          <w:rFonts w:ascii="Arial" w:hAnsi="Arial" w:cs="Arial"/>
          <w:sz w:val="10"/>
          <w:szCs w:val="10"/>
          <w:lang w:val="ro-RO"/>
        </w:rPr>
      </w:pPr>
    </w:p>
    <w:p w:rsidR="0011109B" w:rsidRDefault="0011109B" w:rsidP="00CC1FB9">
      <w:pPr>
        <w:widowControl w:val="0"/>
        <w:autoSpaceDE w:val="0"/>
        <w:autoSpaceDN w:val="0"/>
        <w:adjustRightInd w:val="0"/>
        <w:spacing w:after="0" w:line="240" w:lineRule="auto"/>
        <w:ind w:firstLine="708"/>
        <w:jc w:val="both"/>
        <w:rPr>
          <w:rFonts w:ascii="Arial" w:hAnsi="Arial" w:cs="Arial"/>
          <w:sz w:val="24"/>
          <w:szCs w:val="24"/>
          <w:lang w:val="ro-RO"/>
        </w:rPr>
      </w:pPr>
      <w:r w:rsidRPr="001E5907">
        <w:rPr>
          <w:rFonts w:ascii="Arial" w:hAnsi="Arial" w:cs="Arial"/>
          <w:sz w:val="24"/>
          <w:szCs w:val="24"/>
          <w:lang w:val="ro-RO"/>
        </w:rPr>
        <w:t xml:space="preserve">Potrivit OUG 114/2007 pentru modificarea şi completarea OUG </w:t>
      </w:r>
      <w:r w:rsidRPr="001E5907">
        <w:rPr>
          <w:rFonts w:ascii="Arial" w:hAnsi="Arial" w:cs="Arial"/>
          <w:vanish/>
          <w:sz w:val="24"/>
          <w:szCs w:val="24"/>
          <w:lang w:val="ro-RO"/>
        </w:rPr>
        <w:t>&lt;LLNK 12005   195180 301   0 47&gt;OUGOU</w:t>
      </w:r>
      <w:r w:rsidRPr="001E5907">
        <w:rPr>
          <w:rFonts w:ascii="Arial" w:hAnsi="Arial" w:cs="Arial"/>
          <w:sz w:val="24"/>
          <w:szCs w:val="24"/>
          <w:lang w:val="ro-RO"/>
        </w:rPr>
        <w:t>195/2005 privind protecţia mediului, art. II (alin.1), autorităţile administraţiei publice locale aveau obligaţia de a asigura</w:t>
      </w:r>
      <w:r w:rsidR="0096512B">
        <w:rPr>
          <w:rFonts w:ascii="Arial" w:hAnsi="Arial" w:cs="Arial"/>
          <w:sz w:val="24"/>
          <w:szCs w:val="24"/>
          <w:lang w:val="ro-RO"/>
        </w:rPr>
        <w:t>,</w:t>
      </w:r>
      <w:r w:rsidRPr="001E5907">
        <w:rPr>
          <w:rFonts w:ascii="Arial" w:hAnsi="Arial" w:cs="Arial"/>
          <w:sz w:val="24"/>
          <w:szCs w:val="24"/>
          <w:lang w:val="ro-RO"/>
        </w:rPr>
        <w:t xml:space="preserve"> din terenul intravilan</w:t>
      </w:r>
      <w:r w:rsidR="0096512B">
        <w:rPr>
          <w:rFonts w:ascii="Arial" w:hAnsi="Arial" w:cs="Arial"/>
          <w:sz w:val="24"/>
          <w:szCs w:val="24"/>
          <w:lang w:val="ro-RO"/>
        </w:rPr>
        <w:t>,</w:t>
      </w:r>
      <w:r w:rsidRPr="001E5907">
        <w:rPr>
          <w:rFonts w:ascii="Arial" w:hAnsi="Arial" w:cs="Arial"/>
          <w:sz w:val="24"/>
          <w:szCs w:val="24"/>
          <w:lang w:val="ro-RO"/>
        </w:rPr>
        <w:t xml:space="preserve"> </w:t>
      </w:r>
      <w:r w:rsidR="007D6C23" w:rsidRPr="001E5907">
        <w:rPr>
          <w:rFonts w:ascii="Arial" w:hAnsi="Arial" w:cs="Arial"/>
          <w:sz w:val="24"/>
          <w:szCs w:val="24"/>
          <w:lang w:val="ro-RO"/>
        </w:rPr>
        <w:t>până la data de 31 decembrie 2013</w:t>
      </w:r>
      <w:r w:rsidR="007D6C23">
        <w:rPr>
          <w:rFonts w:ascii="Arial" w:hAnsi="Arial" w:cs="Arial"/>
          <w:sz w:val="24"/>
          <w:szCs w:val="24"/>
          <w:lang w:val="ro-RO"/>
        </w:rPr>
        <w:t xml:space="preserve">, </w:t>
      </w:r>
      <w:r w:rsidRPr="001E5907">
        <w:rPr>
          <w:rFonts w:ascii="Arial" w:hAnsi="Arial" w:cs="Arial"/>
          <w:sz w:val="24"/>
          <w:szCs w:val="24"/>
          <w:lang w:val="ro-RO"/>
        </w:rPr>
        <w:t xml:space="preserve">o suprafaţă de spaţiu verde de </w:t>
      </w:r>
      <w:r w:rsidRPr="001E5907">
        <w:rPr>
          <w:rFonts w:ascii="Arial" w:hAnsi="Arial" w:cs="Arial"/>
          <w:b/>
          <w:sz w:val="24"/>
          <w:szCs w:val="24"/>
          <w:lang w:val="ro-RO"/>
        </w:rPr>
        <w:t>minimum 26 mp/locuitor</w:t>
      </w:r>
      <w:r w:rsidRPr="001E5907">
        <w:rPr>
          <w:rFonts w:ascii="Arial" w:hAnsi="Arial" w:cs="Arial"/>
          <w:sz w:val="24"/>
          <w:szCs w:val="24"/>
          <w:lang w:val="ro-RO"/>
        </w:rPr>
        <w:t>.</w:t>
      </w:r>
    </w:p>
    <w:p w:rsidR="007D6C23" w:rsidRPr="00597476" w:rsidRDefault="007D6C23" w:rsidP="007D6C23">
      <w:pPr>
        <w:widowControl w:val="0"/>
        <w:autoSpaceDE w:val="0"/>
        <w:autoSpaceDN w:val="0"/>
        <w:adjustRightInd w:val="0"/>
        <w:spacing w:after="0" w:line="240" w:lineRule="auto"/>
        <w:ind w:firstLine="708"/>
        <w:jc w:val="both"/>
        <w:rPr>
          <w:rFonts w:ascii="Arial" w:hAnsi="Arial" w:cs="Arial"/>
          <w:sz w:val="24"/>
          <w:szCs w:val="24"/>
          <w:lang w:val="ro-RO"/>
        </w:rPr>
      </w:pPr>
      <w:r w:rsidRPr="00597476">
        <w:rPr>
          <w:rFonts w:ascii="Arial" w:hAnsi="Arial" w:cs="Arial"/>
          <w:sz w:val="24"/>
          <w:szCs w:val="24"/>
          <w:lang w:val="ro-RO"/>
        </w:rPr>
        <w:t>La nivelul judeţului Suceava, suprafaţa spaţiilor verzi rap</w:t>
      </w:r>
      <w:r>
        <w:rPr>
          <w:rFonts w:ascii="Arial" w:hAnsi="Arial" w:cs="Arial"/>
          <w:sz w:val="24"/>
          <w:szCs w:val="24"/>
          <w:lang w:val="ro-RO"/>
        </w:rPr>
        <w:t>ortată la numărul de locuitori</w:t>
      </w:r>
      <w:r w:rsidRPr="00597476">
        <w:rPr>
          <w:rFonts w:ascii="Arial" w:hAnsi="Arial" w:cs="Arial"/>
          <w:sz w:val="24"/>
          <w:szCs w:val="24"/>
          <w:lang w:val="ro-RO"/>
        </w:rPr>
        <w:t xml:space="preserve"> variază între 3,25 și 79,93 mp/locuitor</w:t>
      </w:r>
      <w:r>
        <w:rPr>
          <w:rFonts w:ascii="Arial" w:hAnsi="Arial" w:cs="Arial"/>
          <w:sz w:val="24"/>
          <w:szCs w:val="24"/>
          <w:lang w:val="ro-RO"/>
        </w:rPr>
        <w:t xml:space="preserve"> </w:t>
      </w:r>
      <w:r w:rsidRPr="00597476">
        <w:rPr>
          <w:rFonts w:ascii="Arial" w:hAnsi="Arial" w:cs="Arial"/>
          <w:sz w:val="24"/>
          <w:szCs w:val="24"/>
          <w:lang w:val="ro-RO"/>
        </w:rPr>
        <w:t>(vezi tab. VIII.1.4.1.2). Locuitorii din Solca, Liteni</w:t>
      </w:r>
      <w:r>
        <w:rPr>
          <w:rFonts w:ascii="Arial" w:hAnsi="Arial" w:cs="Arial"/>
          <w:sz w:val="24"/>
          <w:szCs w:val="24"/>
          <w:lang w:val="ro-RO"/>
        </w:rPr>
        <w:t>,</w:t>
      </w:r>
      <w:r w:rsidRPr="00597476">
        <w:rPr>
          <w:rFonts w:ascii="Arial" w:hAnsi="Arial" w:cs="Arial"/>
          <w:sz w:val="24"/>
          <w:szCs w:val="24"/>
          <w:lang w:val="ro-RO"/>
        </w:rPr>
        <w:t xml:space="preserve"> Vatra Dornei</w:t>
      </w:r>
      <w:r>
        <w:rPr>
          <w:rFonts w:ascii="Arial" w:hAnsi="Arial" w:cs="Arial"/>
          <w:sz w:val="24"/>
          <w:szCs w:val="24"/>
          <w:lang w:val="ro-RO"/>
        </w:rPr>
        <w:t xml:space="preserve">, </w:t>
      </w:r>
      <w:r w:rsidRPr="00597476">
        <w:rPr>
          <w:rFonts w:ascii="Arial" w:hAnsi="Arial" w:cs="Arial"/>
          <w:sz w:val="24"/>
          <w:szCs w:val="24"/>
          <w:lang w:val="ro-RO"/>
        </w:rPr>
        <w:t xml:space="preserve">Suceava şi </w:t>
      </w:r>
      <w:r>
        <w:rPr>
          <w:rFonts w:ascii="Arial" w:hAnsi="Arial" w:cs="Arial"/>
          <w:sz w:val="24"/>
          <w:szCs w:val="24"/>
          <w:lang w:val="ro-RO"/>
        </w:rPr>
        <w:t>Milișăuți</w:t>
      </w:r>
      <w:r w:rsidRPr="00597476">
        <w:rPr>
          <w:rFonts w:ascii="Arial" w:hAnsi="Arial" w:cs="Arial"/>
          <w:sz w:val="24"/>
          <w:szCs w:val="24"/>
          <w:lang w:val="ro-RO"/>
        </w:rPr>
        <w:t xml:space="preserve"> beneficiază de cele mai mari suprafeţe de spaţii verzi/cap locuitor</w:t>
      </w:r>
      <w:r>
        <w:rPr>
          <w:rFonts w:ascii="Arial" w:hAnsi="Arial" w:cs="Arial"/>
          <w:sz w:val="24"/>
          <w:szCs w:val="24"/>
          <w:lang w:val="ro-RO"/>
        </w:rPr>
        <w:t>,</w:t>
      </w:r>
      <w:r w:rsidRPr="00597476">
        <w:rPr>
          <w:rFonts w:ascii="Arial" w:hAnsi="Arial" w:cs="Arial"/>
          <w:sz w:val="24"/>
          <w:szCs w:val="24"/>
          <w:lang w:val="ro-RO"/>
        </w:rPr>
        <w:t xml:space="preserve"> la nivelul judeţului Suceava. Mult sub norma legală de spații verzi pe cap de locuitor se situează localităţile Cajvana, Vicovu de Sus, Frasin, Dolhasca, Salcea.</w:t>
      </w:r>
    </w:p>
    <w:p w:rsidR="0011109B" w:rsidRPr="0008113A" w:rsidRDefault="0011109B" w:rsidP="00CC1FB9">
      <w:pPr>
        <w:widowControl w:val="0"/>
        <w:autoSpaceDE w:val="0"/>
        <w:autoSpaceDN w:val="0"/>
        <w:adjustRightInd w:val="0"/>
        <w:spacing w:after="0" w:line="240" w:lineRule="auto"/>
        <w:jc w:val="center"/>
        <w:rPr>
          <w:rFonts w:ascii="Arial" w:eastAsiaTheme="minorEastAsia" w:hAnsi="Arial" w:cs="Arial"/>
          <w:color w:val="FF0000"/>
          <w:sz w:val="10"/>
          <w:szCs w:val="10"/>
          <w:highlight w:val="yellow"/>
          <w:lang w:val="ro-RO" w:eastAsia="ro-RO"/>
        </w:rPr>
      </w:pPr>
    </w:p>
    <w:p w:rsidR="007D6C23" w:rsidRDefault="004076A7" w:rsidP="004076A7">
      <w:pPr>
        <w:widowControl w:val="0"/>
        <w:autoSpaceDE w:val="0"/>
        <w:autoSpaceDN w:val="0"/>
        <w:adjustRightInd w:val="0"/>
        <w:spacing w:after="0" w:line="240" w:lineRule="auto"/>
        <w:jc w:val="center"/>
        <w:rPr>
          <w:rFonts w:ascii="Arial" w:hAnsi="Arial" w:cs="Arial"/>
          <w:lang w:val="ro-RO"/>
        </w:rPr>
      </w:pPr>
      <w:r w:rsidRPr="00C97472">
        <w:rPr>
          <w:rFonts w:ascii="Arial" w:eastAsiaTheme="minorEastAsia" w:hAnsi="Arial" w:cs="Arial"/>
          <w:lang w:val="ro-RO" w:eastAsia="ro-RO"/>
        </w:rPr>
        <w:t>Tabel VIII.1.4.1.</w:t>
      </w:r>
      <w:r>
        <w:rPr>
          <w:rFonts w:ascii="Arial" w:eastAsiaTheme="minorEastAsia" w:hAnsi="Arial" w:cs="Arial"/>
          <w:lang w:val="ro-RO" w:eastAsia="ro-RO"/>
        </w:rPr>
        <w:t>2.</w:t>
      </w:r>
      <w:r w:rsidRPr="00C97472">
        <w:rPr>
          <w:rFonts w:ascii="Arial" w:eastAsiaTheme="minorEastAsia" w:hAnsi="Arial" w:cs="Arial"/>
          <w:lang w:val="ro-RO" w:eastAsia="ro-RO"/>
        </w:rPr>
        <w:t xml:space="preserve"> </w:t>
      </w:r>
      <w:r>
        <w:rPr>
          <w:rFonts w:ascii="Arial" w:eastAsiaTheme="minorEastAsia" w:hAnsi="Arial" w:cs="Arial"/>
          <w:lang w:val="ro-RO" w:eastAsia="ro-RO"/>
        </w:rPr>
        <w:t>Suprafeţele de  spaţii</w:t>
      </w:r>
      <w:r w:rsidRPr="00C97472">
        <w:rPr>
          <w:rFonts w:ascii="Arial" w:eastAsiaTheme="minorEastAsia" w:hAnsi="Arial" w:cs="Arial"/>
          <w:lang w:val="ro-RO" w:eastAsia="ro-RO"/>
        </w:rPr>
        <w:t xml:space="preserve"> verzi pe cap de locuitor (</w:t>
      </w:r>
      <w:r w:rsidRPr="00C97472">
        <w:rPr>
          <w:rFonts w:ascii="Arial" w:hAnsi="Arial" w:cs="Arial"/>
          <w:b/>
          <w:lang w:val="ro-RO"/>
        </w:rPr>
        <w:t>mp/locuitor</w:t>
      </w:r>
      <w:r w:rsidRPr="00C97472">
        <w:rPr>
          <w:rFonts w:ascii="Arial" w:hAnsi="Arial" w:cs="Arial"/>
          <w:lang w:val="ro-RO"/>
        </w:rPr>
        <w:t>)</w:t>
      </w:r>
      <w:r>
        <w:rPr>
          <w:rFonts w:ascii="Arial" w:hAnsi="Arial" w:cs="Arial"/>
          <w:lang w:val="ro-RO"/>
        </w:rPr>
        <w:t xml:space="preserve">, </w:t>
      </w:r>
    </w:p>
    <w:p w:rsidR="00BA2396" w:rsidRDefault="004076A7" w:rsidP="004076A7">
      <w:pPr>
        <w:widowControl w:val="0"/>
        <w:autoSpaceDE w:val="0"/>
        <w:autoSpaceDN w:val="0"/>
        <w:adjustRightInd w:val="0"/>
        <w:spacing w:after="0" w:line="240" w:lineRule="auto"/>
        <w:jc w:val="center"/>
        <w:rPr>
          <w:rFonts w:ascii="Arial" w:hAnsi="Arial" w:cs="Arial"/>
          <w:b/>
          <w:i/>
          <w:lang w:val="ro-RO"/>
        </w:rPr>
      </w:pPr>
      <w:r>
        <w:rPr>
          <w:rFonts w:ascii="Arial" w:hAnsi="Arial" w:cs="Arial"/>
          <w:lang w:val="ro-RO"/>
        </w:rPr>
        <w:t>din localitățile urbane ale jud. Suceava, la nivelul anului 2017</w:t>
      </w:r>
      <w:r w:rsidR="00BA2396">
        <w:rPr>
          <w:rFonts w:ascii="Arial" w:hAnsi="Arial" w:cs="Arial"/>
          <w:lang w:val="ro-RO"/>
        </w:rPr>
        <w:t xml:space="preserve"> </w:t>
      </w:r>
    </w:p>
    <w:p w:rsidR="004076A7" w:rsidRPr="00A675B0" w:rsidRDefault="004076A7" w:rsidP="004076A7">
      <w:pPr>
        <w:widowControl w:val="0"/>
        <w:autoSpaceDE w:val="0"/>
        <w:autoSpaceDN w:val="0"/>
        <w:adjustRightInd w:val="0"/>
        <w:spacing w:after="0" w:line="240" w:lineRule="auto"/>
        <w:jc w:val="center"/>
        <w:rPr>
          <w:rFonts w:ascii="Arial" w:eastAsiaTheme="minorEastAsia" w:hAnsi="Arial" w:cs="Arial"/>
          <w:sz w:val="20"/>
          <w:szCs w:val="20"/>
          <w:lang w:val="ro-RO" w:eastAsia="ro-RO"/>
        </w:rPr>
      </w:pPr>
      <w:r w:rsidRPr="00A675B0">
        <w:rPr>
          <w:rFonts w:ascii="Arial" w:eastAsiaTheme="minorEastAsia" w:hAnsi="Arial" w:cs="Arial"/>
          <w:sz w:val="20"/>
          <w:szCs w:val="20"/>
          <w:lang w:val="ro-RO" w:eastAsia="ro-RO"/>
        </w:rPr>
        <w:t>(</w:t>
      </w:r>
      <w:r w:rsidRPr="00A675B0">
        <w:rPr>
          <w:rFonts w:ascii="Arial" w:eastAsiaTheme="minorEastAsia" w:hAnsi="Arial" w:cs="Arial"/>
          <w:i/>
          <w:sz w:val="20"/>
          <w:szCs w:val="20"/>
          <w:lang w:val="ro-RO" w:eastAsia="ro-RO"/>
        </w:rPr>
        <w:t>Surse: Primăriile localităţilor urbane din jud. Suceava</w:t>
      </w:r>
      <w:r w:rsidR="00A675B0" w:rsidRPr="00A675B0">
        <w:rPr>
          <w:rFonts w:ascii="Arial" w:eastAsiaTheme="minorEastAsia" w:hAnsi="Arial" w:cs="Arial"/>
          <w:i/>
          <w:sz w:val="20"/>
          <w:szCs w:val="20"/>
          <w:lang w:val="ro-RO" w:eastAsia="ro-RO"/>
        </w:rPr>
        <w:t xml:space="preserve"> și/sau </w:t>
      </w:r>
      <w:r w:rsidR="00A675B0" w:rsidRPr="00A675B0">
        <w:rPr>
          <w:rFonts w:ascii="Arial" w:hAnsi="Arial" w:cs="Arial"/>
          <w:i/>
          <w:sz w:val="20"/>
          <w:szCs w:val="20"/>
          <w:lang w:val="ro-RO"/>
        </w:rPr>
        <w:t>Anuarul Statistic al judeţului Suceava-2017</w:t>
      </w:r>
      <w:r w:rsidRPr="00A675B0">
        <w:rPr>
          <w:rFonts w:ascii="Arial" w:eastAsiaTheme="minorEastAsia" w:hAnsi="Arial" w:cs="Arial"/>
          <w:sz w:val="20"/>
          <w:szCs w:val="20"/>
          <w:lang w:val="ro-RO" w:eastAsia="ro-RO"/>
        </w:rPr>
        <w:t>)</w:t>
      </w:r>
    </w:p>
    <w:p w:rsidR="004076A7" w:rsidRPr="00C97472" w:rsidRDefault="004076A7" w:rsidP="004076A7">
      <w:pPr>
        <w:widowControl w:val="0"/>
        <w:autoSpaceDE w:val="0"/>
        <w:autoSpaceDN w:val="0"/>
        <w:adjustRightInd w:val="0"/>
        <w:spacing w:after="0" w:line="240" w:lineRule="auto"/>
        <w:jc w:val="center"/>
        <w:rPr>
          <w:rFonts w:ascii="Arial" w:eastAsiaTheme="minorEastAsia" w:hAnsi="Arial" w:cs="Arial"/>
          <w:sz w:val="6"/>
          <w:szCs w:val="6"/>
          <w:lang w:val="ro-RO" w:eastAsia="ro-RO"/>
        </w:rPr>
      </w:pPr>
    </w:p>
    <w:tbl>
      <w:tblPr>
        <w:tblStyle w:val="TableGrid"/>
        <w:tblW w:w="6662" w:type="dxa"/>
        <w:tblInd w:w="817" w:type="dxa"/>
        <w:tblLook w:val="04A0"/>
      </w:tblPr>
      <w:tblGrid>
        <w:gridCol w:w="567"/>
        <w:gridCol w:w="2835"/>
        <w:gridCol w:w="3260"/>
      </w:tblGrid>
      <w:tr w:rsidR="004076A7" w:rsidRPr="00F61029" w:rsidTr="00BA2396">
        <w:trPr>
          <w:trHeight w:val="507"/>
          <w:tblHeader/>
        </w:trPr>
        <w:tc>
          <w:tcPr>
            <w:tcW w:w="567" w:type="dxa"/>
            <w:shd w:val="clear" w:color="auto" w:fill="FFFF99"/>
          </w:tcPr>
          <w:p w:rsidR="004076A7" w:rsidRPr="00F61029" w:rsidRDefault="004076A7" w:rsidP="00F65738">
            <w:pPr>
              <w:widowControl w:val="0"/>
              <w:spacing w:after="0" w:line="240" w:lineRule="auto"/>
              <w:jc w:val="center"/>
              <w:rPr>
                <w:rFonts w:ascii="Arial" w:hAnsi="Arial" w:cs="Arial"/>
                <w:b/>
                <w:lang w:val="ro-RO"/>
              </w:rPr>
            </w:pPr>
            <w:r w:rsidRPr="00F61029">
              <w:rPr>
                <w:rFonts w:ascii="Arial" w:hAnsi="Arial" w:cs="Arial"/>
                <w:b/>
                <w:lang w:val="ro-RO"/>
              </w:rPr>
              <w:t>Nr. crt.</w:t>
            </w:r>
          </w:p>
        </w:tc>
        <w:tc>
          <w:tcPr>
            <w:tcW w:w="2835" w:type="dxa"/>
            <w:shd w:val="clear" w:color="auto" w:fill="FFFF99"/>
          </w:tcPr>
          <w:p w:rsidR="004076A7" w:rsidRPr="00F61029" w:rsidRDefault="004076A7" w:rsidP="004076A7">
            <w:pPr>
              <w:widowControl w:val="0"/>
              <w:spacing w:after="0" w:line="240" w:lineRule="auto"/>
              <w:jc w:val="center"/>
              <w:rPr>
                <w:rFonts w:ascii="Arial" w:hAnsi="Arial" w:cs="Arial"/>
                <w:b/>
                <w:lang w:val="ro-RO"/>
              </w:rPr>
            </w:pPr>
            <w:r w:rsidRPr="00F61029">
              <w:rPr>
                <w:rFonts w:ascii="Arial" w:hAnsi="Arial" w:cs="Arial"/>
                <w:b/>
                <w:lang w:val="ro-RO"/>
              </w:rPr>
              <w:t>Municipiu/Oraș</w:t>
            </w:r>
          </w:p>
        </w:tc>
        <w:tc>
          <w:tcPr>
            <w:tcW w:w="3260" w:type="dxa"/>
            <w:tcBorders>
              <w:bottom w:val="single" w:sz="4" w:space="0" w:color="auto"/>
            </w:tcBorders>
            <w:shd w:val="clear" w:color="auto" w:fill="FFFF99"/>
          </w:tcPr>
          <w:p w:rsidR="009C151C" w:rsidRPr="00F61029" w:rsidRDefault="004076A7" w:rsidP="003959C0">
            <w:pPr>
              <w:widowControl w:val="0"/>
              <w:spacing w:after="0" w:line="240" w:lineRule="auto"/>
              <w:jc w:val="center"/>
              <w:rPr>
                <w:rFonts w:ascii="Arial" w:hAnsi="Arial" w:cs="Arial"/>
                <w:b/>
                <w:lang w:val="ro-RO"/>
              </w:rPr>
            </w:pPr>
            <w:r w:rsidRPr="00F61029">
              <w:rPr>
                <w:rFonts w:ascii="Arial" w:hAnsi="Arial" w:cs="Arial"/>
                <w:b/>
                <w:lang w:val="ro-RO"/>
              </w:rPr>
              <w:t xml:space="preserve">Suprafața de  spaţii verzi </w:t>
            </w:r>
          </w:p>
          <w:p w:rsidR="004076A7" w:rsidRPr="00F61029" w:rsidRDefault="009C151C" w:rsidP="009C151C">
            <w:pPr>
              <w:widowControl w:val="0"/>
              <w:spacing w:after="0" w:line="240" w:lineRule="auto"/>
              <w:jc w:val="center"/>
              <w:rPr>
                <w:rFonts w:ascii="Arial" w:hAnsi="Arial" w:cs="Arial"/>
                <w:b/>
                <w:lang w:val="ro-RO"/>
              </w:rPr>
            </w:pPr>
            <w:r w:rsidRPr="00F61029">
              <w:rPr>
                <w:rFonts w:ascii="Arial" w:hAnsi="Arial" w:cs="Arial"/>
                <w:b/>
                <w:lang w:val="ro-RO"/>
              </w:rPr>
              <w:t>pe</w:t>
            </w:r>
            <w:r w:rsidR="004076A7" w:rsidRPr="00F61029">
              <w:rPr>
                <w:rFonts w:ascii="Arial" w:hAnsi="Arial" w:cs="Arial"/>
                <w:b/>
                <w:lang w:val="ro-RO"/>
              </w:rPr>
              <w:t xml:space="preserve"> cap de locuitor</w:t>
            </w:r>
            <w:r w:rsidRPr="00F61029">
              <w:rPr>
                <w:rFonts w:ascii="Arial" w:hAnsi="Arial" w:cs="Arial"/>
                <w:b/>
                <w:lang w:val="ro-RO"/>
              </w:rPr>
              <w:t xml:space="preserve"> (mp/loc.)</w:t>
            </w:r>
          </w:p>
        </w:tc>
      </w:tr>
      <w:tr w:rsidR="004076A7" w:rsidRPr="00F61029" w:rsidTr="00BA2396">
        <w:trPr>
          <w:trHeight w:val="253"/>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Suceava</w:t>
            </w:r>
          </w:p>
        </w:tc>
        <w:tc>
          <w:tcPr>
            <w:tcW w:w="3260" w:type="dxa"/>
            <w:tcBorders>
              <w:bottom w:val="single" w:sz="4" w:space="0" w:color="auto"/>
            </w:tcBorders>
          </w:tcPr>
          <w:p w:rsidR="004076A7" w:rsidRPr="00F61029" w:rsidRDefault="004076A7" w:rsidP="00AA0044">
            <w:pPr>
              <w:widowControl w:val="0"/>
              <w:spacing w:after="0" w:line="240" w:lineRule="auto"/>
              <w:jc w:val="right"/>
              <w:rPr>
                <w:rFonts w:ascii="Arial" w:hAnsi="Arial" w:cs="Arial"/>
                <w:lang w:val="ro-RO"/>
              </w:rPr>
            </w:pPr>
            <w:r w:rsidRPr="00F61029">
              <w:rPr>
                <w:rFonts w:ascii="Arial" w:hAnsi="Arial" w:cs="Arial"/>
                <w:lang w:val="ro-RO"/>
              </w:rPr>
              <w:t>26,73</w:t>
            </w:r>
          </w:p>
        </w:tc>
      </w:tr>
      <w:tr w:rsidR="004076A7" w:rsidRPr="00F61029" w:rsidTr="00BA2396">
        <w:trPr>
          <w:trHeight w:val="238"/>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Câmpulung  Moldovenesc</w:t>
            </w:r>
          </w:p>
        </w:tc>
        <w:tc>
          <w:tcPr>
            <w:tcW w:w="3260" w:type="dxa"/>
            <w:tcBorders>
              <w:bottom w:val="single" w:sz="4" w:space="0" w:color="auto"/>
            </w:tcBorders>
          </w:tcPr>
          <w:p w:rsidR="004076A7" w:rsidRPr="00F61029" w:rsidRDefault="004076A7" w:rsidP="00AA0044">
            <w:pPr>
              <w:widowControl w:val="0"/>
              <w:spacing w:after="0" w:line="240" w:lineRule="auto"/>
              <w:jc w:val="right"/>
              <w:rPr>
                <w:rFonts w:ascii="Arial" w:hAnsi="Arial" w:cs="Arial"/>
                <w:lang w:val="ro-RO"/>
              </w:rPr>
            </w:pPr>
            <w:r w:rsidRPr="00F61029">
              <w:rPr>
                <w:rFonts w:ascii="Arial" w:hAnsi="Arial" w:cs="Arial"/>
                <w:lang w:val="ro-RO"/>
              </w:rPr>
              <w:t>24</w:t>
            </w:r>
            <w:r w:rsidR="009C151C" w:rsidRPr="00F61029">
              <w:rPr>
                <w:rFonts w:ascii="Arial" w:hAnsi="Arial" w:cs="Arial"/>
                <w:lang w:val="ro-RO"/>
              </w:rPr>
              <w:t>,0</w:t>
            </w:r>
          </w:p>
        </w:tc>
      </w:tr>
      <w:tr w:rsidR="00F65738" w:rsidRPr="00F61029" w:rsidTr="00BA2396">
        <w:trPr>
          <w:trHeight w:val="253"/>
        </w:trPr>
        <w:tc>
          <w:tcPr>
            <w:tcW w:w="567" w:type="dxa"/>
          </w:tcPr>
          <w:p w:rsidR="00F65738" w:rsidRPr="00F61029" w:rsidRDefault="00F65738" w:rsidP="006615AF">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6615AF">
            <w:pPr>
              <w:widowControl w:val="0"/>
              <w:spacing w:after="0" w:line="240" w:lineRule="auto"/>
              <w:jc w:val="both"/>
              <w:rPr>
                <w:rFonts w:ascii="Arial" w:hAnsi="Arial" w:cs="Arial"/>
                <w:lang w:val="ro-RO"/>
              </w:rPr>
            </w:pPr>
            <w:r w:rsidRPr="00F61029">
              <w:rPr>
                <w:rFonts w:ascii="Arial" w:hAnsi="Arial" w:cs="Arial"/>
                <w:lang w:val="ro-RO"/>
              </w:rPr>
              <w:t>Fălticeni</w:t>
            </w:r>
          </w:p>
        </w:tc>
        <w:tc>
          <w:tcPr>
            <w:tcW w:w="3260" w:type="dxa"/>
            <w:tcBorders>
              <w:bottom w:val="single" w:sz="4" w:space="0" w:color="auto"/>
            </w:tcBorders>
          </w:tcPr>
          <w:p w:rsidR="00F65738" w:rsidRPr="00F61029" w:rsidRDefault="00F65738" w:rsidP="009C151C">
            <w:pPr>
              <w:widowControl w:val="0"/>
              <w:spacing w:after="0" w:line="240" w:lineRule="auto"/>
              <w:jc w:val="right"/>
              <w:rPr>
                <w:rFonts w:ascii="Arial" w:hAnsi="Arial" w:cs="Arial"/>
                <w:lang w:val="ro-RO"/>
              </w:rPr>
            </w:pPr>
            <w:r w:rsidRPr="00F61029">
              <w:rPr>
                <w:rFonts w:ascii="Arial" w:hAnsi="Arial" w:cs="Arial"/>
                <w:lang w:val="ro-RO"/>
              </w:rPr>
              <w:t>23,</w:t>
            </w:r>
            <w:r w:rsidR="009C151C" w:rsidRPr="00F61029">
              <w:rPr>
                <w:rFonts w:ascii="Arial" w:hAnsi="Arial" w:cs="Arial"/>
                <w:lang w:val="ro-RO"/>
              </w:rPr>
              <w:t>02</w:t>
            </w:r>
          </w:p>
        </w:tc>
      </w:tr>
      <w:tr w:rsidR="004076A7" w:rsidRPr="00F61029" w:rsidTr="00BA2396">
        <w:trPr>
          <w:trHeight w:val="253"/>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Rădăuți*</w:t>
            </w:r>
          </w:p>
        </w:tc>
        <w:tc>
          <w:tcPr>
            <w:tcW w:w="3260" w:type="dxa"/>
            <w:tcBorders>
              <w:bottom w:val="single" w:sz="4" w:space="0" w:color="auto"/>
            </w:tcBorders>
          </w:tcPr>
          <w:p w:rsidR="004076A7" w:rsidRPr="00F61029" w:rsidRDefault="003959C0" w:rsidP="00AA0044">
            <w:pPr>
              <w:widowControl w:val="0"/>
              <w:spacing w:after="0" w:line="240" w:lineRule="auto"/>
              <w:jc w:val="right"/>
              <w:rPr>
                <w:rFonts w:ascii="Arial" w:hAnsi="Arial" w:cs="Arial"/>
                <w:lang w:val="ro-RO"/>
              </w:rPr>
            </w:pPr>
            <w:r w:rsidRPr="00F61029">
              <w:rPr>
                <w:rFonts w:ascii="Arial" w:hAnsi="Arial" w:cs="Arial"/>
                <w:lang w:val="ro-RO"/>
              </w:rPr>
              <w:t>7,44</w:t>
            </w:r>
          </w:p>
        </w:tc>
      </w:tr>
      <w:tr w:rsidR="004076A7" w:rsidRPr="00F61029" w:rsidTr="00BA2396">
        <w:trPr>
          <w:trHeight w:val="253"/>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Vatra Dornei</w:t>
            </w:r>
          </w:p>
        </w:tc>
        <w:tc>
          <w:tcPr>
            <w:tcW w:w="3260" w:type="dxa"/>
            <w:tcBorders>
              <w:bottom w:val="single" w:sz="4" w:space="0" w:color="auto"/>
            </w:tcBorders>
          </w:tcPr>
          <w:p w:rsidR="004076A7" w:rsidRPr="00F61029" w:rsidRDefault="004076A7" w:rsidP="00AA0044">
            <w:pPr>
              <w:widowControl w:val="0"/>
              <w:spacing w:after="0" w:line="240" w:lineRule="auto"/>
              <w:jc w:val="right"/>
              <w:rPr>
                <w:rFonts w:ascii="Arial" w:hAnsi="Arial" w:cs="Arial"/>
                <w:lang w:val="ro-RO"/>
              </w:rPr>
            </w:pPr>
            <w:r w:rsidRPr="00F61029">
              <w:rPr>
                <w:rFonts w:ascii="Arial" w:hAnsi="Arial" w:cs="Arial"/>
                <w:lang w:val="ro-RO"/>
              </w:rPr>
              <w:t>37,84</w:t>
            </w:r>
          </w:p>
        </w:tc>
      </w:tr>
      <w:tr w:rsidR="00F65738" w:rsidRPr="00F61029" w:rsidTr="00BA2396">
        <w:trPr>
          <w:trHeight w:val="253"/>
        </w:trPr>
        <w:tc>
          <w:tcPr>
            <w:tcW w:w="567" w:type="dxa"/>
          </w:tcPr>
          <w:p w:rsidR="00F65738" w:rsidRPr="00F61029" w:rsidRDefault="00F65738" w:rsidP="00274465">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274465">
            <w:pPr>
              <w:widowControl w:val="0"/>
              <w:spacing w:after="0" w:line="240" w:lineRule="auto"/>
              <w:jc w:val="both"/>
              <w:rPr>
                <w:rFonts w:ascii="Arial" w:hAnsi="Arial" w:cs="Arial"/>
                <w:lang w:val="ro-RO"/>
              </w:rPr>
            </w:pPr>
            <w:r w:rsidRPr="00F61029">
              <w:rPr>
                <w:rFonts w:ascii="Arial" w:hAnsi="Arial" w:cs="Arial"/>
                <w:lang w:val="ro-RO"/>
              </w:rPr>
              <w:t>Broșteni*</w:t>
            </w:r>
          </w:p>
        </w:tc>
        <w:tc>
          <w:tcPr>
            <w:tcW w:w="3260" w:type="dxa"/>
            <w:tcBorders>
              <w:bottom w:val="single" w:sz="4" w:space="0" w:color="auto"/>
            </w:tcBorders>
          </w:tcPr>
          <w:p w:rsidR="00F65738" w:rsidRPr="00F61029" w:rsidRDefault="00F65738" w:rsidP="00274465">
            <w:pPr>
              <w:widowControl w:val="0"/>
              <w:spacing w:after="0" w:line="240" w:lineRule="auto"/>
              <w:jc w:val="right"/>
              <w:rPr>
                <w:rFonts w:ascii="Arial" w:hAnsi="Arial" w:cs="Arial"/>
                <w:lang w:val="ro-RO"/>
              </w:rPr>
            </w:pPr>
            <w:r w:rsidRPr="00F61029">
              <w:rPr>
                <w:rFonts w:ascii="Arial" w:hAnsi="Arial" w:cs="Arial"/>
                <w:lang w:val="ro-RO"/>
              </w:rPr>
              <w:t>23,25</w:t>
            </w:r>
          </w:p>
        </w:tc>
      </w:tr>
      <w:tr w:rsidR="00F65738" w:rsidRPr="00F61029" w:rsidTr="00BA2396">
        <w:trPr>
          <w:trHeight w:val="253"/>
        </w:trPr>
        <w:tc>
          <w:tcPr>
            <w:tcW w:w="567" w:type="dxa"/>
          </w:tcPr>
          <w:p w:rsidR="00F65738" w:rsidRPr="00F61029" w:rsidRDefault="00F65738" w:rsidP="004469BB">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4469BB">
            <w:pPr>
              <w:widowControl w:val="0"/>
              <w:spacing w:after="0" w:line="240" w:lineRule="auto"/>
              <w:jc w:val="both"/>
              <w:rPr>
                <w:rFonts w:ascii="Arial" w:hAnsi="Arial" w:cs="Arial"/>
                <w:lang w:val="ro-RO"/>
              </w:rPr>
            </w:pPr>
            <w:r w:rsidRPr="00F61029">
              <w:rPr>
                <w:rFonts w:ascii="Arial" w:hAnsi="Arial" w:cs="Arial"/>
                <w:lang w:val="ro-RO"/>
              </w:rPr>
              <w:t>Cajvana</w:t>
            </w:r>
            <w:r w:rsidR="00BA2396" w:rsidRPr="00F61029">
              <w:rPr>
                <w:rFonts w:ascii="Arial" w:hAnsi="Arial" w:cs="Arial"/>
                <w:lang w:val="ro-RO"/>
              </w:rPr>
              <w:t>**</w:t>
            </w:r>
          </w:p>
        </w:tc>
        <w:tc>
          <w:tcPr>
            <w:tcW w:w="3260" w:type="dxa"/>
            <w:tcBorders>
              <w:bottom w:val="single" w:sz="4" w:space="0" w:color="auto"/>
            </w:tcBorders>
          </w:tcPr>
          <w:p w:rsidR="00F65738" w:rsidRPr="00F61029" w:rsidRDefault="00D737D8" w:rsidP="00BA2396">
            <w:pPr>
              <w:widowControl w:val="0"/>
              <w:spacing w:after="0" w:line="240" w:lineRule="auto"/>
              <w:jc w:val="right"/>
              <w:rPr>
                <w:rFonts w:ascii="Arial" w:hAnsi="Arial" w:cs="Arial"/>
                <w:lang w:val="ro-RO"/>
              </w:rPr>
            </w:pPr>
            <w:r w:rsidRPr="00F61029">
              <w:rPr>
                <w:rFonts w:ascii="Arial" w:hAnsi="Arial" w:cs="Arial"/>
                <w:lang w:val="ro-RO"/>
              </w:rPr>
              <w:t>3,25</w:t>
            </w:r>
          </w:p>
        </w:tc>
      </w:tr>
      <w:tr w:rsidR="00F65738" w:rsidRPr="00F61029" w:rsidTr="00BA2396">
        <w:trPr>
          <w:trHeight w:val="238"/>
        </w:trPr>
        <w:tc>
          <w:tcPr>
            <w:tcW w:w="567" w:type="dxa"/>
          </w:tcPr>
          <w:p w:rsidR="00F65738" w:rsidRPr="00F61029" w:rsidRDefault="00F65738" w:rsidP="00897124">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897124">
            <w:pPr>
              <w:widowControl w:val="0"/>
              <w:spacing w:after="0" w:line="240" w:lineRule="auto"/>
              <w:jc w:val="both"/>
              <w:rPr>
                <w:rFonts w:ascii="Arial" w:hAnsi="Arial" w:cs="Arial"/>
                <w:lang w:val="ro-RO"/>
              </w:rPr>
            </w:pPr>
            <w:r w:rsidRPr="00F61029">
              <w:rPr>
                <w:rFonts w:ascii="Arial" w:hAnsi="Arial" w:cs="Arial"/>
                <w:lang w:val="ro-RO"/>
              </w:rPr>
              <w:t>Dolhasca</w:t>
            </w:r>
          </w:p>
        </w:tc>
        <w:tc>
          <w:tcPr>
            <w:tcW w:w="3260" w:type="dxa"/>
            <w:tcBorders>
              <w:bottom w:val="single" w:sz="4" w:space="0" w:color="auto"/>
            </w:tcBorders>
          </w:tcPr>
          <w:p w:rsidR="00F65738" w:rsidRPr="00F61029" w:rsidRDefault="00F65738" w:rsidP="00897124">
            <w:pPr>
              <w:widowControl w:val="0"/>
              <w:spacing w:after="0" w:line="240" w:lineRule="auto"/>
              <w:jc w:val="right"/>
              <w:rPr>
                <w:rFonts w:ascii="Arial" w:hAnsi="Arial" w:cs="Arial"/>
                <w:lang w:val="ro-RO"/>
              </w:rPr>
            </w:pPr>
            <w:r w:rsidRPr="00F61029">
              <w:rPr>
                <w:rFonts w:ascii="Arial" w:hAnsi="Arial" w:cs="Arial"/>
                <w:lang w:val="ro-RO"/>
              </w:rPr>
              <w:t>8,94</w:t>
            </w:r>
          </w:p>
        </w:tc>
      </w:tr>
      <w:tr w:rsidR="00F65738" w:rsidRPr="00F61029" w:rsidTr="00BA2396">
        <w:trPr>
          <w:trHeight w:val="253"/>
        </w:trPr>
        <w:tc>
          <w:tcPr>
            <w:tcW w:w="567" w:type="dxa"/>
          </w:tcPr>
          <w:p w:rsidR="00F65738" w:rsidRPr="00F61029" w:rsidRDefault="00F65738" w:rsidP="00A2268A">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A2268A">
            <w:pPr>
              <w:widowControl w:val="0"/>
              <w:spacing w:after="0" w:line="240" w:lineRule="auto"/>
              <w:jc w:val="both"/>
              <w:rPr>
                <w:rFonts w:ascii="Arial" w:hAnsi="Arial" w:cs="Arial"/>
                <w:lang w:val="ro-RO"/>
              </w:rPr>
            </w:pPr>
            <w:r w:rsidRPr="00F61029">
              <w:rPr>
                <w:rFonts w:ascii="Arial" w:hAnsi="Arial" w:cs="Arial"/>
                <w:lang w:val="ro-RO"/>
              </w:rPr>
              <w:t>Frasin</w:t>
            </w:r>
          </w:p>
        </w:tc>
        <w:tc>
          <w:tcPr>
            <w:tcW w:w="3260" w:type="dxa"/>
            <w:tcBorders>
              <w:bottom w:val="single" w:sz="4" w:space="0" w:color="auto"/>
            </w:tcBorders>
          </w:tcPr>
          <w:p w:rsidR="00F65738" w:rsidRPr="00F61029" w:rsidRDefault="00F65738" w:rsidP="00A2268A">
            <w:pPr>
              <w:widowControl w:val="0"/>
              <w:spacing w:after="0" w:line="240" w:lineRule="auto"/>
              <w:jc w:val="right"/>
              <w:rPr>
                <w:rFonts w:ascii="Arial" w:hAnsi="Arial" w:cs="Arial"/>
                <w:lang w:val="ro-RO"/>
              </w:rPr>
            </w:pPr>
            <w:r w:rsidRPr="00F61029">
              <w:rPr>
                <w:rFonts w:ascii="Arial" w:hAnsi="Arial" w:cs="Arial"/>
                <w:lang w:val="ro-RO"/>
              </w:rPr>
              <w:t>4,06</w:t>
            </w:r>
          </w:p>
        </w:tc>
      </w:tr>
      <w:tr w:rsidR="00F65738" w:rsidRPr="00F61029" w:rsidTr="00BA2396">
        <w:trPr>
          <w:trHeight w:val="253"/>
        </w:trPr>
        <w:tc>
          <w:tcPr>
            <w:tcW w:w="567" w:type="dxa"/>
          </w:tcPr>
          <w:p w:rsidR="00F65738" w:rsidRPr="00F61029" w:rsidRDefault="00F65738" w:rsidP="00A2268A">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A2268A">
            <w:pPr>
              <w:widowControl w:val="0"/>
              <w:spacing w:after="0" w:line="240" w:lineRule="auto"/>
              <w:jc w:val="both"/>
              <w:rPr>
                <w:rFonts w:ascii="Arial" w:hAnsi="Arial" w:cs="Arial"/>
                <w:lang w:val="ro-RO"/>
              </w:rPr>
            </w:pPr>
            <w:r w:rsidRPr="00F61029">
              <w:rPr>
                <w:rFonts w:ascii="Arial" w:hAnsi="Arial" w:cs="Arial"/>
                <w:lang w:val="ro-RO"/>
              </w:rPr>
              <w:t>Gura Humorului</w:t>
            </w:r>
          </w:p>
        </w:tc>
        <w:tc>
          <w:tcPr>
            <w:tcW w:w="3260" w:type="dxa"/>
            <w:tcBorders>
              <w:bottom w:val="single" w:sz="4" w:space="0" w:color="auto"/>
            </w:tcBorders>
          </w:tcPr>
          <w:p w:rsidR="00F65738" w:rsidRPr="00F61029" w:rsidRDefault="00A675B0" w:rsidP="00A2268A">
            <w:pPr>
              <w:widowControl w:val="0"/>
              <w:spacing w:after="0" w:line="240" w:lineRule="auto"/>
              <w:jc w:val="right"/>
              <w:rPr>
                <w:rFonts w:ascii="Arial" w:hAnsi="Arial" w:cs="Arial"/>
                <w:lang w:val="ro-RO"/>
              </w:rPr>
            </w:pPr>
            <w:r>
              <w:rPr>
                <w:rFonts w:ascii="Arial" w:hAnsi="Arial" w:cs="Arial"/>
                <w:lang w:val="ro-RO"/>
              </w:rPr>
              <w:t>14,09</w:t>
            </w:r>
          </w:p>
        </w:tc>
      </w:tr>
      <w:tr w:rsidR="00F65738" w:rsidRPr="00F61029" w:rsidTr="00BA2396">
        <w:trPr>
          <w:trHeight w:val="253"/>
        </w:trPr>
        <w:tc>
          <w:tcPr>
            <w:tcW w:w="567" w:type="dxa"/>
          </w:tcPr>
          <w:p w:rsidR="00F65738" w:rsidRPr="00F61029" w:rsidRDefault="00F65738" w:rsidP="00DC510A">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DC510A">
            <w:pPr>
              <w:widowControl w:val="0"/>
              <w:spacing w:after="0" w:line="240" w:lineRule="auto"/>
              <w:jc w:val="both"/>
              <w:rPr>
                <w:rFonts w:ascii="Arial" w:hAnsi="Arial" w:cs="Arial"/>
                <w:lang w:val="ro-RO"/>
              </w:rPr>
            </w:pPr>
            <w:r w:rsidRPr="00F61029">
              <w:rPr>
                <w:rFonts w:ascii="Arial" w:hAnsi="Arial" w:cs="Arial"/>
                <w:lang w:val="ro-RO"/>
              </w:rPr>
              <w:t>Liteni</w:t>
            </w:r>
          </w:p>
        </w:tc>
        <w:tc>
          <w:tcPr>
            <w:tcW w:w="3260" w:type="dxa"/>
            <w:tcBorders>
              <w:bottom w:val="single" w:sz="4" w:space="0" w:color="auto"/>
            </w:tcBorders>
          </w:tcPr>
          <w:p w:rsidR="00F65738" w:rsidRPr="00F61029" w:rsidRDefault="00F65738" w:rsidP="00DC510A">
            <w:pPr>
              <w:widowControl w:val="0"/>
              <w:spacing w:after="0" w:line="240" w:lineRule="auto"/>
              <w:jc w:val="right"/>
              <w:rPr>
                <w:rFonts w:ascii="Arial" w:hAnsi="Arial" w:cs="Arial"/>
                <w:lang w:val="ro-RO"/>
              </w:rPr>
            </w:pPr>
            <w:r w:rsidRPr="00F61029">
              <w:rPr>
                <w:rFonts w:ascii="Arial" w:hAnsi="Arial" w:cs="Arial"/>
                <w:lang w:val="ro-RO"/>
              </w:rPr>
              <w:t>52,0</w:t>
            </w:r>
            <w:r w:rsidR="00BA2396" w:rsidRPr="00F61029">
              <w:rPr>
                <w:rFonts w:ascii="Arial" w:hAnsi="Arial" w:cs="Arial"/>
                <w:lang w:val="ro-RO"/>
              </w:rPr>
              <w:t>6</w:t>
            </w:r>
          </w:p>
        </w:tc>
      </w:tr>
      <w:tr w:rsidR="00F65738" w:rsidRPr="00F61029" w:rsidTr="00BA2396">
        <w:trPr>
          <w:trHeight w:val="238"/>
        </w:trPr>
        <w:tc>
          <w:tcPr>
            <w:tcW w:w="567" w:type="dxa"/>
          </w:tcPr>
          <w:p w:rsidR="00F65738" w:rsidRPr="00F61029" w:rsidRDefault="00F65738" w:rsidP="00F57E17">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F57E17">
            <w:pPr>
              <w:widowControl w:val="0"/>
              <w:spacing w:after="0" w:line="240" w:lineRule="auto"/>
              <w:jc w:val="both"/>
              <w:rPr>
                <w:rFonts w:ascii="Arial" w:hAnsi="Arial" w:cs="Arial"/>
                <w:lang w:val="ro-RO"/>
              </w:rPr>
            </w:pPr>
            <w:r w:rsidRPr="00F61029">
              <w:rPr>
                <w:rFonts w:ascii="Arial" w:hAnsi="Arial" w:cs="Arial"/>
                <w:lang w:val="ro-RO"/>
              </w:rPr>
              <w:t>Milișăuți</w:t>
            </w:r>
          </w:p>
        </w:tc>
        <w:tc>
          <w:tcPr>
            <w:tcW w:w="3260" w:type="dxa"/>
            <w:tcBorders>
              <w:bottom w:val="single" w:sz="4" w:space="0" w:color="auto"/>
            </w:tcBorders>
          </w:tcPr>
          <w:p w:rsidR="00F65738" w:rsidRPr="00F61029" w:rsidRDefault="00F65738" w:rsidP="00F57E17">
            <w:pPr>
              <w:widowControl w:val="0"/>
              <w:spacing w:after="0" w:line="240" w:lineRule="auto"/>
              <w:jc w:val="right"/>
              <w:rPr>
                <w:rFonts w:ascii="Arial" w:hAnsi="Arial" w:cs="Arial"/>
                <w:lang w:val="ro-RO"/>
              </w:rPr>
            </w:pPr>
            <w:r w:rsidRPr="00F61029">
              <w:rPr>
                <w:rFonts w:ascii="Arial" w:hAnsi="Arial" w:cs="Arial"/>
                <w:lang w:val="ro-RO"/>
              </w:rPr>
              <w:t>26,48</w:t>
            </w:r>
          </w:p>
        </w:tc>
      </w:tr>
      <w:tr w:rsidR="00F65738" w:rsidRPr="00F61029" w:rsidTr="00BA2396">
        <w:trPr>
          <w:trHeight w:val="238"/>
        </w:trPr>
        <w:tc>
          <w:tcPr>
            <w:tcW w:w="567" w:type="dxa"/>
          </w:tcPr>
          <w:p w:rsidR="00F65738" w:rsidRPr="00F61029" w:rsidRDefault="00F65738" w:rsidP="00F57E17">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F57E17">
            <w:pPr>
              <w:widowControl w:val="0"/>
              <w:spacing w:after="0" w:line="240" w:lineRule="auto"/>
              <w:jc w:val="both"/>
              <w:rPr>
                <w:rFonts w:ascii="Arial" w:hAnsi="Arial" w:cs="Arial"/>
                <w:lang w:val="ro-RO"/>
              </w:rPr>
            </w:pPr>
            <w:r w:rsidRPr="00F61029">
              <w:rPr>
                <w:rFonts w:ascii="Arial" w:hAnsi="Arial" w:cs="Arial"/>
                <w:lang w:val="ro-RO"/>
              </w:rPr>
              <w:t>Salcea</w:t>
            </w:r>
          </w:p>
        </w:tc>
        <w:tc>
          <w:tcPr>
            <w:tcW w:w="3260" w:type="dxa"/>
            <w:tcBorders>
              <w:bottom w:val="single" w:sz="4" w:space="0" w:color="auto"/>
            </w:tcBorders>
          </w:tcPr>
          <w:p w:rsidR="00F65738" w:rsidRPr="00F61029" w:rsidRDefault="00F65738" w:rsidP="00F57E17">
            <w:pPr>
              <w:widowControl w:val="0"/>
              <w:spacing w:after="0" w:line="240" w:lineRule="auto"/>
              <w:jc w:val="right"/>
              <w:rPr>
                <w:rFonts w:ascii="Arial" w:hAnsi="Arial" w:cs="Arial"/>
                <w:lang w:val="ro-RO"/>
              </w:rPr>
            </w:pPr>
            <w:r w:rsidRPr="00F61029">
              <w:rPr>
                <w:rFonts w:ascii="Arial" w:hAnsi="Arial" w:cs="Arial"/>
                <w:lang w:val="ro-RO"/>
              </w:rPr>
              <w:t>15,97</w:t>
            </w:r>
          </w:p>
        </w:tc>
      </w:tr>
      <w:tr w:rsidR="004076A7" w:rsidRPr="00F61029" w:rsidTr="00BA2396">
        <w:trPr>
          <w:trHeight w:val="238"/>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Siret</w:t>
            </w:r>
          </w:p>
        </w:tc>
        <w:tc>
          <w:tcPr>
            <w:tcW w:w="3260" w:type="dxa"/>
            <w:tcBorders>
              <w:bottom w:val="single" w:sz="4" w:space="0" w:color="auto"/>
            </w:tcBorders>
          </w:tcPr>
          <w:p w:rsidR="003959C0" w:rsidRPr="00F61029" w:rsidRDefault="003959C0" w:rsidP="00955CD2">
            <w:pPr>
              <w:widowControl w:val="0"/>
              <w:spacing w:after="0" w:line="240" w:lineRule="auto"/>
              <w:jc w:val="right"/>
              <w:rPr>
                <w:rFonts w:ascii="Arial" w:hAnsi="Arial" w:cs="Arial"/>
                <w:lang w:val="ro-RO"/>
              </w:rPr>
            </w:pPr>
            <w:r w:rsidRPr="00F61029">
              <w:rPr>
                <w:rFonts w:ascii="Arial" w:hAnsi="Arial" w:cs="Arial"/>
                <w:lang w:val="ro-RO"/>
              </w:rPr>
              <w:t>12,</w:t>
            </w:r>
            <w:r w:rsidR="00955CD2">
              <w:rPr>
                <w:rFonts w:ascii="Arial" w:hAnsi="Arial" w:cs="Arial"/>
                <w:lang w:val="ro-RO"/>
              </w:rPr>
              <w:t>42</w:t>
            </w:r>
          </w:p>
        </w:tc>
      </w:tr>
      <w:tr w:rsidR="00F65738" w:rsidRPr="00F61029" w:rsidTr="00BA2396">
        <w:trPr>
          <w:trHeight w:val="253"/>
        </w:trPr>
        <w:tc>
          <w:tcPr>
            <w:tcW w:w="567" w:type="dxa"/>
          </w:tcPr>
          <w:p w:rsidR="00F65738" w:rsidRPr="00F61029" w:rsidRDefault="00F65738" w:rsidP="00B73F4D">
            <w:pPr>
              <w:pStyle w:val="ListParagraph"/>
              <w:widowControl w:val="0"/>
              <w:numPr>
                <w:ilvl w:val="0"/>
                <w:numId w:val="23"/>
              </w:numPr>
              <w:jc w:val="both"/>
              <w:rPr>
                <w:rFonts w:ascii="Arial" w:hAnsi="Arial" w:cs="Arial"/>
                <w:sz w:val="22"/>
                <w:szCs w:val="22"/>
                <w:lang w:val="ro-RO"/>
              </w:rPr>
            </w:pPr>
          </w:p>
        </w:tc>
        <w:tc>
          <w:tcPr>
            <w:tcW w:w="2835" w:type="dxa"/>
          </w:tcPr>
          <w:p w:rsidR="00F65738" w:rsidRPr="00F61029" w:rsidRDefault="00F65738" w:rsidP="00B73F4D">
            <w:pPr>
              <w:widowControl w:val="0"/>
              <w:spacing w:after="0" w:line="240" w:lineRule="auto"/>
              <w:jc w:val="both"/>
              <w:rPr>
                <w:rFonts w:ascii="Arial" w:hAnsi="Arial" w:cs="Arial"/>
                <w:lang w:val="ro-RO"/>
              </w:rPr>
            </w:pPr>
            <w:r w:rsidRPr="00F61029">
              <w:rPr>
                <w:rFonts w:ascii="Arial" w:hAnsi="Arial" w:cs="Arial"/>
                <w:lang w:val="ro-RO"/>
              </w:rPr>
              <w:t>Solca</w:t>
            </w:r>
          </w:p>
        </w:tc>
        <w:tc>
          <w:tcPr>
            <w:tcW w:w="3260" w:type="dxa"/>
          </w:tcPr>
          <w:p w:rsidR="00F65738" w:rsidRPr="00F61029" w:rsidRDefault="00F65738" w:rsidP="00B73F4D">
            <w:pPr>
              <w:widowControl w:val="0"/>
              <w:spacing w:after="0" w:line="240" w:lineRule="auto"/>
              <w:jc w:val="right"/>
              <w:rPr>
                <w:rFonts w:ascii="Arial" w:hAnsi="Arial" w:cs="Arial"/>
                <w:lang w:val="ro-RO"/>
              </w:rPr>
            </w:pPr>
            <w:r w:rsidRPr="00F61029">
              <w:rPr>
                <w:rFonts w:ascii="Arial" w:hAnsi="Arial" w:cs="Arial"/>
                <w:lang w:val="ro-RO"/>
              </w:rPr>
              <w:t>79,93</w:t>
            </w:r>
          </w:p>
        </w:tc>
      </w:tr>
      <w:tr w:rsidR="004076A7" w:rsidRPr="00F61029" w:rsidTr="00BA2396">
        <w:trPr>
          <w:trHeight w:val="238"/>
        </w:trPr>
        <w:tc>
          <w:tcPr>
            <w:tcW w:w="567" w:type="dxa"/>
          </w:tcPr>
          <w:p w:rsidR="004076A7" w:rsidRPr="00F61029" w:rsidRDefault="004076A7" w:rsidP="00AA0044">
            <w:pPr>
              <w:pStyle w:val="ListParagraph"/>
              <w:widowControl w:val="0"/>
              <w:numPr>
                <w:ilvl w:val="0"/>
                <w:numId w:val="23"/>
              </w:numPr>
              <w:jc w:val="both"/>
              <w:rPr>
                <w:rFonts w:ascii="Arial" w:hAnsi="Arial" w:cs="Arial"/>
                <w:sz w:val="22"/>
                <w:szCs w:val="22"/>
                <w:lang w:val="ro-RO"/>
              </w:rPr>
            </w:pPr>
          </w:p>
        </w:tc>
        <w:tc>
          <w:tcPr>
            <w:tcW w:w="2835" w:type="dxa"/>
          </w:tcPr>
          <w:p w:rsidR="004076A7" w:rsidRPr="00F61029" w:rsidRDefault="004076A7" w:rsidP="00AA0044">
            <w:pPr>
              <w:widowControl w:val="0"/>
              <w:spacing w:after="0" w:line="240" w:lineRule="auto"/>
              <w:jc w:val="both"/>
              <w:rPr>
                <w:rFonts w:ascii="Arial" w:hAnsi="Arial" w:cs="Arial"/>
                <w:lang w:val="ro-RO"/>
              </w:rPr>
            </w:pPr>
            <w:r w:rsidRPr="00F61029">
              <w:rPr>
                <w:rFonts w:ascii="Arial" w:hAnsi="Arial" w:cs="Arial"/>
                <w:lang w:val="ro-RO"/>
              </w:rPr>
              <w:t>Vicovu de Sus*</w:t>
            </w:r>
          </w:p>
        </w:tc>
        <w:tc>
          <w:tcPr>
            <w:tcW w:w="3260" w:type="dxa"/>
            <w:tcBorders>
              <w:bottom w:val="single" w:sz="4" w:space="0" w:color="auto"/>
            </w:tcBorders>
          </w:tcPr>
          <w:p w:rsidR="004076A7" w:rsidRPr="00F61029" w:rsidRDefault="003959C0" w:rsidP="00AA0044">
            <w:pPr>
              <w:widowControl w:val="0"/>
              <w:spacing w:after="0" w:line="240" w:lineRule="auto"/>
              <w:jc w:val="right"/>
              <w:rPr>
                <w:rFonts w:ascii="Arial" w:hAnsi="Arial" w:cs="Arial"/>
                <w:lang w:val="ro-RO"/>
              </w:rPr>
            </w:pPr>
            <w:r w:rsidRPr="00F61029">
              <w:rPr>
                <w:rFonts w:ascii="Arial" w:hAnsi="Arial" w:cs="Arial"/>
                <w:lang w:val="ro-RO"/>
              </w:rPr>
              <w:t>3,65</w:t>
            </w:r>
          </w:p>
        </w:tc>
      </w:tr>
    </w:tbl>
    <w:p w:rsidR="004076A7" w:rsidRDefault="003959C0" w:rsidP="003959C0">
      <w:pPr>
        <w:widowControl w:val="0"/>
        <w:spacing w:after="0" w:line="240" w:lineRule="auto"/>
        <w:ind w:left="357"/>
        <w:jc w:val="both"/>
        <w:rPr>
          <w:rFonts w:ascii="Arial" w:hAnsi="Arial" w:cs="Arial"/>
          <w:i/>
          <w:sz w:val="20"/>
          <w:szCs w:val="20"/>
          <w:lang w:val="ro-RO"/>
        </w:rPr>
      </w:pPr>
      <w:r w:rsidRPr="003959C0">
        <w:rPr>
          <w:rFonts w:ascii="Arial" w:hAnsi="Arial" w:cs="Arial"/>
          <w:i/>
          <w:sz w:val="20"/>
          <w:szCs w:val="20"/>
          <w:lang w:val="ro-RO"/>
        </w:rPr>
        <w:t>* Valori calculate de APM Suceava</w:t>
      </w:r>
      <w:r>
        <w:rPr>
          <w:rFonts w:ascii="Arial" w:hAnsi="Arial" w:cs="Arial"/>
          <w:i/>
          <w:sz w:val="20"/>
          <w:szCs w:val="20"/>
          <w:lang w:val="ro-RO"/>
        </w:rPr>
        <w:t>,</w:t>
      </w:r>
      <w:r w:rsidRPr="003959C0">
        <w:rPr>
          <w:rFonts w:ascii="Arial" w:hAnsi="Arial" w:cs="Arial"/>
          <w:i/>
          <w:sz w:val="20"/>
          <w:szCs w:val="20"/>
          <w:lang w:val="ro-RO"/>
        </w:rPr>
        <w:t xml:space="preserve"> pe baza datelor din Anuarul Statistic al judeţului Suceava</w:t>
      </w:r>
      <w:r>
        <w:rPr>
          <w:rFonts w:ascii="Arial" w:hAnsi="Arial" w:cs="Arial"/>
          <w:i/>
          <w:sz w:val="20"/>
          <w:szCs w:val="20"/>
          <w:lang w:val="ro-RO"/>
        </w:rPr>
        <w:t>-</w:t>
      </w:r>
      <w:r w:rsidRPr="003959C0">
        <w:rPr>
          <w:rFonts w:ascii="Arial" w:hAnsi="Arial" w:cs="Arial"/>
          <w:i/>
          <w:sz w:val="20"/>
          <w:szCs w:val="20"/>
          <w:lang w:val="ro-RO"/>
        </w:rPr>
        <w:t>2017</w:t>
      </w:r>
      <w:r>
        <w:rPr>
          <w:rFonts w:ascii="Arial" w:hAnsi="Arial" w:cs="Arial"/>
          <w:i/>
          <w:sz w:val="20"/>
          <w:szCs w:val="20"/>
          <w:lang w:val="ro-RO"/>
        </w:rPr>
        <w:t xml:space="preserve"> </w:t>
      </w:r>
      <w:r w:rsidRPr="003959C0">
        <w:rPr>
          <w:rFonts w:ascii="Arial" w:hAnsi="Arial" w:cs="Arial"/>
          <w:i/>
          <w:sz w:val="20"/>
          <w:szCs w:val="20"/>
          <w:lang w:val="ro-RO"/>
        </w:rPr>
        <w:t>privind populația după domiciliu, pe localități, la 1 iulie 2017 și suprafețele spații</w:t>
      </w:r>
      <w:r>
        <w:rPr>
          <w:rFonts w:ascii="Arial" w:hAnsi="Arial" w:cs="Arial"/>
          <w:i/>
          <w:sz w:val="20"/>
          <w:szCs w:val="20"/>
          <w:lang w:val="ro-RO"/>
        </w:rPr>
        <w:t>lor</w:t>
      </w:r>
      <w:r w:rsidRPr="003959C0">
        <w:rPr>
          <w:rFonts w:ascii="Arial" w:hAnsi="Arial" w:cs="Arial"/>
          <w:i/>
          <w:sz w:val="20"/>
          <w:szCs w:val="20"/>
          <w:lang w:val="ro-RO"/>
        </w:rPr>
        <w:t xml:space="preserve"> verzi </w:t>
      </w:r>
      <w:r>
        <w:rPr>
          <w:rFonts w:ascii="Arial" w:hAnsi="Arial" w:cs="Arial"/>
          <w:i/>
          <w:sz w:val="20"/>
          <w:szCs w:val="20"/>
          <w:lang w:val="ro-RO"/>
        </w:rPr>
        <w:t>din municipii și orașe</w:t>
      </w:r>
    </w:p>
    <w:p w:rsidR="00D737D8" w:rsidRPr="003959C0" w:rsidRDefault="00D737D8" w:rsidP="00D737D8">
      <w:pPr>
        <w:widowControl w:val="0"/>
        <w:spacing w:after="0" w:line="240" w:lineRule="auto"/>
        <w:ind w:left="357"/>
        <w:jc w:val="both"/>
        <w:rPr>
          <w:rFonts w:ascii="Arial" w:hAnsi="Arial" w:cs="Arial"/>
          <w:i/>
          <w:sz w:val="20"/>
          <w:szCs w:val="20"/>
          <w:lang w:val="ro-RO"/>
        </w:rPr>
      </w:pPr>
      <w:r>
        <w:rPr>
          <w:rFonts w:ascii="Arial" w:hAnsi="Arial" w:cs="Arial"/>
          <w:i/>
          <w:sz w:val="20"/>
          <w:szCs w:val="20"/>
          <w:lang w:val="ro-RO"/>
        </w:rPr>
        <w:t xml:space="preserve">** Valoare calculată de APM Suceava, </w:t>
      </w:r>
      <w:r w:rsidRPr="003959C0">
        <w:rPr>
          <w:rFonts w:ascii="Arial" w:hAnsi="Arial" w:cs="Arial"/>
          <w:i/>
          <w:sz w:val="20"/>
          <w:szCs w:val="20"/>
          <w:lang w:val="ro-RO"/>
        </w:rPr>
        <w:t>pe baza datelor din Anuarul Statistic al judeţului Suceava</w:t>
      </w:r>
      <w:r>
        <w:rPr>
          <w:rFonts w:ascii="Arial" w:hAnsi="Arial" w:cs="Arial"/>
          <w:i/>
          <w:sz w:val="20"/>
          <w:szCs w:val="20"/>
          <w:lang w:val="ro-RO"/>
        </w:rPr>
        <w:t>-</w:t>
      </w:r>
      <w:r w:rsidRPr="003959C0">
        <w:rPr>
          <w:rFonts w:ascii="Arial" w:hAnsi="Arial" w:cs="Arial"/>
          <w:i/>
          <w:sz w:val="20"/>
          <w:szCs w:val="20"/>
          <w:lang w:val="ro-RO"/>
        </w:rPr>
        <w:t>2017</w:t>
      </w:r>
      <w:r>
        <w:rPr>
          <w:rFonts w:ascii="Arial" w:hAnsi="Arial" w:cs="Arial"/>
          <w:i/>
          <w:sz w:val="20"/>
          <w:szCs w:val="20"/>
          <w:lang w:val="ro-RO"/>
        </w:rPr>
        <w:t xml:space="preserve"> </w:t>
      </w:r>
      <w:r w:rsidRPr="003959C0">
        <w:rPr>
          <w:rFonts w:ascii="Arial" w:hAnsi="Arial" w:cs="Arial"/>
          <w:i/>
          <w:sz w:val="20"/>
          <w:szCs w:val="20"/>
          <w:lang w:val="ro-RO"/>
        </w:rPr>
        <w:t>privind populația după domiciliu, pe localități, la 1 iulie 2017 și supraf</w:t>
      </w:r>
      <w:r>
        <w:rPr>
          <w:rFonts w:ascii="Arial" w:hAnsi="Arial" w:cs="Arial"/>
          <w:i/>
          <w:sz w:val="20"/>
          <w:szCs w:val="20"/>
          <w:lang w:val="ro-RO"/>
        </w:rPr>
        <w:t>ața totală a</w:t>
      </w:r>
      <w:r w:rsidRPr="003959C0">
        <w:rPr>
          <w:rFonts w:ascii="Arial" w:hAnsi="Arial" w:cs="Arial"/>
          <w:i/>
          <w:sz w:val="20"/>
          <w:szCs w:val="20"/>
          <w:lang w:val="ro-RO"/>
        </w:rPr>
        <w:t xml:space="preserve"> spații</w:t>
      </w:r>
      <w:r>
        <w:rPr>
          <w:rFonts w:ascii="Arial" w:hAnsi="Arial" w:cs="Arial"/>
          <w:i/>
          <w:sz w:val="20"/>
          <w:szCs w:val="20"/>
          <w:lang w:val="ro-RO"/>
        </w:rPr>
        <w:t>lor</w:t>
      </w:r>
      <w:r w:rsidRPr="003959C0">
        <w:rPr>
          <w:rFonts w:ascii="Arial" w:hAnsi="Arial" w:cs="Arial"/>
          <w:i/>
          <w:sz w:val="20"/>
          <w:szCs w:val="20"/>
          <w:lang w:val="ro-RO"/>
        </w:rPr>
        <w:t xml:space="preserve"> verzi</w:t>
      </w:r>
      <w:r>
        <w:rPr>
          <w:rFonts w:ascii="Arial" w:hAnsi="Arial" w:cs="Arial"/>
          <w:i/>
          <w:sz w:val="20"/>
          <w:szCs w:val="20"/>
          <w:lang w:val="ro-RO"/>
        </w:rPr>
        <w:t xml:space="preserve">, conform Registrului local al spațiilor verzi </w:t>
      </w:r>
      <w:r w:rsidR="00BA2396">
        <w:rPr>
          <w:rFonts w:ascii="Arial" w:hAnsi="Arial" w:cs="Arial"/>
          <w:i/>
          <w:sz w:val="20"/>
          <w:szCs w:val="20"/>
          <w:lang w:val="ro-RO"/>
        </w:rPr>
        <w:t>al Primăriei</w:t>
      </w:r>
      <w:r>
        <w:rPr>
          <w:rFonts w:ascii="Arial" w:hAnsi="Arial" w:cs="Arial"/>
          <w:i/>
          <w:sz w:val="20"/>
          <w:szCs w:val="20"/>
          <w:lang w:val="ro-RO"/>
        </w:rPr>
        <w:t xml:space="preserve"> </w:t>
      </w:r>
      <w:r w:rsidR="00BA2396">
        <w:rPr>
          <w:rFonts w:ascii="Arial" w:hAnsi="Arial" w:cs="Arial"/>
          <w:i/>
          <w:sz w:val="20"/>
          <w:szCs w:val="20"/>
          <w:lang w:val="ro-RO"/>
        </w:rPr>
        <w:t xml:space="preserve">orașului </w:t>
      </w:r>
      <w:r>
        <w:rPr>
          <w:rFonts w:ascii="Arial" w:hAnsi="Arial" w:cs="Arial"/>
          <w:i/>
          <w:sz w:val="20"/>
          <w:szCs w:val="20"/>
          <w:lang w:val="ro-RO"/>
        </w:rPr>
        <w:t>Cajvana.</w:t>
      </w:r>
    </w:p>
    <w:p w:rsidR="007F2951" w:rsidRPr="00CA3821" w:rsidRDefault="007F2951" w:rsidP="00CC1FB9">
      <w:pPr>
        <w:widowControl w:val="0"/>
        <w:spacing w:after="0" w:line="240" w:lineRule="auto"/>
        <w:rPr>
          <w:rFonts w:ascii="Arial" w:hAnsi="Arial" w:cs="Arial"/>
          <w:color w:val="FF0000"/>
          <w:sz w:val="20"/>
          <w:szCs w:val="20"/>
          <w:lang w:val="ro-RO"/>
        </w:rPr>
      </w:pPr>
    </w:p>
    <w:p w:rsidR="0007389C" w:rsidRPr="00425D9F" w:rsidRDefault="0007389C" w:rsidP="00CC1FB9">
      <w:pPr>
        <w:widowControl w:val="0"/>
        <w:spacing w:after="0" w:line="240" w:lineRule="auto"/>
        <w:jc w:val="both"/>
        <w:rPr>
          <w:rFonts w:ascii="Arial" w:hAnsi="Arial" w:cs="Arial"/>
          <w:b/>
          <w:i/>
          <w:sz w:val="24"/>
          <w:szCs w:val="24"/>
          <w:lang w:val="ro-RO"/>
        </w:rPr>
      </w:pPr>
      <w:r w:rsidRPr="00425D9F">
        <w:rPr>
          <w:rFonts w:ascii="Arial" w:hAnsi="Arial" w:cs="Arial"/>
          <w:b/>
          <w:i/>
          <w:sz w:val="24"/>
          <w:szCs w:val="24"/>
          <w:lang w:val="ro-RO"/>
        </w:rPr>
        <w:t>VIII.1.5. Schimbările climatic</w:t>
      </w:r>
      <w:r w:rsidR="00BC175B" w:rsidRPr="00425D9F">
        <w:rPr>
          <w:rFonts w:ascii="Arial" w:hAnsi="Arial" w:cs="Arial"/>
          <w:b/>
          <w:i/>
          <w:sz w:val="24"/>
          <w:szCs w:val="24"/>
          <w:lang w:val="ro-RO"/>
        </w:rPr>
        <w:t>e</w:t>
      </w:r>
      <w:r w:rsidRPr="00425D9F">
        <w:rPr>
          <w:rFonts w:ascii="Arial" w:hAnsi="Arial" w:cs="Arial"/>
          <w:b/>
          <w:i/>
          <w:sz w:val="24"/>
          <w:szCs w:val="24"/>
          <w:lang w:val="ro-RO"/>
        </w:rPr>
        <w:t xml:space="preserve"> şi efectele asupra mediului urban, sănătăţii şi calităţii vieţii</w:t>
      </w:r>
    </w:p>
    <w:p w:rsidR="007F2951" w:rsidRPr="00F61029" w:rsidRDefault="007F2951" w:rsidP="00CC1FB9">
      <w:pPr>
        <w:widowControl w:val="0"/>
        <w:spacing w:after="0" w:line="240" w:lineRule="auto"/>
        <w:jc w:val="both"/>
        <w:rPr>
          <w:rFonts w:ascii="Arial" w:hAnsi="Arial" w:cs="Arial"/>
          <w:b/>
          <w:i/>
          <w:color w:val="FF0000"/>
          <w:sz w:val="12"/>
          <w:szCs w:val="12"/>
          <w:lang w:val="ro-RO"/>
        </w:rPr>
      </w:pPr>
    </w:p>
    <w:p w:rsidR="00CA3821"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425D9F">
        <w:rPr>
          <w:rFonts w:ascii="Arial" w:hAnsi="Arial" w:cs="Arial"/>
          <w:sz w:val="24"/>
          <w:szCs w:val="24"/>
          <w:lang w:val="ro-RO"/>
        </w:rPr>
        <w:t xml:space="preserve">Schimbările climatice reprezintă una dintre cele mai mari ameninţări asupra mediului, societăţii şi economiei. Aşa cum a punctat şi Grupul Interguvernamental privind Schimbările Climatice (IPCC, 2007), încălzirea sistemului climatic este fără echivoc. </w:t>
      </w:r>
    </w:p>
    <w:p w:rsidR="00CA3821"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425D9F">
        <w:rPr>
          <w:rFonts w:ascii="Arial" w:hAnsi="Arial" w:cs="Arial"/>
          <w:sz w:val="24"/>
          <w:szCs w:val="24"/>
          <w:lang w:val="ro-RO"/>
        </w:rPr>
        <w:t xml:space="preserve">Observaţiile arată creşteri semnificative ale temperaturii medii globale, cât şi creşterea temperaturii apei mărilor şi oceanelor, coroborate cu topirea masivă a zăpezii şi gheţii şi creşterea nivelului mării (Busuioc şi alţii, 2010). </w:t>
      </w:r>
    </w:p>
    <w:p w:rsidR="000A47A9"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425D9F">
        <w:rPr>
          <w:rFonts w:ascii="Arial" w:hAnsi="Arial" w:cs="Arial"/>
          <w:sz w:val="24"/>
          <w:szCs w:val="24"/>
          <w:lang w:val="ro-RO"/>
        </w:rPr>
        <w:t xml:space="preserve">Este foarte probabil ca o mare parte a fenomenului încălzirii globale să fie asociat creşterii concentraţiei gazelor cu efect de seră în atmosferă datorată activităţii umane (IPCC, 2007). </w:t>
      </w:r>
    </w:p>
    <w:p w:rsidR="000A47A9" w:rsidRPr="000A47A9" w:rsidRDefault="000A47A9" w:rsidP="00CC1FB9">
      <w:pPr>
        <w:widowControl w:val="0"/>
        <w:autoSpaceDE w:val="0"/>
        <w:autoSpaceDN w:val="0"/>
        <w:adjustRightInd w:val="0"/>
        <w:spacing w:after="0" w:line="240" w:lineRule="auto"/>
        <w:ind w:firstLine="709"/>
        <w:jc w:val="both"/>
        <w:rPr>
          <w:rFonts w:ascii="Arial" w:hAnsi="Arial" w:cs="Arial"/>
          <w:sz w:val="10"/>
          <w:szCs w:val="10"/>
          <w:lang w:val="ro-RO"/>
        </w:rPr>
      </w:pPr>
    </w:p>
    <w:p w:rsidR="000A47A9"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425D9F">
        <w:rPr>
          <w:rFonts w:ascii="Arial" w:hAnsi="Arial" w:cs="Arial"/>
          <w:sz w:val="24"/>
          <w:szCs w:val="24"/>
          <w:lang w:val="ro-RO"/>
        </w:rPr>
        <w:t xml:space="preserve">Efectul natural de seră are rolul de a regla temperatura medie a Pământului menţinând condiţiile optime de viaţă. Energia solară ajunge pe pământ sub forma radiaţiilor cu lungime de undă scurte. Unele sunt reflectate de atmosferă şi de suprafaţa terestră. Cea mai mare parte trece prin atmosferă şi încălzeşte suprafaţa pământului care, la rândul său, emite radiaţie infraroşie, cu lungime de undă mare (căldura). Modificarea bilanţului radiativ, adică schimbarea echilibrului dintre radiaţia care intră şi cea care iese din conturul alcătuit de Pământ şi atmosfera sa, duce la creşterea temperaturii globale (modificare pozitivă) sau la scăderea sa (modificare negativă). Unele gaze din atmosferă absorb căldura şi, reflectând-o înapoi către suprafaţa pământului, încălzesc atmosfera. Acestea sunt aşa </w:t>
      </w:r>
      <w:r w:rsidRPr="005F7316">
        <w:rPr>
          <w:rFonts w:ascii="Arial" w:hAnsi="Arial" w:cs="Arial"/>
          <w:sz w:val="24"/>
          <w:szCs w:val="24"/>
          <w:lang w:val="ro-RO"/>
        </w:rPr>
        <w:t>numitele gaze cu efect de seră (GES sau GHG – „greenhouse gases”).</w:t>
      </w:r>
    </w:p>
    <w:p w:rsidR="000A47A9" w:rsidRPr="000A47A9" w:rsidRDefault="000A47A9" w:rsidP="00CC1FB9">
      <w:pPr>
        <w:widowControl w:val="0"/>
        <w:autoSpaceDE w:val="0"/>
        <w:autoSpaceDN w:val="0"/>
        <w:adjustRightInd w:val="0"/>
        <w:spacing w:after="0" w:line="240" w:lineRule="auto"/>
        <w:ind w:firstLine="709"/>
        <w:jc w:val="both"/>
        <w:rPr>
          <w:rFonts w:ascii="Arial" w:hAnsi="Arial" w:cs="Arial"/>
          <w:sz w:val="10"/>
          <w:szCs w:val="10"/>
          <w:lang w:val="ro-RO"/>
        </w:rPr>
      </w:pPr>
    </w:p>
    <w:p w:rsidR="000A47A9" w:rsidRPr="005F7316"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5F7316">
        <w:rPr>
          <w:rFonts w:ascii="Arial" w:hAnsi="Arial" w:cs="Arial"/>
          <w:sz w:val="24"/>
          <w:szCs w:val="24"/>
          <w:lang w:val="ro-RO"/>
        </w:rPr>
        <w:t xml:space="preserve">Prin creşterea concentraţiilor de gaze cu efect de seră în atmosferă, efectul de seră se intensifică, iar transportul de energie şi umiditate în sistem se perturbă, fapt care determină dezechilibre la nivelul sistemului climatic. </w:t>
      </w:r>
    </w:p>
    <w:p w:rsidR="00CA3821" w:rsidRPr="00CA3821" w:rsidRDefault="00CA3821" w:rsidP="00CC1FB9">
      <w:pPr>
        <w:widowControl w:val="0"/>
        <w:autoSpaceDE w:val="0"/>
        <w:autoSpaceDN w:val="0"/>
        <w:adjustRightInd w:val="0"/>
        <w:spacing w:after="0" w:line="240" w:lineRule="auto"/>
        <w:ind w:firstLine="709"/>
        <w:jc w:val="both"/>
        <w:rPr>
          <w:rFonts w:ascii="Arial" w:hAnsi="Arial" w:cs="Arial"/>
          <w:sz w:val="10"/>
          <w:szCs w:val="10"/>
          <w:lang w:val="ro-RO"/>
        </w:rPr>
      </w:pPr>
    </w:p>
    <w:p w:rsidR="000A47A9" w:rsidRPr="005F7316"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5F7316">
        <w:rPr>
          <w:rFonts w:ascii="Arial" w:hAnsi="Arial" w:cs="Arial"/>
          <w:sz w:val="24"/>
          <w:szCs w:val="24"/>
          <w:lang w:val="ro-RO"/>
        </w:rPr>
        <w:t xml:space="preserve">Principalele surse de gaze cu efect de seră induse de activitatea umană sunt: </w:t>
      </w:r>
    </w:p>
    <w:p w:rsidR="000A47A9" w:rsidRPr="005F7316" w:rsidRDefault="000A47A9" w:rsidP="00CC1FB9">
      <w:pPr>
        <w:pStyle w:val="ListParagraph"/>
        <w:widowControl w:val="0"/>
        <w:numPr>
          <w:ilvl w:val="0"/>
          <w:numId w:val="30"/>
        </w:numPr>
        <w:jc w:val="both"/>
        <w:rPr>
          <w:rFonts w:ascii="Arial" w:hAnsi="Arial" w:cs="Arial"/>
          <w:sz w:val="24"/>
          <w:szCs w:val="24"/>
          <w:lang w:val="ro-RO"/>
        </w:rPr>
      </w:pPr>
      <w:r w:rsidRPr="005F7316">
        <w:rPr>
          <w:rFonts w:ascii="Arial" w:hAnsi="Arial" w:cs="Arial"/>
          <w:sz w:val="24"/>
          <w:szCs w:val="24"/>
          <w:lang w:val="ro-RO"/>
        </w:rPr>
        <w:t xml:space="preserve">arderea combustibililor fosili pentru producerea de energie electrică şi termică, în domeniile transporturi, industrie şi în gospodării; </w:t>
      </w:r>
    </w:p>
    <w:p w:rsidR="000A47A9" w:rsidRPr="005F7316" w:rsidRDefault="000A47A9" w:rsidP="00CC1FB9">
      <w:pPr>
        <w:pStyle w:val="ListParagraph"/>
        <w:widowControl w:val="0"/>
        <w:numPr>
          <w:ilvl w:val="0"/>
          <w:numId w:val="30"/>
        </w:numPr>
        <w:jc w:val="both"/>
        <w:rPr>
          <w:rFonts w:ascii="Arial" w:hAnsi="Arial" w:cs="Arial"/>
          <w:sz w:val="24"/>
          <w:szCs w:val="24"/>
          <w:lang w:val="ro-RO"/>
        </w:rPr>
      </w:pPr>
      <w:r w:rsidRPr="005F7316">
        <w:rPr>
          <w:rFonts w:ascii="Arial" w:hAnsi="Arial" w:cs="Arial"/>
          <w:sz w:val="24"/>
          <w:szCs w:val="24"/>
          <w:lang w:val="ro-RO"/>
        </w:rPr>
        <w:t xml:space="preserve">utilizarea agriculturii intensive, modificările induse tipurilor de folosinţe ale terenului, cum ar fi despăduririle; </w:t>
      </w:r>
    </w:p>
    <w:p w:rsidR="000A47A9" w:rsidRPr="005F7316" w:rsidRDefault="000A47A9" w:rsidP="00CC1FB9">
      <w:pPr>
        <w:pStyle w:val="ListParagraph"/>
        <w:widowControl w:val="0"/>
        <w:numPr>
          <w:ilvl w:val="0"/>
          <w:numId w:val="30"/>
        </w:numPr>
        <w:jc w:val="both"/>
        <w:rPr>
          <w:rFonts w:ascii="Arial" w:hAnsi="Arial" w:cs="Arial"/>
          <w:sz w:val="24"/>
          <w:szCs w:val="24"/>
          <w:lang w:val="ro-RO"/>
        </w:rPr>
      </w:pPr>
      <w:r w:rsidRPr="005F7316">
        <w:rPr>
          <w:rFonts w:ascii="Arial" w:hAnsi="Arial" w:cs="Arial"/>
          <w:sz w:val="24"/>
          <w:szCs w:val="24"/>
          <w:lang w:val="ro-RO"/>
        </w:rPr>
        <w:t xml:space="preserve">depozitarea deşeurilor; </w:t>
      </w:r>
    </w:p>
    <w:p w:rsidR="000A47A9" w:rsidRPr="005F7316" w:rsidRDefault="000A47A9" w:rsidP="00CC1FB9">
      <w:pPr>
        <w:pStyle w:val="ListParagraph"/>
        <w:widowControl w:val="0"/>
        <w:numPr>
          <w:ilvl w:val="0"/>
          <w:numId w:val="30"/>
        </w:numPr>
        <w:jc w:val="both"/>
        <w:rPr>
          <w:rFonts w:ascii="Arial" w:hAnsi="Arial" w:cs="Arial"/>
          <w:sz w:val="24"/>
          <w:szCs w:val="24"/>
          <w:lang w:val="ro-RO"/>
        </w:rPr>
      </w:pPr>
      <w:r w:rsidRPr="005F7316">
        <w:rPr>
          <w:rFonts w:ascii="Arial" w:hAnsi="Arial" w:cs="Arial"/>
          <w:sz w:val="24"/>
          <w:szCs w:val="24"/>
          <w:lang w:val="ro-RO"/>
        </w:rPr>
        <w:t xml:space="preserve">utilizarea de gaze industriale fluorurate. </w:t>
      </w:r>
    </w:p>
    <w:p w:rsidR="00CA3821" w:rsidRPr="00CA3821" w:rsidRDefault="00CA3821" w:rsidP="00CC1FB9">
      <w:pPr>
        <w:widowControl w:val="0"/>
        <w:autoSpaceDE w:val="0"/>
        <w:autoSpaceDN w:val="0"/>
        <w:adjustRightInd w:val="0"/>
        <w:spacing w:after="0" w:line="240" w:lineRule="auto"/>
        <w:ind w:firstLine="709"/>
        <w:jc w:val="both"/>
        <w:rPr>
          <w:rFonts w:ascii="Arial" w:hAnsi="Arial" w:cs="Arial"/>
          <w:sz w:val="10"/>
          <w:szCs w:val="10"/>
          <w:lang w:val="ro-RO"/>
        </w:rPr>
      </w:pPr>
    </w:p>
    <w:p w:rsidR="000A47A9" w:rsidRPr="005F7316"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5F7316">
        <w:rPr>
          <w:rFonts w:ascii="Arial" w:hAnsi="Arial" w:cs="Arial"/>
          <w:sz w:val="24"/>
          <w:szCs w:val="24"/>
          <w:lang w:val="ro-RO"/>
        </w:rPr>
        <w:t xml:space="preserve">Impactul schimbǎrilor climatice se reflectă în: creşterea temperaturii medii cu variaţii semnificative la nivel regional, diminuarea resurselor de apă pentru populaţie, reducerea volumului calotelor glaciare şi creşterea nivelului oceanelor, modificarea ciclului hidrologic, sporirea suprafeţelor aride, modificări în desfăşurarea anotimpurilor, creşterea frecvenţei şi </w:t>
      </w:r>
      <w:r w:rsidRPr="005F7316">
        <w:rPr>
          <w:rFonts w:ascii="Arial" w:hAnsi="Arial" w:cs="Arial"/>
          <w:sz w:val="24"/>
          <w:szCs w:val="24"/>
          <w:lang w:val="ro-RO"/>
        </w:rPr>
        <w:lastRenderedPageBreak/>
        <w:t>intensităţii fenomenelor climatice extreme, reducerea biodiversităţii etc.</w:t>
      </w:r>
      <w:r w:rsidRPr="005F7316">
        <w:rPr>
          <w:rStyle w:val="FootnoteReference"/>
          <w:rFonts w:ascii="Arial" w:hAnsi="Arial" w:cs="Arial"/>
          <w:sz w:val="24"/>
          <w:szCs w:val="24"/>
          <w:lang w:val="ro-RO"/>
        </w:rPr>
        <w:footnoteReference w:id="4"/>
      </w:r>
    </w:p>
    <w:p w:rsidR="000A47A9" w:rsidRPr="005F7316" w:rsidRDefault="000A47A9"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5F7316">
        <w:rPr>
          <w:rFonts w:ascii="Arial" w:hAnsi="Arial" w:cs="Arial"/>
          <w:sz w:val="24"/>
          <w:szCs w:val="24"/>
          <w:lang w:val="ro-RO"/>
        </w:rPr>
        <w:t>Schimbările în regimul climatic din România se încadrează în contextul global, ţinând seama de condiţiile regionale. Astfel, creşterea temperaturii va fi mai pronunţată în timpul verii în România, în timp ce, în nord-vestul Europei creşterea cea mai pronunţată se aşteaptă în timpul iernii.</w:t>
      </w:r>
      <w:r w:rsidRPr="005F7316">
        <w:rPr>
          <w:rStyle w:val="FootnoteReference"/>
          <w:rFonts w:ascii="Arial" w:hAnsi="Arial" w:cs="Arial"/>
          <w:sz w:val="24"/>
          <w:szCs w:val="24"/>
          <w:lang w:val="ro-RO"/>
        </w:rPr>
        <w:footnoteReference w:id="5"/>
      </w:r>
      <w:r w:rsidRPr="005F7316">
        <w:rPr>
          <w:rFonts w:ascii="Arial" w:hAnsi="Arial" w:cs="Arial"/>
          <w:sz w:val="24"/>
          <w:szCs w:val="24"/>
          <w:lang w:val="ro-RO"/>
        </w:rPr>
        <w:t xml:space="preserve"> </w:t>
      </w:r>
    </w:p>
    <w:p w:rsidR="000A47A9" w:rsidRPr="000A47A9" w:rsidRDefault="000A47A9" w:rsidP="00CC1FB9">
      <w:pPr>
        <w:widowControl w:val="0"/>
        <w:spacing w:after="0" w:line="240" w:lineRule="auto"/>
        <w:jc w:val="both"/>
        <w:rPr>
          <w:rFonts w:ascii="Arial" w:hAnsi="Arial" w:cs="Arial"/>
          <w:b/>
          <w:sz w:val="16"/>
          <w:szCs w:val="16"/>
          <w:lang w:val="ro-RO"/>
        </w:rPr>
      </w:pPr>
    </w:p>
    <w:p w:rsidR="0007389C" w:rsidRPr="00425D9F" w:rsidRDefault="0007389C" w:rsidP="00CC1FB9">
      <w:pPr>
        <w:widowControl w:val="0"/>
        <w:spacing w:after="0" w:line="240" w:lineRule="auto"/>
        <w:jc w:val="both"/>
        <w:rPr>
          <w:rFonts w:ascii="Arial" w:hAnsi="Arial" w:cs="Arial"/>
          <w:b/>
          <w:sz w:val="24"/>
          <w:szCs w:val="24"/>
          <w:lang w:val="ro-RO"/>
        </w:rPr>
      </w:pPr>
      <w:r w:rsidRPr="00425D9F">
        <w:rPr>
          <w:rFonts w:ascii="Arial" w:hAnsi="Arial" w:cs="Arial"/>
          <w:b/>
          <w:sz w:val="24"/>
          <w:szCs w:val="24"/>
          <w:lang w:val="ro-RO"/>
        </w:rPr>
        <w:t>VIII.1.5.1. Rata de mortalitate în aglomerările urbane ca urmare a temperaturilor extreme în perioada de vară</w:t>
      </w:r>
    </w:p>
    <w:p w:rsidR="003A0FF9" w:rsidRPr="000A47A9" w:rsidRDefault="003A0FF9" w:rsidP="00CC1FB9">
      <w:pPr>
        <w:widowControl w:val="0"/>
        <w:spacing w:after="0" w:line="240" w:lineRule="auto"/>
        <w:jc w:val="both"/>
        <w:rPr>
          <w:rFonts w:ascii="Arial" w:eastAsia="Times New Roman" w:hAnsi="Arial" w:cs="Arial"/>
          <w:b/>
          <w:i/>
          <w:color w:val="FF0000"/>
          <w:sz w:val="12"/>
          <w:szCs w:val="12"/>
          <w:highlight w:val="yellow"/>
          <w:lang w:val="ro-RO"/>
        </w:rPr>
      </w:pPr>
    </w:p>
    <w:p w:rsidR="00F320F3" w:rsidRDefault="00275E1A"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C75B99">
        <w:rPr>
          <w:rFonts w:ascii="Arial" w:hAnsi="Arial" w:cs="Arial"/>
          <w:sz w:val="24"/>
          <w:szCs w:val="24"/>
          <w:lang w:val="ro-RO"/>
        </w:rPr>
        <w:t>P</w:t>
      </w:r>
      <w:r w:rsidR="004A7181" w:rsidRPr="00C75B99">
        <w:rPr>
          <w:rFonts w:ascii="Arial" w:hAnsi="Arial" w:cs="Arial"/>
          <w:sz w:val="24"/>
          <w:szCs w:val="24"/>
          <w:lang w:val="ro-RO"/>
        </w:rPr>
        <w:t xml:space="preserve">otrivit Administrației Naționale de Meteorologie, tendinţa liniară a temperaturii medii </w:t>
      </w:r>
      <w:r w:rsidR="004A7181" w:rsidRPr="00146565">
        <w:rPr>
          <w:rFonts w:ascii="Arial" w:hAnsi="Arial" w:cs="Arial"/>
          <w:sz w:val="24"/>
          <w:szCs w:val="24"/>
          <w:lang w:val="ro-RO"/>
        </w:rPr>
        <w:t>anuale pentru staţia Suceava, pe intervalul 1961</w:t>
      </w:r>
      <w:r w:rsidRPr="00146565">
        <w:rPr>
          <w:rFonts w:ascii="Arial" w:hAnsi="Arial" w:cs="Arial"/>
          <w:sz w:val="24"/>
          <w:szCs w:val="24"/>
          <w:lang w:val="ro-RO"/>
        </w:rPr>
        <w:t>-</w:t>
      </w:r>
      <w:r w:rsidR="00862914" w:rsidRPr="00146565">
        <w:rPr>
          <w:rFonts w:ascii="Arial" w:hAnsi="Arial" w:cs="Arial"/>
          <w:sz w:val="24"/>
          <w:szCs w:val="24"/>
          <w:lang w:val="ro-RO"/>
        </w:rPr>
        <w:t>2017</w:t>
      </w:r>
      <w:r w:rsidR="007C0DF1" w:rsidRPr="00146565">
        <w:rPr>
          <w:rFonts w:ascii="Arial" w:hAnsi="Arial" w:cs="Arial"/>
          <w:sz w:val="24"/>
          <w:szCs w:val="24"/>
          <w:lang w:val="ro-RO"/>
        </w:rPr>
        <w:t>,</w:t>
      </w:r>
      <w:r w:rsidR="004A7181" w:rsidRPr="00146565">
        <w:rPr>
          <w:rFonts w:ascii="Arial" w:hAnsi="Arial" w:cs="Arial"/>
          <w:sz w:val="24"/>
          <w:szCs w:val="24"/>
          <w:lang w:val="ro-RO"/>
        </w:rPr>
        <w:t xml:space="preserve"> este de creştere</w:t>
      </w:r>
      <w:r w:rsidR="007C0DF1" w:rsidRPr="00146565">
        <w:rPr>
          <w:rFonts w:ascii="Arial" w:hAnsi="Arial" w:cs="Arial"/>
          <w:sz w:val="24"/>
          <w:szCs w:val="24"/>
          <w:lang w:val="ro-RO"/>
        </w:rPr>
        <w:t>,</w:t>
      </w:r>
      <w:r w:rsidR="004A7181" w:rsidRPr="00146565">
        <w:rPr>
          <w:rFonts w:ascii="Arial" w:hAnsi="Arial" w:cs="Arial"/>
          <w:sz w:val="24"/>
          <w:szCs w:val="24"/>
          <w:lang w:val="ro-RO"/>
        </w:rPr>
        <w:t xml:space="preserve"> </w:t>
      </w:r>
      <w:r w:rsidRPr="00146565">
        <w:rPr>
          <w:rFonts w:ascii="Arial" w:hAnsi="Arial" w:cs="Arial"/>
          <w:sz w:val="24"/>
          <w:szCs w:val="24"/>
          <w:lang w:val="ro-RO"/>
        </w:rPr>
        <w:t xml:space="preserve">cu </w:t>
      </w:r>
      <w:r w:rsidR="004A7181" w:rsidRPr="00146565">
        <w:rPr>
          <w:rFonts w:ascii="Arial" w:hAnsi="Arial" w:cs="Arial"/>
          <w:sz w:val="24"/>
          <w:szCs w:val="24"/>
          <w:lang w:val="ro-RO"/>
        </w:rPr>
        <w:t xml:space="preserve">aproximativ 0,03°C pe </w:t>
      </w:r>
      <w:r w:rsidRPr="00146565">
        <w:rPr>
          <w:rFonts w:ascii="Arial" w:hAnsi="Arial" w:cs="Arial"/>
          <w:sz w:val="24"/>
          <w:szCs w:val="24"/>
          <w:lang w:val="ro-RO"/>
        </w:rPr>
        <w:t>an</w:t>
      </w:r>
      <w:r w:rsidR="004A7181" w:rsidRPr="00146565">
        <w:rPr>
          <w:rFonts w:ascii="Arial" w:hAnsi="Arial" w:cs="Arial"/>
          <w:sz w:val="24"/>
          <w:szCs w:val="24"/>
          <w:lang w:val="ro-RO"/>
        </w:rPr>
        <w:t xml:space="preserve"> </w:t>
      </w:r>
      <w:r w:rsidRPr="00146565">
        <w:rPr>
          <w:rFonts w:ascii="Arial" w:hAnsi="Arial" w:cs="Arial"/>
          <w:sz w:val="24"/>
          <w:szCs w:val="24"/>
          <w:lang w:val="ro-RO"/>
        </w:rPr>
        <w:t>(</w:t>
      </w:r>
      <w:r w:rsidR="004A7181" w:rsidRPr="00146565">
        <w:rPr>
          <w:rFonts w:ascii="Arial" w:hAnsi="Arial" w:cs="Arial"/>
          <w:sz w:val="24"/>
          <w:szCs w:val="24"/>
          <w:lang w:val="ro-RO"/>
        </w:rPr>
        <w:t xml:space="preserve">vezi fig. </w:t>
      </w:r>
      <w:r w:rsidRPr="00146565">
        <w:rPr>
          <w:rFonts w:ascii="Arial" w:hAnsi="Arial" w:cs="Arial"/>
          <w:sz w:val="24"/>
          <w:szCs w:val="24"/>
          <w:lang w:val="ro-RO"/>
        </w:rPr>
        <w:t>VIII.1.5.1.1)</w:t>
      </w:r>
      <w:r w:rsidR="004A7181" w:rsidRPr="00146565">
        <w:rPr>
          <w:rFonts w:ascii="Arial" w:hAnsi="Arial" w:cs="Arial"/>
          <w:sz w:val="24"/>
          <w:szCs w:val="24"/>
          <w:lang w:val="ro-RO"/>
        </w:rPr>
        <w:t xml:space="preserve">. </w:t>
      </w:r>
    </w:p>
    <w:p w:rsidR="004A7181" w:rsidRDefault="004A7181"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146565">
        <w:rPr>
          <w:rFonts w:ascii="Arial" w:hAnsi="Arial" w:cs="Arial"/>
          <w:sz w:val="24"/>
          <w:szCs w:val="24"/>
          <w:lang w:val="ro-RO"/>
        </w:rPr>
        <w:t>Pe acelaşi interv</w:t>
      </w:r>
      <w:r w:rsidR="00862914" w:rsidRPr="00146565">
        <w:rPr>
          <w:rFonts w:ascii="Arial" w:hAnsi="Arial" w:cs="Arial"/>
          <w:sz w:val="24"/>
          <w:szCs w:val="24"/>
          <w:lang w:val="ro-RO"/>
        </w:rPr>
        <w:t>al, tendinţa liniară de scădere</w:t>
      </w:r>
      <w:r w:rsidRPr="00146565">
        <w:rPr>
          <w:rFonts w:ascii="Arial" w:hAnsi="Arial" w:cs="Arial"/>
          <w:sz w:val="24"/>
          <w:szCs w:val="24"/>
          <w:lang w:val="ro-RO"/>
        </w:rPr>
        <w:t xml:space="preserve"> a sumei anuale a precipitaţiilor este de 0</w:t>
      </w:r>
      <w:r w:rsidR="00275E1A" w:rsidRPr="00146565">
        <w:rPr>
          <w:rFonts w:ascii="Arial" w:hAnsi="Arial" w:cs="Arial"/>
          <w:sz w:val="24"/>
          <w:szCs w:val="24"/>
          <w:lang w:val="ro-RO"/>
        </w:rPr>
        <w:t>,</w:t>
      </w:r>
      <w:r w:rsidR="00862914" w:rsidRPr="00146565">
        <w:rPr>
          <w:rFonts w:ascii="Arial" w:hAnsi="Arial" w:cs="Arial"/>
          <w:sz w:val="24"/>
          <w:szCs w:val="24"/>
          <w:lang w:val="ro-RO"/>
        </w:rPr>
        <w:t>27</w:t>
      </w:r>
      <w:r w:rsidRPr="00146565">
        <w:rPr>
          <w:rFonts w:ascii="Arial" w:hAnsi="Arial" w:cs="Arial"/>
          <w:sz w:val="24"/>
          <w:szCs w:val="24"/>
          <w:lang w:val="ro-RO"/>
        </w:rPr>
        <w:t xml:space="preserve"> mm pe an</w:t>
      </w:r>
      <w:r w:rsidR="00275E1A" w:rsidRPr="00146565">
        <w:rPr>
          <w:rFonts w:ascii="Arial" w:hAnsi="Arial" w:cs="Arial"/>
          <w:sz w:val="24"/>
          <w:szCs w:val="24"/>
          <w:lang w:val="ro-RO"/>
        </w:rPr>
        <w:t xml:space="preserve"> (vezi fig. VIII.1.5.1.2)</w:t>
      </w:r>
      <w:r w:rsidRPr="00146565">
        <w:rPr>
          <w:rFonts w:ascii="Arial" w:hAnsi="Arial" w:cs="Arial"/>
          <w:sz w:val="24"/>
          <w:szCs w:val="24"/>
          <w:lang w:val="ro-RO"/>
        </w:rPr>
        <w:t xml:space="preserve">. </w:t>
      </w:r>
    </w:p>
    <w:p w:rsidR="00275E1A" w:rsidRPr="00146565" w:rsidRDefault="00275E1A" w:rsidP="00CC1FB9">
      <w:pPr>
        <w:widowControl w:val="0"/>
        <w:autoSpaceDE w:val="0"/>
        <w:autoSpaceDN w:val="0"/>
        <w:adjustRightInd w:val="0"/>
        <w:spacing w:after="0" w:line="240" w:lineRule="auto"/>
        <w:ind w:firstLine="709"/>
        <w:jc w:val="both"/>
        <w:rPr>
          <w:rFonts w:ascii="Arial" w:hAnsi="Arial" w:cs="Arial"/>
          <w:sz w:val="10"/>
          <w:szCs w:val="10"/>
          <w:lang w:val="ro-RO"/>
        </w:rPr>
      </w:pPr>
    </w:p>
    <w:p w:rsidR="00275E1A" w:rsidRPr="00146565" w:rsidRDefault="004A7181" w:rsidP="00CC1FB9">
      <w:pPr>
        <w:pStyle w:val="Header"/>
        <w:widowControl w:val="0"/>
        <w:tabs>
          <w:tab w:val="clear" w:pos="9360"/>
          <w:tab w:val="left" w:pos="9214"/>
          <w:tab w:val="left" w:pos="9356"/>
        </w:tabs>
        <w:jc w:val="center"/>
        <w:rPr>
          <w:rFonts w:ascii="Arial" w:hAnsi="Arial" w:cs="Arial"/>
          <w:lang w:val="ro-RO"/>
        </w:rPr>
      </w:pPr>
      <w:r w:rsidRPr="00146565">
        <w:rPr>
          <w:rFonts w:ascii="Arial" w:hAnsi="Arial" w:cs="Arial"/>
          <w:lang w:val="ro-RO"/>
        </w:rPr>
        <w:t xml:space="preserve">Figura VIII.1.5.1.1. Evoluţia temperaturii medii anuale (în °C) şi tendinţa la staţia meteorologică Suceava, în intervalul </w:t>
      </w:r>
      <w:r w:rsidR="004F4D7F" w:rsidRPr="00146565">
        <w:rPr>
          <w:rFonts w:ascii="Arial" w:hAnsi="Arial" w:cs="Arial"/>
          <w:lang w:val="ro-RO"/>
        </w:rPr>
        <w:t>1961-2017</w:t>
      </w:r>
      <w:r w:rsidR="00275E1A" w:rsidRPr="00146565">
        <w:rPr>
          <w:rFonts w:ascii="Arial" w:hAnsi="Arial" w:cs="Arial"/>
          <w:lang w:val="ro-RO"/>
        </w:rPr>
        <w:t xml:space="preserve"> </w:t>
      </w:r>
      <w:r w:rsidR="00275E1A" w:rsidRPr="00146565">
        <w:rPr>
          <w:rFonts w:ascii="Arial" w:hAnsi="Arial" w:cs="Arial"/>
          <w:spacing w:val="-4"/>
          <w:lang w:val="ro-RO"/>
        </w:rPr>
        <w:t>(</w:t>
      </w:r>
      <w:r w:rsidR="00275E1A" w:rsidRPr="00146565">
        <w:rPr>
          <w:rFonts w:ascii="Arial" w:hAnsi="Arial" w:cs="Arial"/>
          <w:i/>
          <w:lang w:val="ro-RO"/>
        </w:rPr>
        <w:t xml:space="preserve">sursa: </w:t>
      </w:r>
      <w:r w:rsidR="00E533AF" w:rsidRPr="00E24707">
        <w:rPr>
          <w:rFonts w:ascii="Arial" w:hAnsi="Arial" w:cs="Arial"/>
          <w:i/>
          <w:lang w:val="ro-RO"/>
        </w:rPr>
        <w:t>Adm</w:t>
      </w:r>
      <w:r w:rsidR="00E533AF">
        <w:rPr>
          <w:rFonts w:ascii="Arial" w:hAnsi="Arial" w:cs="Arial"/>
          <w:i/>
          <w:lang w:val="ro-RO"/>
        </w:rPr>
        <w:t>inistrația</w:t>
      </w:r>
      <w:r w:rsidR="00E533AF" w:rsidRPr="00E24707">
        <w:rPr>
          <w:rFonts w:ascii="Arial" w:hAnsi="Arial" w:cs="Arial"/>
          <w:i/>
          <w:lang w:val="ro-RO"/>
        </w:rPr>
        <w:t xml:space="preserve"> Naț</w:t>
      </w:r>
      <w:r w:rsidR="00E533AF">
        <w:rPr>
          <w:rFonts w:ascii="Arial" w:hAnsi="Arial" w:cs="Arial"/>
          <w:i/>
          <w:lang w:val="ro-RO"/>
        </w:rPr>
        <w:t>ională</w:t>
      </w:r>
      <w:r w:rsidR="00E533AF" w:rsidRPr="00E24707">
        <w:rPr>
          <w:rFonts w:ascii="Arial" w:hAnsi="Arial" w:cs="Arial"/>
          <w:i/>
          <w:lang w:val="ro-RO"/>
        </w:rPr>
        <w:t xml:space="preserve"> </w:t>
      </w:r>
      <w:r w:rsidR="00275E1A" w:rsidRPr="00146565">
        <w:rPr>
          <w:rFonts w:ascii="Arial" w:hAnsi="Arial" w:cs="Arial"/>
          <w:i/>
          <w:lang w:val="ro-RO"/>
        </w:rPr>
        <w:t>de Meteorologie</w:t>
      </w:r>
      <w:r w:rsidR="00275E1A" w:rsidRPr="00146565">
        <w:rPr>
          <w:rFonts w:ascii="Arial" w:hAnsi="Arial" w:cs="Arial"/>
          <w:lang w:val="ro-RO"/>
        </w:rPr>
        <w:t>)</w:t>
      </w:r>
    </w:p>
    <w:p w:rsidR="00275E1A" w:rsidRPr="00DD115F" w:rsidRDefault="00275E1A" w:rsidP="00CC1FB9">
      <w:pPr>
        <w:widowControl w:val="0"/>
        <w:spacing w:after="0" w:line="240" w:lineRule="auto"/>
        <w:jc w:val="center"/>
        <w:rPr>
          <w:rFonts w:ascii="Arial" w:hAnsi="Arial" w:cs="Arial"/>
          <w:sz w:val="6"/>
          <w:szCs w:val="6"/>
          <w:lang w:val="ro-RO"/>
        </w:rPr>
      </w:pPr>
    </w:p>
    <w:p w:rsidR="004A7181" w:rsidRPr="00DD115F" w:rsidRDefault="004A7181" w:rsidP="00CC1FB9">
      <w:pPr>
        <w:widowControl w:val="0"/>
        <w:spacing w:after="0" w:line="264" w:lineRule="auto"/>
        <w:jc w:val="center"/>
        <w:rPr>
          <w:rFonts w:ascii="Arial" w:hAnsi="Arial" w:cs="Arial"/>
          <w:noProof/>
          <w:lang w:val="ro-RO" w:eastAsia="ro-RO"/>
        </w:rPr>
      </w:pPr>
      <w:r w:rsidRPr="00DD115F">
        <w:rPr>
          <w:rFonts w:ascii="Arial" w:hAnsi="Arial" w:cs="Arial"/>
          <w:noProof/>
          <w:lang w:val="ro-RO" w:eastAsia="ro-RO"/>
        </w:rPr>
        <w:drawing>
          <wp:inline distT="0" distB="0" distL="0" distR="0">
            <wp:extent cx="4263781" cy="1608992"/>
            <wp:effectExtent l="19050" t="0" r="22469"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5E1A" w:rsidRDefault="00275E1A" w:rsidP="00CC1FB9">
      <w:pPr>
        <w:widowControl w:val="0"/>
        <w:spacing w:after="0" w:line="240" w:lineRule="auto"/>
        <w:jc w:val="center"/>
        <w:rPr>
          <w:rFonts w:ascii="Arial" w:hAnsi="Arial" w:cs="Arial"/>
          <w:sz w:val="10"/>
          <w:szCs w:val="10"/>
          <w:lang w:val="ro-RO"/>
        </w:rPr>
      </w:pPr>
    </w:p>
    <w:p w:rsidR="004E19C5" w:rsidRPr="004E19C5" w:rsidRDefault="004E19C5" w:rsidP="00CC1FB9">
      <w:pPr>
        <w:widowControl w:val="0"/>
        <w:spacing w:after="0" w:line="240" w:lineRule="auto"/>
        <w:jc w:val="center"/>
        <w:rPr>
          <w:rFonts w:ascii="Arial" w:hAnsi="Arial" w:cs="Arial"/>
          <w:sz w:val="10"/>
          <w:szCs w:val="10"/>
          <w:lang w:val="ro-RO"/>
        </w:rPr>
      </w:pPr>
    </w:p>
    <w:p w:rsidR="00275E1A" w:rsidRPr="00DB7E78" w:rsidRDefault="004A7181" w:rsidP="00CC1FB9">
      <w:pPr>
        <w:pStyle w:val="Header"/>
        <w:widowControl w:val="0"/>
        <w:tabs>
          <w:tab w:val="clear" w:pos="9360"/>
          <w:tab w:val="left" w:pos="9214"/>
          <w:tab w:val="left" w:pos="9356"/>
        </w:tabs>
        <w:jc w:val="center"/>
        <w:rPr>
          <w:rFonts w:ascii="Arial" w:hAnsi="Arial" w:cs="Arial"/>
          <w:lang w:val="ro-RO"/>
        </w:rPr>
      </w:pPr>
      <w:r w:rsidRPr="00DB7E78">
        <w:rPr>
          <w:rFonts w:ascii="Arial" w:hAnsi="Arial" w:cs="Arial"/>
          <w:lang w:val="ro-RO"/>
        </w:rPr>
        <w:t xml:space="preserve">Figura VIII.1.5.1.2. Evoluţia sumei anuale a precipitaţiilor (în mm) şi tendinţa la staţia meteorologică Suceava, în intervalul </w:t>
      </w:r>
      <w:r w:rsidR="00275E1A" w:rsidRPr="00DB7E78">
        <w:rPr>
          <w:rFonts w:ascii="Arial" w:hAnsi="Arial" w:cs="Arial"/>
          <w:lang w:val="ro-RO"/>
        </w:rPr>
        <w:t>1961-201</w:t>
      </w:r>
      <w:r w:rsidR="00E10601" w:rsidRPr="00DB7E78">
        <w:rPr>
          <w:rFonts w:ascii="Arial" w:hAnsi="Arial" w:cs="Arial"/>
          <w:lang w:val="ro-RO"/>
        </w:rPr>
        <w:t>7</w:t>
      </w:r>
      <w:r w:rsidR="00275E1A" w:rsidRPr="00DB7E78">
        <w:rPr>
          <w:rFonts w:ascii="Arial" w:hAnsi="Arial" w:cs="Arial"/>
          <w:lang w:val="ro-RO"/>
        </w:rPr>
        <w:t xml:space="preserve"> </w:t>
      </w:r>
      <w:r w:rsidR="00275E1A" w:rsidRPr="00DB7E78">
        <w:rPr>
          <w:rFonts w:ascii="Arial" w:hAnsi="Arial" w:cs="Arial"/>
          <w:spacing w:val="-4"/>
          <w:lang w:val="ro-RO"/>
        </w:rPr>
        <w:t>(</w:t>
      </w:r>
      <w:r w:rsidR="00275E1A" w:rsidRPr="00DB7E78">
        <w:rPr>
          <w:rFonts w:ascii="Arial" w:hAnsi="Arial" w:cs="Arial"/>
          <w:i/>
          <w:lang w:val="ro-RO"/>
        </w:rPr>
        <w:t xml:space="preserve">sursa: </w:t>
      </w:r>
      <w:r w:rsidR="00E533AF" w:rsidRPr="00E24707">
        <w:rPr>
          <w:rFonts w:ascii="Arial" w:hAnsi="Arial" w:cs="Arial"/>
          <w:i/>
          <w:lang w:val="ro-RO"/>
        </w:rPr>
        <w:t>Adm</w:t>
      </w:r>
      <w:r w:rsidR="00E533AF">
        <w:rPr>
          <w:rFonts w:ascii="Arial" w:hAnsi="Arial" w:cs="Arial"/>
          <w:i/>
          <w:lang w:val="ro-RO"/>
        </w:rPr>
        <w:t>inistrația</w:t>
      </w:r>
      <w:r w:rsidR="00E533AF" w:rsidRPr="00E24707">
        <w:rPr>
          <w:rFonts w:ascii="Arial" w:hAnsi="Arial" w:cs="Arial"/>
          <w:i/>
          <w:lang w:val="ro-RO"/>
        </w:rPr>
        <w:t xml:space="preserve"> Naț</w:t>
      </w:r>
      <w:r w:rsidR="00E533AF">
        <w:rPr>
          <w:rFonts w:ascii="Arial" w:hAnsi="Arial" w:cs="Arial"/>
          <w:i/>
          <w:lang w:val="ro-RO"/>
        </w:rPr>
        <w:t>ională</w:t>
      </w:r>
      <w:r w:rsidR="00E533AF" w:rsidRPr="00E24707">
        <w:rPr>
          <w:rFonts w:ascii="Arial" w:hAnsi="Arial" w:cs="Arial"/>
          <w:i/>
          <w:lang w:val="ro-RO"/>
        </w:rPr>
        <w:t xml:space="preserve"> </w:t>
      </w:r>
      <w:r w:rsidR="00275E1A" w:rsidRPr="00DB7E78">
        <w:rPr>
          <w:rFonts w:ascii="Arial" w:hAnsi="Arial" w:cs="Arial"/>
          <w:i/>
          <w:lang w:val="ro-RO"/>
        </w:rPr>
        <w:t>de Meteorologie</w:t>
      </w:r>
      <w:r w:rsidR="00275E1A" w:rsidRPr="00DB7E78">
        <w:rPr>
          <w:rFonts w:ascii="Arial" w:hAnsi="Arial" w:cs="Arial"/>
          <w:lang w:val="ro-RO"/>
        </w:rPr>
        <w:t>)</w:t>
      </w:r>
    </w:p>
    <w:p w:rsidR="00275E1A" w:rsidRPr="00DB7E78" w:rsidRDefault="00275E1A" w:rsidP="00CC1FB9">
      <w:pPr>
        <w:widowControl w:val="0"/>
        <w:spacing w:after="0" w:line="240" w:lineRule="auto"/>
        <w:jc w:val="center"/>
        <w:rPr>
          <w:rFonts w:ascii="Arial" w:hAnsi="Arial" w:cs="Arial"/>
          <w:sz w:val="6"/>
          <w:szCs w:val="6"/>
          <w:lang w:val="ro-RO"/>
        </w:rPr>
      </w:pPr>
    </w:p>
    <w:p w:rsidR="004A7181" w:rsidRPr="00DB7E78" w:rsidRDefault="004A7181" w:rsidP="00CC1FB9">
      <w:pPr>
        <w:widowControl w:val="0"/>
        <w:spacing w:after="0" w:line="264" w:lineRule="auto"/>
        <w:jc w:val="center"/>
        <w:rPr>
          <w:rFonts w:ascii="Arial" w:hAnsi="Arial" w:cs="Arial"/>
          <w:lang w:val="ro-RO"/>
        </w:rPr>
      </w:pPr>
      <w:r w:rsidRPr="00DB7E78">
        <w:rPr>
          <w:rFonts w:ascii="Arial" w:hAnsi="Arial" w:cs="Arial"/>
          <w:noProof/>
          <w:lang w:val="ro-RO" w:eastAsia="ro-RO"/>
        </w:rPr>
        <w:drawing>
          <wp:inline distT="0" distB="0" distL="0" distR="0">
            <wp:extent cx="4344915" cy="1626577"/>
            <wp:effectExtent l="19050" t="0" r="17535"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5E1A" w:rsidRPr="004E19C5" w:rsidRDefault="00275E1A" w:rsidP="00CC1FB9">
      <w:pPr>
        <w:widowControl w:val="0"/>
        <w:spacing w:after="0" w:line="240" w:lineRule="auto"/>
        <w:jc w:val="center"/>
        <w:rPr>
          <w:rFonts w:ascii="Arial" w:hAnsi="Arial" w:cs="Arial"/>
          <w:sz w:val="6"/>
          <w:szCs w:val="6"/>
          <w:lang w:val="ro-RO"/>
        </w:rPr>
      </w:pPr>
    </w:p>
    <w:p w:rsidR="00F320F3" w:rsidRPr="00F320F3" w:rsidRDefault="00F320F3" w:rsidP="00CC1FB9">
      <w:pPr>
        <w:widowControl w:val="0"/>
        <w:spacing w:after="0" w:line="240" w:lineRule="auto"/>
        <w:ind w:firstLine="720"/>
        <w:jc w:val="both"/>
        <w:rPr>
          <w:rFonts w:ascii="Arial" w:hAnsi="Arial" w:cs="Arial"/>
          <w:sz w:val="10"/>
          <w:szCs w:val="10"/>
          <w:lang w:val="ro-RO"/>
        </w:rPr>
      </w:pPr>
    </w:p>
    <w:p w:rsidR="007E3FA5" w:rsidRPr="00153FE4" w:rsidRDefault="007E3FA5" w:rsidP="00CC1FB9">
      <w:pPr>
        <w:widowControl w:val="0"/>
        <w:spacing w:after="0" w:line="240" w:lineRule="auto"/>
        <w:ind w:firstLine="720"/>
        <w:jc w:val="both"/>
        <w:rPr>
          <w:rFonts w:ascii="Arial" w:hAnsi="Arial" w:cs="Arial"/>
          <w:sz w:val="24"/>
          <w:szCs w:val="24"/>
          <w:lang w:val="ro-RO"/>
        </w:rPr>
      </w:pPr>
      <w:r w:rsidRPr="00DB7E78">
        <w:rPr>
          <w:rFonts w:ascii="Arial" w:hAnsi="Arial" w:cs="Arial"/>
          <w:sz w:val="24"/>
          <w:szCs w:val="24"/>
          <w:lang w:val="ro-RO"/>
        </w:rPr>
        <w:t>Evoluţia temperaturilor medii anuale</w:t>
      </w:r>
      <w:r w:rsidR="005923E6" w:rsidRPr="00153FE4">
        <w:rPr>
          <w:rFonts w:ascii="Arial" w:hAnsi="Arial" w:cs="Arial"/>
          <w:sz w:val="24"/>
          <w:szCs w:val="24"/>
          <w:lang w:val="ro-RO"/>
        </w:rPr>
        <w:t xml:space="preserve"> în ultimii 5 ani (perioada 2013-2017</w:t>
      </w:r>
      <w:r w:rsidRPr="00153FE4">
        <w:rPr>
          <w:rFonts w:ascii="Arial" w:hAnsi="Arial" w:cs="Arial"/>
          <w:sz w:val="24"/>
          <w:szCs w:val="24"/>
          <w:lang w:val="ro-RO"/>
        </w:rPr>
        <w:t>) la toate staţiile meteorologice de pe teritoriul judeţului Suceava, este prezentată în tabelul</w:t>
      </w:r>
      <w:r w:rsidRPr="00153FE4">
        <w:rPr>
          <w:rFonts w:ascii="Arial" w:hAnsi="Arial" w:cs="Arial"/>
          <w:color w:val="FF0000"/>
          <w:sz w:val="24"/>
          <w:szCs w:val="24"/>
          <w:lang w:val="ro-RO"/>
        </w:rPr>
        <w:t xml:space="preserve"> </w:t>
      </w:r>
      <w:r w:rsidRPr="00153FE4">
        <w:rPr>
          <w:rFonts w:ascii="Arial" w:hAnsi="Arial" w:cs="Arial"/>
          <w:sz w:val="24"/>
          <w:szCs w:val="24"/>
          <w:lang w:val="ro-RO"/>
        </w:rPr>
        <w:t>VIII.1.</w:t>
      </w:r>
      <w:r w:rsidR="0096663A" w:rsidRPr="00153FE4">
        <w:rPr>
          <w:rFonts w:ascii="Arial" w:hAnsi="Arial" w:cs="Arial"/>
          <w:sz w:val="24"/>
          <w:szCs w:val="24"/>
          <w:lang w:val="ro-RO"/>
        </w:rPr>
        <w:t xml:space="preserve">5.1.1. </w:t>
      </w:r>
    </w:p>
    <w:p w:rsidR="007E3FA5" w:rsidRPr="00153FE4" w:rsidRDefault="007E3FA5" w:rsidP="00CC1FB9">
      <w:pPr>
        <w:widowControl w:val="0"/>
        <w:spacing w:after="0" w:line="240" w:lineRule="auto"/>
        <w:ind w:firstLine="720"/>
        <w:jc w:val="center"/>
        <w:rPr>
          <w:rFonts w:ascii="Arial" w:hAnsi="Arial" w:cs="Arial"/>
          <w:sz w:val="10"/>
          <w:szCs w:val="10"/>
          <w:lang w:val="ro-RO"/>
        </w:rPr>
      </w:pPr>
    </w:p>
    <w:p w:rsidR="007E3FA5" w:rsidRPr="00153FE4" w:rsidRDefault="007E3FA5" w:rsidP="00CC1FB9">
      <w:pPr>
        <w:pStyle w:val="Header"/>
        <w:widowControl w:val="0"/>
        <w:tabs>
          <w:tab w:val="clear" w:pos="9360"/>
          <w:tab w:val="left" w:pos="9214"/>
          <w:tab w:val="left" w:pos="9356"/>
        </w:tabs>
        <w:jc w:val="center"/>
        <w:rPr>
          <w:rFonts w:ascii="Arial" w:hAnsi="Arial" w:cs="Arial"/>
          <w:lang w:val="ro-RO"/>
        </w:rPr>
      </w:pPr>
      <w:r w:rsidRPr="00153FE4">
        <w:rPr>
          <w:rFonts w:ascii="Arial" w:hAnsi="Arial" w:cs="Arial"/>
          <w:lang w:val="ro-RO"/>
        </w:rPr>
        <w:t>Tabelul VIII.1.5.1.1</w:t>
      </w:r>
      <w:r w:rsidRPr="00153FE4">
        <w:rPr>
          <w:rFonts w:ascii="Arial" w:hAnsi="Arial" w:cs="Arial"/>
          <w:color w:val="FF0000"/>
          <w:lang w:val="ro-RO"/>
        </w:rPr>
        <w:t xml:space="preserve">. </w:t>
      </w:r>
      <w:r w:rsidRPr="00153FE4">
        <w:rPr>
          <w:rFonts w:ascii="Arial" w:hAnsi="Arial" w:cs="Arial"/>
          <w:lang w:val="ro-RO"/>
        </w:rPr>
        <w:t xml:space="preserve">Temperaturi medii anuale (°C) la staţiile meteo din judeţul Suceava </w:t>
      </w:r>
    </w:p>
    <w:p w:rsidR="007E3FA5" w:rsidRPr="00153FE4" w:rsidRDefault="007E3FA5" w:rsidP="00CC1FB9">
      <w:pPr>
        <w:pStyle w:val="Header"/>
        <w:widowControl w:val="0"/>
        <w:tabs>
          <w:tab w:val="clear" w:pos="9360"/>
          <w:tab w:val="left" w:pos="9214"/>
          <w:tab w:val="left" w:pos="9356"/>
        </w:tabs>
        <w:jc w:val="center"/>
        <w:rPr>
          <w:rFonts w:ascii="Arial" w:hAnsi="Arial" w:cs="Arial"/>
          <w:lang w:val="ro-RO"/>
        </w:rPr>
      </w:pPr>
      <w:r w:rsidRPr="00153FE4">
        <w:rPr>
          <w:rFonts w:ascii="Arial" w:hAnsi="Arial" w:cs="Arial"/>
          <w:spacing w:val="-4"/>
          <w:lang w:val="ro-RO"/>
        </w:rPr>
        <w:t>(</w:t>
      </w:r>
      <w:r w:rsidRPr="00153FE4">
        <w:rPr>
          <w:rFonts w:ascii="Arial" w:hAnsi="Arial" w:cs="Arial"/>
          <w:i/>
          <w:lang w:val="ro-RO"/>
        </w:rPr>
        <w:t xml:space="preserve">sursa: </w:t>
      </w:r>
      <w:r w:rsidR="00E533AF" w:rsidRPr="00E24707">
        <w:rPr>
          <w:rFonts w:ascii="Arial" w:hAnsi="Arial" w:cs="Arial"/>
          <w:i/>
          <w:lang w:val="ro-RO"/>
        </w:rPr>
        <w:t>Adm</w:t>
      </w:r>
      <w:r w:rsidR="00E533AF">
        <w:rPr>
          <w:rFonts w:ascii="Arial" w:hAnsi="Arial" w:cs="Arial"/>
          <w:i/>
          <w:lang w:val="ro-RO"/>
        </w:rPr>
        <w:t>inistrația</w:t>
      </w:r>
      <w:r w:rsidR="00E533AF" w:rsidRPr="00E24707">
        <w:rPr>
          <w:rFonts w:ascii="Arial" w:hAnsi="Arial" w:cs="Arial"/>
          <w:i/>
          <w:lang w:val="ro-RO"/>
        </w:rPr>
        <w:t xml:space="preserve"> Naț</w:t>
      </w:r>
      <w:r w:rsidR="00E533AF">
        <w:rPr>
          <w:rFonts w:ascii="Arial" w:hAnsi="Arial" w:cs="Arial"/>
          <w:i/>
          <w:lang w:val="ro-RO"/>
        </w:rPr>
        <w:t>ională</w:t>
      </w:r>
      <w:r w:rsidR="00E533AF" w:rsidRPr="00E24707">
        <w:rPr>
          <w:rFonts w:ascii="Arial" w:hAnsi="Arial" w:cs="Arial"/>
          <w:i/>
          <w:lang w:val="ro-RO"/>
        </w:rPr>
        <w:t xml:space="preserve"> </w:t>
      </w:r>
      <w:r w:rsidRPr="00153FE4">
        <w:rPr>
          <w:rFonts w:ascii="Arial" w:hAnsi="Arial" w:cs="Arial"/>
          <w:i/>
          <w:lang w:val="ro-RO"/>
        </w:rPr>
        <w:t>de Meteorologie</w:t>
      </w:r>
      <w:r w:rsidRPr="00153FE4">
        <w:rPr>
          <w:rFonts w:ascii="Arial" w:hAnsi="Arial" w:cs="Arial"/>
          <w:lang w:val="ro-RO"/>
        </w:rPr>
        <w:t>)</w:t>
      </w:r>
    </w:p>
    <w:p w:rsidR="007E3FA5" w:rsidRPr="00153FE4" w:rsidRDefault="007E3FA5" w:rsidP="00CC1FB9">
      <w:pPr>
        <w:pStyle w:val="Header"/>
        <w:widowControl w:val="0"/>
        <w:tabs>
          <w:tab w:val="clear" w:pos="9360"/>
          <w:tab w:val="left" w:pos="9214"/>
          <w:tab w:val="left" w:pos="9356"/>
        </w:tabs>
        <w:jc w:val="center"/>
        <w:rPr>
          <w:rFonts w:ascii="Arial" w:hAnsi="Arial" w:cs="Arial"/>
          <w:color w:val="FF0000"/>
          <w:spacing w:val="-4"/>
          <w:sz w:val="6"/>
          <w:szCs w:val="6"/>
          <w:lang w:val="ro-RO"/>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255"/>
        <w:gridCol w:w="1255"/>
        <w:gridCol w:w="1255"/>
        <w:gridCol w:w="1255"/>
        <w:gridCol w:w="1255"/>
      </w:tblGrid>
      <w:tr w:rsidR="005923E6" w:rsidRPr="00153FE4" w:rsidTr="00FC1D0C">
        <w:trPr>
          <w:trHeight w:val="295"/>
          <w:tblHeader/>
          <w:jc w:val="center"/>
        </w:trPr>
        <w:tc>
          <w:tcPr>
            <w:tcW w:w="2808" w:type="dxa"/>
            <w:shd w:val="clear" w:color="auto" w:fill="FFFF99"/>
            <w:vAlign w:val="center"/>
          </w:tcPr>
          <w:p w:rsidR="005923E6" w:rsidRPr="00153FE4" w:rsidRDefault="005923E6" w:rsidP="00CC1FB9">
            <w:pPr>
              <w:widowControl w:val="0"/>
              <w:spacing w:before="20" w:after="20" w:line="240" w:lineRule="auto"/>
              <w:jc w:val="center"/>
              <w:rPr>
                <w:rFonts w:ascii="Arial" w:hAnsi="Arial" w:cs="Arial"/>
                <w:b/>
                <w:lang w:val="ro-RO"/>
              </w:rPr>
            </w:pPr>
            <w:r w:rsidRPr="00153FE4">
              <w:rPr>
                <w:rFonts w:ascii="Arial" w:hAnsi="Arial" w:cs="Arial"/>
                <w:b/>
                <w:lang w:val="ro-RO"/>
              </w:rPr>
              <w:t>Staţia meteorologică</w:t>
            </w:r>
          </w:p>
        </w:tc>
        <w:tc>
          <w:tcPr>
            <w:tcW w:w="1255" w:type="dxa"/>
            <w:shd w:val="clear" w:color="auto" w:fill="FFFF99"/>
            <w:vAlign w:val="center"/>
          </w:tcPr>
          <w:p w:rsidR="005923E6" w:rsidRPr="00153FE4" w:rsidRDefault="005923E6" w:rsidP="00CC1FB9">
            <w:pPr>
              <w:pStyle w:val="Header"/>
              <w:widowControl w:val="0"/>
              <w:tabs>
                <w:tab w:val="clear" w:pos="9360"/>
                <w:tab w:val="left" w:pos="9214"/>
                <w:tab w:val="left" w:pos="9356"/>
              </w:tabs>
              <w:spacing w:before="20" w:after="20"/>
              <w:jc w:val="center"/>
              <w:rPr>
                <w:rFonts w:ascii="Arial" w:hAnsi="Arial" w:cs="Arial"/>
                <w:b/>
                <w:lang w:val="ro-RO"/>
              </w:rPr>
            </w:pPr>
            <w:r w:rsidRPr="00153FE4">
              <w:rPr>
                <w:rFonts w:ascii="Arial" w:hAnsi="Arial" w:cs="Arial"/>
                <w:b/>
                <w:lang w:val="ro-RO"/>
              </w:rPr>
              <w:t>2013</w:t>
            </w:r>
          </w:p>
        </w:tc>
        <w:tc>
          <w:tcPr>
            <w:tcW w:w="1255" w:type="dxa"/>
            <w:shd w:val="clear" w:color="auto" w:fill="FFFF99"/>
          </w:tcPr>
          <w:p w:rsidR="005923E6" w:rsidRPr="00153FE4" w:rsidRDefault="005923E6" w:rsidP="00CC1FB9">
            <w:pPr>
              <w:pStyle w:val="Header"/>
              <w:widowControl w:val="0"/>
              <w:tabs>
                <w:tab w:val="clear" w:pos="9360"/>
                <w:tab w:val="left" w:pos="9214"/>
                <w:tab w:val="left" w:pos="9356"/>
              </w:tabs>
              <w:spacing w:before="20" w:after="20"/>
              <w:jc w:val="center"/>
              <w:rPr>
                <w:rFonts w:ascii="Arial" w:hAnsi="Arial" w:cs="Arial"/>
                <w:b/>
                <w:lang w:val="ro-RO"/>
              </w:rPr>
            </w:pPr>
            <w:r w:rsidRPr="00153FE4">
              <w:rPr>
                <w:rFonts w:ascii="Arial" w:hAnsi="Arial" w:cs="Arial"/>
                <w:b/>
                <w:lang w:val="ro-RO"/>
              </w:rPr>
              <w:t>2014</w:t>
            </w:r>
          </w:p>
        </w:tc>
        <w:tc>
          <w:tcPr>
            <w:tcW w:w="1255" w:type="dxa"/>
            <w:shd w:val="clear" w:color="auto" w:fill="FFFF99"/>
            <w:vAlign w:val="center"/>
          </w:tcPr>
          <w:p w:rsidR="005923E6" w:rsidRPr="00153FE4" w:rsidRDefault="005923E6" w:rsidP="00CC1FB9">
            <w:pPr>
              <w:pStyle w:val="Header"/>
              <w:widowControl w:val="0"/>
              <w:tabs>
                <w:tab w:val="clear" w:pos="9360"/>
                <w:tab w:val="left" w:pos="9214"/>
                <w:tab w:val="left" w:pos="9356"/>
              </w:tabs>
              <w:spacing w:before="20" w:after="20"/>
              <w:jc w:val="center"/>
              <w:rPr>
                <w:rFonts w:ascii="Arial" w:hAnsi="Arial" w:cs="Arial"/>
                <w:b/>
                <w:lang w:val="ro-RO"/>
              </w:rPr>
            </w:pPr>
            <w:r w:rsidRPr="00153FE4">
              <w:rPr>
                <w:rFonts w:ascii="Arial" w:hAnsi="Arial" w:cs="Arial"/>
                <w:b/>
                <w:lang w:val="ro-RO"/>
              </w:rPr>
              <w:t>2015</w:t>
            </w:r>
          </w:p>
        </w:tc>
        <w:tc>
          <w:tcPr>
            <w:tcW w:w="1255" w:type="dxa"/>
            <w:shd w:val="clear" w:color="auto" w:fill="FFFF99"/>
            <w:vAlign w:val="center"/>
          </w:tcPr>
          <w:p w:rsidR="005923E6" w:rsidRPr="00153FE4" w:rsidRDefault="005923E6" w:rsidP="00CC1FB9">
            <w:pPr>
              <w:pStyle w:val="Header"/>
              <w:widowControl w:val="0"/>
              <w:tabs>
                <w:tab w:val="clear" w:pos="9360"/>
                <w:tab w:val="left" w:pos="9214"/>
                <w:tab w:val="left" w:pos="9356"/>
              </w:tabs>
              <w:spacing w:before="20" w:after="20"/>
              <w:jc w:val="center"/>
              <w:rPr>
                <w:rFonts w:ascii="Arial" w:hAnsi="Arial" w:cs="Arial"/>
                <w:b/>
                <w:lang w:val="ro-RO"/>
              </w:rPr>
            </w:pPr>
            <w:r w:rsidRPr="00153FE4">
              <w:rPr>
                <w:rFonts w:ascii="Arial" w:hAnsi="Arial" w:cs="Arial"/>
                <w:b/>
                <w:lang w:val="ro-RO"/>
              </w:rPr>
              <w:t>2016</w:t>
            </w:r>
          </w:p>
        </w:tc>
        <w:tc>
          <w:tcPr>
            <w:tcW w:w="1255" w:type="dxa"/>
            <w:shd w:val="clear" w:color="auto" w:fill="FFFF99"/>
            <w:vAlign w:val="center"/>
          </w:tcPr>
          <w:p w:rsidR="005923E6" w:rsidRPr="00153FE4" w:rsidRDefault="005923E6" w:rsidP="00CC1FB9">
            <w:pPr>
              <w:pStyle w:val="Header"/>
              <w:widowControl w:val="0"/>
              <w:tabs>
                <w:tab w:val="clear" w:pos="9360"/>
                <w:tab w:val="left" w:pos="9214"/>
                <w:tab w:val="left" w:pos="9356"/>
              </w:tabs>
              <w:spacing w:before="20" w:after="20"/>
              <w:jc w:val="center"/>
              <w:rPr>
                <w:rFonts w:ascii="Arial" w:hAnsi="Arial" w:cs="Arial"/>
                <w:b/>
                <w:lang w:val="ro-RO"/>
              </w:rPr>
            </w:pPr>
            <w:r w:rsidRPr="00153FE4">
              <w:rPr>
                <w:rFonts w:ascii="Arial" w:hAnsi="Arial" w:cs="Arial"/>
                <w:b/>
                <w:lang w:val="ro-RO"/>
              </w:rPr>
              <w:t>2017</w:t>
            </w:r>
          </w:p>
        </w:tc>
      </w:tr>
      <w:tr w:rsidR="005923E6" w:rsidRPr="00153FE4" w:rsidTr="00FC1D0C">
        <w:trPr>
          <w:trHeight w:val="314"/>
          <w:jc w:val="center"/>
        </w:trPr>
        <w:tc>
          <w:tcPr>
            <w:tcW w:w="2808" w:type="dxa"/>
            <w:vAlign w:val="center"/>
          </w:tcPr>
          <w:p w:rsidR="005923E6" w:rsidRPr="00153FE4" w:rsidRDefault="005923E6" w:rsidP="00CC1FB9">
            <w:pPr>
              <w:widowControl w:val="0"/>
              <w:spacing w:before="20" w:after="20" w:line="240" w:lineRule="auto"/>
              <w:rPr>
                <w:rFonts w:ascii="Arial" w:hAnsi="Arial" w:cs="Arial"/>
                <w:lang w:val="ro-RO"/>
              </w:rPr>
            </w:pPr>
            <w:r w:rsidRPr="00153FE4">
              <w:rPr>
                <w:rFonts w:ascii="Arial" w:hAnsi="Arial" w:cs="Arial"/>
                <w:lang w:val="ro-RO"/>
              </w:rPr>
              <w:t>Călimani</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1,1</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1,8</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1,5</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0,6</w:t>
            </w:r>
          </w:p>
        </w:tc>
        <w:tc>
          <w:tcPr>
            <w:tcW w:w="1255" w:type="dxa"/>
            <w:vAlign w:val="center"/>
          </w:tcPr>
          <w:p w:rsidR="005923E6" w:rsidRPr="00153FE4" w:rsidRDefault="00197855" w:rsidP="00CC1FB9">
            <w:pPr>
              <w:widowControl w:val="0"/>
              <w:spacing w:after="0" w:line="240" w:lineRule="auto"/>
              <w:jc w:val="center"/>
              <w:rPr>
                <w:rFonts w:ascii="Arial" w:hAnsi="Arial" w:cs="Arial"/>
              </w:rPr>
            </w:pPr>
            <w:r w:rsidRPr="00153FE4">
              <w:rPr>
                <w:rFonts w:ascii="Arial" w:hAnsi="Arial" w:cs="Arial"/>
              </w:rPr>
              <w:t>0,8</w:t>
            </w:r>
          </w:p>
        </w:tc>
      </w:tr>
      <w:tr w:rsidR="005923E6" w:rsidRPr="00153FE4" w:rsidTr="00FC1D0C">
        <w:trPr>
          <w:trHeight w:val="276"/>
          <w:jc w:val="center"/>
        </w:trPr>
        <w:tc>
          <w:tcPr>
            <w:tcW w:w="2808" w:type="dxa"/>
            <w:vAlign w:val="center"/>
          </w:tcPr>
          <w:p w:rsidR="005923E6" w:rsidRPr="00153FE4" w:rsidRDefault="005923E6" w:rsidP="00CC1FB9">
            <w:pPr>
              <w:widowControl w:val="0"/>
              <w:spacing w:before="20" w:after="20" w:line="240" w:lineRule="auto"/>
              <w:rPr>
                <w:rFonts w:ascii="Arial" w:hAnsi="Arial" w:cs="Arial"/>
                <w:lang w:val="ro-RO"/>
              </w:rPr>
            </w:pPr>
            <w:r w:rsidRPr="00153FE4">
              <w:rPr>
                <w:rFonts w:ascii="Arial" w:hAnsi="Arial" w:cs="Arial"/>
                <w:lang w:val="ro-RO"/>
              </w:rPr>
              <w:t>Poiana Stampei</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5,6</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6,5</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6,2</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5,7</w:t>
            </w:r>
          </w:p>
        </w:tc>
        <w:tc>
          <w:tcPr>
            <w:tcW w:w="1255" w:type="dxa"/>
            <w:vAlign w:val="center"/>
          </w:tcPr>
          <w:p w:rsidR="005923E6" w:rsidRPr="00153FE4" w:rsidRDefault="00197855" w:rsidP="00CC1FB9">
            <w:pPr>
              <w:widowControl w:val="0"/>
              <w:spacing w:after="0" w:line="240" w:lineRule="auto"/>
              <w:jc w:val="center"/>
              <w:rPr>
                <w:rFonts w:ascii="Arial" w:hAnsi="Arial" w:cs="Arial"/>
              </w:rPr>
            </w:pPr>
            <w:r w:rsidRPr="00153FE4">
              <w:rPr>
                <w:rFonts w:ascii="Arial" w:hAnsi="Arial" w:cs="Arial"/>
              </w:rPr>
              <w:t>5,9</w:t>
            </w:r>
          </w:p>
        </w:tc>
      </w:tr>
      <w:tr w:rsidR="005923E6" w:rsidRPr="00153FE4" w:rsidTr="00FC1D0C">
        <w:trPr>
          <w:trHeight w:val="138"/>
          <w:jc w:val="center"/>
        </w:trPr>
        <w:tc>
          <w:tcPr>
            <w:tcW w:w="2808" w:type="dxa"/>
            <w:vAlign w:val="center"/>
          </w:tcPr>
          <w:p w:rsidR="005923E6" w:rsidRPr="00153FE4" w:rsidRDefault="005923E6" w:rsidP="00CC1FB9">
            <w:pPr>
              <w:widowControl w:val="0"/>
              <w:spacing w:before="20" w:after="20" w:line="240" w:lineRule="auto"/>
              <w:rPr>
                <w:rFonts w:ascii="Arial" w:hAnsi="Arial" w:cs="Arial"/>
                <w:lang w:val="ro-RO"/>
              </w:rPr>
            </w:pPr>
            <w:r w:rsidRPr="00153FE4">
              <w:rPr>
                <w:rFonts w:ascii="Arial" w:hAnsi="Arial" w:cs="Arial"/>
                <w:lang w:val="ro-RO"/>
              </w:rPr>
              <w:t>Rădăuţi</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8,7</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8,8</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9,2</w:t>
            </w:r>
          </w:p>
        </w:tc>
        <w:tc>
          <w:tcPr>
            <w:tcW w:w="1255" w:type="dxa"/>
            <w:vAlign w:val="center"/>
          </w:tcPr>
          <w:p w:rsidR="005923E6" w:rsidRPr="00153FE4" w:rsidRDefault="00197855" w:rsidP="00CC1FB9">
            <w:pPr>
              <w:widowControl w:val="0"/>
              <w:spacing w:after="0" w:line="240" w:lineRule="auto"/>
              <w:jc w:val="center"/>
              <w:rPr>
                <w:rFonts w:ascii="Arial" w:hAnsi="Arial" w:cs="Arial"/>
              </w:rPr>
            </w:pPr>
            <w:r w:rsidRPr="00153FE4">
              <w:rPr>
                <w:rFonts w:ascii="Arial" w:hAnsi="Arial" w:cs="Arial"/>
              </w:rPr>
              <w:t>9,2</w:t>
            </w:r>
          </w:p>
        </w:tc>
      </w:tr>
      <w:tr w:rsidR="005923E6" w:rsidRPr="00725941" w:rsidTr="00FC1D0C">
        <w:trPr>
          <w:trHeight w:val="142"/>
          <w:jc w:val="center"/>
        </w:trPr>
        <w:tc>
          <w:tcPr>
            <w:tcW w:w="2808" w:type="dxa"/>
            <w:vAlign w:val="center"/>
          </w:tcPr>
          <w:p w:rsidR="005923E6" w:rsidRPr="00153FE4" w:rsidRDefault="005923E6" w:rsidP="00CC1FB9">
            <w:pPr>
              <w:widowControl w:val="0"/>
              <w:spacing w:before="20" w:after="20" w:line="240" w:lineRule="auto"/>
              <w:rPr>
                <w:rFonts w:ascii="Arial" w:hAnsi="Arial" w:cs="Arial"/>
                <w:lang w:val="ro-RO"/>
              </w:rPr>
            </w:pPr>
            <w:r w:rsidRPr="00153FE4">
              <w:rPr>
                <w:rFonts w:ascii="Arial" w:hAnsi="Arial" w:cs="Arial"/>
                <w:lang w:val="ro-RO"/>
              </w:rPr>
              <w:t>Suceava</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9,0</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9,0</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10,2</w:t>
            </w:r>
          </w:p>
        </w:tc>
        <w:tc>
          <w:tcPr>
            <w:tcW w:w="1255" w:type="dxa"/>
            <w:vAlign w:val="center"/>
          </w:tcPr>
          <w:p w:rsidR="005923E6" w:rsidRPr="00153FE4" w:rsidRDefault="005923E6" w:rsidP="00CC1FB9">
            <w:pPr>
              <w:widowControl w:val="0"/>
              <w:spacing w:after="0" w:line="240" w:lineRule="auto"/>
              <w:jc w:val="center"/>
              <w:rPr>
                <w:rFonts w:ascii="Arial" w:hAnsi="Arial" w:cs="Arial"/>
              </w:rPr>
            </w:pPr>
            <w:r w:rsidRPr="00153FE4">
              <w:rPr>
                <w:rFonts w:ascii="Arial" w:hAnsi="Arial" w:cs="Arial"/>
              </w:rPr>
              <w:t>9,7</w:t>
            </w:r>
          </w:p>
        </w:tc>
        <w:tc>
          <w:tcPr>
            <w:tcW w:w="1255" w:type="dxa"/>
            <w:vAlign w:val="center"/>
          </w:tcPr>
          <w:p w:rsidR="005923E6" w:rsidRPr="00153FE4" w:rsidRDefault="00197855" w:rsidP="00CC1FB9">
            <w:pPr>
              <w:widowControl w:val="0"/>
              <w:spacing w:after="0" w:line="240" w:lineRule="auto"/>
              <w:jc w:val="center"/>
              <w:rPr>
                <w:rFonts w:ascii="Arial" w:hAnsi="Arial" w:cs="Arial"/>
              </w:rPr>
            </w:pPr>
            <w:r w:rsidRPr="00153FE4">
              <w:rPr>
                <w:rFonts w:ascii="Arial" w:hAnsi="Arial" w:cs="Arial"/>
              </w:rPr>
              <w:t>9,5</w:t>
            </w:r>
          </w:p>
        </w:tc>
      </w:tr>
    </w:tbl>
    <w:p w:rsidR="007E3FA5" w:rsidRPr="00F320F3" w:rsidRDefault="007E3FA5" w:rsidP="00CC1FB9">
      <w:pPr>
        <w:widowControl w:val="0"/>
        <w:spacing w:after="0" w:line="240" w:lineRule="auto"/>
        <w:ind w:firstLine="720"/>
        <w:jc w:val="center"/>
        <w:rPr>
          <w:rFonts w:ascii="Arial" w:hAnsi="Arial" w:cs="Arial"/>
          <w:sz w:val="14"/>
          <w:szCs w:val="14"/>
          <w:highlight w:val="cyan"/>
          <w:lang w:val="ro-RO"/>
        </w:rPr>
      </w:pPr>
    </w:p>
    <w:p w:rsidR="007E3FA5" w:rsidRPr="00E24707" w:rsidRDefault="007E3FA5" w:rsidP="00CC1FB9">
      <w:pPr>
        <w:pStyle w:val="Header"/>
        <w:widowControl w:val="0"/>
        <w:tabs>
          <w:tab w:val="clear" w:pos="9360"/>
          <w:tab w:val="left" w:pos="9214"/>
          <w:tab w:val="left" w:pos="9356"/>
        </w:tabs>
        <w:jc w:val="center"/>
        <w:rPr>
          <w:rFonts w:ascii="Arial" w:hAnsi="Arial" w:cs="Arial"/>
          <w:lang w:val="ro-RO"/>
        </w:rPr>
      </w:pPr>
      <w:r w:rsidRPr="00E24707">
        <w:rPr>
          <w:rFonts w:ascii="Arial" w:hAnsi="Arial" w:cs="Arial"/>
          <w:lang w:val="ro-RO"/>
        </w:rPr>
        <w:lastRenderedPageBreak/>
        <w:t xml:space="preserve">Tabelul VIII.1.5.1.2. Cantități anuale de precipitaţii (mm) la staţiile meteo din judeţul Suceava </w:t>
      </w:r>
    </w:p>
    <w:p w:rsidR="007E3FA5" w:rsidRPr="00E24707" w:rsidRDefault="007E3FA5" w:rsidP="00CC1FB9">
      <w:pPr>
        <w:pStyle w:val="Header"/>
        <w:widowControl w:val="0"/>
        <w:tabs>
          <w:tab w:val="clear" w:pos="9360"/>
          <w:tab w:val="left" w:pos="9214"/>
          <w:tab w:val="left" w:pos="9356"/>
        </w:tabs>
        <w:jc w:val="center"/>
        <w:rPr>
          <w:rFonts w:ascii="Arial" w:hAnsi="Arial" w:cs="Arial"/>
          <w:lang w:val="ro-RO"/>
        </w:rPr>
      </w:pPr>
      <w:r w:rsidRPr="00E24707">
        <w:rPr>
          <w:rFonts w:ascii="Arial" w:hAnsi="Arial" w:cs="Arial"/>
          <w:spacing w:val="-4"/>
          <w:lang w:val="ro-RO"/>
        </w:rPr>
        <w:t>(</w:t>
      </w:r>
      <w:r w:rsidRPr="00E24707">
        <w:rPr>
          <w:rFonts w:ascii="Arial" w:hAnsi="Arial" w:cs="Arial"/>
          <w:i/>
          <w:lang w:val="ro-RO"/>
        </w:rPr>
        <w:t>sursa: Adm</w:t>
      </w:r>
      <w:r w:rsidR="00E533AF">
        <w:rPr>
          <w:rFonts w:ascii="Arial" w:hAnsi="Arial" w:cs="Arial"/>
          <w:i/>
          <w:lang w:val="ro-RO"/>
        </w:rPr>
        <w:t>inistrația</w:t>
      </w:r>
      <w:r w:rsidRPr="00E24707">
        <w:rPr>
          <w:rFonts w:ascii="Arial" w:hAnsi="Arial" w:cs="Arial"/>
          <w:i/>
          <w:lang w:val="ro-RO"/>
        </w:rPr>
        <w:t xml:space="preserve"> Naț</w:t>
      </w:r>
      <w:r w:rsidR="00E533AF">
        <w:rPr>
          <w:rFonts w:ascii="Arial" w:hAnsi="Arial" w:cs="Arial"/>
          <w:i/>
          <w:lang w:val="ro-RO"/>
        </w:rPr>
        <w:t>ională</w:t>
      </w:r>
      <w:r w:rsidRPr="00E24707">
        <w:rPr>
          <w:rFonts w:ascii="Arial" w:hAnsi="Arial" w:cs="Arial"/>
          <w:i/>
          <w:lang w:val="ro-RO"/>
        </w:rPr>
        <w:t xml:space="preserve"> de Meteorologie</w:t>
      </w:r>
      <w:r w:rsidRPr="00E24707">
        <w:rPr>
          <w:rFonts w:ascii="Arial" w:hAnsi="Arial" w:cs="Arial"/>
          <w:lang w:val="ro-RO"/>
        </w:rPr>
        <w:t>)</w:t>
      </w:r>
    </w:p>
    <w:p w:rsidR="007E3FA5" w:rsidRPr="00E24707" w:rsidRDefault="007E3FA5" w:rsidP="00CC1FB9">
      <w:pPr>
        <w:pStyle w:val="Header"/>
        <w:widowControl w:val="0"/>
        <w:tabs>
          <w:tab w:val="clear" w:pos="9360"/>
          <w:tab w:val="left" w:pos="9214"/>
          <w:tab w:val="left" w:pos="9356"/>
        </w:tabs>
        <w:jc w:val="center"/>
        <w:rPr>
          <w:rFonts w:ascii="Arial" w:hAnsi="Arial" w:cs="Arial"/>
          <w:spacing w:val="-4"/>
          <w:sz w:val="10"/>
          <w:szCs w:val="10"/>
          <w:lang w:val="ro-RO"/>
        </w:rPr>
      </w:pPr>
    </w:p>
    <w:tbl>
      <w:tblPr>
        <w:tblW w:w="9083"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255"/>
        <w:gridCol w:w="1255"/>
        <w:gridCol w:w="1255"/>
        <w:gridCol w:w="1255"/>
        <w:gridCol w:w="1255"/>
      </w:tblGrid>
      <w:tr w:rsidR="00197855" w:rsidRPr="00E24707" w:rsidTr="00FC1D0C">
        <w:trPr>
          <w:trHeight w:val="295"/>
          <w:jc w:val="center"/>
        </w:trPr>
        <w:tc>
          <w:tcPr>
            <w:tcW w:w="2808" w:type="dxa"/>
            <w:shd w:val="clear" w:color="auto" w:fill="FFFF99"/>
            <w:vAlign w:val="center"/>
          </w:tcPr>
          <w:p w:rsidR="00197855" w:rsidRPr="00E24707" w:rsidRDefault="00197855" w:rsidP="00CC1FB9">
            <w:pPr>
              <w:widowControl w:val="0"/>
              <w:spacing w:before="20" w:after="20" w:line="240" w:lineRule="auto"/>
              <w:jc w:val="center"/>
              <w:rPr>
                <w:rFonts w:ascii="Arial" w:hAnsi="Arial" w:cs="Arial"/>
                <w:b/>
                <w:lang w:val="ro-RO"/>
              </w:rPr>
            </w:pPr>
            <w:r w:rsidRPr="00E24707">
              <w:rPr>
                <w:rFonts w:ascii="Arial" w:hAnsi="Arial" w:cs="Arial"/>
                <w:b/>
                <w:lang w:val="ro-RO"/>
              </w:rPr>
              <w:t>Staţia meteorologică</w:t>
            </w:r>
          </w:p>
        </w:tc>
        <w:tc>
          <w:tcPr>
            <w:tcW w:w="1255" w:type="dxa"/>
            <w:shd w:val="clear" w:color="auto" w:fill="FFFF99"/>
            <w:vAlign w:val="center"/>
          </w:tcPr>
          <w:p w:rsidR="00197855" w:rsidRPr="00E24707" w:rsidRDefault="00197855" w:rsidP="00CC1FB9">
            <w:pPr>
              <w:pStyle w:val="Header"/>
              <w:widowControl w:val="0"/>
              <w:tabs>
                <w:tab w:val="clear" w:pos="9360"/>
                <w:tab w:val="left" w:pos="9214"/>
                <w:tab w:val="left" w:pos="9356"/>
              </w:tabs>
              <w:spacing w:before="20" w:after="20"/>
              <w:jc w:val="center"/>
              <w:rPr>
                <w:rFonts w:ascii="Arial" w:hAnsi="Arial" w:cs="Arial"/>
                <w:b/>
                <w:lang w:val="ro-RO"/>
              </w:rPr>
            </w:pPr>
            <w:r w:rsidRPr="00E24707">
              <w:rPr>
                <w:rFonts w:ascii="Arial" w:hAnsi="Arial" w:cs="Arial"/>
                <w:b/>
                <w:lang w:val="ro-RO"/>
              </w:rPr>
              <w:t>2013</w:t>
            </w:r>
          </w:p>
        </w:tc>
        <w:tc>
          <w:tcPr>
            <w:tcW w:w="1255" w:type="dxa"/>
            <w:shd w:val="clear" w:color="auto" w:fill="FFFF99"/>
          </w:tcPr>
          <w:p w:rsidR="00197855" w:rsidRPr="00E24707" w:rsidRDefault="00197855" w:rsidP="00CC1FB9">
            <w:pPr>
              <w:pStyle w:val="Header"/>
              <w:widowControl w:val="0"/>
              <w:tabs>
                <w:tab w:val="clear" w:pos="9360"/>
                <w:tab w:val="left" w:pos="9214"/>
                <w:tab w:val="left" w:pos="9356"/>
              </w:tabs>
              <w:spacing w:before="20" w:after="20"/>
              <w:jc w:val="center"/>
              <w:rPr>
                <w:rFonts w:ascii="Arial" w:hAnsi="Arial" w:cs="Arial"/>
                <w:b/>
                <w:lang w:val="ro-RO"/>
              </w:rPr>
            </w:pPr>
            <w:r w:rsidRPr="00E24707">
              <w:rPr>
                <w:rFonts w:ascii="Arial" w:hAnsi="Arial" w:cs="Arial"/>
                <w:b/>
                <w:lang w:val="ro-RO"/>
              </w:rPr>
              <w:t>2014</w:t>
            </w:r>
          </w:p>
        </w:tc>
        <w:tc>
          <w:tcPr>
            <w:tcW w:w="1255" w:type="dxa"/>
            <w:shd w:val="clear" w:color="auto" w:fill="FFFF99"/>
            <w:vAlign w:val="center"/>
          </w:tcPr>
          <w:p w:rsidR="00197855" w:rsidRPr="00E24707" w:rsidRDefault="00197855" w:rsidP="00CC1FB9">
            <w:pPr>
              <w:pStyle w:val="Header"/>
              <w:widowControl w:val="0"/>
              <w:tabs>
                <w:tab w:val="clear" w:pos="9360"/>
                <w:tab w:val="left" w:pos="9214"/>
                <w:tab w:val="left" w:pos="9356"/>
              </w:tabs>
              <w:spacing w:before="20" w:after="20"/>
              <w:jc w:val="center"/>
              <w:rPr>
                <w:rFonts w:ascii="Arial" w:hAnsi="Arial" w:cs="Arial"/>
                <w:b/>
                <w:lang w:val="ro-RO"/>
              </w:rPr>
            </w:pPr>
            <w:r w:rsidRPr="00E24707">
              <w:rPr>
                <w:rFonts w:ascii="Arial" w:hAnsi="Arial" w:cs="Arial"/>
                <w:b/>
                <w:lang w:val="ro-RO"/>
              </w:rPr>
              <w:t>2015</w:t>
            </w:r>
          </w:p>
        </w:tc>
        <w:tc>
          <w:tcPr>
            <w:tcW w:w="1255" w:type="dxa"/>
            <w:shd w:val="clear" w:color="auto" w:fill="FFFF99"/>
            <w:vAlign w:val="center"/>
          </w:tcPr>
          <w:p w:rsidR="00197855" w:rsidRPr="00E24707" w:rsidRDefault="00197855" w:rsidP="00CC1FB9">
            <w:pPr>
              <w:pStyle w:val="Header"/>
              <w:widowControl w:val="0"/>
              <w:tabs>
                <w:tab w:val="clear" w:pos="9360"/>
                <w:tab w:val="left" w:pos="9214"/>
                <w:tab w:val="left" w:pos="9356"/>
              </w:tabs>
              <w:spacing w:before="20" w:after="20"/>
              <w:jc w:val="center"/>
              <w:rPr>
                <w:rFonts w:ascii="Arial" w:hAnsi="Arial" w:cs="Arial"/>
                <w:b/>
                <w:lang w:val="ro-RO"/>
              </w:rPr>
            </w:pPr>
            <w:r w:rsidRPr="00E24707">
              <w:rPr>
                <w:rFonts w:ascii="Arial" w:hAnsi="Arial" w:cs="Arial"/>
                <w:b/>
                <w:lang w:val="ro-RO"/>
              </w:rPr>
              <w:t>2016</w:t>
            </w:r>
          </w:p>
        </w:tc>
        <w:tc>
          <w:tcPr>
            <w:tcW w:w="1255" w:type="dxa"/>
            <w:shd w:val="clear" w:color="auto" w:fill="FFFF99"/>
            <w:vAlign w:val="center"/>
          </w:tcPr>
          <w:p w:rsidR="00197855" w:rsidRPr="00E24707" w:rsidRDefault="00197855" w:rsidP="00CC1FB9">
            <w:pPr>
              <w:pStyle w:val="Header"/>
              <w:widowControl w:val="0"/>
              <w:tabs>
                <w:tab w:val="clear" w:pos="9360"/>
                <w:tab w:val="left" w:pos="9214"/>
                <w:tab w:val="left" w:pos="9356"/>
              </w:tabs>
              <w:spacing w:before="20" w:after="20"/>
              <w:jc w:val="center"/>
              <w:rPr>
                <w:rFonts w:ascii="Arial" w:hAnsi="Arial" w:cs="Arial"/>
                <w:b/>
                <w:lang w:val="ro-RO"/>
              </w:rPr>
            </w:pPr>
            <w:r w:rsidRPr="00E24707">
              <w:rPr>
                <w:rFonts w:ascii="Arial" w:hAnsi="Arial" w:cs="Arial"/>
                <w:b/>
                <w:lang w:val="ro-RO"/>
              </w:rPr>
              <w:t>2017</w:t>
            </w:r>
          </w:p>
        </w:tc>
      </w:tr>
      <w:tr w:rsidR="00197855" w:rsidRPr="00E24707" w:rsidTr="00FC1D0C">
        <w:trPr>
          <w:trHeight w:val="314"/>
          <w:jc w:val="center"/>
        </w:trPr>
        <w:tc>
          <w:tcPr>
            <w:tcW w:w="2808" w:type="dxa"/>
            <w:vAlign w:val="center"/>
          </w:tcPr>
          <w:p w:rsidR="00197855" w:rsidRPr="00E24707" w:rsidRDefault="00197855" w:rsidP="00CC1FB9">
            <w:pPr>
              <w:widowControl w:val="0"/>
              <w:spacing w:before="20" w:after="20" w:line="240" w:lineRule="auto"/>
              <w:rPr>
                <w:rFonts w:ascii="Arial" w:hAnsi="Arial" w:cs="Arial"/>
                <w:lang w:val="ro-RO"/>
              </w:rPr>
            </w:pPr>
            <w:r w:rsidRPr="00E24707">
              <w:rPr>
                <w:rFonts w:ascii="Arial" w:hAnsi="Arial" w:cs="Arial"/>
                <w:lang w:val="ro-RO"/>
              </w:rPr>
              <w:t>Călimani</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727,8</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849,3</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830,6</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1208,5</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974,1</w:t>
            </w:r>
          </w:p>
        </w:tc>
      </w:tr>
      <w:tr w:rsidR="00197855" w:rsidRPr="00E24707" w:rsidTr="00FC1D0C">
        <w:trPr>
          <w:trHeight w:val="276"/>
          <w:jc w:val="center"/>
        </w:trPr>
        <w:tc>
          <w:tcPr>
            <w:tcW w:w="2808" w:type="dxa"/>
            <w:vAlign w:val="center"/>
          </w:tcPr>
          <w:p w:rsidR="00197855" w:rsidRPr="00E24707" w:rsidRDefault="00197855" w:rsidP="00CC1FB9">
            <w:pPr>
              <w:widowControl w:val="0"/>
              <w:spacing w:before="20" w:after="20" w:line="240" w:lineRule="auto"/>
              <w:rPr>
                <w:rFonts w:ascii="Arial" w:hAnsi="Arial" w:cs="Arial"/>
                <w:lang w:val="ro-RO"/>
              </w:rPr>
            </w:pPr>
            <w:r w:rsidRPr="00E24707">
              <w:rPr>
                <w:rFonts w:ascii="Arial" w:hAnsi="Arial" w:cs="Arial"/>
                <w:lang w:val="ro-RO"/>
              </w:rPr>
              <w:t>Poiana Stampei</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677,4</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763,0</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708,1</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759,7</w:t>
            </w:r>
          </w:p>
        </w:tc>
        <w:tc>
          <w:tcPr>
            <w:tcW w:w="1255" w:type="dxa"/>
            <w:vAlign w:val="center"/>
          </w:tcPr>
          <w:p w:rsidR="00197855" w:rsidRPr="00E24707" w:rsidRDefault="00936CA8" w:rsidP="00CC1FB9">
            <w:pPr>
              <w:widowControl w:val="0"/>
              <w:spacing w:before="20" w:after="20" w:line="240" w:lineRule="auto"/>
              <w:jc w:val="center"/>
              <w:rPr>
                <w:rFonts w:ascii="Arial" w:hAnsi="Arial" w:cs="Arial"/>
                <w:lang w:val="ro-RO"/>
              </w:rPr>
            </w:pPr>
            <w:r w:rsidRPr="00E24707">
              <w:rPr>
                <w:rFonts w:ascii="Arial" w:hAnsi="Arial" w:cs="Arial"/>
                <w:lang w:val="ro-RO"/>
              </w:rPr>
              <w:t>662,7</w:t>
            </w:r>
          </w:p>
        </w:tc>
      </w:tr>
      <w:tr w:rsidR="00197855" w:rsidRPr="00E24707" w:rsidTr="00FC1D0C">
        <w:trPr>
          <w:trHeight w:val="138"/>
          <w:jc w:val="center"/>
        </w:trPr>
        <w:tc>
          <w:tcPr>
            <w:tcW w:w="2808" w:type="dxa"/>
            <w:vAlign w:val="center"/>
          </w:tcPr>
          <w:p w:rsidR="00197855" w:rsidRPr="00E24707" w:rsidRDefault="00197855" w:rsidP="00CC1FB9">
            <w:pPr>
              <w:widowControl w:val="0"/>
              <w:spacing w:before="20" w:after="20" w:line="240" w:lineRule="auto"/>
              <w:rPr>
                <w:rFonts w:ascii="Arial" w:hAnsi="Arial" w:cs="Arial"/>
                <w:lang w:val="ro-RO"/>
              </w:rPr>
            </w:pPr>
            <w:r w:rsidRPr="00E24707">
              <w:rPr>
                <w:rFonts w:ascii="Arial" w:hAnsi="Arial" w:cs="Arial"/>
                <w:lang w:val="ro-RO"/>
              </w:rPr>
              <w:t>Rădăuţi</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564,0</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640,7</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459,4</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739,7</w:t>
            </w:r>
          </w:p>
        </w:tc>
        <w:tc>
          <w:tcPr>
            <w:tcW w:w="1255" w:type="dxa"/>
            <w:vAlign w:val="center"/>
          </w:tcPr>
          <w:p w:rsidR="00197855" w:rsidRPr="00E24707" w:rsidRDefault="00936CA8" w:rsidP="00CC1FB9">
            <w:pPr>
              <w:widowControl w:val="0"/>
              <w:spacing w:before="20" w:after="20" w:line="240" w:lineRule="auto"/>
              <w:jc w:val="center"/>
              <w:rPr>
                <w:rFonts w:ascii="Arial" w:hAnsi="Arial" w:cs="Arial"/>
                <w:lang w:val="ro-RO"/>
              </w:rPr>
            </w:pPr>
            <w:r w:rsidRPr="00E24707">
              <w:rPr>
                <w:rFonts w:ascii="Arial" w:hAnsi="Arial" w:cs="Arial"/>
                <w:lang w:val="ro-RO"/>
              </w:rPr>
              <w:t>515,8</w:t>
            </w:r>
          </w:p>
        </w:tc>
      </w:tr>
      <w:tr w:rsidR="00197855" w:rsidRPr="00725941" w:rsidTr="00C15006">
        <w:trPr>
          <w:trHeight w:val="142"/>
          <w:jc w:val="center"/>
        </w:trPr>
        <w:tc>
          <w:tcPr>
            <w:tcW w:w="2808" w:type="dxa"/>
            <w:vAlign w:val="center"/>
          </w:tcPr>
          <w:p w:rsidR="00197855" w:rsidRPr="00E24707" w:rsidRDefault="00197855" w:rsidP="00CC1FB9">
            <w:pPr>
              <w:widowControl w:val="0"/>
              <w:spacing w:before="20" w:after="20" w:line="240" w:lineRule="auto"/>
              <w:rPr>
                <w:rFonts w:ascii="Arial" w:hAnsi="Arial" w:cs="Arial"/>
                <w:lang w:val="ro-RO"/>
              </w:rPr>
            </w:pPr>
            <w:r w:rsidRPr="00E24707">
              <w:rPr>
                <w:rFonts w:ascii="Arial" w:hAnsi="Arial" w:cs="Arial"/>
                <w:lang w:val="ro-RO"/>
              </w:rPr>
              <w:t>Suceava</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462,3</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508,6</w:t>
            </w:r>
          </w:p>
        </w:tc>
        <w:tc>
          <w:tcPr>
            <w:tcW w:w="1255" w:type="dxa"/>
            <w:vAlign w:val="center"/>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696,3</w:t>
            </w:r>
          </w:p>
        </w:tc>
        <w:tc>
          <w:tcPr>
            <w:tcW w:w="1255" w:type="dxa"/>
          </w:tcPr>
          <w:p w:rsidR="00197855" w:rsidRPr="00E24707" w:rsidRDefault="00197855" w:rsidP="00CC1FB9">
            <w:pPr>
              <w:widowControl w:val="0"/>
              <w:spacing w:before="20" w:after="20" w:line="240" w:lineRule="auto"/>
              <w:jc w:val="center"/>
              <w:rPr>
                <w:rFonts w:ascii="Arial" w:hAnsi="Arial" w:cs="Arial"/>
                <w:lang w:val="ro-RO"/>
              </w:rPr>
            </w:pPr>
            <w:r w:rsidRPr="00E24707">
              <w:rPr>
                <w:rFonts w:ascii="Arial" w:hAnsi="Arial" w:cs="Arial"/>
                <w:lang w:val="ro-RO"/>
              </w:rPr>
              <w:t>345,8</w:t>
            </w:r>
          </w:p>
        </w:tc>
        <w:tc>
          <w:tcPr>
            <w:tcW w:w="1255" w:type="dxa"/>
            <w:vAlign w:val="center"/>
          </w:tcPr>
          <w:p w:rsidR="00197855" w:rsidRPr="00E24707" w:rsidRDefault="00936CA8" w:rsidP="00CC1FB9">
            <w:pPr>
              <w:widowControl w:val="0"/>
              <w:spacing w:before="20" w:after="20" w:line="240" w:lineRule="auto"/>
              <w:jc w:val="center"/>
              <w:rPr>
                <w:rFonts w:ascii="Arial" w:hAnsi="Arial" w:cs="Arial"/>
                <w:lang w:val="ro-RO"/>
              </w:rPr>
            </w:pPr>
            <w:r w:rsidRPr="00E24707">
              <w:rPr>
                <w:rFonts w:ascii="Arial" w:hAnsi="Arial" w:cs="Arial"/>
                <w:lang w:val="ro-RO"/>
              </w:rPr>
              <w:t>399,1</w:t>
            </w:r>
          </w:p>
        </w:tc>
      </w:tr>
    </w:tbl>
    <w:p w:rsidR="004E19C5" w:rsidRPr="00F320F3" w:rsidRDefault="004E19C5" w:rsidP="00CC1FB9">
      <w:pPr>
        <w:widowControl w:val="0"/>
        <w:spacing w:after="0" w:line="240" w:lineRule="auto"/>
        <w:ind w:firstLine="720"/>
        <w:jc w:val="both"/>
        <w:rPr>
          <w:rFonts w:ascii="Arial" w:hAnsi="Arial" w:cs="Arial"/>
          <w:color w:val="FF0000"/>
          <w:sz w:val="8"/>
          <w:szCs w:val="8"/>
          <w:highlight w:val="cyan"/>
          <w:lang w:val="ro-RO"/>
        </w:rPr>
      </w:pPr>
    </w:p>
    <w:p w:rsidR="004E19C5" w:rsidRDefault="004E19C5" w:rsidP="00CC1FB9">
      <w:pPr>
        <w:pStyle w:val="Default"/>
        <w:widowControl w:val="0"/>
        <w:ind w:firstLine="720"/>
        <w:jc w:val="both"/>
        <w:rPr>
          <w:rFonts w:ascii="Arial" w:eastAsia="Times New Roman" w:hAnsi="Arial" w:cs="Arial"/>
          <w:color w:val="auto"/>
          <w:lang w:eastAsia="en-US"/>
        </w:rPr>
      </w:pPr>
      <w:r>
        <w:rPr>
          <w:rFonts w:ascii="Arial" w:eastAsia="Times New Roman" w:hAnsi="Arial" w:cs="Arial"/>
          <w:color w:val="auto"/>
          <w:lang w:eastAsia="en-US"/>
        </w:rPr>
        <w:t>L</w:t>
      </w:r>
      <w:r w:rsidRPr="001C4E4E">
        <w:rPr>
          <w:rFonts w:ascii="Arial" w:eastAsia="Times New Roman" w:hAnsi="Arial" w:cs="Arial"/>
          <w:color w:val="auto"/>
          <w:lang w:eastAsia="en-US"/>
        </w:rPr>
        <w:t>a staţiile meteo din judeţul Suceava</w:t>
      </w:r>
      <w:r>
        <w:rPr>
          <w:rFonts w:ascii="Arial" w:eastAsia="Times New Roman" w:hAnsi="Arial" w:cs="Arial"/>
          <w:color w:val="auto"/>
          <w:lang w:eastAsia="en-US"/>
        </w:rPr>
        <w:t xml:space="preserve">, </w:t>
      </w:r>
      <w:r w:rsidRPr="001C4E4E">
        <w:rPr>
          <w:rFonts w:ascii="Arial" w:eastAsia="Times New Roman" w:hAnsi="Arial" w:cs="Arial"/>
          <w:color w:val="auto"/>
          <w:lang w:eastAsia="en-US"/>
        </w:rPr>
        <w:t xml:space="preserve">în </w:t>
      </w:r>
      <w:r>
        <w:rPr>
          <w:rFonts w:ascii="Arial" w:eastAsia="Times New Roman" w:hAnsi="Arial" w:cs="Arial"/>
          <w:color w:val="auto"/>
          <w:lang w:eastAsia="en-US"/>
        </w:rPr>
        <w:t>ultimii 5 ani (</w:t>
      </w:r>
      <w:r w:rsidRPr="001C4E4E">
        <w:rPr>
          <w:rFonts w:ascii="Arial" w:eastAsia="Times New Roman" w:hAnsi="Arial" w:cs="Arial"/>
          <w:color w:val="auto"/>
          <w:lang w:eastAsia="en-US"/>
        </w:rPr>
        <w:t>intervalul 2013-2017</w:t>
      </w:r>
      <w:r>
        <w:rPr>
          <w:rFonts w:ascii="Arial" w:eastAsia="Times New Roman" w:hAnsi="Arial" w:cs="Arial"/>
          <w:color w:val="auto"/>
          <w:lang w:eastAsia="en-US"/>
        </w:rPr>
        <w:t>), nu s-au înregistrat deloc</w:t>
      </w:r>
      <w:r w:rsidRPr="001C4E4E">
        <w:rPr>
          <w:rFonts w:ascii="Arial" w:eastAsia="Times New Roman" w:hAnsi="Arial" w:cs="Arial"/>
          <w:color w:val="auto"/>
          <w:lang w:eastAsia="en-US"/>
        </w:rPr>
        <w:t xml:space="preserve"> zile caniculare (</w:t>
      </w:r>
      <w:r>
        <w:rPr>
          <w:rFonts w:ascii="Arial" w:eastAsia="Times New Roman" w:hAnsi="Arial" w:cs="Arial"/>
          <w:color w:val="auto"/>
          <w:lang w:eastAsia="en-US"/>
        </w:rPr>
        <w:t xml:space="preserve">cu temperaturi </w:t>
      </w:r>
      <w:r w:rsidRPr="001C4E4E">
        <w:rPr>
          <w:rFonts w:ascii="Arial" w:eastAsia="Times New Roman" w:hAnsi="Arial" w:cs="Arial"/>
          <w:color w:val="auto"/>
          <w:lang w:eastAsia="en-US"/>
        </w:rPr>
        <w:t xml:space="preserve">≥35˚C). </w:t>
      </w:r>
    </w:p>
    <w:p w:rsidR="004E19C5" w:rsidRPr="00F320F3" w:rsidRDefault="004E19C5" w:rsidP="00CC1FB9">
      <w:pPr>
        <w:pStyle w:val="Default"/>
        <w:widowControl w:val="0"/>
        <w:ind w:firstLine="720"/>
        <w:jc w:val="both"/>
        <w:rPr>
          <w:rFonts w:ascii="Arial" w:eastAsia="Times New Roman" w:hAnsi="Arial" w:cs="Arial"/>
          <w:color w:val="auto"/>
          <w:sz w:val="6"/>
          <w:szCs w:val="6"/>
          <w:lang w:eastAsia="en-US"/>
        </w:rPr>
      </w:pPr>
    </w:p>
    <w:p w:rsidR="007E3FA5" w:rsidRPr="00090131" w:rsidRDefault="007E3FA5"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090131">
        <w:rPr>
          <w:rFonts w:ascii="Arial" w:hAnsi="Arial" w:cs="Arial"/>
          <w:sz w:val="24"/>
          <w:szCs w:val="24"/>
          <w:lang w:val="ro-RO"/>
        </w:rPr>
        <w:t xml:space="preserve">În ceea ce priveşte tendinţele viitoare, experimente numerice realizate cu un ansamblu de 6 modele climatice regionale (extrase din rezultatele programului EuroCORDEX) sugerează că </w:t>
      </w:r>
      <w:r w:rsidRPr="00090131">
        <w:rPr>
          <w:rFonts w:ascii="Arial" w:hAnsi="Arial" w:cs="Arial"/>
          <w:sz w:val="24"/>
          <w:szCs w:val="24"/>
          <w:u w:val="single"/>
          <w:lang w:val="ro-RO"/>
        </w:rPr>
        <w:t>în orizontul temporal 2021- 2050</w:t>
      </w:r>
      <w:r w:rsidRPr="00090131">
        <w:rPr>
          <w:rFonts w:ascii="Arial" w:hAnsi="Arial" w:cs="Arial"/>
          <w:sz w:val="24"/>
          <w:szCs w:val="24"/>
          <w:lang w:val="ro-RO"/>
        </w:rPr>
        <w:t xml:space="preserve">, creşterea temperaturii medii anuale în judeţul Suceava ar putea fi între 1,3 °C şi 1,5 °C (mai mare în estul judeţului), comparativ cu media multianuală a intervalului de referinţă 1971-2000, în condiţiile scenariului moderat de emisii RCP 4.5. </w:t>
      </w:r>
    </w:p>
    <w:p w:rsidR="00CA3821" w:rsidRPr="004E19C5" w:rsidRDefault="00CA3821" w:rsidP="00CA3821">
      <w:pPr>
        <w:pStyle w:val="Default"/>
        <w:widowControl w:val="0"/>
        <w:ind w:firstLine="720"/>
        <w:jc w:val="both"/>
        <w:rPr>
          <w:rFonts w:ascii="Arial" w:eastAsia="Times New Roman" w:hAnsi="Arial" w:cs="Arial"/>
          <w:color w:val="auto"/>
          <w:sz w:val="10"/>
          <w:szCs w:val="10"/>
          <w:lang w:eastAsia="en-US"/>
        </w:rPr>
      </w:pPr>
    </w:p>
    <w:p w:rsidR="004A7181" w:rsidRDefault="007E3FA5" w:rsidP="00CC1FB9">
      <w:pPr>
        <w:widowControl w:val="0"/>
        <w:autoSpaceDE w:val="0"/>
        <w:autoSpaceDN w:val="0"/>
        <w:adjustRightInd w:val="0"/>
        <w:spacing w:after="0" w:line="240" w:lineRule="auto"/>
        <w:ind w:firstLine="709"/>
        <w:jc w:val="both"/>
        <w:rPr>
          <w:rFonts w:ascii="Arial" w:hAnsi="Arial" w:cs="Arial"/>
          <w:sz w:val="24"/>
          <w:szCs w:val="24"/>
          <w:lang w:val="ro-RO"/>
        </w:rPr>
      </w:pPr>
      <w:r w:rsidRPr="00090131">
        <w:rPr>
          <w:rFonts w:ascii="Arial" w:hAnsi="Arial" w:cs="Arial"/>
          <w:sz w:val="24"/>
          <w:szCs w:val="24"/>
          <w:lang w:val="ro-RO"/>
        </w:rPr>
        <w:t>În cazul sumei anuale a precipitaţiilor, estimările realizate folosind rezultatele experimentelor numerice cu acelaşi ansamblu de 6 modele climatice regionale sugerează pentru judeţul Suceava, o creștere medie a cantitatii anuale de precipitaţii între 2% şi 6%, comparativ cu intervalul de referinţă 1971-2000, în condi</w:t>
      </w:r>
      <w:r w:rsidR="00C15006" w:rsidRPr="00090131">
        <w:rPr>
          <w:rFonts w:ascii="Arial" w:hAnsi="Arial" w:cs="Arial"/>
          <w:sz w:val="24"/>
          <w:szCs w:val="24"/>
          <w:lang w:val="ro-RO"/>
        </w:rPr>
        <w:t>ţ</w:t>
      </w:r>
      <w:r w:rsidRPr="00090131">
        <w:rPr>
          <w:rFonts w:ascii="Arial" w:hAnsi="Arial" w:cs="Arial"/>
          <w:sz w:val="24"/>
          <w:szCs w:val="24"/>
          <w:lang w:val="ro-RO"/>
        </w:rPr>
        <w:t>iile scenariului moderat de emisii RCP 4.5. Experimentele numerice cu modele climatice regi</w:t>
      </w:r>
      <w:r w:rsidR="002F7DDF" w:rsidRPr="00090131">
        <w:rPr>
          <w:rFonts w:ascii="Arial" w:hAnsi="Arial" w:cs="Arial"/>
          <w:sz w:val="24"/>
          <w:szCs w:val="24"/>
          <w:lang w:val="ro-RO"/>
        </w:rPr>
        <w:t>onale arată și o creștere a int</w:t>
      </w:r>
      <w:r w:rsidRPr="00090131">
        <w:rPr>
          <w:rFonts w:ascii="Arial" w:hAnsi="Arial" w:cs="Arial"/>
          <w:sz w:val="24"/>
          <w:szCs w:val="24"/>
          <w:lang w:val="ro-RO"/>
        </w:rPr>
        <w:t>ensității precipitațiilor</w:t>
      </w:r>
      <w:r w:rsidR="00076299" w:rsidRPr="00090131">
        <w:rPr>
          <w:rFonts w:ascii="Arial" w:hAnsi="Arial" w:cs="Arial"/>
          <w:sz w:val="24"/>
          <w:szCs w:val="24"/>
          <w:lang w:val="ro-RO"/>
        </w:rPr>
        <w:t>.</w:t>
      </w:r>
      <w:r w:rsidR="002F7DDF" w:rsidRPr="00090131">
        <w:rPr>
          <w:rFonts w:ascii="Arial" w:hAnsi="Arial" w:cs="Arial"/>
          <w:sz w:val="24"/>
          <w:szCs w:val="24"/>
          <w:lang w:val="ro-RO"/>
        </w:rPr>
        <w:t xml:space="preserve"> </w:t>
      </w:r>
    </w:p>
    <w:p w:rsidR="00B055B4" w:rsidRPr="00B055B4" w:rsidRDefault="00B055B4" w:rsidP="00CC1FB9">
      <w:pPr>
        <w:widowControl w:val="0"/>
        <w:autoSpaceDE w:val="0"/>
        <w:autoSpaceDN w:val="0"/>
        <w:adjustRightInd w:val="0"/>
        <w:spacing w:after="0" w:line="240" w:lineRule="auto"/>
        <w:ind w:firstLine="709"/>
        <w:jc w:val="both"/>
        <w:rPr>
          <w:rFonts w:ascii="Arial" w:hAnsi="Arial" w:cs="Arial"/>
          <w:sz w:val="10"/>
          <w:szCs w:val="10"/>
          <w:lang w:val="ro-RO" w:eastAsia="ar-SA"/>
        </w:rPr>
      </w:pPr>
    </w:p>
    <w:p w:rsidR="005B29A3" w:rsidRDefault="005B29A3" w:rsidP="00CC1FB9">
      <w:pPr>
        <w:pStyle w:val="Default"/>
        <w:widowControl w:val="0"/>
        <w:ind w:firstLine="720"/>
        <w:jc w:val="both"/>
        <w:rPr>
          <w:rFonts w:ascii="Arial" w:eastAsia="Times New Roman" w:hAnsi="Arial" w:cs="Arial"/>
          <w:color w:val="auto"/>
          <w:lang w:eastAsia="en-US"/>
        </w:rPr>
      </w:pPr>
      <w:r w:rsidRPr="001C4E4E">
        <w:rPr>
          <w:rFonts w:ascii="Arial" w:eastAsia="Times New Roman" w:hAnsi="Arial" w:cs="Arial"/>
          <w:color w:val="auto"/>
          <w:lang w:eastAsia="en-US"/>
        </w:rPr>
        <w:t xml:space="preserve">Schimbarea vremii, îndeosebi căldura excesivă, poate avea impact atât direct cât şi indirect asupra sănătăţii umane. </w:t>
      </w:r>
    </w:p>
    <w:p w:rsidR="00CA3821" w:rsidRPr="004E19C5" w:rsidRDefault="00CA3821" w:rsidP="00CA3821">
      <w:pPr>
        <w:pStyle w:val="Default"/>
        <w:widowControl w:val="0"/>
        <w:ind w:firstLine="720"/>
        <w:jc w:val="both"/>
        <w:rPr>
          <w:rFonts w:ascii="Arial" w:eastAsia="Times New Roman" w:hAnsi="Arial" w:cs="Arial"/>
          <w:color w:val="auto"/>
          <w:sz w:val="10"/>
          <w:szCs w:val="10"/>
          <w:lang w:eastAsia="en-US"/>
        </w:rPr>
      </w:pPr>
    </w:p>
    <w:p w:rsidR="005B29A3" w:rsidRPr="00610F7D" w:rsidRDefault="005B29A3" w:rsidP="00CC1FB9">
      <w:pPr>
        <w:pStyle w:val="Default"/>
        <w:widowControl w:val="0"/>
        <w:ind w:firstLine="720"/>
        <w:jc w:val="both"/>
        <w:rPr>
          <w:rFonts w:ascii="Arial" w:eastAsia="Times New Roman" w:hAnsi="Arial" w:cs="Arial"/>
          <w:color w:val="auto"/>
          <w:lang w:eastAsia="en-US"/>
        </w:rPr>
      </w:pPr>
      <w:r w:rsidRPr="00610F7D">
        <w:rPr>
          <w:rFonts w:ascii="Arial" w:eastAsia="Times New Roman" w:hAnsi="Arial" w:cs="Arial"/>
          <w:color w:val="auto"/>
          <w:lang w:eastAsia="en-US"/>
        </w:rPr>
        <w:t>Pe termen scurt, valurile de căldură pot cauza decese, însă şi variaţiile minore de temperatură cauzate de</w:t>
      </w:r>
      <w:r>
        <w:rPr>
          <w:rFonts w:ascii="Arial" w:eastAsia="Times New Roman" w:hAnsi="Arial" w:cs="Arial"/>
          <w:color w:val="auto"/>
          <w:lang w:eastAsia="en-US"/>
        </w:rPr>
        <w:t xml:space="preserve"> </w:t>
      </w:r>
      <w:r w:rsidRPr="00610F7D">
        <w:rPr>
          <w:rFonts w:ascii="Arial" w:eastAsia="Times New Roman" w:hAnsi="Arial" w:cs="Arial"/>
          <w:color w:val="auto"/>
          <w:lang w:eastAsia="en-US"/>
        </w:rPr>
        <w:t>schimbările climatice pot face să crească rata mortalităţii în rândul persoanelor în vârstă care suferă de diabet, insuficienţă cardiacă, boli pulmonare cronice sau în rândul celor care au supravieţuit unui atac de inimă.</w:t>
      </w:r>
    </w:p>
    <w:p w:rsidR="005B29A3" w:rsidRDefault="005B29A3" w:rsidP="00CC1FB9">
      <w:pPr>
        <w:pStyle w:val="Default"/>
        <w:widowControl w:val="0"/>
        <w:ind w:firstLine="720"/>
        <w:jc w:val="both"/>
        <w:rPr>
          <w:rFonts w:ascii="Arial" w:eastAsia="Times New Roman" w:hAnsi="Arial" w:cs="Arial"/>
          <w:color w:val="auto"/>
          <w:lang w:eastAsia="en-US"/>
        </w:rPr>
      </w:pPr>
      <w:r w:rsidRPr="00610F7D">
        <w:rPr>
          <w:rFonts w:ascii="Arial" w:eastAsia="Times New Roman" w:hAnsi="Arial" w:cs="Arial"/>
          <w:color w:val="auto"/>
          <w:lang w:eastAsia="en-US"/>
        </w:rPr>
        <w:t>Consecinţele indirecte sunt creşterea numărului de purtători de infecţii, precum ţânţarii care roiesc prin</w:t>
      </w:r>
      <w:r>
        <w:rPr>
          <w:rFonts w:ascii="Arial" w:eastAsia="Times New Roman" w:hAnsi="Arial" w:cs="Arial"/>
          <w:color w:val="auto"/>
          <w:lang w:eastAsia="en-US"/>
        </w:rPr>
        <w:t xml:space="preserve"> </w:t>
      </w:r>
      <w:r w:rsidRPr="00610F7D">
        <w:rPr>
          <w:rFonts w:ascii="Arial" w:eastAsia="Times New Roman" w:hAnsi="Arial" w:cs="Arial"/>
          <w:color w:val="auto"/>
          <w:lang w:eastAsia="en-US"/>
        </w:rPr>
        <w:t>apropierea zonelor inundate şi răspândesc bolile; creşterea populaţiei de căpuşe – atunci când temperaturile cresc, acestea contribuind la dezvoltarea encefalitei, Bolii Lyme (Boala Lyme este produsă de o bacterie numită Borrelia burgdorferi, transmisă prin înţepătura de căpuşă). Lipsa apei potabile de bună calitate, de asemenea, reprezintă un risc de răspândire a infecţiei.</w:t>
      </w:r>
      <w:r>
        <w:rPr>
          <w:rFonts w:ascii="Arial" w:eastAsia="Times New Roman" w:hAnsi="Arial" w:cs="Arial"/>
          <w:color w:val="auto"/>
          <w:lang w:eastAsia="en-US"/>
        </w:rPr>
        <w:t xml:space="preserve"> </w:t>
      </w:r>
    </w:p>
    <w:p w:rsidR="00CA3821" w:rsidRPr="004E19C5" w:rsidRDefault="00CA3821" w:rsidP="00CA3821">
      <w:pPr>
        <w:pStyle w:val="Default"/>
        <w:widowControl w:val="0"/>
        <w:ind w:firstLine="720"/>
        <w:jc w:val="both"/>
        <w:rPr>
          <w:rFonts w:ascii="Arial" w:eastAsia="Times New Roman" w:hAnsi="Arial" w:cs="Arial"/>
          <w:color w:val="auto"/>
          <w:sz w:val="10"/>
          <w:szCs w:val="10"/>
          <w:lang w:eastAsia="en-US"/>
        </w:rPr>
      </w:pPr>
    </w:p>
    <w:p w:rsidR="005B29A3" w:rsidRPr="00610F7D" w:rsidRDefault="005B29A3" w:rsidP="00CC1FB9">
      <w:pPr>
        <w:pStyle w:val="Default"/>
        <w:widowControl w:val="0"/>
        <w:ind w:firstLine="720"/>
        <w:jc w:val="both"/>
        <w:rPr>
          <w:rFonts w:ascii="Arial" w:eastAsia="Times New Roman" w:hAnsi="Arial" w:cs="Arial"/>
          <w:color w:val="auto"/>
          <w:lang w:eastAsia="en-US"/>
        </w:rPr>
      </w:pPr>
      <w:r w:rsidRPr="00610F7D">
        <w:rPr>
          <w:rFonts w:ascii="Arial" w:eastAsia="Times New Roman" w:hAnsi="Arial" w:cs="Arial"/>
          <w:color w:val="auto"/>
          <w:lang w:eastAsia="en-US"/>
        </w:rPr>
        <w:t>Există o corelaţie directă între frecvenţele maximale ale maladiilor diareice şi salmonelozei şi cele mai călduroase luni ale anului. Toată populaţia şi, în special copiii, se află în grupul de risc în timpul acestei perioade.</w:t>
      </w:r>
      <w:r>
        <w:rPr>
          <w:rFonts w:ascii="Arial" w:eastAsia="Times New Roman" w:hAnsi="Arial" w:cs="Arial"/>
          <w:color w:val="auto"/>
          <w:lang w:eastAsia="en-US"/>
        </w:rPr>
        <w:t xml:space="preserve"> </w:t>
      </w:r>
      <w:r w:rsidRPr="00610F7D">
        <w:rPr>
          <w:rFonts w:ascii="Arial" w:eastAsia="Times New Roman" w:hAnsi="Arial" w:cs="Arial"/>
          <w:color w:val="auto"/>
          <w:lang w:eastAsia="en-US"/>
        </w:rPr>
        <w:t>Mai mult decât atât, valurile de căldură şi poluarea crescândă a aerului reprezintă un risc enorm pentru populaţia în vârstă, la fel ca şi pentru cei cu boli cronice cardio-vasculare, prin hipertermie.</w:t>
      </w:r>
    </w:p>
    <w:p w:rsidR="00CA3821" w:rsidRPr="004E19C5" w:rsidRDefault="00CA3821" w:rsidP="00CA3821">
      <w:pPr>
        <w:pStyle w:val="Default"/>
        <w:widowControl w:val="0"/>
        <w:ind w:firstLine="720"/>
        <w:jc w:val="both"/>
        <w:rPr>
          <w:rFonts w:ascii="Arial" w:eastAsia="Times New Roman" w:hAnsi="Arial" w:cs="Arial"/>
          <w:color w:val="auto"/>
          <w:sz w:val="10"/>
          <w:szCs w:val="10"/>
          <w:lang w:eastAsia="en-US"/>
        </w:rPr>
      </w:pPr>
    </w:p>
    <w:p w:rsidR="005B29A3" w:rsidRDefault="005B29A3" w:rsidP="00CC1FB9">
      <w:pPr>
        <w:pStyle w:val="Default"/>
        <w:widowControl w:val="0"/>
        <w:ind w:firstLine="720"/>
        <w:jc w:val="both"/>
        <w:rPr>
          <w:rFonts w:ascii="Arial" w:eastAsia="Times New Roman" w:hAnsi="Arial" w:cs="Arial"/>
          <w:color w:val="auto"/>
          <w:lang w:eastAsia="en-US"/>
        </w:rPr>
      </w:pPr>
      <w:r w:rsidRPr="00610F7D">
        <w:rPr>
          <w:rFonts w:ascii="Arial" w:eastAsia="Times New Roman" w:hAnsi="Arial" w:cs="Arial"/>
          <w:color w:val="auto"/>
          <w:lang w:eastAsia="en-US"/>
        </w:rPr>
        <w:t>Un alt risc important este expunerea tot mai mare la maladiile alergice prin aeroalergeni, parţial ca urmare a schimbării cantităţii de polen, printre altele, rinita alergică şi astmul (aeroalergenii nu sunt cauza, ci doar declanşează această boală) fiind bolile cel mai des asociate cu acest risc.</w:t>
      </w:r>
      <w:r w:rsidRPr="00610F7D">
        <w:rPr>
          <w:vertAlign w:val="superscript"/>
        </w:rPr>
        <w:footnoteReference w:id="6"/>
      </w:r>
    </w:p>
    <w:p w:rsidR="005B29A3" w:rsidRPr="004E19C5" w:rsidRDefault="005B29A3" w:rsidP="00CC1FB9">
      <w:pPr>
        <w:pStyle w:val="Default"/>
        <w:widowControl w:val="0"/>
        <w:ind w:firstLine="720"/>
        <w:jc w:val="both"/>
        <w:rPr>
          <w:rFonts w:ascii="Arial" w:eastAsia="Times New Roman" w:hAnsi="Arial" w:cs="Arial"/>
          <w:color w:val="auto"/>
          <w:sz w:val="10"/>
          <w:szCs w:val="10"/>
          <w:lang w:eastAsia="en-US"/>
        </w:rPr>
      </w:pPr>
    </w:p>
    <w:p w:rsidR="0007389C" w:rsidRPr="0090077D" w:rsidRDefault="0007389C" w:rsidP="00CC1FB9">
      <w:pPr>
        <w:pStyle w:val="Default"/>
        <w:widowControl w:val="0"/>
        <w:ind w:firstLine="720"/>
        <w:jc w:val="both"/>
        <w:rPr>
          <w:rFonts w:ascii="Arial" w:eastAsia="Times New Roman" w:hAnsi="Arial" w:cs="Arial"/>
          <w:color w:val="auto"/>
          <w:lang w:eastAsia="en-US"/>
        </w:rPr>
      </w:pPr>
      <w:r w:rsidRPr="002D72A5">
        <w:rPr>
          <w:rFonts w:ascii="Arial" w:eastAsia="Times New Roman" w:hAnsi="Arial" w:cs="Arial"/>
          <w:color w:val="auto"/>
        </w:rPr>
        <w:t xml:space="preserve">Evoluția cazurilor de îmbolnăviri </w:t>
      </w:r>
      <w:r w:rsidR="00BA5E60" w:rsidRPr="002D72A5">
        <w:rPr>
          <w:rFonts w:ascii="Arial" w:eastAsia="Times New Roman" w:hAnsi="Arial" w:cs="Arial"/>
          <w:color w:val="auto"/>
        </w:rPr>
        <w:t xml:space="preserve">din judeţul Suceava </w:t>
      </w:r>
      <w:r w:rsidRPr="002D72A5">
        <w:rPr>
          <w:rFonts w:ascii="Arial" w:eastAsia="Times New Roman" w:hAnsi="Arial" w:cs="Arial"/>
          <w:color w:val="auto"/>
        </w:rPr>
        <w:t>ce s-ar putea datora</w:t>
      </w:r>
      <w:r w:rsidR="001B6E37" w:rsidRPr="002D72A5">
        <w:rPr>
          <w:rFonts w:ascii="Arial" w:eastAsia="Times New Roman" w:hAnsi="Arial" w:cs="Arial"/>
          <w:color w:val="auto"/>
        </w:rPr>
        <w:t>/ar putea fi favorizate de creșterea</w:t>
      </w:r>
      <w:r w:rsidRPr="002D72A5">
        <w:rPr>
          <w:rFonts w:ascii="Arial" w:eastAsia="Times New Roman" w:hAnsi="Arial" w:cs="Arial"/>
          <w:color w:val="auto"/>
        </w:rPr>
        <w:t xml:space="preserve"> temperaturilor este prezentată în tabelul VIII.1.5.1.</w:t>
      </w:r>
      <w:r w:rsidR="005B29A3" w:rsidRPr="002D72A5">
        <w:rPr>
          <w:rFonts w:ascii="Arial" w:eastAsia="Times New Roman" w:hAnsi="Arial" w:cs="Arial"/>
          <w:color w:val="auto"/>
        </w:rPr>
        <w:t>3</w:t>
      </w:r>
      <w:r w:rsidRPr="002D72A5">
        <w:rPr>
          <w:rFonts w:ascii="Arial" w:eastAsia="Times New Roman" w:hAnsi="Arial" w:cs="Arial"/>
          <w:color w:val="auto"/>
        </w:rPr>
        <w:t>.</w:t>
      </w:r>
      <w:r w:rsidR="007A38DB" w:rsidRPr="002D72A5">
        <w:rPr>
          <w:rFonts w:ascii="Arial" w:eastAsia="Times New Roman" w:hAnsi="Arial" w:cs="Arial"/>
          <w:color w:val="auto"/>
        </w:rPr>
        <w:t xml:space="preserve"> </w:t>
      </w:r>
      <w:r w:rsidR="00BA5E60" w:rsidRPr="002D72A5">
        <w:rPr>
          <w:rFonts w:ascii="Arial" w:eastAsia="Times New Roman" w:hAnsi="Arial" w:cs="Arial"/>
          <w:color w:val="auto"/>
        </w:rPr>
        <w:t xml:space="preserve">(boli infecţioase) </w:t>
      </w:r>
      <w:r w:rsidR="007A38DB" w:rsidRPr="002D72A5">
        <w:rPr>
          <w:rFonts w:ascii="Arial" w:eastAsia="Times New Roman" w:hAnsi="Arial" w:cs="Arial"/>
          <w:color w:val="auto"/>
        </w:rPr>
        <w:t xml:space="preserve">şi în </w:t>
      </w:r>
      <w:r w:rsidR="008D1BD8" w:rsidRPr="002D72A5">
        <w:rPr>
          <w:rFonts w:ascii="Arial" w:eastAsia="Times New Roman" w:hAnsi="Arial" w:cs="Arial"/>
          <w:color w:val="auto"/>
        </w:rPr>
        <w:t>fig.</w:t>
      </w:r>
      <w:r w:rsidR="007A38DB" w:rsidRPr="002D72A5">
        <w:rPr>
          <w:rFonts w:ascii="Arial" w:eastAsia="Times New Roman" w:hAnsi="Arial" w:cs="Arial"/>
          <w:color w:val="auto"/>
        </w:rPr>
        <w:t xml:space="preserve"> VIII.1.5.1.</w:t>
      </w:r>
      <w:r w:rsidR="00C15006" w:rsidRPr="002D72A5">
        <w:rPr>
          <w:rFonts w:ascii="Arial" w:eastAsia="Times New Roman" w:hAnsi="Arial" w:cs="Arial"/>
          <w:color w:val="auto"/>
        </w:rPr>
        <w:t>4</w:t>
      </w:r>
      <w:r w:rsidR="007A38DB" w:rsidRPr="002D72A5">
        <w:rPr>
          <w:rFonts w:ascii="Arial" w:eastAsia="Times New Roman" w:hAnsi="Arial" w:cs="Arial"/>
          <w:color w:val="auto"/>
        </w:rPr>
        <w:t xml:space="preserve"> (boli neinfecţioase)</w:t>
      </w:r>
      <w:r w:rsidR="00873A76" w:rsidRPr="002D72A5">
        <w:rPr>
          <w:rFonts w:ascii="Arial" w:eastAsia="Times New Roman" w:hAnsi="Arial" w:cs="Arial"/>
          <w:color w:val="auto"/>
        </w:rPr>
        <w:t>.</w:t>
      </w:r>
    </w:p>
    <w:p w:rsidR="00CA3821" w:rsidRPr="0090077D" w:rsidRDefault="00CA3821" w:rsidP="00CA3821">
      <w:pPr>
        <w:widowControl w:val="0"/>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C</w:t>
      </w:r>
      <w:r w:rsidRPr="0090077D">
        <w:rPr>
          <w:rFonts w:ascii="Arial" w:hAnsi="Arial" w:cs="Arial"/>
          <w:sz w:val="24"/>
          <w:szCs w:val="24"/>
          <w:lang w:val="ro-RO"/>
        </w:rPr>
        <w:t xml:space="preserve">onform </w:t>
      </w:r>
      <w:r>
        <w:rPr>
          <w:rFonts w:ascii="Arial" w:hAnsi="Arial" w:cs="Arial"/>
          <w:sz w:val="24"/>
          <w:szCs w:val="24"/>
          <w:lang w:val="ro-RO"/>
        </w:rPr>
        <w:t>DSP Suceava,</w:t>
      </w:r>
      <w:r w:rsidRPr="0090077D">
        <w:rPr>
          <w:rFonts w:ascii="Arial" w:hAnsi="Arial" w:cs="Arial"/>
          <w:sz w:val="24"/>
          <w:szCs w:val="24"/>
          <w:lang w:val="ro-RO"/>
        </w:rPr>
        <w:t xml:space="preserve"> 11 din cele 16 cazuri de boală Lyme</w:t>
      </w:r>
      <w:r>
        <w:rPr>
          <w:rFonts w:ascii="Arial" w:hAnsi="Arial" w:cs="Arial"/>
          <w:sz w:val="24"/>
          <w:szCs w:val="24"/>
          <w:lang w:val="ro-RO"/>
        </w:rPr>
        <w:t xml:space="preserve"> din </w:t>
      </w:r>
      <w:r w:rsidRPr="0090077D">
        <w:rPr>
          <w:rFonts w:ascii="Arial" w:hAnsi="Arial" w:cs="Arial"/>
          <w:sz w:val="24"/>
          <w:szCs w:val="24"/>
          <w:lang w:val="ro-RO"/>
        </w:rPr>
        <w:t>anul 2017</w:t>
      </w:r>
      <w:r>
        <w:rPr>
          <w:rFonts w:ascii="Arial" w:hAnsi="Arial" w:cs="Arial"/>
          <w:sz w:val="24"/>
          <w:szCs w:val="24"/>
          <w:lang w:val="ro-RO"/>
        </w:rPr>
        <w:t xml:space="preserve"> (vezi tab. </w:t>
      </w:r>
      <w:r w:rsidRPr="00CA3821">
        <w:rPr>
          <w:rFonts w:ascii="Arial" w:hAnsi="Arial" w:cs="Arial"/>
          <w:sz w:val="24"/>
          <w:szCs w:val="24"/>
          <w:lang w:val="ro-RO"/>
        </w:rPr>
        <w:t>VIII.1.5.1.3)</w:t>
      </w:r>
      <w:r>
        <w:rPr>
          <w:rFonts w:ascii="Arial" w:hAnsi="Arial" w:cs="Arial"/>
          <w:sz w:val="24"/>
          <w:szCs w:val="24"/>
          <w:lang w:val="ro-RO"/>
        </w:rPr>
        <w:t xml:space="preserve">  s-au manifestat</w:t>
      </w:r>
      <w:r w:rsidRPr="0090077D">
        <w:rPr>
          <w:rFonts w:ascii="Arial" w:hAnsi="Arial" w:cs="Arial"/>
          <w:sz w:val="24"/>
          <w:szCs w:val="24"/>
          <w:lang w:val="ro-RO"/>
        </w:rPr>
        <w:t xml:space="preserve"> în </w:t>
      </w:r>
      <w:r>
        <w:rPr>
          <w:rFonts w:ascii="Arial" w:hAnsi="Arial" w:cs="Arial"/>
          <w:sz w:val="24"/>
          <w:szCs w:val="24"/>
          <w:lang w:val="ro-RO"/>
        </w:rPr>
        <w:t xml:space="preserve">mediul </w:t>
      </w:r>
      <w:r w:rsidRPr="0090077D">
        <w:rPr>
          <w:rFonts w:ascii="Arial" w:hAnsi="Arial" w:cs="Arial"/>
          <w:sz w:val="24"/>
          <w:szCs w:val="24"/>
          <w:lang w:val="ro-RO"/>
        </w:rPr>
        <w:t>rural.</w:t>
      </w:r>
    </w:p>
    <w:p w:rsidR="00CA3821" w:rsidRPr="0090077D" w:rsidRDefault="00CA3821" w:rsidP="00CC1FB9">
      <w:pPr>
        <w:widowControl w:val="0"/>
        <w:spacing w:after="0" w:line="240" w:lineRule="auto"/>
        <w:ind w:firstLine="720"/>
        <w:jc w:val="both"/>
        <w:rPr>
          <w:rFonts w:ascii="Arial" w:hAnsi="Arial" w:cs="Arial"/>
          <w:sz w:val="10"/>
          <w:szCs w:val="10"/>
          <w:lang w:val="ro-RO"/>
        </w:rPr>
      </w:pPr>
    </w:p>
    <w:p w:rsidR="0007389C" w:rsidRPr="0090077D" w:rsidRDefault="0007389C" w:rsidP="00CC1FB9">
      <w:pPr>
        <w:widowControl w:val="0"/>
        <w:spacing w:after="0" w:line="240" w:lineRule="auto"/>
        <w:ind w:left="720"/>
        <w:jc w:val="center"/>
        <w:rPr>
          <w:rFonts w:ascii="Arial" w:eastAsia="Times New Roman" w:hAnsi="Arial" w:cs="Arial"/>
          <w:lang w:val="ro-RO"/>
        </w:rPr>
      </w:pPr>
      <w:r w:rsidRPr="0090077D">
        <w:rPr>
          <w:rFonts w:ascii="Arial" w:eastAsia="Times New Roman" w:hAnsi="Arial" w:cs="Arial"/>
          <w:sz w:val="24"/>
          <w:szCs w:val="24"/>
          <w:lang w:val="ro-RO"/>
        </w:rPr>
        <w:t>Tabel VIII.1.5.1.</w:t>
      </w:r>
      <w:r w:rsidR="005B29A3">
        <w:rPr>
          <w:rFonts w:ascii="Arial" w:eastAsia="Times New Roman" w:hAnsi="Arial" w:cs="Arial"/>
          <w:sz w:val="24"/>
          <w:szCs w:val="24"/>
          <w:lang w:val="ro-RO"/>
        </w:rPr>
        <w:t>3</w:t>
      </w:r>
      <w:r w:rsidRPr="0090077D">
        <w:rPr>
          <w:rFonts w:ascii="Arial" w:eastAsia="Times New Roman" w:hAnsi="Arial" w:cs="Arial"/>
          <w:sz w:val="24"/>
          <w:szCs w:val="24"/>
          <w:lang w:val="ro-RO"/>
        </w:rPr>
        <w:t xml:space="preserve">. </w:t>
      </w:r>
      <w:r w:rsidRPr="0090077D">
        <w:rPr>
          <w:rFonts w:ascii="Arial" w:eastAsia="Times New Roman" w:hAnsi="Arial" w:cs="Arial"/>
          <w:lang w:val="ro-RO"/>
        </w:rPr>
        <w:t>Evoluția cazurilor de îmbolnăviri cu encefalită și boala Lyme</w:t>
      </w:r>
      <w:r w:rsidR="0090077D">
        <w:rPr>
          <w:rFonts w:ascii="Arial" w:eastAsia="Times New Roman" w:hAnsi="Arial" w:cs="Arial"/>
          <w:lang w:val="ro-RO"/>
        </w:rPr>
        <w:t>,</w:t>
      </w:r>
    </w:p>
    <w:p w:rsidR="0007389C" w:rsidRPr="0090077D" w:rsidRDefault="0090077D" w:rsidP="00CC1FB9">
      <w:pPr>
        <w:widowControl w:val="0"/>
        <w:spacing w:after="0" w:line="240" w:lineRule="auto"/>
        <w:ind w:left="720"/>
        <w:jc w:val="center"/>
        <w:rPr>
          <w:rFonts w:ascii="Arial" w:eastAsia="Times New Roman" w:hAnsi="Arial" w:cs="Arial"/>
          <w:i/>
          <w:lang w:val="ro-RO"/>
        </w:rPr>
      </w:pPr>
      <w:r w:rsidRPr="0090077D">
        <w:rPr>
          <w:rFonts w:ascii="Arial" w:eastAsiaTheme="minorEastAsia" w:hAnsi="Arial" w:cs="Arial"/>
          <w:lang w:val="ro-RO" w:eastAsia="ro-RO"/>
        </w:rPr>
        <w:t xml:space="preserve">în perioada 2013 – 2017, </w:t>
      </w:r>
      <w:r w:rsidR="007A38DB" w:rsidRPr="0090077D">
        <w:rPr>
          <w:rFonts w:ascii="Arial" w:eastAsia="Times New Roman" w:hAnsi="Arial" w:cs="Arial"/>
          <w:lang w:val="ro-RO"/>
        </w:rPr>
        <w:t>în judeţul Suceava</w:t>
      </w:r>
      <w:r w:rsidR="0007389C" w:rsidRPr="0090077D">
        <w:rPr>
          <w:rFonts w:ascii="Arial" w:eastAsia="Times New Roman" w:hAnsi="Arial" w:cs="Arial"/>
          <w:lang w:val="ro-RO"/>
        </w:rPr>
        <w:t xml:space="preserve"> </w:t>
      </w:r>
      <w:r w:rsidR="0007389C" w:rsidRPr="0090077D">
        <w:rPr>
          <w:rFonts w:ascii="Arial" w:eastAsia="Times New Roman" w:hAnsi="Arial" w:cs="Arial"/>
          <w:i/>
          <w:lang w:val="ro-RO"/>
        </w:rPr>
        <w:t>(sursa: Direcția de Sănătate Publică Suceava)</w:t>
      </w:r>
    </w:p>
    <w:p w:rsidR="0007389C" w:rsidRPr="0090077D" w:rsidRDefault="0007389C" w:rsidP="00CC1FB9">
      <w:pPr>
        <w:widowControl w:val="0"/>
        <w:spacing w:after="0" w:line="240" w:lineRule="auto"/>
        <w:ind w:left="720"/>
        <w:jc w:val="center"/>
        <w:rPr>
          <w:rFonts w:ascii="Arial" w:eastAsia="Times New Roman" w:hAnsi="Arial" w:cs="Arial"/>
          <w:sz w:val="10"/>
          <w:szCs w:val="10"/>
          <w:lang w:val="ro-RO"/>
        </w:rPr>
      </w:pPr>
    </w:p>
    <w:tbl>
      <w:tblPr>
        <w:tblW w:w="942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5"/>
        <w:gridCol w:w="1423"/>
        <w:gridCol w:w="1423"/>
        <w:gridCol w:w="1423"/>
        <w:gridCol w:w="1423"/>
        <w:gridCol w:w="1423"/>
      </w:tblGrid>
      <w:tr w:rsidR="00DD7F6E" w:rsidRPr="0090077D" w:rsidTr="00FC1D0C">
        <w:trPr>
          <w:trHeight w:val="300"/>
          <w:tblHeader/>
          <w:jc w:val="center"/>
        </w:trPr>
        <w:tc>
          <w:tcPr>
            <w:tcW w:w="2305" w:type="dxa"/>
            <w:shd w:val="clear" w:color="auto" w:fill="FFFF99"/>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Boala</w:t>
            </w:r>
          </w:p>
        </w:tc>
        <w:tc>
          <w:tcPr>
            <w:tcW w:w="1423" w:type="dxa"/>
            <w:shd w:val="clear" w:color="auto" w:fill="FFFF99"/>
            <w:vAlign w:val="center"/>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2013</w:t>
            </w:r>
          </w:p>
        </w:tc>
        <w:tc>
          <w:tcPr>
            <w:tcW w:w="1423" w:type="dxa"/>
            <w:shd w:val="clear" w:color="auto" w:fill="FFFF99"/>
            <w:vAlign w:val="center"/>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2014</w:t>
            </w:r>
          </w:p>
        </w:tc>
        <w:tc>
          <w:tcPr>
            <w:tcW w:w="1423" w:type="dxa"/>
            <w:shd w:val="clear" w:color="auto" w:fill="FFFF99"/>
            <w:vAlign w:val="center"/>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2015</w:t>
            </w:r>
          </w:p>
        </w:tc>
        <w:tc>
          <w:tcPr>
            <w:tcW w:w="1423" w:type="dxa"/>
            <w:shd w:val="clear" w:color="auto" w:fill="FFFF99"/>
            <w:vAlign w:val="center"/>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2016</w:t>
            </w:r>
          </w:p>
        </w:tc>
        <w:tc>
          <w:tcPr>
            <w:tcW w:w="1423" w:type="dxa"/>
            <w:shd w:val="clear" w:color="auto" w:fill="FFFF99"/>
            <w:vAlign w:val="center"/>
          </w:tcPr>
          <w:p w:rsidR="00DD7F6E" w:rsidRPr="0090077D" w:rsidRDefault="00DD7F6E" w:rsidP="00CC1FB9">
            <w:pPr>
              <w:widowControl w:val="0"/>
              <w:spacing w:after="0" w:line="240" w:lineRule="auto"/>
              <w:jc w:val="center"/>
              <w:rPr>
                <w:rFonts w:ascii="Arial" w:hAnsi="Arial" w:cs="Arial"/>
                <w:b/>
                <w:lang w:val="ro-RO"/>
              </w:rPr>
            </w:pPr>
            <w:r w:rsidRPr="0090077D">
              <w:rPr>
                <w:rFonts w:ascii="Arial" w:hAnsi="Arial" w:cs="Arial"/>
                <w:b/>
                <w:lang w:val="ro-RO"/>
              </w:rPr>
              <w:t>2017</w:t>
            </w:r>
          </w:p>
        </w:tc>
      </w:tr>
      <w:tr w:rsidR="00DD7F6E" w:rsidRPr="0090077D" w:rsidTr="00DD7F6E">
        <w:trPr>
          <w:trHeight w:val="327"/>
          <w:jc w:val="center"/>
        </w:trPr>
        <w:tc>
          <w:tcPr>
            <w:tcW w:w="2305" w:type="dxa"/>
          </w:tcPr>
          <w:p w:rsidR="00DD7F6E" w:rsidRPr="00C6700C" w:rsidRDefault="00DD7F6E" w:rsidP="00CC1FB9">
            <w:pPr>
              <w:widowControl w:val="0"/>
              <w:spacing w:after="0" w:line="240" w:lineRule="auto"/>
              <w:rPr>
                <w:rFonts w:ascii="Arial" w:hAnsi="Arial" w:cs="Arial"/>
                <w:lang w:val="ro-RO"/>
              </w:rPr>
            </w:pPr>
            <w:r w:rsidRPr="00C6700C">
              <w:rPr>
                <w:rFonts w:ascii="Arial" w:hAnsi="Arial" w:cs="Arial"/>
                <w:lang w:val="ro-RO"/>
              </w:rPr>
              <w:t xml:space="preserve">Encefalită </w:t>
            </w:r>
          </w:p>
        </w:tc>
        <w:tc>
          <w:tcPr>
            <w:tcW w:w="1423" w:type="dxa"/>
          </w:tcPr>
          <w:p w:rsidR="00DD7F6E" w:rsidRPr="00C6700C" w:rsidRDefault="00C6700C" w:rsidP="00CC1FB9">
            <w:pPr>
              <w:widowControl w:val="0"/>
              <w:spacing w:after="0" w:line="240" w:lineRule="auto"/>
              <w:jc w:val="center"/>
              <w:rPr>
                <w:rFonts w:ascii="Arial" w:hAnsi="Arial" w:cs="Arial"/>
                <w:lang w:val="ro-RO"/>
              </w:rPr>
            </w:pPr>
            <w:r w:rsidRPr="00C6700C">
              <w:rPr>
                <w:rFonts w:ascii="Arial" w:hAnsi="Arial" w:cs="Arial"/>
                <w:lang w:val="ro-RO"/>
              </w:rPr>
              <w:t>14</w:t>
            </w:r>
          </w:p>
        </w:tc>
        <w:tc>
          <w:tcPr>
            <w:tcW w:w="1423" w:type="dxa"/>
          </w:tcPr>
          <w:p w:rsidR="00DD7F6E" w:rsidRPr="00C6700C" w:rsidRDefault="00C6700C" w:rsidP="00CC1FB9">
            <w:pPr>
              <w:widowControl w:val="0"/>
              <w:spacing w:after="0" w:line="240" w:lineRule="auto"/>
              <w:jc w:val="center"/>
              <w:rPr>
                <w:rFonts w:ascii="Arial" w:hAnsi="Arial" w:cs="Arial"/>
                <w:lang w:val="ro-RO"/>
              </w:rPr>
            </w:pPr>
            <w:r w:rsidRPr="00C6700C">
              <w:rPr>
                <w:rFonts w:ascii="Arial" w:hAnsi="Arial" w:cs="Arial"/>
                <w:lang w:val="ro-RO"/>
              </w:rPr>
              <w:t>5</w:t>
            </w:r>
          </w:p>
        </w:tc>
        <w:tc>
          <w:tcPr>
            <w:tcW w:w="1423" w:type="dxa"/>
          </w:tcPr>
          <w:p w:rsidR="00DD7F6E" w:rsidRPr="00C6700C" w:rsidRDefault="00C6700C" w:rsidP="00CC1FB9">
            <w:pPr>
              <w:widowControl w:val="0"/>
              <w:spacing w:after="0" w:line="240" w:lineRule="auto"/>
              <w:jc w:val="center"/>
              <w:rPr>
                <w:rFonts w:ascii="Arial" w:hAnsi="Arial" w:cs="Arial"/>
                <w:lang w:val="ro-RO"/>
              </w:rPr>
            </w:pPr>
            <w:r w:rsidRPr="00C6700C">
              <w:rPr>
                <w:rFonts w:ascii="Arial" w:hAnsi="Arial" w:cs="Arial"/>
                <w:lang w:val="ro-RO"/>
              </w:rPr>
              <w:t>16</w:t>
            </w:r>
          </w:p>
        </w:tc>
        <w:tc>
          <w:tcPr>
            <w:tcW w:w="1423" w:type="dxa"/>
          </w:tcPr>
          <w:p w:rsidR="00DD7F6E" w:rsidRPr="00C6700C" w:rsidRDefault="00C6700C" w:rsidP="00CC1FB9">
            <w:pPr>
              <w:widowControl w:val="0"/>
              <w:spacing w:after="0" w:line="240" w:lineRule="auto"/>
              <w:jc w:val="center"/>
              <w:rPr>
                <w:rFonts w:ascii="Arial" w:hAnsi="Arial" w:cs="Arial"/>
                <w:lang w:val="ro-RO"/>
              </w:rPr>
            </w:pPr>
            <w:r w:rsidRPr="00C6700C">
              <w:rPr>
                <w:rFonts w:ascii="Arial" w:hAnsi="Arial" w:cs="Arial"/>
                <w:lang w:val="ro-RO"/>
              </w:rPr>
              <w:t>34</w:t>
            </w:r>
          </w:p>
        </w:tc>
        <w:tc>
          <w:tcPr>
            <w:tcW w:w="1423" w:type="dxa"/>
          </w:tcPr>
          <w:p w:rsidR="00DD7F6E" w:rsidRPr="0090077D" w:rsidRDefault="00C6700C" w:rsidP="00CC1FB9">
            <w:pPr>
              <w:widowControl w:val="0"/>
              <w:spacing w:after="0" w:line="240" w:lineRule="auto"/>
              <w:jc w:val="center"/>
              <w:rPr>
                <w:rFonts w:ascii="Arial" w:hAnsi="Arial" w:cs="Arial"/>
                <w:lang w:val="ro-RO"/>
              </w:rPr>
            </w:pPr>
            <w:r w:rsidRPr="00C6700C">
              <w:rPr>
                <w:rFonts w:ascii="Arial" w:hAnsi="Arial" w:cs="Arial"/>
                <w:lang w:val="ro-RO"/>
              </w:rPr>
              <w:t>44</w:t>
            </w:r>
          </w:p>
        </w:tc>
      </w:tr>
      <w:tr w:rsidR="00DD7F6E" w:rsidRPr="0090077D" w:rsidTr="00DD7F6E">
        <w:trPr>
          <w:trHeight w:val="231"/>
          <w:jc w:val="center"/>
        </w:trPr>
        <w:tc>
          <w:tcPr>
            <w:tcW w:w="2305" w:type="dxa"/>
          </w:tcPr>
          <w:p w:rsidR="00DD7F6E" w:rsidRPr="0090077D" w:rsidRDefault="00DD7F6E" w:rsidP="00CC1FB9">
            <w:pPr>
              <w:widowControl w:val="0"/>
              <w:spacing w:after="0" w:line="240" w:lineRule="auto"/>
              <w:rPr>
                <w:rFonts w:ascii="Arial" w:hAnsi="Arial" w:cs="Arial"/>
                <w:lang w:val="ro-RO"/>
              </w:rPr>
            </w:pPr>
            <w:r w:rsidRPr="0090077D">
              <w:rPr>
                <w:rFonts w:ascii="Arial" w:hAnsi="Arial" w:cs="Arial"/>
                <w:lang w:val="ro-RO"/>
              </w:rPr>
              <w:t>Boala Lyme</w:t>
            </w:r>
          </w:p>
        </w:tc>
        <w:tc>
          <w:tcPr>
            <w:tcW w:w="1423" w:type="dxa"/>
          </w:tcPr>
          <w:p w:rsidR="00DD7F6E" w:rsidRPr="0090077D" w:rsidRDefault="00DD7F6E" w:rsidP="00CC1FB9">
            <w:pPr>
              <w:widowControl w:val="0"/>
              <w:spacing w:after="0" w:line="240" w:lineRule="auto"/>
              <w:jc w:val="center"/>
              <w:rPr>
                <w:rFonts w:ascii="Arial" w:hAnsi="Arial" w:cs="Arial"/>
                <w:lang w:val="ro-RO"/>
              </w:rPr>
            </w:pPr>
            <w:r w:rsidRPr="0090077D">
              <w:rPr>
                <w:rFonts w:ascii="Arial" w:hAnsi="Arial" w:cs="Arial"/>
                <w:lang w:val="ro-RO"/>
              </w:rPr>
              <w:t>27</w:t>
            </w:r>
          </w:p>
        </w:tc>
        <w:tc>
          <w:tcPr>
            <w:tcW w:w="1423" w:type="dxa"/>
          </w:tcPr>
          <w:p w:rsidR="00DD7F6E" w:rsidRPr="0090077D" w:rsidRDefault="00DD7F6E" w:rsidP="00CC1FB9">
            <w:pPr>
              <w:widowControl w:val="0"/>
              <w:spacing w:after="0" w:line="240" w:lineRule="auto"/>
              <w:jc w:val="center"/>
              <w:rPr>
                <w:rFonts w:ascii="Arial" w:hAnsi="Arial" w:cs="Arial"/>
                <w:lang w:val="ro-RO"/>
              </w:rPr>
            </w:pPr>
            <w:r w:rsidRPr="0090077D">
              <w:rPr>
                <w:rFonts w:ascii="Arial" w:hAnsi="Arial" w:cs="Arial"/>
                <w:lang w:val="ro-RO"/>
              </w:rPr>
              <w:t>22</w:t>
            </w:r>
          </w:p>
        </w:tc>
        <w:tc>
          <w:tcPr>
            <w:tcW w:w="1423" w:type="dxa"/>
          </w:tcPr>
          <w:p w:rsidR="00DD7F6E" w:rsidRPr="0090077D" w:rsidRDefault="00DD7F6E" w:rsidP="00CC1FB9">
            <w:pPr>
              <w:widowControl w:val="0"/>
              <w:spacing w:after="0" w:line="240" w:lineRule="auto"/>
              <w:jc w:val="center"/>
              <w:rPr>
                <w:rFonts w:ascii="Arial" w:hAnsi="Arial" w:cs="Arial"/>
                <w:lang w:val="ro-RO"/>
              </w:rPr>
            </w:pPr>
            <w:r w:rsidRPr="0090077D">
              <w:rPr>
                <w:rFonts w:ascii="Arial" w:hAnsi="Arial" w:cs="Arial"/>
                <w:lang w:val="ro-RO"/>
              </w:rPr>
              <w:t>9</w:t>
            </w:r>
          </w:p>
        </w:tc>
        <w:tc>
          <w:tcPr>
            <w:tcW w:w="1423" w:type="dxa"/>
          </w:tcPr>
          <w:p w:rsidR="00DD7F6E" w:rsidRPr="0090077D" w:rsidRDefault="00DD7F6E" w:rsidP="00CC1FB9">
            <w:pPr>
              <w:widowControl w:val="0"/>
              <w:spacing w:after="0" w:line="240" w:lineRule="auto"/>
              <w:jc w:val="center"/>
              <w:rPr>
                <w:rFonts w:ascii="Arial" w:hAnsi="Arial" w:cs="Arial"/>
                <w:lang w:val="ro-RO"/>
              </w:rPr>
            </w:pPr>
            <w:r w:rsidRPr="0090077D">
              <w:rPr>
                <w:rFonts w:ascii="Arial" w:hAnsi="Arial" w:cs="Arial"/>
                <w:lang w:val="ro-RO"/>
              </w:rPr>
              <w:t>7</w:t>
            </w:r>
          </w:p>
        </w:tc>
        <w:tc>
          <w:tcPr>
            <w:tcW w:w="1423" w:type="dxa"/>
          </w:tcPr>
          <w:p w:rsidR="00DD7F6E" w:rsidRPr="0090077D" w:rsidRDefault="00DD7F6E" w:rsidP="00CC1FB9">
            <w:pPr>
              <w:widowControl w:val="0"/>
              <w:spacing w:after="0" w:line="240" w:lineRule="auto"/>
              <w:jc w:val="center"/>
              <w:rPr>
                <w:rFonts w:ascii="Arial" w:hAnsi="Arial" w:cs="Arial"/>
                <w:lang w:val="ro-RO"/>
              </w:rPr>
            </w:pPr>
            <w:r w:rsidRPr="0090077D">
              <w:rPr>
                <w:rFonts w:ascii="Arial" w:hAnsi="Arial" w:cs="Arial"/>
                <w:lang w:val="ro-RO"/>
              </w:rPr>
              <w:t>16</w:t>
            </w:r>
          </w:p>
        </w:tc>
      </w:tr>
    </w:tbl>
    <w:p w:rsidR="003432B3" w:rsidRPr="0090077D" w:rsidRDefault="0007389C" w:rsidP="00CC1FB9">
      <w:pPr>
        <w:widowControl w:val="0"/>
        <w:autoSpaceDE w:val="0"/>
        <w:autoSpaceDN w:val="0"/>
        <w:adjustRightInd w:val="0"/>
        <w:spacing w:after="0" w:line="240" w:lineRule="auto"/>
        <w:jc w:val="both"/>
        <w:rPr>
          <w:rFonts w:ascii="Arial" w:hAnsi="Arial" w:cs="Arial"/>
          <w:color w:val="FF0000"/>
          <w:sz w:val="6"/>
          <w:szCs w:val="6"/>
          <w:lang w:val="ro-RO"/>
        </w:rPr>
      </w:pPr>
      <w:r w:rsidRPr="0090077D">
        <w:rPr>
          <w:rFonts w:ascii="Arial" w:hAnsi="Arial" w:cs="Arial"/>
          <w:color w:val="FF0000"/>
          <w:sz w:val="10"/>
          <w:szCs w:val="10"/>
          <w:lang w:val="ro-RO"/>
        </w:rPr>
        <w:t xml:space="preserve"> </w:t>
      </w:r>
      <w:r w:rsidR="00E40E4D" w:rsidRPr="0090077D">
        <w:rPr>
          <w:rFonts w:ascii="Arial" w:hAnsi="Arial" w:cs="Arial"/>
          <w:color w:val="FF0000"/>
          <w:sz w:val="10"/>
          <w:szCs w:val="10"/>
          <w:lang w:val="ro-RO"/>
        </w:rPr>
        <w:tab/>
      </w:r>
    </w:p>
    <w:p w:rsidR="00E533AF" w:rsidRDefault="00E533AF" w:rsidP="00CC1FB9">
      <w:pPr>
        <w:widowControl w:val="0"/>
        <w:autoSpaceDE w:val="0"/>
        <w:autoSpaceDN w:val="0"/>
        <w:adjustRightInd w:val="0"/>
        <w:spacing w:after="0" w:line="240" w:lineRule="auto"/>
        <w:ind w:firstLine="720"/>
        <w:jc w:val="both"/>
        <w:rPr>
          <w:rFonts w:ascii="Arial" w:hAnsi="Arial" w:cs="Arial"/>
          <w:sz w:val="10"/>
          <w:szCs w:val="10"/>
          <w:lang w:val="ro-RO"/>
        </w:rPr>
      </w:pPr>
    </w:p>
    <w:p w:rsidR="0007389C" w:rsidRPr="00454EF4" w:rsidRDefault="0007389C" w:rsidP="00CC1FB9">
      <w:pPr>
        <w:widowControl w:val="0"/>
        <w:spacing w:after="0" w:line="240" w:lineRule="auto"/>
        <w:ind w:left="720"/>
        <w:jc w:val="center"/>
        <w:rPr>
          <w:rFonts w:ascii="Arial" w:eastAsia="Times New Roman" w:hAnsi="Arial" w:cs="Arial"/>
          <w:lang w:val="ro-RO"/>
        </w:rPr>
      </w:pPr>
      <w:r w:rsidRPr="00454EF4">
        <w:rPr>
          <w:rFonts w:ascii="Arial" w:eastAsia="Times New Roman" w:hAnsi="Arial" w:cs="Arial"/>
          <w:lang w:val="ro-RO"/>
        </w:rPr>
        <w:t xml:space="preserve">Figura </w:t>
      </w:r>
      <w:r w:rsidR="00C15006" w:rsidRPr="00454EF4">
        <w:rPr>
          <w:rFonts w:ascii="Arial" w:eastAsia="Times New Roman" w:hAnsi="Arial" w:cs="Arial"/>
          <w:lang w:val="ro-RO"/>
        </w:rPr>
        <w:t>VIII.1.5.1.4</w:t>
      </w:r>
      <w:r w:rsidRPr="00454EF4">
        <w:rPr>
          <w:rFonts w:ascii="Arial" w:eastAsia="Times New Roman" w:hAnsi="Arial" w:cs="Arial"/>
          <w:lang w:val="ro-RO"/>
        </w:rPr>
        <w:t xml:space="preserve">. </w:t>
      </w:r>
      <w:r w:rsidR="00AC7AD7" w:rsidRPr="00454EF4">
        <w:rPr>
          <w:rFonts w:ascii="Arial" w:eastAsia="Times New Roman" w:hAnsi="Arial" w:cs="Arial"/>
          <w:lang w:val="ro-RO"/>
        </w:rPr>
        <w:t>Rata morbidităţii prin incidenţa la 100 000 de locuitori în cabinetele medicilor de familie</w:t>
      </w:r>
      <w:r w:rsidR="007A38DB" w:rsidRPr="00454EF4">
        <w:rPr>
          <w:rFonts w:ascii="Arial" w:eastAsia="Times New Roman" w:hAnsi="Arial" w:cs="Arial"/>
          <w:lang w:val="ro-RO"/>
        </w:rPr>
        <w:t xml:space="preserve"> în judeţul Suceava </w:t>
      </w:r>
      <w:r w:rsidRPr="00454EF4">
        <w:rPr>
          <w:rFonts w:ascii="Arial" w:eastAsia="Times New Roman" w:hAnsi="Arial" w:cs="Arial"/>
          <w:lang w:val="ro-RO"/>
        </w:rPr>
        <w:t>(</w:t>
      </w:r>
      <w:r w:rsidRPr="00454EF4">
        <w:rPr>
          <w:rFonts w:ascii="Arial" w:eastAsia="Times New Roman" w:hAnsi="Arial" w:cs="Arial"/>
          <w:i/>
          <w:lang w:val="ro-RO"/>
        </w:rPr>
        <w:t xml:space="preserve">sursa: </w:t>
      </w:r>
      <w:r w:rsidR="007E410D" w:rsidRPr="00454EF4">
        <w:rPr>
          <w:rFonts w:ascii="Arial" w:eastAsia="Times New Roman" w:hAnsi="Arial" w:cs="Arial"/>
          <w:i/>
          <w:lang w:val="ro-RO"/>
        </w:rPr>
        <w:t>Direcția de Sănătate Publică Suceava</w:t>
      </w:r>
      <w:r w:rsidRPr="00454EF4">
        <w:rPr>
          <w:rFonts w:ascii="Arial" w:eastAsia="Times New Roman" w:hAnsi="Arial" w:cs="Arial"/>
          <w:lang w:val="ro-RO"/>
        </w:rPr>
        <w:t>)</w:t>
      </w:r>
    </w:p>
    <w:p w:rsidR="0007389C" w:rsidRPr="00454EF4" w:rsidRDefault="0007389C" w:rsidP="00CC1FB9">
      <w:pPr>
        <w:widowControl w:val="0"/>
        <w:autoSpaceDE w:val="0"/>
        <w:autoSpaceDN w:val="0"/>
        <w:adjustRightInd w:val="0"/>
        <w:spacing w:after="2" w:line="240" w:lineRule="auto"/>
        <w:jc w:val="center"/>
        <w:rPr>
          <w:rFonts w:ascii="Arial" w:hAnsi="Arial" w:cs="Arial"/>
          <w:color w:val="FF0000"/>
          <w:sz w:val="20"/>
          <w:szCs w:val="20"/>
          <w:lang w:val="ro-RO" w:eastAsia="ro-RO"/>
        </w:rPr>
      </w:pPr>
      <w:r w:rsidRPr="00454EF4">
        <w:rPr>
          <w:rFonts w:ascii="Arial" w:hAnsi="Arial" w:cs="Arial"/>
          <w:noProof/>
          <w:color w:val="FF0000"/>
          <w:sz w:val="20"/>
          <w:szCs w:val="20"/>
          <w:lang w:val="ro-RO" w:eastAsia="ro-RO"/>
        </w:rPr>
        <w:drawing>
          <wp:inline distT="0" distB="0" distL="0" distR="0">
            <wp:extent cx="4695092" cy="1529861"/>
            <wp:effectExtent l="0" t="0" r="0" b="0"/>
            <wp:docPr id="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31AD" w:rsidRPr="000F49BF" w:rsidRDefault="00F031AD" w:rsidP="00CC1FB9">
      <w:pPr>
        <w:widowControl w:val="0"/>
        <w:autoSpaceDE w:val="0"/>
        <w:autoSpaceDN w:val="0"/>
        <w:adjustRightInd w:val="0"/>
        <w:spacing w:after="2" w:line="240" w:lineRule="auto"/>
        <w:rPr>
          <w:rFonts w:ascii="Arial" w:hAnsi="Arial" w:cs="Arial"/>
          <w:color w:val="FF0000"/>
          <w:sz w:val="10"/>
          <w:szCs w:val="10"/>
          <w:lang w:val="ro-RO" w:eastAsia="ro-RO"/>
        </w:rPr>
      </w:pPr>
    </w:p>
    <w:p w:rsidR="00142C25" w:rsidRPr="008C7AE0" w:rsidRDefault="00142C25" w:rsidP="00CC1FB9">
      <w:pPr>
        <w:widowControl w:val="0"/>
        <w:autoSpaceDE w:val="0"/>
        <w:autoSpaceDN w:val="0"/>
        <w:adjustRightInd w:val="0"/>
        <w:spacing w:after="0" w:line="240" w:lineRule="auto"/>
        <w:jc w:val="both"/>
        <w:rPr>
          <w:rFonts w:ascii="Arial" w:eastAsiaTheme="minorEastAsia" w:hAnsi="Arial" w:cs="Arial"/>
          <w:b/>
          <w:bCs/>
          <w:sz w:val="24"/>
          <w:szCs w:val="24"/>
          <w:lang w:val="ro-RO" w:eastAsia="ro-RO"/>
        </w:rPr>
      </w:pPr>
      <w:r w:rsidRPr="008C7AE0">
        <w:rPr>
          <w:rFonts w:ascii="Arial" w:eastAsiaTheme="minorEastAsia" w:hAnsi="Arial" w:cs="Arial"/>
          <w:b/>
          <w:bCs/>
          <w:sz w:val="24"/>
          <w:szCs w:val="24"/>
          <w:lang w:val="ro-RO" w:eastAsia="ro-RO"/>
        </w:rPr>
        <w:t>VIII.1.5.2. Expunerea populaţiei din aglomerările urbane la riscul la inundaţii</w:t>
      </w:r>
    </w:p>
    <w:p w:rsidR="000D6CA2" w:rsidRPr="002A3EAD" w:rsidRDefault="000D6CA2" w:rsidP="00CC1FB9">
      <w:pPr>
        <w:widowControl w:val="0"/>
        <w:spacing w:after="0" w:line="240" w:lineRule="auto"/>
        <w:ind w:firstLine="720"/>
        <w:jc w:val="both"/>
        <w:rPr>
          <w:rFonts w:ascii="Arial" w:eastAsiaTheme="minorEastAsia" w:hAnsi="Arial" w:cs="Arial"/>
          <w:sz w:val="16"/>
          <w:szCs w:val="16"/>
          <w:highlight w:val="cyan"/>
          <w:lang w:val="ro-RO" w:eastAsia="ro-RO"/>
        </w:rPr>
      </w:pPr>
    </w:p>
    <w:tbl>
      <w:tblPr>
        <w:tblStyle w:val="TableGrid"/>
        <w:tblW w:w="0" w:type="auto"/>
        <w:shd w:val="clear" w:color="auto" w:fill="B6DDE8" w:themeFill="accent5" w:themeFillTint="66"/>
        <w:tblLook w:val="04A0"/>
      </w:tblPr>
      <w:tblGrid>
        <w:gridCol w:w="9997"/>
      </w:tblGrid>
      <w:tr w:rsidR="00C6700C" w:rsidRPr="00C6700C" w:rsidTr="00C6700C">
        <w:tc>
          <w:tcPr>
            <w:tcW w:w="9997" w:type="dxa"/>
            <w:shd w:val="clear" w:color="auto" w:fill="B6DDE8" w:themeFill="accent5" w:themeFillTint="66"/>
          </w:tcPr>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b/>
                <w:bCs/>
                <w:lang w:val="ro-RO" w:eastAsia="ro-RO"/>
              </w:rPr>
              <w:t xml:space="preserve">Cod indicator România: </w:t>
            </w:r>
            <w:r w:rsidRPr="00C6700C">
              <w:rPr>
                <w:rFonts w:ascii="Arial" w:hAnsi="Arial" w:cs="Arial"/>
                <w:lang w:val="ro-RO" w:eastAsia="ro-RO"/>
              </w:rPr>
              <w:t>RO 61</w:t>
            </w:r>
          </w:p>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b/>
                <w:bCs/>
                <w:lang w:val="ro-RO" w:eastAsia="ro-RO"/>
              </w:rPr>
              <w:t xml:space="preserve">Cod indicator AEM: </w:t>
            </w:r>
            <w:r w:rsidRPr="00C6700C">
              <w:rPr>
                <w:rFonts w:ascii="Arial" w:hAnsi="Arial" w:cs="Arial"/>
                <w:lang w:val="ro-RO" w:eastAsia="ro-RO"/>
              </w:rPr>
              <w:t>CLIM 46</w:t>
            </w:r>
          </w:p>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b/>
                <w:bCs/>
                <w:lang w:val="ro-RO" w:eastAsia="ro-RO"/>
              </w:rPr>
              <w:t xml:space="preserve">DENUMIRE: </w:t>
            </w:r>
            <w:r w:rsidRPr="00C6700C">
              <w:rPr>
                <w:rFonts w:ascii="Arial" w:hAnsi="Arial" w:cs="Arial"/>
                <w:lang w:val="ro-RO" w:eastAsia="ro-RO"/>
              </w:rPr>
              <w:t>INUNDAŢIILE ŞI SĂNĂTATEA</w:t>
            </w:r>
          </w:p>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b/>
                <w:bCs/>
                <w:lang w:val="ro-RO" w:eastAsia="ro-RO"/>
              </w:rPr>
              <w:t xml:space="preserve">DEFINIȚIE: </w:t>
            </w:r>
            <w:r w:rsidRPr="00C6700C">
              <w:rPr>
                <w:rFonts w:ascii="Arial" w:hAnsi="Arial" w:cs="Arial"/>
                <w:lang w:val="ro-RO" w:eastAsia="ro-RO"/>
              </w:rPr>
              <w:t>Acest indicator este definit ca numărul de persoane afectate de inundaţii raportat la</w:t>
            </w:r>
          </w:p>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lang w:val="ro-RO" w:eastAsia="ro-RO"/>
              </w:rPr>
              <w:t>milionul de locuitori. "Persoanele afectate", astfel cum sunt definite în EM-DAT (The International</w:t>
            </w:r>
          </w:p>
          <w:p w:rsidR="00C6700C" w:rsidRPr="00C6700C" w:rsidRDefault="00C6700C" w:rsidP="00CC1FB9">
            <w:pPr>
              <w:widowControl w:val="0"/>
              <w:autoSpaceDE w:val="0"/>
              <w:autoSpaceDN w:val="0"/>
              <w:adjustRightInd w:val="0"/>
              <w:spacing w:after="0" w:line="240" w:lineRule="auto"/>
              <w:jc w:val="both"/>
              <w:rPr>
                <w:rFonts w:ascii="Arial" w:hAnsi="Arial" w:cs="Arial"/>
                <w:lang w:val="ro-RO" w:eastAsia="ro-RO"/>
              </w:rPr>
            </w:pPr>
            <w:r w:rsidRPr="00C6700C">
              <w:rPr>
                <w:rFonts w:ascii="Arial" w:hAnsi="Arial" w:cs="Arial"/>
                <w:lang w:val="ro-RO" w:eastAsia="ro-RO"/>
              </w:rPr>
              <w:t>Disaster Database), sunt persoanele care au nevoie de asistenţă imediată în timpul unei perioade de</w:t>
            </w:r>
            <w:r>
              <w:rPr>
                <w:rFonts w:ascii="Arial" w:hAnsi="Arial" w:cs="Arial"/>
                <w:lang w:val="ro-RO" w:eastAsia="ro-RO"/>
              </w:rPr>
              <w:t xml:space="preserve"> </w:t>
            </w:r>
            <w:r w:rsidRPr="00C6700C">
              <w:rPr>
                <w:rFonts w:ascii="Arial" w:hAnsi="Arial" w:cs="Arial"/>
                <w:lang w:val="ro-RO" w:eastAsia="ro-RO"/>
              </w:rPr>
              <w:t>urgenţă, inclusiv persoanele strămutate sau evacuate.</w:t>
            </w:r>
          </w:p>
          <w:p w:rsidR="00C6700C" w:rsidRPr="00C6700C" w:rsidRDefault="00C6700C" w:rsidP="00CC1FB9">
            <w:pPr>
              <w:widowControl w:val="0"/>
              <w:autoSpaceDE w:val="0"/>
              <w:autoSpaceDN w:val="0"/>
              <w:adjustRightInd w:val="0"/>
              <w:spacing w:after="0" w:line="240" w:lineRule="auto"/>
              <w:jc w:val="both"/>
              <w:rPr>
                <w:rFonts w:ascii="Arial" w:eastAsiaTheme="minorEastAsia" w:hAnsi="Arial" w:cs="Arial"/>
                <w:sz w:val="24"/>
                <w:szCs w:val="24"/>
                <w:lang w:val="ro-RO" w:eastAsia="ro-RO"/>
              </w:rPr>
            </w:pPr>
            <w:r w:rsidRPr="00C6700C">
              <w:rPr>
                <w:rFonts w:ascii="Arial" w:hAnsi="Arial" w:cs="Arial"/>
                <w:lang w:val="ro-RO" w:eastAsia="ro-RO"/>
              </w:rPr>
              <w:t>Unitatea de măsur</w:t>
            </w:r>
            <w:r>
              <w:rPr>
                <w:rFonts w:ascii="Arial" w:hAnsi="Arial" w:cs="Arial"/>
                <w:lang w:val="ro-RO" w:eastAsia="ro-RO"/>
              </w:rPr>
              <w:t>ă</w:t>
            </w:r>
            <w:r w:rsidRPr="00C6700C">
              <w:rPr>
                <w:rFonts w:ascii="Arial" w:hAnsi="Arial" w:cs="Arial"/>
                <w:lang w:val="ro-RO" w:eastAsia="ro-RO"/>
              </w:rPr>
              <w:t xml:space="preserve"> este reprezentată de numărul de persoane afectate de inundaţii (decedate, rănite,</w:t>
            </w:r>
            <w:r>
              <w:rPr>
                <w:rFonts w:ascii="Arial" w:hAnsi="Arial" w:cs="Arial"/>
                <w:lang w:val="ro-RO" w:eastAsia="ro-RO"/>
              </w:rPr>
              <w:t xml:space="preserve"> </w:t>
            </w:r>
            <w:r w:rsidRPr="00C6700C">
              <w:rPr>
                <w:rFonts w:ascii="Arial" w:hAnsi="Arial" w:cs="Arial"/>
                <w:lang w:val="ro-RO" w:eastAsia="ro-RO"/>
              </w:rPr>
              <w:t xml:space="preserve">evacuate, cu locuinţe distruse, cazuri îmbolnăviri datorită consumului de apă contaminată) </w:t>
            </w:r>
            <w:r>
              <w:rPr>
                <w:rFonts w:ascii="Arial" w:hAnsi="Arial" w:cs="Arial"/>
                <w:lang w:val="ro-RO" w:eastAsia="ro-RO"/>
              </w:rPr>
              <w:t>la un</w:t>
            </w:r>
            <w:r w:rsidRPr="00C6700C">
              <w:rPr>
                <w:rFonts w:ascii="Arial" w:hAnsi="Arial" w:cs="Arial"/>
                <w:lang w:val="ro-RO" w:eastAsia="ro-RO"/>
              </w:rPr>
              <w:t xml:space="preserve"> milion</w:t>
            </w:r>
            <w:r>
              <w:rPr>
                <w:rFonts w:ascii="Arial" w:hAnsi="Arial" w:cs="Arial"/>
                <w:lang w:val="ro-RO" w:eastAsia="ro-RO"/>
              </w:rPr>
              <w:t xml:space="preserve"> </w:t>
            </w:r>
            <w:r w:rsidRPr="00C6700C">
              <w:rPr>
                <w:rFonts w:ascii="Arial" w:hAnsi="Arial" w:cs="Arial"/>
                <w:lang w:val="ro-RO" w:eastAsia="ro-RO"/>
              </w:rPr>
              <w:t>de locuitori.</w:t>
            </w:r>
          </w:p>
        </w:tc>
      </w:tr>
    </w:tbl>
    <w:p w:rsidR="00C6700C" w:rsidRPr="00C6700C" w:rsidRDefault="00C6700C" w:rsidP="00CC1FB9">
      <w:pPr>
        <w:widowControl w:val="0"/>
        <w:spacing w:after="0" w:line="240" w:lineRule="auto"/>
        <w:ind w:firstLine="720"/>
        <w:jc w:val="both"/>
        <w:rPr>
          <w:rFonts w:ascii="Arial" w:eastAsiaTheme="minorEastAsia" w:hAnsi="Arial" w:cs="Arial"/>
          <w:sz w:val="10"/>
          <w:szCs w:val="10"/>
          <w:lang w:val="ro-RO" w:eastAsia="ro-RO"/>
        </w:rPr>
      </w:pPr>
    </w:p>
    <w:p w:rsidR="001B6E37" w:rsidRPr="00CD4FD0" w:rsidRDefault="001B6E37" w:rsidP="00CC1FB9">
      <w:pPr>
        <w:widowControl w:val="0"/>
        <w:spacing w:after="0" w:line="240" w:lineRule="auto"/>
        <w:ind w:firstLine="720"/>
        <w:jc w:val="both"/>
        <w:rPr>
          <w:rFonts w:ascii="Arial" w:eastAsiaTheme="minorEastAsia" w:hAnsi="Arial" w:cs="Arial"/>
          <w:sz w:val="24"/>
          <w:szCs w:val="24"/>
          <w:lang w:val="ro-RO" w:eastAsia="ro-RO"/>
        </w:rPr>
      </w:pPr>
      <w:r w:rsidRPr="00CD4FD0">
        <w:rPr>
          <w:rFonts w:ascii="Arial" w:eastAsiaTheme="minorEastAsia" w:hAnsi="Arial" w:cs="Arial"/>
          <w:sz w:val="24"/>
          <w:szCs w:val="24"/>
          <w:lang w:val="ro-RO" w:eastAsia="ro-RO"/>
        </w:rPr>
        <w:t>Schimbările climatice pot creşte intensitatea şi frecvenţa evenimentelor meteorologice extreme, precum precipitaţii abundente şi furtuni. Inundaţiile cauzate de către aceste evenimente pot afecta imediat populaţia (de exemplu, prin înec şi leziuni), dar şi după un timp îndelungat de la producerea evenimentului (prin distrugerea locuinţelor, întreruperea serviciilor esenţiale şi pierderi financiare)</w:t>
      </w:r>
      <w:r w:rsidR="000C7486" w:rsidRPr="00CD4FD0">
        <w:rPr>
          <w:rFonts w:ascii="Arial" w:eastAsiaTheme="minorEastAsia" w:hAnsi="Arial" w:cs="Arial"/>
          <w:sz w:val="24"/>
          <w:szCs w:val="24"/>
          <w:lang w:val="ro-RO" w:eastAsia="ro-RO"/>
        </w:rPr>
        <w:t>, ca</w:t>
      </w:r>
      <w:r w:rsidRPr="00CD4FD0">
        <w:rPr>
          <w:rFonts w:ascii="Arial" w:eastAsiaTheme="minorEastAsia" w:hAnsi="Arial" w:cs="Arial"/>
          <w:sz w:val="24"/>
          <w:szCs w:val="24"/>
          <w:lang w:val="ro-RO" w:eastAsia="ro-RO"/>
        </w:rPr>
        <w:t xml:space="preserve"> şi prin stresul la care sunt supuse victimele inundaţiei.</w:t>
      </w:r>
    </w:p>
    <w:p w:rsidR="00B577AF" w:rsidRDefault="001B6E37" w:rsidP="00CC1FB9">
      <w:pPr>
        <w:widowControl w:val="0"/>
        <w:spacing w:after="0" w:line="240" w:lineRule="auto"/>
        <w:ind w:firstLine="720"/>
        <w:jc w:val="both"/>
        <w:rPr>
          <w:rFonts w:ascii="Arial" w:eastAsiaTheme="minorEastAsia" w:hAnsi="Arial" w:cs="Arial"/>
          <w:sz w:val="24"/>
          <w:szCs w:val="24"/>
          <w:lang w:val="ro-RO" w:eastAsia="ro-RO"/>
        </w:rPr>
      </w:pPr>
      <w:r w:rsidRPr="00CD4FD0">
        <w:rPr>
          <w:rFonts w:ascii="Arial" w:eastAsiaTheme="minorEastAsia" w:hAnsi="Arial" w:cs="Arial"/>
          <w:sz w:val="24"/>
          <w:szCs w:val="24"/>
          <w:lang w:val="ro-RO" w:eastAsia="ro-RO"/>
        </w:rPr>
        <w:t>Producerea unor fenomene meteo-hidrologice extreme au ca efect atât pierderea de vieţi omeneşti cât şi pierderi economice semnificative în toate sectoarele de activitate (agricultură, transport, furnizarea energiei, managementul apei etc.), iar m</w:t>
      </w:r>
      <w:r w:rsidR="00B577AF" w:rsidRPr="00CD4FD0">
        <w:rPr>
          <w:rFonts w:ascii="Arial" w:eastAsiaTheme="minorEastAsia" w:hAnsi="Arial" w:cs="Arial"/>
          <w:sz w:val="24"/>
          <w:szCs w:val="24"/>
          <w:lang w:val="ro-RO" w:eastAsia="ro-RO"/>
        </w:rPr>
        <w:t>odelele climatice globale indică faptul că frecvenţa şi intensitatea unor fenomene meteo-hidrologice extreme vor creşte în următorii ani</w:t>
      </w:r>
      <w:r w:rsidR="00B577AF" w:rsidRPr="00CD4FD0">
        <w:rPr>
          <w:rFonts w:ascii="Arial" w:hAnsi="Arial" w:cs="Arial"/>
          <w:sz w:val="24"/>
          <w:szCs w:val="24"/>
          <w:vertAlign w:val="superscript"/>
        </w:rPr>
        <w:footnoteReference w:id="7"/>
      </w:r>
      <w:r w:rsidR="00B577AF" w:rsidRPr="00CD4FD0">
        <w:rPr>
          <w:rFonts w:ascii="Arial" w:eastAsiaTheme="minorEastAsia" w:hAnsi="Arial" w:cs="Arial"/>
          <w:sz w:val="24"/>
          <w:szCs w:val="24"/>
          <w:lang w:val="ro-RO" w:eastAsia="ro-RO"/>
        </w:rPr>
        <w:t>.</w:t>
      </w:r>
    </w:p>
    <w:p w:rsidR="00F320F3" w:rsidRPr="00F320F3" w:rsidRDefault="00F320F3" w:rsidP="00CC1FB9">
      <w:pPr>
        <w:widowControl w:val="0"/>
        <w:spacing w:after="0" w:line="240" w:lineRule="auto"/>
        <w:ind w:firstLine="72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 xml:space="preserve">Conform </w:t>
      </w:r>
      <w:r w:rsidRPr="00F320F3">
        <w:rPr>
          <w:rFonts w:ascii="Arial" w:eastAsia="Times New Roman" w:hAnsi="Arial" w:cs="Arial"/>
          <w:lang w:val="ro-RO"/>
        </w:rPr>
        <w:t>Inspectoratului pentru Situaţii de Urgenţă Suceava</w:t>
      </w:r>
      <w:r>
        <w:rPr>
          <w:rFonts w:ascii="Arial" w:eastAsia="Times New Roman" w:hAnsi="Arial" w:cs="Arial"/>
          <w:i/>
          <w:lang w:val="ro-RO"/>
        </w:rPr>
        <w:t>,</w:t>
      </w:r>
      <w:r>
        <w:rPr>
          <w:rFonts w:ascii="Arial" w:eastAsiaTheme="minorEastAsia" w:hAnsi="Arial" w:cs="Arial"/>
          <w:sz w:val="24"/>
          <w:szCs w:val="24"/>
          <w:lang w:val="ro-RO" w:eastAsia="ro-RO"/>
        </w:rPr>
        <w:t xml:space="preserve"> p</w:t>
      </w:r>
      <w:r w:rsidRPr="00F320F3">
        <w:rPr>
          <w:rFonts w:ascii="Arial" w:eastAsiaTheme="minorEastAsia" w:hAnsi="Arial" w:cs="Arial"/>
          <w:sz w:val="24"/>
          <w:szCs w:val="24"/>
          <w:lang w:val="ro-RO" w:eastAsia="ro-RO"/>
        </w:rPr>
        <w:t xml:space="preserve">entru judeţul Suceava inundaţiile constituie principalul </w:t>
      </w:r>
      <w:r>
        <w:rPr>
          <w:rFonts w:ascii="Arial" w:eastAsiaTheme="minorEastAsia" w:hAnsi="Arial" w:cs="Arial"/>
          <w:sz w:val="24"/>
          <w:szCs w:val="24"/>
          <w:lang w:val="ro-RO" w:eastAsia="ro-RO"/>
        </w:rPr>
        <w:t>risc</w:t>
      </w:r>
      <w:r w:rsidRPr="00F320F3">
        <w:rPr>
          <w:rFonts w:ascii="Arial" w:eastAsiaTheme="minorEastAsia" w:hAnsi="Arial" w:cs="Arial"/>
          <w:sz w:val="24"/>
          <w:szCs w:val="24"/>
          <w:lang w:val="ro-RO" w:eastAsia="ro-RO"/>
        </w:rPr>
        <w:t xml:space="preserve"> generator de pagube şi de situaţii de urgenţă. Hazardele hidrologice sunt favorizate de marea densitate a reţelei hidrografice, de condiţiile climatice specifice şi de activitatea umană (construcţii în zone inundabile, subdimensionări constructive ale podurilor, neîntreţinerea albiilor, şi podeţelor etc.). La acestea se adaugă unele condiţii de alimentare, parametrii morfogenetici şi morfometrici ai bazinelor hidrografice (suprafaţă, fragmentarea reliefului, altitudinea medie, forma, pantele, gradul de împădurire etc.) care determină durata, debitele şi volumele maxime ale viiturilor.</w:t>
      </w:r>
    </w:p>
    <w:p w:rsidR="00F320F3" w:rsidRPr="00F320F3" w:rsidRDefault="00F320F3" w:rsidP="00CC1FB9">
      <w:pPr>
        <w:widowControl w:val="0"/>
        <w:spacing w:after="0" w:line="240" w:lineRule="auto"/>
        <w:ind w:firstLine="72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Evenimentele</w:t>
      </w:r>
      <w:r w:rsidRPr="00F320F3">
        <w:rPr>
          <w:rFonts w:ascii="Arial" w:eastAsiaTheme="minorEastAsia" w:hAnsi="Arial" w:cs="Arial"/>
          <w:sz w:val="24"/>
          <w:szCs w:val="24"/>
          <w:lang w:val="ro-RO" w:eastAsia="ro-RO"/>
        </w:rPr>
        <w:t xml:space="preserve"> hidrologice</w:t>
      </w:r>
      <w:r>
        <w:rPr>
          <w:rFonts w:ascii="Arial" w:eastAsiaTheme="minorEastAsia" w:hAnsi="Arial" w:cs="Arial"/>
          <w:sz w:val="24"/>
          <w:szCs w:val="24"/>
          <w:lang w:val="ro-RO" w:eastAsia="ro-RO"/>
        </w:rPr>
        <w:t xml:space="preserve"> deosebite,</w:t>
      </w:r>
      <w:r w:rsidRPr="00F320F3">
        <w:rPr>
          <w:rFonts w:ascii="Arial" w:eastAsiaTheme="minorEastAsia" w:hAnsi="Arial" w:cs="Arial"/>
          <w:sz w:val="24"/>
          <w:szCs w:val="24"/>
          <w:lang w:val="ro-RO" w:eastAsia="ro-RO"/>
        </w:rPr>
        <w:t xml:space="preserve"> caracteristice judeţului Suceava, în special viiturile şi inundaţiile, dar şi frecventele scurgeri pe versanţi</w:t>
      </w:r>
      <w:r>
        <w:rPr>
          <w:rFonts w:ascii="Arial" w:eastAsiaTheme="minorEastAsia" w:hAnsi="Arial" w:cs="Arial"/>
          <w:sz w:val="24"/>
          <w:szCs w:val="24"/>
          <w:lang w:val="ro-RO" w:eastAsia="ro-RO"/>
        </w:rPr>
        <w:t>,</w:t>
      </w:r>
      <w:r w:rsidRPr="00F320F3">
        <w:rPr>
          <w:rFonts w:ascii="Arial" w:eastAsiaTheme="minorEastAsia" w:hAnsi="Arial" w:cs="Arial"/>
          <w:sz w:val="24"/>
          <w:szCs w:val="24"/>
          <w:lang w:val="ro-RO" w:eastAsia="ro-RO"/>
        </w:rPr>
        <w:t xml:space="preserve"> se produc în contextul unor precipitaţii bogate care cad într-un interval scurt de timp.</w:t>
      </w:r>
      <w:r>
        <w:rPr>
          <w:rFonts w:ascii="Arial" w:eastAsiaTheme="minorEastAsia" w:hAnsi="Arial" w:cs="Arial"/>
          <w:sz w:val="24"/>
          <w:szCs w:val="24"/>
          <w:lang w:val="ro-RO" w:eastAsia="ro-RO"/>
        </w:rPr>
        <w:t xml:space="preserve"> </w:t>
      </w:r>
      <w:r w:rsidRPr="00F320F3">
        <w:rPr>
          <w:rFonts w:ascii="Arial" w:eastAsiaTheme="minorEastAsia" w:hAnsi="Arial" w:cs="Arial"/>
          <w:sz w:val="24"/>
          <w:szCs w:val="24"/>
          <w:lang w:val="ro-RO" w:eastAsia="ro-RO"/>
        </w:rPr>
        <w:t xml:space="preserve">În judeţul Suceava inundaţiile sunt </w:t>
      </w:r>
      <w:r w:rsidRPr="00F320F3">
        <w:rPr>
          <w:rFonts w:ascii="Arial" w:eastAsiaTheme="minorEastAsia" w:hAnsi="Arial" w:cs="Arial"/>
          <w:sz w:val="24"/>
          <w:szCs w:val="24"/>
          <w:lang w:val="ro-RO" w:eastAsia="ro-RO"/>
        </w:rPr>
        <w:lastRenderedPageBreak/>
        <w:t>posibile pe tot parcursul anului, ori de câte ori nivelul apelor depăşeşte cotele de apărare. Aceste creşteri care exced albiile se datorează precipitaţiilor abundente, scurgerilor pe versanţi, formării zăpoarelor şi/sau topirii stratului de zăpadă, dar şi unor caracteristici fizico-geografice precum mărimea şi topografia bazinului de drenaj şi capacitatea de infiltraţie a apei.</w:t>
      </w:r>
    </w:p>
    <w:p w:rsidR="000D6CA2" w:rsidRPr="00CD4FD0" w:rsidRDefault="000D6CA2" w:rsidP="00CC1FB9">
      <w:pPr>
        <w:widowControl w:val="0"/>
        <w:autoSpaceDE w:val="0"/>
        <w:autoSpaceDN w:val="0"/>
        <w:adjustRightInd w:val="0"/>
        <w:spacing w:after="0" w:line="240" w:lineRule="auto"/>
        <w:rPr>
          <w:rFonts w:ascii="Arial" w:hAnsi="Arial" w:cs="Arial"/>
          <w:color w:val="FF0000"/>
          <w:sz w:val="10"/>
          <w:szCs w:val="10"/>
          <w:lang w:val="ro-RO" w:eastAsia="ro-RO"/>
        </w:rPr>
      </w:pPr>
    </w:p>
    <w:p w:rsidR="005F396F" w:rsidRPr="00682E67" w:rsidRDefault="00142C25" w:rsidP="00CC1FB9">
      <w:pPr>
        <w:widowControl w:val="0"/>
        <w:spacing w:after="0" w:line="240" w:lineRule="auto"/>
        <w:jc w:val="center"/>
        <w:rPr>
          <w:rFonts w:ascii="Arial" w:eastAsia="Times New Roman" w:hAnsi="Arial" w:cs="Arial"/>
          <w:lang w:val="ro-RO"/>
        </w:rPr>
      </w:pPr>
      <w:r w:rsidRPr="00682E67">
        <w:rPr>
          <w:rFonts w:ascii="Arial" w:eastAsia="Times New Roman" w:hAnsi="Arial" w:cs="Arial"/>
          <w:lang w:val="ro-RO"/>
        </w:rPr>
        <w:t xml:space="preserve">Tabelul VIII.1.5.2.1. Evoluţia inundaţiilor în judeţul Suceava, </w:t>
      </w:r>
    </w:p>
    <w:p w:rsidR="00142C25" w:rsidRDefault="002A3EAD" w:rsidP="00CC1FB9">
      <w:pPr>
        <w:widowControl w:val="0"/>
        <w:spacing w:after="0" w:line="240" w:lineRule="auto"/>
        <w:jc w:val="center"/>
        <w:rPr>
          <w:rFonts w:ascii="Arial" w:eastAsia="Times New Roman" w:hAnsi="Arial" w:cs="Arial"/>
          <w:lang w:val="ro-RO"/>
        </w:rPr>
      </w:pPr>
      <w:r w:rsidRPr="00682E67">
        <w:rPr>
          <w:rFonts w:ascii="Arial" w:eastAsia="Times New Roman" w:hAnsi="Arial" w:cs="Arial"/>
          <w:lang w:val="ro-RO"/>
        </w:rPr>
        <w:t>în perioada 2013</w:t>
      </w:r>
      <w:r w:rsidR="00142C25" w:rsidRPr="00682E67">
        <w:rPr>
          <w:rFonts w:ascii="Arial" w:eastAsia="Times New Roman" w:hAnsi="Arial" w:cs="Arial"/>
          <w:lang w:val="ro-RO"/>
        </w:rPr>
        <w:t xml:space="preserve"> – 201</w:t>
      </w:r>
      <w:r w:rsidRPr="00682E67">
        <w:rPr>
          <w:rFonts w:ascii="Arial" w:eastAsia="Times New Roman" w:hAnsi="Arial" w:cs="Arial"/>
          <w:lang w:val="ro-RO"/>
        </w:rPr>
        <w:t>7</w:t>
      </w:r>
      <w:r w:rsidR="00873A76" w:rsidRPr="00682E67">
        <w:rPr>
          <w:rFonts w:ascii="Arial" w:eastAsia="Times New Roman" w:hAnsi="Arial" w:cs="Arial"/>
          <w:lang w:val="ro-RO"/>
        </w:rPr>
        <w:t xml:space="preserve"> </w:t>
      </w:r>
      <w:r w:rsidR="005F396F" w:rsidRPr="00682E67">
        <w:rPr>
          <w:rFonts w:ascii="Arial" w:eastAsia="Times New Roman" w:hAnsi="Arial" w:cs="Arial"/>
          <w:lang w:val="ro-RO"/>
        </w:rPr>
        <w:t>(</w:t>
      </w:r>
      <w:r w:rsidR="005F396F" w:rsidRPr="00682E67">
        <w:rPr>
          <w:rFonts w:ascii="Arial" w:eastAsia="Times New Roman" w:hAnsi="Arial" w:cs="Arial"/>
          <w:i/>
          <w:lang w:val="ro-RO"/>
        </w:rPr>
        <w:t>sursa: I</w:t>
      </w:r>
      <w:r w:rsidR="000D6CA2" w:rsidRPr="00682E67">
        <w:rPr>
          <w:rFonts w:ascii="Arial" w:eastAsia="Times New Roman" w:hAnsi="Arial" w:cs="Arial"/>
          <w:i/>
          <w:lang w:val="ro-RO"/>
        </w:rPr>
        <w:t xml:space="preserve">nspectoratul pentru </w:t>
      </w:r>
      <w:r w:rsidR="005F396F" w:rsidRPr="00682E67">
        <w:rPr>
          <w:rFonts w:ascii="Arial" w:eastAsia="Times New Roman" w:hAnsi="Arial" w:cs="Arial"/>
          <w:i/>
          <w:lang w:val="ro-RO"/>
        </w:rPr>
        <w:t>S</w:t>
      </w:r>
      <w:r w:rsidR="000D6CA2" w:rsidRPr="00682E67">
        <w:rPr>
          <w:rFonts w:ascii="Arial" w:eastAsia="Times New Roman" w:hAnsi="Arial" w:cs="Arial"/>
          <w:i/>
          <w:lang w:val="ro-RO"/>
        </w:rPr>
        <w:t xml:space="preserve">ituaţii de </w:t>
      </w:r>
      <w:r w:rsidR="005F396F" w:rsidRPr="00682E67">
        <w:rPr>
          <w:rFonts w:ascii="Arial" w:eastAsia="Times New Roman" w:hAnsi="Arial" w:cs="Arial"/>
          <w:i/>
          <w:lang w:val="ro-RO"/>
        </w:rPr>
        <w:t>U</w:t>
      </w:r>
      <w:r w:rsidR="000D6CA2" w:rsidRPr="00682E67">
        <w:rPr>
          <w:rFonts w:ascii="Arial" w:eastAsia="Times New Roman" w:hAnsi="Arial" w:cs="Arial"/>
          <w:i/>
          <w:lang w:val="ro-RO"/>
        </w:rPr>
        <w:t>rgenţă</w:t>
      </w:r>
      <w:r w:rsidR="005F396F" w:rsidRPr="00682E67">
        <w:rPr>
          <w:rFonts w:ascii="Arial" w:eastAsia="Times New Roman" w:hAnsi="Arial" w:cs="Arial"/>
          <w:i/>
          <w:lang w:val="ro-RO"/>
        </w:rPr>
        <w:t xml:space="preserve"> Suceava</w:t>
      </w:r>
      <w:r w:rsidR="005F396F" w:rsidRPr="00682E67">
        <w:rPr>
          <w:rFonts w:ascii="Arial" w:eastAsia="Times New Roman" w:hAnsi="Arial" w:cs="Arial"/>
          <w:lang w:val="ro-RO"/>
        </w:rPr>
        <w:t>)</w:t>
      </w:r>
    </w:p>
    <w:p w:rsidR="00142C25" w:rsidRPr="00682E67" w:rsidRDefault="00142C25" w:rsidP="00CC1FB9">
      <w:pPr>
        <w:widowControl w:val="0"/>
        <w:spacing w:after="0" w:line="240" w:lineRule="auto"/>
        <w:jc w:val="center"/>
        <w:rPr>
          <w:rFonts w:ascii="Arial" w:eastAsia="Times New Roman" w:hAnsi="Arial" w:cs="Arial"/>
          <w:color w:val="FF0000"/>
          <w:sz w:val="10"/>
          <w:szCs w:val="10"/>
          <w:lang w:val="ro-RO"/>
        </w:rPr>
      </w:pPr>
    </w:p>
    <w:tbl>
      <w:tblPr>
        <w:tblStyle w:val="TableGrid"/>
        <w:tblW w:w="0" w:type="auto"/>
        <w:jc w:val="center"/>
        <w:tblLook w:val="01E0"/>
      </w:tblPr>
      <w:tblGrid>
        <w:gridCol w:w="1128"/>
        <w:gridCol w:w="1909"/>
        <w:gridCol w:w="2174"/>
      </w:tblGrid>
      <w:tr w:rsidR="00EB053E" w:rsidRPr="00682E67" w:rsidTr="001B6E37">
        <w:trPr>
          <w:trHeight w:val="71"/>
          <w:tblHeader/>
          <w:jc w:val="center"/>
        </w:trPr>
        <w:tc>
          <w:tcPr>
            <w:tcW w:w="1128" w:type="dxa"/>
            <w:shd w:val="clear" w:color="auto" w:fill="FFFF99"/>
          </w:tcPr>
          <w:p w:rsidR="00EB053E" w:rsidRPr="00682E67" w:rsidRDefault="00EB053E" w:rsidP="00CC1FB9">
            <w:pPr>
              <w:widowControl w:val="0"/>
              <w:spacing w:before="20" w:after="20" w:line="240" w:lineRule="auto"/>
              <w:jc w:val="center"/>
              <w:rPr>
                <w:rFonts w:ascii="Arial" w:hAnsi="Arial" w:cs="Arial"/>
                <w:b/>
                <w:lang w:val="ro-RO"/>
              </w:rPr>
            </w:pPr>
            <w:r w:rsidRPr="00682E67">
              <w:rPr>
                <w:rFonts w:ascii="Arial" w:hAnsi="Arial" w:cs="Arial"/>
                <w:b/>
                <w:lang w:val="ro-RO"/>
              </w:rPr>
              <w:t>Anul</w:t>
            </w:r>
          </w:p>
        </w:tc>
        <w:tc>
          <w:tcPr>
            <w:tcW w:w="1909" w:type="dxa"/>
            <w:shd w:val="clear" w:color="auto" w:fill="FFFF99"/>
          </w:tcPr>
          <w:p w:rsidR="00EB053E" w:rsidRPr="00682E67" w:rsidRDefault="00EB053E" w:rsidP="00CC1FB9">
            <w:pPr>
              <w:widowControl w:val="0"/>
              <w:spacing w:before="20" w:after="20" w:line="240" w:lineRule="auto"/>
              <w:jc w:val="center"/>
              <w:rPr>
                <w:rFonts w:ascii="Arial" w:hAnsi="Arial" w:cs="Arial"/>
                <w:b/>
                <w:lang w:val="ro-RO"/>
              </w:rPr>
            </w:pPr>
            <w:r w:rsidRPr="00682E67">
              <w:rPr>
                <w:rFonts w:ascii="Arial" w:hAnsi="Arial" w:cs="Arial"/>
                <w:b/>
                <w:lang w:val="ro-RO"/>
              </w:rPr>
              <w:t>Nr. inundaţii</w:t>
            </w:r>
          </w:p>
        </w:tc>
        <w:tc>
          <w:tcPr>
            <w:tcW w:w="2174" w:type="dxa"/>
            <w:shd w:val="clear" w:color="auto" w:fill="FFFF99"/>
          </w:tcPr>
          <w:p w:rsidR="00EB053E" w:rsidRPr="00682E67" w:rsidRDefault="00EB053E" w:rsidP="00CC1FB9">
            <w:pPr>
              <w:widowControl w:val="0"/>
              <w:spacing w:before="20" w:after="20" w:line="240" w:lineRule="auto"/>
              <w:jc w:val="center"/>
              <w:rPr>
                <w:rFonts w:ascii="Arial" w:hAnsi="Arial" w:cs="Arial"/>
                <w:b/>
                <w:lang w:val="ro-RO"/>
              </w:rPr>
            </w:pPr>
            <w:r w:rsidRPr="00682E67">
              <w:rPr>
                <w:rFonts w:ascii="Arial" w:hAnsi="Arial" w:cs="Arial"/>
                <w:b/>
                <w:lang w:val="ro-RO"/>
              </w:rPr>
              <w:t>Decolmatări</w:t>
            </w:r>
          </w:p>
        </w:tc>
      </w:tr>
      <w:tr w:rsidR="002A3EAD" w:rsidRPr="00682E67" w:rsidTr="00EB053E">
        <w:trPr>
          <w:trHeight w:val="268"/>
          <w:jc w:val="center"/>
        </w:trPr>
        <w:tc>
          <w:tcPr>
            <w:tcW w:w="1128"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2013</w:t>
            </w:r>
          </w:p>
        </w:tc>
        <w:tc>
          <w:tcPr>
            <w:tcW w:w="1909"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103</w:t>
            </w:r>
          </w:p>
        </w:tc>
        <w:tc>
          <w:tcPr>
            <w:tcW w:w="2174"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49</w:t>
            </w:r>
          </w:p>
        </w:tc>
      </w:tr>
      <w:tr w:rsidR="002A3EAD" w:rsidRPr="00682E67" w:rsidTr="00EB053E">
        <w:trPr>
          <w:trHeight w:val="259"/>
          <w:jc w:val="center"/>
        </w:trPr>
        <w:tc>
          <w:tcPr>
            <w:tcW w:w="1128"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2014</w:t>
            </w:r>
          </w:p>
        </w:tc>
        <w:tc>
          <w:tcPr>
            <w:tcW w:w="1909"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48</w:t>
            </w:r>
          </w:p>
        </w:tc>
        <w:tc>
          <w:tcPr>
            <w:tcW w:w="2174"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42</w:t>
            </w:r>
          </w:p>
        </w:tc>
      </w:tr>
      <w:tr w:rsidR="002A3EAD" w:rsidRPr="00682E67" w:rsidTr="00EB053E">
        <w:trPr>
          <w:trHeight w:val="259"/>
          <w:jc w:val="center"/>
        </w:trPr>
        <w:tc>
          <w:tcPr>
            <w:tcW w:w="1128"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2015</w:t>
            </w:r>
          </w:p>
        </w:tc>
        <w:tc>
          <w:tcPr>
            <w:tcW w:w="1909"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15</w:t>
            </w:r>
          </w:p>
        </w:tc>
        <w:tc>
          <w:tcPr>
            <w:tcW w:w="2174"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6</w:t>
            </w:r>
          </w:p>
        </w:tc>
      </w:tr>
      <w:tr w:rsidR="002A3EAD" w:rsidRPr="00682E67" w:rsidTr="00EB053E">
        <w:trPr>
          <w:trHeight w:val="268"/>
          <w:jc w:val="center"/>
        </w:trPr>
        <w:tc>
          <w:tcPr>
            <w:tcW w:w="1128"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2016</w:t>
            </w:r>
          </w:p>
        </w:tc>
        <w:tc>
          <w:tcPr>
            <w:tcW w:w="1909"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151</w:t>
            </w:r>
          </w:p>
        </w:tc>
        <w:tc>
          <w:tcPr>
            <w:tcW w:w="2174"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241</w:t>
            </w:r>
          </w:p>
        </w:tc>
      </w:tr>
      <w:tr w:rsidR="002A3EAD" w:rsidRPr="00682E67" w:rsidTr="00EB053E">
        <w:trPr>
          <w:trHeight w:val="268"/>
          <w:jc w:val="center"/>
        </w:trPr>
        <w:tc>
          <w:tcPr>
            <w:tcW w:w="1128"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2017</w:t>
            </w:r>
          </w:p>
        </w:tc>
        <w:tc>
          <w:tcPr>
            <w:tcW w:w="1909"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30</w:t>
            </w:r>
          </w:p>
        </w:tc>
        <w:tc>
          <w:tcPr>
            <w:tcW w:w="2174" w:type="dxa"/>
          </w:tcPr>
          <w:p w:rsidR="002A3EAD" w:rsidRPr="00682E67" w:rsidRDefault="002A3EAD" w:rsidP="00CC1FB9">
            <w:pPr>
              <w:widowControl w:val="0"/>
              <w:spacing w:before="20" w:after="20" w:line="240" w:lineRule="auto"/>
              <w:jc w:val="center"/>
              <w:rPr>
                <w:rFonts w:ascii="Arial" w:hAnsi="Arial" w:cs="Arial"/>
                <w:lang w:val="ro-RO"/>
              </w:rPr>
            </w:pPr>
            <w:r w:rsidRPr="00682E67">
              <w:rPr>
                <w:rFonts w:ascii="Arial" w:hAnsi="Arial" w:cs="Arial"/>
                <w:lang w:val="ro-RO"/>
              </w:rPr>
              <w:t>10</w:t>
            </w:r>
          </w:p>
        </w:tc>
      </w:tr>
    </w:tbl>
    <w:p w:rsidR="00142C25" w:rsidRPr="00682E67" w:rsidRDefault="00142C25" w:rsidP="00CC1FB9">
      <w:pPr>
        <w:widowControl w:val="0"/>
        <w:spacing w:after="0" w:line="240" w:lineRule="auto"/>
        <w:ind w:left="720"/>
        <w:jc w:val="both"/>
        <w:rPr>
          <w:rFonts w:ascii="Arial" w:eastAsia="Times New Roman" w:hAnsi="Arial" w:cs="Arial"/>
          <w:b/>
          <w:color w:val="FF0000"/>
          <w:sz w:val="10"/>
          <w:szCs w:val="10"/>
          <w:lang w:val="ro-RO"/>
        </w:rPr>
      </w:pPr>
    </w:p>
    <w:p w:rsidR="000D6CA2" w:rsidRPr="007D5BFF" w:rsidRDefault="000D6CA2" w:rsidP="00CC1FB9">
      <w:pPr>
        <w:widowControl w:val="0"/>
        <w:spacing w:after="0" w:line="240" w:lineRule="auto"/>
        <w:jc w:val="center"/>
        <w:rPr>
          <w:rFonts w:ascii="Arial" w:eastAsia="Times New Roman" w:hAnsi="Arial" w:cs="Arial"/>
          <w:color w:val="FF0000"/>
          <w:sz w:val="10"/>
          <w:szCs w:val="10"/>
          <w:lang w:val="ro-RO"/>
        </w:rPr>
      </w:pPr>
    </w:p>
    <w:p w:rsidR="00F320F3" w:rsidRPr="00F320F3" w:rsidRDefault="00E40E4D" w:rsidP="00CC1FB9">
      <w:pPr>
        <w:widowControl w:val="0"/>
        <w:spacing w:after="0" w:line="240" w:lineRule="auto"/>
        <w:jc w:val="both"/>
        <w:rPr>
          <w:rFonts w:ascii="Arial" w:eastAsia="Times New Roman" w:hAnsi="Arial" w:cs="Arial"/>
          <w:sz w:val="24"/>
          <w:szCs w:val="24"/>
          <w:lang w:val="ro-RO"/>
        </w:rPr>
      </w:pPr>
      <w:r w:rsidRPr="007D5BFF">
        <w:rPr>
          <w:rFonts w:ascii="Arial" w:eastAsia="Times New Roman" w:hAnsi="Arial" w:cs="Arial"/>
          <w:color w:val="FF0000"/>
          <w:sz w:val="24"/>
          <w:szCs w:val="24"/>
          <w:lang w:val="ro-RO"/>
        </w:rPr>
        <w:tab/>
      </w:r>
      <w:r w:rsidR="00B577AF" w:rsidRPr="007D5BFF">
        <w:rPr>
          <w:rFonts w:ascii="Arial" w:eastAsia="Times New Roman" w:hAnsi="Arial" w:cs="Arial"/>
          <w:sz w:val="24"/>
          <w:szCs w:val="24"/>
          <w:lang w:val="ro-RO"/>
        </w:rPr>
        <w:t xml:space="preserve">Conform datelor primite de la </w:t>
      </w:r>
      <w:r w:rsidR="000D6CA2" w:rsidRPr="007D5BFF">
        <w:rPr>
          <w:rFonts w:ascii="Arial" w:eastAsia="Times New Roman" w:hAnsi="Arial" w:cs="Arial"/>
          <w:sz w:val="24"/>
          <w:szCs w:val="24"/>
          <w:lang w:val="ro-RO"/>
        </w:rPr>
        <w:t>Inspectoratul pentru Situaţii de Urgenţă Suceava</w:t>
      </w:r>
      <w:r w:rsidR="00B577AF" w:rsidRPr="007D5BFF">
        <w:rPr>
          <w:rFonts w:ascii="Arial" w:eastAsia="Times New Roman" w:hAnsi="Arial" w:cs="Arial"/>
          <w:sz w:val="24"/>
          <w:szCs w:val="24"/>
          <w:lang w:val="ro-RO"/>
        </w:rPr>
        <w:t>,</w:t>
      </w:r>
      <w:r w:rsidR="00BF190C" w:rsidRPr="007D5BFF">
        <w:rPr>
          <w:rFonts w:ascii="Arial" w:eastAsia="Times New Roman" w:hAnsi="Arial" w:cs="Arial"/>
          <w:color w:val="FF0000"/>
          <w:sz w:val="24"/>
          <w:szCs w:val="24"/>
        </w:rPr>
        <w:t xml:space="preserve"> </w:t>
      </w:r>
      <w:r w:rsidR="00BF190C" w:rsidRPr="007D5BFF">
        <w:rPr>
          <w:rFonts w:ascii="Arial" w:eastAsia="Times New Roman" w:hAnsi="Arial" w:cs="Arial"/>
          <w:sz w:val="24"/>
          <w:szCs w:val="24"/>
        </w:rPr>
        <w:t xml:space="preserve">un număr de </w:t>
      </w:r>
      <w:r w:rsidR="00F320F3" w:rsidRPr="007D5BFF">
        <w:rPr>
          <w:rFonts w:ascii="Arial" w:eastAsia="Times New Roman" w:hAnsi="Arial" w:cs="Arial"/>
          <w:b/>
          <w:sz w:val="24"/>
          <w:szCs w:val="24"/>
        </w:rPr>
        <w:t>79</w:t>
      </w:r>
      <w:r w:rsidR="00F320F3" w:rsidRPr="007D5BFF">
        <w:rPr>
          <w:rFonts w:ascii="Arial" w:eastAsia="Times New Roman" w:hAnsi="Arial" w:cs="Arial"/>
          <w:sz w:val="24"/>
          <w:szCs w:val="24"/>
        </w:rPr>
        <w:t xml:space="preserve"> de localităţi </w:t>
      </w:r>
      <w:r w:rsidR="00F320F3">
        <w:rPr>
          <w:rFonts w:ascii="Arial" w:eastAsia="Times New Roman" w:hAnsi="Arial" w:cs="Arial"/>
          <w:sz w:val="24"/>
          <w:szCs w:val="24"/>
        </w:rPr>
        <w:t xml:space="preserve">din </w:t>
      </w:r>
      <w:r w:rsidR="001508D4" w:rsidRPr="007D5BFF">
        <w:rPr>
          <w:rFonts w:ascii="Arial" w:eastAsia="Times New Roman" w:hAnsi="Arial" w:cs="Arial"/>
          <w:b/>
          <w:sz w:val="24"/>
          <w:szCs w:val="24"/>
        </w:rPr>
        <w:t>30</w:t>
      </w:r>
      <w:r w:rsidR="00B577AF" w:rsidRPr="007D5BFF">
        <w:rPr>
          <w:rFonts w:ascii="Arial" w:eastAsia="Times New Roman" w:hAnsi="Arial" w:cs="Arial"/>
          <w:b/>
          <w:sz w:val="24"/>
          <w:szCs w:val="24"/>
        </w:rPr>
        <w:t xml:space="preserve"> </w:t>
      </w:r>
      <w:r w:rsidR="00B577AF" w:rsidRPr="007D5BFF">
        <w:rPr>
          <w:rFonts w:ascii="Arial" w:eastAsia="Times New Roman" w:hAnsi="Arial" w:cs="Arial"/>
          <w:sz w:val="24"/>
          <w:szCs w:val="24"/>
        </w:rPr>
        <w:t>unități administrativ-</w:t>
      </w:r>
      <w:r w:rsidR="002F1B93" w:rsidRPr="007D5BFF">
        <w:rPr>
          <w:rFonts w:ascii="Arial" w:eastAsia="Times New Roman" w:hAnsi="Arial" w:cs="Arial"/>
          <w:sz w:val="24"/>
          <w:szCs w:val="24"/>
        </w:rPr>
        <w:t>teritoriale</w:t>
      </w:r>
      <w:r w:rsidR="00B577AF" w:rsidRPr="007D5BFF">
        <w:rPr>
          <w:rFonts w:ascii="Arial" w:eastAsia="Times New Roman" w:hAnsi="Arial" w:cs="Arial"/>
          <w:sz w:val="24"/>
          <w:szCs w:val="24"/>
        </w:rPr>
        <w:t xml:space="preserve"> (UAT)</w:t>
      </w:r>
      <w:r w:rsidR="001508D4" w:rsidRPr="007D5BFF">
        <w:rPr>
          <w:rFonts w:ascii="Arial" w:eastAsia="Times New Roman" w:hAnsi="Arial" w:cs="Arial"/>
          <w:sz w:val="24"/>
          <w:szCs w:val="24"/>
        </w:rPr>
        <w:t xml:space="preserve"> </w:t>
      </w:r>
      <w:r w:rsidR="00F320F3" w:rsidRPr="00F320F3">
        <w:rPr>
          <w:rFonts w:ascii="Arial" w:eastAsia="Times New Roman" w:hAnsi="Arial" w:cs="Arial"/>
          <w:sz w:val="24"/>
          <w:szCs w:val="24"/>
        </w:rPr>
        <w:t xml:space="preserve">şi un </w:t>
      </w:r>
      <w:bookmarkStart w:id="0" w:name="_GoBack"/>
      <w:bookmarkEnd w:id="0"/>
      <w:r w:rsidR="00F320F3" w:rsidRPr="00F320F3">
        <w:rPr>
          <w:rFonts w:ascii="Arial" w:eastAsia="Times New Roman" w:hAnsi="Arial" w:cs="Arial"/>
          <w:sz w:val="24"/>
          <w:szCs w:val="24"/>
        </w:rPr>
        <w:t>ocol silvic</w:t>
      </w:r>
      <w:r w:rsidR="00F320F3">
        <w:rPr>
          <w:rFonts w:ascii="Arial" w:eastAsia="Times New Roman" w:hAnsi="Arial" w:cs="Arial"/>
          <w:sz w:val="24"/>
          <w:szCs w:val="24"/>
        </w:rPr>
        <w:t>,</w:t>
      </w:r>
      <w:r w:rsidR="00F320F3" w:rsidRPr="007D5BFF">
        <w:rPr>
          <w:rFonts w:ascii="Arial" w:eastAsia="Times New Roman" w:hAnsi="Arial" w:cs="Arial"/>
          <w:sz w:val="24"/>
          <w:szCs w:val="24"/>
        </w:rPr>
        <w:t xml:space="preserve"> </w:t>
      </w:r>
      <w:r w:rsidR="00BF190C" w:rsidRPr="007D5BFF">
        <w:rPr>
          <w:rFonts w:ascii="Arial" w:eastAsia="Times New Roman" w:hAnsi="Arial" w:cs="Arial"/>
          <w:sz w:val="24"/>
          <w:szCs w:val="24"/>
        </w:rPr>
        <w:t xml:space="preserve">au fost afectate </w:t>
      </w:r>
      <w:r w:rsidR="00B577AF" w:rsidRPr="007D5BFF">
        <w:rPr>
          <w:rFonts w:ascii="Arial" w:eastAsia="Times New Roman" w:hAnsi="Arial" w:cs="Arial"/>
          <w:sz w:val="24"/>
          <w:szCs w:val="24"/>
          <w:lang w:val="ro-RO"/>
        </w:rPr>
        <w:t>î</w:t>
      </w:r>
      <w:r w:rsidR="001508D4" w:rsidRPr="007D5BFF">
        <w:rPr>
          <w:rFonts w:ascii="Arial" w:eastAsia="Times New Roman" w:hAnsi="Arial" w:cs="Arial"/>
          <w:sz w:val="24"/>
          <w:szCs w:val="24"/>
        </w:rPr>
        <w:t>n anul 2017</w:t>
      </w:r>
      <w:r w:rsidR="00B577AF" w:rsidRPr="007D5BFF">
        <w:rPr>
          <w:rFonts w:ascii="Arial" w:eastAsia="Times New Roman" w:hAnsi="Arial" w:cs="Arial"/>
          <w:sz w:val="24"/>
          <w:szCs w:val="24"/>
        </w:rPr>
        <w:t xml:space="preserve"> </w:t>
      </w:r>
      <w:r w:rsidR="00BF190C" w:rsidRPr="007D5BFF">
        <w:rPr>
          <w:rFonts w:ascii="Arial" w:eastAsia="Times New Roman" w:hAnsi="Arial" w:cs="Arial"/>
          <w:sz w:val="24"/>
          <w:szCs w:val="24"/>
        </w:rPr>
        <w:t>ca urmare a manifestării fenomenelor hidrometeorologice periculoas</w:t>
      </w:r>
      <w:r w:rsidR="002F1B93" w:rsidRPr="007D5BFF">
        <w:rPr>
          <w:rFonts w:ascii="Arial" w:eastAsia="Times New Roman" w:hAnsi="Arial" w:cs="Arial"/>
          <w:sz w:val="24"/>
          <w:szCs w:val="24"/>
        </w:rPr>
        <w:t>e.</w:t>
      </w:r>
      <w:r w:rsidR="00F320F3">
        <w:rPr>
          <w:rFonts w:ascii="Arial" w:eastAsia="Times New Roman" w:hAnsi="Arial" w:cs="Arial"/>
          <w:sz w:val="24"/>
          <w:szCs w:val="24"/>
        </w:rPr>
        <w:t xml:space="preserve"> </w:t>
      </w:r>
      <w:r w:rsidR="00F320F3" w:rsidRPr="00F320F3">
        <w:rPr>
          <w:rFonts w:ascii="Arial" w:eastAsia="Times New Roman" w:hAnsi="Arial" w:cs="Arial"/>
          <w:sz w:val="24"/>
          <w:szCs w:val="24"/>
          <w:lang w:val="ro-RO"/>
        </w:rPr>
        <w:t>Unităţile administrativ teritoriale care au  fost afectate sunt: Vatra Dornei, Fălticeni, Câmpulung Moldovenesc, Stulpicani, Moara, Straja, Broşteni, Baia, Iacobeni, Izvoarele Sucevei, Moldova Suliţa, Panaci, Bălăceana, Brodina, Calafindeşti, Păltinoasa, Ulma, Vadu Moldovei, Bălcăuţi, Dărmăneşti, Drăguşeni, Forăşti, Fântânele, Grămeşti, Moldoviţa, Pârteştii de Jos, Slatina, Vereşti Zamostea şi Ocolul Silvic Falcău</w:t>
      </w:r>
    </w:p>
    <w:p w:rsidR="00C20B81" w:rsidRDefault="00C20B81" w:rsidP="00CC1FB9">
      <w:pPr>
        <w:pStyle w:val="ListParagraph"/>
        <w:widowControl w:val="0"/>
        <w:ind w:left="720"/>
        <w:jc w:val="both"/>
        <w:rPr>
          <w:rFonts w:ascii="Arial" w:eastAsiaTheme="minorEastAsia" w:hAnsi="Arial" w:cs="Arial"/>
          <w:sz w:val="24"/>
          <w:szCs w:val="24"/>
          <w:lang w:val="ro-RO" w:eastAsia="ro-RO"/>
        </w:rPr>
      </w:pPr>
    </w:p>
    <w:sectPr w:rsidR="00C20B81" w:rsidSect="001A45D2">
      <w:headerReference w:type="default" r:id="rId17"/>
      <w:footerReference w:type="default" r:id="rId18"/>
      <w:pgSz w:w="11907" w:h="16839" w:code="9"/>
      <w:pgMar w:top="624" w:right="708" w:bottom="1021" w:left="1418" w:header="709" w:footer="709" w:gutter="0"/>
      <w:pgNumType w:start="1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F4" w:rsidRDefault="00DE73F4" w:rsidP="0010560A">
      <w:pPr>
        <w:spacing w:after="0" w:line="240" w:lineRule="auto"/>
      </w:pPr>
      <w:r>
        <w:separator/>
      </w:r>
    </w:p>
  </w:endnote>
  <w:endnote w:type="continuationSeparator" w:id="0">
    <w:p w:rsidR="00DE73F4" w:rsidRDefault="00DE73F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1605"/>
      <w:docPartObj>
        <w:docPartGallery w:val="Page Numbers (Bottom of Page)"/>
        <w:docPartUnique/>
      </w:docPartObj>
    </w:sdtPr>
    <w:sdtContent>
      <w:p w:rsidR="0096512B" w:rsidRPr="006C7A80" w:rsidRDefault="006D3497" w:rsidP="006C7A80">
        <w:pPr>
          <w:pStyle w:val="Footer"/>
          <w:jc w:val="center"/>
        </w:pPr>
        <w:r w:rsidRPr="00B55D1B">
          <w:rPr>
            <w:rFonts w:ascii="Arial" w:hAnsi="Arial" w:cs="Arial"/>
            <w:sz w:val="20"/>
            <w:szCs w:val="20"/>
          </w:rPr>
          <w:fldChar w:fldCharType="begin"/>
        </w:r>
        <w:r w:rsidR="0096512B" w:rsidRPr="00B55D1B">
          <w:rPr>
            <w:rFonts w:ascii="Arial" w:hAnsi="Arial" w:cs="Arial"/>
            <w:sz w:val="20"/>
            <w:szCs w:val="20"/>
          </w:rPr>
          <w:instrText xml:space="preserve"> PAGE   \* MERGEFORMAT </w:instrText>
        </w:r>
        <w:r w:rsidRPr="00B55D1B">
          <w:rPr>
            <w:rFonts w:ascii="Arial" w:hAnsi="Arial" w:cs="Arial"/>
            <w:sz w:val="20"/>
            <w:szCs w:val="20"/>
          </w:rPr>
          <w:fldChar w:fldCharType="separate"/>
        </w:r>
        <w:r w:rsidR="001A45D2">
          <w:rPr>
            <w:rFonts w:ascii="Arial" w:hAnsi="Arial" w:cs="Arial"/>
            <w:noProof/>
            <w:sz w:val="20"/>
            <w:szCs w:val="20"/>
          </w:rPr>
          <w:t>100</w:t>
        </w:r>
        <w:r w:rsidRPr="00B55D1B">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F4" w:rsidRDefault="00DE73F4" w:rsidP="0010560A">
      <w:pPr>
        <w:spacing w:after="0" w:line="240" w:lineRule="auto"/>
      </w:pPr>
      <w:r>
        <w:separator/>
      </w:r>
    </w:p>
  </w:footnote>
  <w:footnote w:type="continuationSeparator" w:id="0">
    <w:p w:rsidR="00DE73F4" w:rsidRDefault="00DE73F4" w:rsidP="0010560A">
      <w:pPr>
        <w:spacing w:after="0" w:line="240" w:lineRule="auto"/>
      </w:pPr>
      <w:r>
        <w:continuationSeparator/>
      </w:r>
    </w:p>
  </w:footnote>
  <w:footnote w:id="1">
    <w:p w:rsidR="0096512B" w:rsidRPr="007C4D96" w:rsidRDefault="0096512B">
      <w:pPr>
        <w:pStyle w:val="FootnoteText"/>
        <w:rPr>
          <w:rFonts w:ascii="Arial" w:hAnsi="Arial" w:cs="Arial"/>
        </w:rPr>
      </w:pPr>
      <w:r w:rsidRPr="007C4D96">
        <w:rPr>
          <w:rStyle w:val="FootnoteReference"/>
          <w:rFonts w:ascii="Arial" w:hAnsi="Arial" w:cs="Arial"/>
        </w:rPr>
        <w:footnoteRef/>
      </w:r>
      <w:r w:rsidRPr="007C4D96">
        <w:rPr>
          <w:rFonts w:ascii="Arial" w:hAnsi="Arial" w:cs="Arial"/>
        </w:rPr>
        <w:t xml:space="preserve"> Raportul privind starea mediului în România în anul 201</w:t>
      </w:r>
      <w:r>
        <w:rPr>
          <w:rFonts w:ascii="Arial" w:hAnsi="Arial" w:cs="Arial"/>
        </w:rPr>
        <w:t>6</w:t>
      </w:r>
    </w:p>
  </w:footnote>
  <w:footnote w:id="2">
    <w:p w:rsidR="004076A7" w:rsidRPr="0007389C" w:rsidRDefault="004076A7" w:rsidP="004076A7">
      <w:pPr>
        <w:pStyle w:val="FootnoteText"/>
        <w:jc w:val="both"/>
        <w:rPr>
          <w:rFonts w:ascii="Arial" w:eastAsia="Calibri" w:hAnsi="Arial" w:cs="Arial"/>
        </w:rPr>
      </w:pPr>
      <w:r w:rsidRPr="0007389C">
        <w:rPr>
          <w:rStyle w:val="FootnoteReference"/>
          <w:rFonts w:ascii="Arial" w:hAnsi="Arial" w:cs="Arial"/>
        </w:rPr>
        <w:footnoteRef/>
      </w:r>
      <w:r>
        <w:rPr>
          <w:rFonts w:ascii="Arial" w:hAnsi="Arial" w:cs="Arial"/>
        </w:rPr>
        <w:t xml:space="preserve"> </w:t>
      </w:r>
      <w:r w:rsidRPr="0007389C">
        <w:rPr>
          <w:rFonts w:ascii="Arial" w:eastAsia="Calibri" w:hAnsi="Arial" w:cs="Arial"/>
        </w:rPr>
        <w:t xml:space="preserve">Orientări privind cele mai bune practici în vederea limitării, atenuării sau compensării impermeabilizării solurilor; Site: </w:t>
      </w:r>
      <w:hyperlink r:id="rId1" w:history="1">
        <w:r w:rsidRPr="0007389C">
          <w:rPr>
            <w:rStyle w:val="Hyperlink"/>
            <w:rFonts w:ascii="Arial" w:eastAsia="Calibri" w:hAnsi="Arial" w:cs="Arial"/>
          </w:rPr>
          <w:t>http://ec.europa.eu/environment/soil/pdf/guidelines/RO%20-%20Sealing%20Guidelines.pdf</w:t>
        </w:r>
      </w:hyperlink>
    </w:p>
    <w:p w:rsidR="004076A7" w:rsidRPr="00F92737" w:rsidRDefault="004076A7" w:rsidP="004076A7">
      <w:pPr>
        <w:pStyle w:val="FootnoteText"/>
        <w:rPr>
          <w:rFonts w:ascii="Arial" w:eastAsia="Calibri" w:hAnsi="Arial" w:cs="Arial"/>
        </w:rPr>
      </w:pPr>
    </w:p>
  </w:footnote>
  <w:footnote w:id="3">
    <w:p w:rsidR="0096512B" w:rsidRPr="0007389C" w:rsidRDefault="0096512B" w:rsidP="0011109B">
      <w:pPr>
        <w:autoSpaceDE w:val="0"/>
        <w:autoSpaceDN w:val="0"/>
        <w:adjustRightInd w:val="0"/>
        <w:spacing w:after="0" w:line="240" w:lineRule="auto"/>
        <w:jc w:val="both"/>
        <w:rPr>
          <w:rFonts w:ascii="Arial" w:hAnsi="Arial" w:cs="Arial"/>
          <w:sz w:val="20"/>
          <w:szCs w:val="20"/>
        </w:rPr>
      </w:pPr>
      <w:r w:rsidRPr="0007389C">
        <w:rPr>
          <w:rStyle w:val="FootnoteReference"/>
          <w:rFonts w:ascii="Arial" w:hAnsi="Arial" w:cs="Arial"/>
          <w:sz w:val="20"/>
          <w:szCs w:val="20"/>
        </w:rPr>
        <w:footnoteRef/>
      </w:r>
      <w:r w:rsidRPr="0007389C">
        <w:rPr>
          <w:rFonts w:ascii="Arial" w:hAnsi="Arial" w:cs="Arial"/>
          <w:sz w:val="20"/>
          <w:szCs w:val="20"/>
        </w:rPr>
        <w:t xml:space="preserve"> </w:t>
      </w:r>
      <w:proofErr w:type="gramStart"/>
      <w:r>
        <w:rPr>
          <w:rFonts w:ascii="Arial" w:hAnsi="Arial" w:cs="Arial"/>
          <w:bCs/>
          <w:sz w:val="20"/>
          <w:szCs w:val="20"/>
          <w:lang w:eastAsia="ro-RO"/>
        </w:rPr>
        <w:t xml:space="preserve">Legea </w:t>
      </w:r>
      <w:r w:rsidRPr="0007389C">
        <w:rPr>
          <w:rFonts w:ascii="Arial" w:hAnsi="Arial" w:cs="Arial"/>
          <w:bCs/>
          <w:sz w:val="20"/>
          <w:szCs w:val="20"/>
          <w:lang w:eastAsia="ro-RO"/>
        </w:rPr>
        <w:t>nr.</w:t>
      </w:r>
      <w:proofErr w:type="gramEnd"/>
      <w:r w:rsidRPr="0007389C">
        <w:rPr>
          <w:rFonts w:ascii="Arial" w:hAnsi="Arial" w:cs="Arial"/>
          <w:bCs/>
          <w:sz w:val="20"/>
          <w:szCs w:val="20"/>
          <w:lang w:eastAsia="ro-RO"/>
        </w:rPr>
        <w:t xml:space="preserve"> 24 din 15 ianuarie 2007, </w:t>
      </w:r>
      <w:r w:rsidRPr="0007389C">
        <w:rPr>
          <w:rFonts w:ascii="Arial" w:hAnsi="Arial" w:cs="Arial"/>
          <w:sz w:val="20"/>
          <w:szCs w:val="20"/>
          <w:lang w:eastAsia="ro-RO"/>
        </w:rPr>
        <w:t>privind reglementarea şi administrarea spaţiilor verzi din intravilanul localităţilor, cu modificările şi completările ulterioare</w:t>
      </w:r>
    </w:p>
  </w:footnote>
  <w:footnote w:id="4">
    <w:p w:rsidR="0096512B" w:rsidRPr="00E33670" w:rsidRDefault="0096512B" w:rsidP="000A47A9">
      <w:pPr>
        <w:pStyle w:val="Default"/>
        <w:rPr>
          <w:rFonts w:ascii="Arial" w:hAnsi="Arial" w:cs="Arial"/>
        </w:rPr>
      </w:pPr>
      <w:r>
        <w:rPr>
          <w:rStyle w:val="FootnoteReference"/>
        </w:rPr>
        <w:footnoteRef/>
      </w:r>
      <w:r>
        <w:t xml:space="preserve"> </w:t>
      </w:r>
      <w:r w:rsidRPr="00E33670">
        <w:rPr>
          <w:rFonts w:ascii="Arial" w:hAnsi="Arial" w:cs="Arial"/>
          <w:bCs/>
          <w:sz w:val="20"/>
          <w:szCs w:val="20"/>
        </w:rPr>
        <w:t>Fişa indicatorului RO10 „</w:t>
      </w:r>
      <w:r>
        <w:rPr>
          <w:rFonts w:ascii="Arial" w:hAnsi="Arial" w:cs="Arial"/>
          <w:bCs/>
          <w:sz w:val="20"/>
          <w:szCs w:val="20"/>
        </w:rPr>
        <w:t>T</w:t>
      </w:r>
      <w:r w:rsidRPr="00E33670">
        <w:rPr>
          <w:rFonts w:ascii="Arial" w:hAnsi="Arial" w:cs="Arial"/>
          <w:bCs/>
          <w:sz w:val="20"/>
          <w:szCs w:val="20"/>
        </w:rPr>
        <w:t>endinţa emisiilor de gaze cu efect de seră”</w:t>
      </w:r>
    </w:p>
  </w:footnote>
  <w:footnote w:id="5">
    <w:p w:rsidR="0096512B" w:rsidRPr="00E33670" w:rsidRDefault="0096512B" w:rsidP="000A47A9">
      <w:pPr>
        <w:pStyle w:val="Default"/>
        <w:rPr>
          <w:rFonts w:ascii="Arial" w:hAnsi="Arial" w:cs="Arial"/>
          <w:bCs/>
          <w:sz w:val="20"/>
          <w:szCs w:val="20"/>
        </w:rPr>
      </w:pPr>
      <w:r>
        <w:rPr>
          <w:rStyle w:val="FootnoteReference"/>
        </w:rPr>
        <w:footnoteRef/>
      </w:r>
      <w:r>
        <w:t xml:space="preserve"> </w:t>
      </w:r>
      <w:r w:rsidRPr="00E33670">
        <w:rPr>
          <w:rFonts w:ascii="Arial" w:hAnsi="Arial" w:cs="Arial"/>
          <w:bCs/>
          <w:sz w:val="20"/>
          <w:szCs w:val="20"/>
        </w:rPr>
        <w:t xml:space="preserve">Fişa indicatorului RO12 „Temperatura la nivel național” </w:t>
      </w:r>
    </w:p>
  </w:footnote>
  <w:footnote w:id="6">
    <w:p w:rsidR="0096512B" w:rsidRDefault="0096512B" w:rsidP="005B29A3">
      <w:pPr>
        <w:pStyle w:val="FootnoteText"/>
      </w:pPr>
      <w:r>
        <w:rPr>
          <w:rStyle w:val="FootnoteReference"/>
        </w:rPr>
        <w:footnoteRef/>
      </w:r>
      <w:r>
        <w:t xml:space="preserve"> </w:t>
      </w:r>
      <w:r w:rsidRPr="00BA49BB">
        <w:rPr>
          <w:rFonts w:ascii="Arial" w:eastAsia="Calibri" w:hAnsi="Arial" w:cs="Arial"/>
          <w:bCs/>
          <w:color w:val="000000"/>
          <w:lang w:eastAsia="ro-RO"/>
        </w:rPr>
        <w:t>Raportul privind Starea Mediului în România în anul 201</w:t>
      </w:r>
      <w:r>
        <w:rPr>
          <w:rFonts w:ascii="Arial" w:eastAsia="Calibri" w:hAnsi="Arial" w:cs="Arial"/>
          <w:bCs/>
          <w:color w:val="000000"/>
          <w:lang w:eastAsia="ro-RO"/>
        </w:rPr>
        <w:t>6</w:t>
      </w:r>
    </w:p>
  </w:footnote>
  <w:footnote w:id="7">
    <w:p w:rsidR="0096512B" w:rsidRPr="006C7A80" w:rsidRDefault="0096512B" w:rsidP="00B577AF">
      <w:pPr>
        <w:pStyle w:val="Default"/>
        <w:jc w:val="both"/>
        <w:rPr>
          <w:rFonts w:ascii="Arial" w:hAnsi="Arial" w:cs="Arial"/>
          <w:sz w:val="20"/>
          <w:szCs w:val="20"/>
        </w:rPr>
      </w:pPr>
      <w:r w:rsidRPr="001037B0">
        <w:rPr>
          <w:rStyle w:val="FootnoteReference"/>
          <w:rFonts w:ascii="Arial" w:hAnsi="Arial" w:cs="Arial"/>
          <w:sz w:val="20"/>
          <w:szCs w:val="20"/>
        </w:rPr>
        <w:footnoteRef/>
      </w:r>
      <w:r w:rsidRPr="001037B0">
        <w:rPr>
          <w:rFonts w:ascii="Arial" w:hAnsi="Arial" w:cs="Arial"/>
          <w:sz w:val="20"/>
          <w:szCs w:val="20"/>
        </w:rPr>
        <w:t xml:space="preserve"> </w:t>
      </w:r>
      <w:r w:rsidRPr="006C7A80">
        <w:rPr>
          <w:rFonts w:ascii="Arial" w:hAnsi="Arial" w:cs="Arial"/>
          <w:sz w:val="20"/>
          <w:szCs w:val="20"/>
        </w:rPr>
        <w:t>Fişă indicator RO 61 „Inundaţiile şi sănătatea”</w:t>
      </w:r>
      <w:r w:rsidRPr="006C7A80">
        <w:rPr>
          <w:rFonts w:ascii="Arial" w:hAnsi="Arial" w:cs="Arial"/>
          <w:b/>
          <w:bCs/>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2B" w:rsidRPr="005E7D7A" w:rsidRDefault="0096512B" w:rsidP="00350FCC">
    <w:pPr>
      <w:pStyle w:val="Header"/>
      <w:rPr>
        <w:rFonts w:ascii="Arial" w:hAnsi="Arial" w:cs="Arial"/>
        <w:b/>
        <w:i/>
        <w:sz w:val="20"/>
        <w:lang w:val="ro-RO"/>
      </w:rPr>
    </w:pPr>
    <w:r w:rsidRPr="005E7D7A">
      <w:rPr>
        <w:rFonts w:ascii="Arial" w:hAnsi="Arial" w:cs="Arial"/>
        <w:b/>
        <w:i/>
        <w:sz w:val="20"/>
        <w:lang w:val="ro-RO"/>
      </w:rPr>
      <w:t>Raport privind starea mediului în judeţul Suceava în anul 201</w:t>
    </w:r>
    <w:r>
      <w:rPr>
        <w:rFonts w:ascii="Arial" w:hAnsi="Arial" w:cs="Arial"/>
        <w:b/>
        <w:i/>
        <w:sz w:val="20"/>
        <w:lang w:val="ro-RO"/>
      </w:rPr>
      <w:t>7</w:t>
    </w:r>
  </w:p>
  <w:p w:rsidR="0096512B" w:rsidRDefault="006D3497" w:rsidP="00350FCC">
    <w:pPr>
      <w:pStyle w:val="Header"/>
      <w:tabs>
        <w:tab w:val="left" w:pos="2880"/>
      </w:tabs>
    </w:pPr>
    <w:r w:rsidRPr="006D3497">
      <w:rPr>
        <w:noProof/>
        <w:lang w:val="en-AU"/>
      </w:rPr>
      <w:pict>
        <v:line id="_x0000_s2061" style="position:absolute;flip:y;z-index:251660288"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08"/>
    <w:multiLevelType w:val="hybridMultilevel"/>
    <w:tmpl w:val="2ADCAC0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4E8581B"/>
    <w:multiLevelType w:val="hybridMultilevel"/>
    <w:tmpl w:val="8E3E6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3F1AD3"/>
    <w:multiLevelType w:val="hybridMultilevel"/>
    <w:tmpl w:val="717AD0F8"/>
    <w:lvl w:ilvl="0" w:tplc="04180001">
      <w:start w:val="1"/>
      <w:numFmt w:val="bullet"/>
      <w:lvlText w:val=""/>
      <w:lvlJc w:val="left"/>
      <w:pPr>
        <w:ind w:left="1650" w:hanging="930"/>
      </w:pPr>
      <w:rPr>
        <w:rFonts w:ascii="Symbol" w:hAnsi="Symbol" w:hint="default"/>
      </w:rPr>
    </w:lvl>
    <w:lvl w:ilvl="1" w:tplc="32BCE6F8">
      <w:numFmt w:val="bullet"/>
      <w:lvlText w:val="-"/>
      <w:lvlJc w:val="left"/>
      <w:pPr>
        <w:ind w:left="1800" w:hanging="360"/>
      </w:pPr>
      <w:rPr>
        <w:rFonts w:ascii="Arial" w:eastAsiaTheme="minorEastAsia"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1FB09C3"/>
    <w:multiLevelType w:val="hybridMultilevel"/>
    <w:tmpl w:val="CE3418AA"/>
    <w:lvl w:ilvl="0" w:tplc="70E69B4A">
      <w:numFmt w:val="bullet"/>
      <w:lvlText w:val="-"/>
      <w:lvlJc w:val="left"/>
      <w:pPr>
        <w:ind w:left="615" w:hanging="360"/>
      </w:pPr>
      <w:rPr>
        <w:rFonts w:ascii="Arial" w:eastAsiaTheme="minorHAnsi" w:hAnsi="Arial"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4">
    <w:nsid w:val="11FE641F"/>
    <w:multiLevelType w:val="hybridMultilevel"/>
    <w:tmpl w:val="9EAA8A88"/>
    <w:lvl w:ilvl="0" w:tplc="60A8A904">
      <w:start w:val="1"/>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7">
    <w:nsid w:val="1D340AAD"/>
    <w:multiLevelType w:val="multilevel"/>
    <w:tmpl w:val="2474DE34"/>
    <w:lvl w:ilvl="0">
      <w:start w:val="1"/>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0"/>
        </w:tabs>
        <w:ind w:left="567"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8">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9">
    <w:nsid w:val="39662C41"/>
    <w:multiLevelType w:val="hybridMultilevel"/>
    <w:tmpl w:val="0B029BA2"/>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3FCB0E72"/>
    <w:multiLevelType w:val="hybridMultilevel"/>
    <w:tmpl w:val="8ACE64E4"/>
    <w:lvl w:ilvl="0" w:tplc="8196BAFA">
      <w:start w:val="1"/>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7C2A01"/>
    <w:multiLevelType w:val="hybridMultilevel"/>
    <w:tmpl w:val="5C84B2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77F21AB"/>
    <w:multiLevelType w:val="singleLevel"/>
    <w:tmpl w:val="BD7249C0"/>
    <w:lvl w:ilvl="0">
      <w:start w:val="8"/>
      <w:numFmt w:val="bullet"/>
      <w:lvlText w:val="-"/>
      <w:lvlJc w:val="left"/>
      <w:pPr>
        <w:tabs>
          <w:tab w:val="num" w:pos="720"/>
        </w:tabs>
        <w:ind w:left="720" w:hanging="360"/>
      </w:pPr>
    </w:lvl>
  </w:abstractNum>
  <w:abstractNum w:abstractNumId="13">
    <w:nsid w:val="498713BA"/>
    <w:multiLevelType w:val="hybridMultilevel"/>
    <w:tmpl w:val="E0360DF4"/>
    <w:lvl w:ilvl="0" w:tplc="A8DEC614">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F454DC0"/>
    <w:multiLevelType w:val="hybridMultilevel"/>
    <w:tmpl w:val="4B904742"/>
    <w:lvl w:ilvl="0" w:tplc="3AA41214">
      <w:start w:val="1"/>
      <w:numFmt w:val="bullet"/>
      <w:lvlText w:val=""/>
      <w:lvlJc w:val="left"/>
      <w:pPr>
        <w:tabs>
          <w:tab w:val="num" w:pos="360"/>
        </w:tabs>
        <w:ind w:left="-340" w:firstLine="340"/>
      </w:pPr>
      <w:rPr>
        <w:rFonts w:ascii="Wingdings" w:hAnsi="Wingdings" w:hint="default"/>
        <w:color w:val="auto"/>
        <w:sz w:val="24"/>
        <w:szCs w:val="24"/>
      </w:rPr>
    </w:lvl>
    <w:lvl w:ilvl="1" w:tplc="04180003">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5">
    <w:nsid w:val="525D10E3"/>
    <w:multiLevelType w:val="hybridMultilevel"/>
    <w:tmpl w:val="02302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47F505C"/>
    <w:multiLevelType w:val="hybridMultilevel"/>
    <w:tmpl w:val="F5545ED0"/>
    <w:lvl w:ilvl="0" w:tplc="70EA63AA">
      <w:numFmt w:val="bullet"/>
      <w:lvlText w:val="-"/>
      <w:lvlJc w:val="left"/>
      <w:pPr>
        <w:ind w:left="1650" w:hanging="93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55265440"/>
    <w:multiLevelType w:val="hybridMultilevel"/>
    <w:tmpl w:val="2A3C90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80C3C"/>
    <w:multiLevelType w:val="hybridMultilevel"/>
    <w:tmpl w:val="1FC62F28"/>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7094549"/>
    <w:multiLevelType w:val="hybridMultilevel"/>
    <w:tmpl w:val="976EBC5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DC34CE7"/>
    <w:multiLevelType w:val="hybridMultilevel"/>
    <w:tmpl w:val="B218EE42"/>
    <w:lvl w:ilvl="0" w:tplc="89A273A2">
      <w:start w:val="6"/>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65DE5091"/>
    <w:multiLevelType w:val="hybridMultilevel"/>
    <w:tmpl w:val="271E1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67090CEF"/>
    <w:multiLevelType w:val="hybridMultilevel"/>
    <w:tmpl w:val="4F4683F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7">
    <w:nsid w:val="71E23C82"/>
    <w:multiLevelType w:val="hybridMultilevel"/>
    <w:tmpl w:val="F9B8A3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7B9718D2"/>
    <w:multiLevelType w:val="hybridMultilevel"/>
    <w:tmpl w:val="7696D384"/>
    <w:lvl w:ilvl="0" w:tplc="6818E4D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8"/>
  </w:num>
  <w:num w:numId="4">
    <w:abstractNumId w:val="21"/>
  </w:num>
  <w:num w:numId="5">
    <w:abstractNumId w:val="2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23"/>
  </w:num>
  <w:num w:numId="10">
    <w:abstractNumId w:val="6"/>
  </w:num>
  <w:num w:numId="11">
    <w:abstractNumId w:val="0"/>
  </w:num>
  <w:num w:numId="12">
    <w:abstractNumId w:val="14"/>
  </w:num>
  <w:num w:numId="13">
    <w:abstractNumId w:val="4"/>
  </w:num>
  <w:num w:numId="14">
    <w:abstractNumId w:val="10"/>
  </w:num>
  <w:num w:numId="15">
    <w:abstractNumId w:val="22"/>
  </w:num>
  <w:num w:numId="16">
    <w:abstractNumId w:val="7"/>
  </w:num>
  <w:num w:numId="17">
    <w:abstractNumId w:val="12"/>
  </w:num>
  <w:num w:numId="18">
    <w:abstractNumId w:val="1"/>
  </w:num>
  <w:num w:numId="19">
    <w:abstractNumId w:val="24"/>
  </w:num>
  <w:num w:numId="20">
    <w:abstractNumId w:val="17"/>
  </w:num>
  <w:num w:numId="21">
    <w:abstractNumId w:val="3"/>
  </w:num>
  <w:num w:numId="22">
    <w:abstractNumId w:val="30"/>
  </w:num>
  <w:num w:numId="23">
    <w:abstractNumId w:val="19"/>
  </w:num>
  <w:num w:numId="24">
    <w:abstractNumId w:val="11"/>
  </w:num>
  <w:num w:numId="25">
    <w:abstractNumId w:val="16"/>
  </w:num>
  <w:num w:numId="26">
    <w:abstractNumId w:val="2"/>
  </w:num>
  <w:num w:numId="27">
    <w:abstractNumId w:val="18"/>
  </w:num>
  <w:num w:numId="28">
    <w:abstractNumId w:val="9"/>
  </w:num>
  <w:num w:numId="29">
    <w:abstractNumId w:val="15"/>
  </w:num>
  <w:num w:numId="30">
    <w:abstractNumId w:val="27"/>
  </w:num>
  <w:num w:numId="31">
    <w:abstractNumId w:val="13"/>
  </w:num>
  <w:num w:numId="32">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hyphenationZone w:val="425"/>
  <w:drawingGridHorizontalSpacing w:val="110"/>
  <w:displayHorizontalDrawingGridEvery w:val="2"/>
  <w:characterSpacingControl w:val="doNotCompress"/>
  <w:hdrShapeDefaults>
    <o:shapedefaults v:ext="edit" spidmax="86018">
      <o:colormru v:ext="edit" colors="#00214e"/>
    </o:shapedefaults>
    <o:shapelayout v:ext="edit">
      <o:idmap v:ext="edit" data="2"/>
    </o:shapelayout>
  </w:hdrShapeDefaults>
  <w:footnotePr>
    <w:footnote w:id="-1"/>
    <w:footnote w:id="0"/>
  </w:footnotePr>
  <w:endnotePr>
    <w:endnote w:id="-1"/>
    <w:endnote w:id="0"/>
  </w:endnotePr>
  <w:compat/>
  <w:rsids>
    <w:rsidRoot w:val="0010560A"/>
    <w:rsid w:val="000011F8"/>
    <w:rsid w:val="00001B6B"/>
    <w:rsid w:val="00003154"/>
    <w:rsid w:val="00003BC6"/>
    <w:rsid w:val="00003D57"/>
    <w:rsid w:val="0000427F"/>
    <w:rsid w:val="00005422"/>
    <w:rsid w:val="000062D0"/>
    <w:rsid w:val="00007F59"/>
    <w:rsid w:val="000110AF"/>
    <w:rsid w:val="00011646"/>
    <w:rsid w:val="00011C18"/>
    <w:rsid w:val="00011C4D"/>
    <w:rsid w:val="00011D36"/>
    <w:rsid w:val="0001584E"/>
    <w:rsid w:val="00017893"/>
    <w:rsid w:val="0002072E"/>
    <w:rsid w:val="00020B6D"/>
    <w:rsid w:val="000222AB"/>
    <w:rsid w:val="00023009"/>
    <w:rsid w:val="00023D48"/>
    <w:rsid w:val="00030308"/>
    <w:rsid w:val="000327D8"/>
    <w:rsid w:val="00032F3D"/>
    <w:rsid w:val="000336A1"/>
    <w:rsid w:val="00033DFE"/>
    <w:rsid w:val="00036513"/>
    <w:rsid w:val="000419B5"/>
    <w:rsid w:val="00044137"/>
    <w:rsid w:val="00044B18"/>
    <w:rsid w:val="000450B6"/>
    <w:rsid w:val="00046049"/>
    <w:rsid w:val="00052234"/>
    <w:rsid w:val="000522F5"/>
    <w:rsid w:val="000547B2"/>
    <w:rsid w:val="000549CB"/>
    <w:rsid w:val="00055043"/>
    <w:rsid w:val="000567A2"/>
    <w:rsid w:val="000604B2"/>
    <w:rsid w:val="000604C5"/>
    <w:rsid w:val="000611E1"/>
    <w:rsid w:val="000617F1"/>
    <w:rsid w:val="00061A55"/>
    <w:rsid w:val="0006386B"/>
    <w:rsid w:val="00066578"/>
    <w:rsid w:val="000676C3"/>
    <w:rsid w:val="00070300"/>
    <w:rsid w:val="000710E3"/>
    <w:rsid w:val="00071DB7"/>
    <w:rsid w:val="0007389C"/>
    <w:rsid w:val="000739DC"/>
    <w:rsid w:val="0007594F"/>
    <w:rsid w:val="00076299"/>
    <w:rsid w:val="000774FD"/>
    <w:rsid w:val="0008113A"/>
    <w:rsid w:val="00081B66"/>
    <w:rsid w:val="00084C62"/>
    <w:rsid w:val="000866DE"/>
    <w:rsid w:val="00086B9A"/>
    <w:rsid w:val="00090131"/>
    <w:rsid w:val="00093049"/>
    <w:rsid w:val="000943EF"/>
    <w:rsid w:val="00094B5B"/>
    <w:rsid w:val="00095760"/>
    <w:rsid w:val="00095B0F"/>
    <w:rsid w:val="000961A9"/>
    <w:rsid w:val="0009672A"/>
    <w:rsid w:val="00096C33"/>
    <w:rsid w:val="00097FA1"/>
    <w:rsid w:val="000A2BD3"/>
    <w:rsid w:val="000A438A"/>
    <w:rsid w:val="000A47A9"/>
    <w:rsid w:val="000A5195"/>
    <w:rsid w:val="000A6826"/>
    <w:rsid w:val="000A6A40"/>
    <w:rsid w:val="000A78A6"/>
    <w:rsid w:val="000A7BFA"/>
    <w:rsid w:val="000B229F"/>
    <w:rsid w:val="000B33FD"/>
    <w:rsid w:val="000B358E"/>
    <w:rsid w:val="000B4DB8"/>
    <w:rsid w:val="000B4E57"/>
    <w:rsid w:val="000B6A9A"/>
    <w:rsid w:val="000B6C47"/>
    <w:rsid w:val="000B76A1"/>
    <w:rsid w:val="000C0606"/>
    <w:rsid w:val="000C07C3"/>
    <w:rsid w:val="000C3931"/>
    <w:rsid w:val="000C3AA2"/>
    <w:rsid w:val="000C4375"/>
    <w:rsid w:val="000C50A9"/>
    <w:rsid w:val="000C5CD7"/>
    <w:rsid w:val="000C7486"/>
    <w:rsid w:val="000D0742"/>
    <w:rsid w:val="000D3508"/>
    <w:rsid w:val="000D3754"/>
    <w:rsid w:val="000D5FB1"/>
    <w:rsid w:val="000D6CA2"/>
    <w:rsid w:val="000D6D03"/>
    <w:rsid w:val="000D7D64"/>
    <w:rsid w:val="000E1115"/>
    <w:rsid w:val="000E228C"/>
    <w:rsid w:val="000E3979"/>
    <w:rsid w:val="000E3BD5"/>
    <w:rsid w:val="000E5C41"/>
    <w:rsid w:val="000E635C"/>
    <w:rsid w:val="000E649C"/>
    <w:rsid w:val="000F1774"/>
    <w:rsid w:val="000F4697"/>
    <w:rsid w:val="000F49BF"/>
    <w:rsid w:val="000F5694"/>
    <w:rsid w:val="000F59B3"/>
    <w:rsid w:val="000F644B"/>
    <w:rsid w:val="000F6FCE"/>
    <w:rsid w:val="001009EA"/>
    <w:rsid w:val="00100F2E"/>
    <w:rsid w:val="001018DF"/>
    <w:rsid w:val="001037B0"/>
    <w:rsid w:val="00105529"/>
    <w:rsid w:val="0010560A"/>
    <w:rsid w:val="0011109B"/>
    <w:rsid w:val="001111E4"/>
    <w:rsid w:val="00111667"/>
    <w:rsid w:val="00116DA2"/>
    <w:rsid w:val="00116E10"/>
    <w:rsid w:val="00117887"/>
    <w:rsid w:val="00117CBE"/>
    <w:rsid w:val="00120CA8"/>
    <w:rsid w:val="0012139A"/>
    <w:rsid w:val="00121EF9"/>
    <w:rsid w:val="00122B31"/>
    <w:rsid w:val="00123691"/>
    <w:rsid w:val="001260DF"/>
    <w:rsid w:val="00126E94"/>
    <w:rsid w:val="001274F0"/>
    <w:rsid w:val="00127C4E"/>
    <w:rsid w:val="00130855"/>
    <w:rsid w:val="00130D0D"/>
    <w:rsid w:val="0013244C"/>
    <w:rsid w:val="0013683A"/>
    <w:rsid w:val="00136F14"/>
    <w:rsid w:val="00137A61"/>
    <w:rsid w:val="00140DBC"/>
    <w:rsid w:val="00141DDF"/>
    <w:rsid w:val="001422FB"/>
    <w:rsid w:val="00142C25"/>
    <w:rsid w:val="00144145"/>
    <w:rsid w:val="00144C14"/>
    <w:rsid w:val="001459E3"/>
    <w:rsid w:val="00146565"/>
    <w:rsid w:val="00147879"/>
    <w:rsid w:val="001508D4"/>
    <w:rsid w:val="00150AC5"/>
    <w:rsid w:val="00153FE4"/>
    <w:rsid w:val="001557DC"/>
    <w:rsid w:val="00156A0B"/>
    <w:rsid w:val="00161F87"/>
    <w:rsid w:val="001636BD"/>
    <w:rsid w:val="00163FDA"/>
    <w:rsid w:val="0016641C"/>
    <w:rsid w:val="001675A5"/>
    <w:rsid w:val="001675B8"/>
    <w:rsid w:val="0016781A"/>
    <w:rsid w:val="0017069E"/>
    <w:rsid w:val="001714A1"/>
    <w:rsid w:val="00173644"/>
    <w:rsid w:val="00174C53"/>
    <w:rsid w:val="0017754A"/>
    <w:rsid w:val="00180A8F"/>
    <w:rsid w:val="0018115D"/>
    <w:rsid w:val="0018200F"/>
    <w:rsid w:val="00183869"/>
    <w:rsid w:val="00183C7E"/>
    <w:rsid w:val="00184A96"/>
    <w:rsid w:val="00184BD4"/>
    <w:rsid w:val="001856E6"/>
    <w:rsid w:val="00185F91"/>
    <w:rsid w:val="0018628D"/>
    <w:rsid w:val="001909FB"/>
    <w:rsid w:val="0019170E"/>
    <w:rsid w:val="00193C03"/>
    <w:rsid w:val="00194DA3"/>
    <w:rsid w:val="00196E7C"/>
    <w:rsid w:val="00197855"/>
    <w:rsid w:val="00197BC3"/>
    <w:rsid w:val="001A0621"/>
    <w:rsid w:val="001A0EAB"/>
    <w:rsid w:val="001A2906"/>
    <w:rsid w:val="001A37DE"/>
    <w:rsid w:val="001A45D2"/>
    <w:rsid w:val="001A533F"/>
    <w:rsid w:val="001A6BE2"/>
    <w:rsid w:val="001A6EE7"/>
    <w:rsid w:val="001B0834"/>
    <w:rsid w:val="001B0A67"/>
    <w:rsid w:val="001B1BE2"/>
    <w:rsid w:val="001B24F9"/>
    <w:rsid w:val="001B2A86"/>
    <w:rsid w:val="001B2D69"/>
    <w:rsid w:val="001B3588"/>
    <w:rsid w:val="001B4939"/>
    <w:rsid w:val="001B538D"/>
    <w:rsid w:val="001B6E37"/>
    <w:rsid w:val="001B7DF4"/>
    <w:rsid w:val="001C0235"/>
    <w:rsid w:val="001C1456"/>
    <w:rsid w:val="001C3AFF"/>
    <w:rsid w:val="001C4E4E"/>
    <w:rsid w:val="001C4EAE"/>
    <w:rsid w:val="001C57C0"/>
    <w:rsid w:val="001C7519"/>
    <w:rsid w:val="001C77ED"/>
    <w:rsid w:val="001D0270"/>
    <w:rsid w:val="001D2343"/>
    <w:rsid w:val="001D2ABD"/>
    <w:rsid w:val="001D365F"/>
    <w:rsid w:val="001D417B"/>
    <w:rsid w:val="001D61BC"/>
    <w:rsid w:val="001D61E7"/>
    <w:rsid w:val="001D718D"/>
    <w:rsid w:val="001D719D"/>
    <w:rsid w:val="001D7C47"/>
    <w:rsid w:val="001E065E"/>
    <w:rsid w:val="001E1DFC"/>
    <w:rsid w:val="001E6CB1"/>
    <w:rsid w:val="001F2066"/>
    <w:rsid w:val="001F571F"/>
    <w:rsid w:val="001F5765"/>
    <w:rsid w:val="001F71B2"/>
    <w:rsid w:val="001F71B6"/>
    <w:rsid w:val="002001E8"/>
    <w:rsid w:val="002030E1"/>
    <w:rsid w:val="00205955"/>
    <w:rsid w:val="00206333"/>
    <w:rsid w:val="002067A3"/>
    <w:rsid w:val="0020726B"/>
    <w:rsid w:val="00207904"/>
    <w:rsid w:val="002114B1"/>
    <w:rsid w:val="00211649"/>
    <w:rsid w:val="00215BD6"/>
    <w:rsid w:val="00215DD1"/>
    <w:rsid w:val="002176F5"/>
    <w:rsid w:val="00217867"/>
    <w:rsid w:val="0022121A"/>
    <w:rsid w:val="00223708"/>
    <w:rsid w:val="002242B0"/>
    <w:rsid w:val="00224CA3"/>
    <w:rsid w:val="00224F02"/>
    <w:rsid w:val="0022521F"/>
    <w:rsid w:val="00232324"/>
    <w:rsid w:val="002329FC"/>
    <w:rsid w:val="00234B4A"/>
    <w:rsid w:val="00236B78"/>
    <w:rsid w:val="00236BAE"/>
    <w:rsid w:val="002415E6"/>
    <w:rsid w:val="00242B41"/>
    <w:rsid w:val="00244DBE"/>
    <w:rsid w:val="0024513C"/>
    <w:rsid w:val="002474A2"/>
    <w:rsid w:val="002505C9"/>
    <w:rsid w:val="00250869"/>
    <w:rsid w:val="00250CA5"/>
    <w:rsid w:val="00251A91"/>
    <w:rsid w:val="00252867"/>
    <w:rsid w:val="00256E13"/>
    <w:rsid w:val="0026016F"/>
    <w:rsid w:val="0026127B"/>
    <w:rsid w:val="0026519B"/>
    <w:rsid w:val="0026608A"/>
    <w:rsid w:val="002705CF"/>
    <w:rsid w:val="00271D10"/>
    <w:rsid w:val="00271D46"/>
    <w:rsid w:val="00272604"/>
    <w:rsid w:val="00273075"/>
    <w:rsid w:val="00273958"/>
    <w:rsid w:val="00273FB3"/>
    <w:rsid w:val="0027417A"/>
    <w:rsid w:val="00274875"/>
    <w:rsid w:val="002748C6"/>
    <w:rsid w:val="00274EC2"/>
    <w:rsid w:val="00275E1A"/>
    <w:rsid w:val="0028053B"/>
    <w:rsid w:val="00281791"/>
    <w:rsid w:val="0028205E"/>
    <w:rsid w:val="00283CBC"/>
    <w:rsid w:val="00284826"/>
    <w:rsid w:val="00284FE2"/>
    <w:rsid w:val="00286C08"/>
    <w:rsid w:val="0029170F"/>
    <w:rsid w:val="0029183B"/>
    <w:rsid w:val="002939E9"/>
    <w:rsid w:val="00293C59"/>
    <w:rsid w:val="00293FE2"/>
    <w:rsid w:val="00296DC1"/>
    <w:rsid w:val="0029736E"/>
    <w:rsid w:val="002973B5"/>
    <w:rsid w:val="002A05E4"/>
    <w:rsid w:val="002A1975"/>
    <w:rsid w:val="002A3EAD"/>
    <w:rsid w:val="002B0168"/>
    <w:rsid w:val="002B0222"/>
    <w:rsid w:val="002B060E"/>
    <w:rsid w:val="002B2535"/>
    <w:rsid w:val="002B2F43"/>
    <w:rsid w:val="002B362C"/>
    <w:rsid w:val="002B44A7"/>
    <w:rsid w:val="002B464F"/>
    <w:rsid w:val="002B4F36"/>
    <w:rsid w:val="002B5886"/>
    <w:rsid w:val="002B6F50"/>
    <w:rsid w:val="002B7BEA"/>
    <w:rsid w:val="002C1169"/>
    <w:rsid w:val="002C3198"/>
    <w:rsid w:val="002C4FAD"/>
    <w:rsid w:val="002D0342"/>
    <w:rsid w:val="002D3152"/>
    <w:rsid w:val="002D53A2"/>
    <w:rsid w:val="002D72A5"/>
    <w:rsid w:val="002E0992"/>
    <w:rsid w:val="002E19FD"/>
    <w:rsid w:val="002E2877"/>
    <w:rsid w:val="002E4BEA"/>
    <w:rsid w:val="002E53CE"/>
    <w:rsid w:val="002E6270"/>
    <w:rsid w:val="002E68D6"/>
    <w:rsid w:val="002F02EB"/>
    <w:rsid w:val="002F05A5"/>
    <w:rsid w:val="002F0DC0"/>
    <w:rsid w:val="002F1B93"/>
    <w:rsid w:val="002F359E"/>
    <w:rsid w:val="002F383C"/>
    <w:rsid w:val="002F39F0"/>
    <w:rsid w:val="002F6EFA"/>
    <w:rsid w:val="002F7DDF"/>
    <w:rsid w:val="00300DCB"/>
    <w:rsid w:val="00301A16"/>
    <w:rsid w:val="00302BFE"/>
    <w:rsid w:val="00303A82"/>
    <w:rsid w:val="00304E2E"/>
    <w:rsid w:val="003057E1"/>
    <w:rsid w:val="00305BC7"/>
    <w:rsid w:val="00305E73"/>
    <w:rsid w:val="00307D6A"/>
    <w:rsid w:val="00312392"/>
    <w:rsid w:val="00312CA6"/>
    <w:rsid w:val="0031750F"/>
    <w:rsid w:val="00320B7E"/>
    <w:rsid w:val="00321DCE"/>
    <w:rsid w:val="00323FE1"/>
    <w:rsid w:val="00324257"/>
    <w:rsid w:val="0032487C"/>
    <w:rsid w:val="00327C84"/>
    <w:rsid w:val="00330564"/>
    <w:rsid w:val="00330A04"/>
    <w:rsid w:val="003319AB"/>
    <w:rsid w:val="00331F9A"/>
    <w:rsid w:val="00334DE6"/>
    <w:rsid w:val="00336263"/>
    <w:rsid w:val="0033682D"/>
    <w:rsid w:val="003371D5"/>
    <w:rsid w:val="00340320"/>
    <w:rsid w:val="003404FC"/>
    <w:rsid w:val="00341518"/>
    <w:rsid w:val="003426DB"/>
    <w:rsid w:val="003432B3"/>
    <w:rsid w:val="00344C06"/>
    <w:rsid w:val="00344E28"/>
    <w:rsid w:val="00345E82"/>
    <w:rsid w:val="00347395"/>
    <w:rsid w:val="00350FCC"/>
    <w:rsid w:val="00351AA2"/>
    <w:rsid w:val="00351E13"/>
    <w:rsid w:val="00355F8F"/>
    <w:rsid w:val="0035600F"/>
    <w:rsid w:val="00356043"/>
    <w:rsid w:val="003561B8"/>
    <w:rsid w:val="00361EFA"/>
    <w:rsid w:val="00363924"/>
    <w:rsid w:val="00363DFB"/>
    <w:rsid w:val="00363FC5"/>
    <w:rsid w:val="00370753"/>
    <w:rsid w:val="00370FCA"/>
    <w:rsid w:val="003733D8"/>
    <w:rsid w:val="00374A17"/>
    <w:rsid w:val="00377782"/>
    <w:rsid w:val="0037793F"/>
    <w:rsid w:val="00380BA2"/>
    <w:rsid w:val="00383DC2"/>
    <w:rsid w:val="00384EAD"/>
    <w:rsid w:val="003855DA"/>
    <w:rsid w:val="00385DDA"/>
    <w:rsid w:val="00390A83"/>
    <w:rsid w:val="00394E35"/>
    <w:rsid w:val="003959C0"/>
    <w:rsid w:val="003A0AA0"/>
    <w:rsid w:val="003A0FF9"/>
    <w:rsid w:val="003A19A2"/>
    <w:rsid w:val="003A22CC"/>
    <w:rsid w:val="003A2812"/>
    <w:rsid w:val="003A2D3C"/>
    <w:rsid w:val="003A31C3"/>
    <w:rsid w:val="003A38AC"/>
    <w:rsid w:val="003A4AFA"/>
    <w:rsid w:val="003A4B75"/>
    <w:rsid w:val="003A5139"/>
    <w:rsid w:val="003A55DD"/>
    <w:rsid w:val="003A71C1"/>
    <w:rsid w:val="003B39B0"/>
    <w:rsid w:val="003B580B"/>
    <w:rsid w:val="003B76CD"/>
    <w:rsid w:val="003C14A9"/>
    <w:rsid w:val="003C1672"/>
    <w:rsid w:val="003C1C5F"/>
    <w:rsid w:val="003C1EE8"/>
    <w:rsid w:val="003C23EE"/>
    <w:rsid w:val="003C2893"/>
    <w:rsid w:val="003C5937"/>
    <w:rsid w:val="003C6148"/>
    <w:rsid w:val="003C7B9C"/>
    <w:rsid w:val="003C7D72"/>
    <w:rsid w:val="003D0948"/>
    <w:rsid w:val="003D0C8D"/>
    <w:rsid w:val="003D0F72"/>
    <w:rsid w:val="003D3417"/>
    <w:rsid w:val="003D4B89"/>
    <w:rsid w:val="003D5039"/>
    <w:rsid w:val="003D6F2E"/>
    <w:rsid w:val="003D71EA"/>
    <w:rsid w:val="003E0387"/>
    <w:rsid w:val="003E22D8"/>
    <w:rsid w:val="003E3F41"/>
    <w:rsid w:val="003E3F4E"/>
    <w:rsid w:val="003E6903"/>
    <w:rsid w:val="003F19EA"/>
    <w:rsid w:val="003F2B25"/>
    <w:rsid w:val="003F3DFD"/>
    <w:rsid w:val="003F4A7B"/>
    <w:rsid w:val="00401F42"/>
    <w:rsid w:val="00404709"/>
    <w:rsid w:val="00405608"/>
    <w:rsid w:val="0040563E"/>
    <w:rsid w:val="00406BE7"/>
    <w:rsid w:val="004076A7"/>
    <w:rsid w:val="004108C0"/>
    <w:rsid w:val="00410D12"/>
    <w:rsid w:val="0041758B"/>
    <w:rsid w:val="00422B76"/>
    <w:rsid w:val="00425AAB"/>
    <w:rsid w:val="00425D9F"/>
    <w:rsid w:val="004340C0"/>
    <w:rsid w:val="004373A5"/>
    <w:rsid w:val="0043774D"/>
    <w:rsid w:val="004459CA"/>
    <w:rsid w:val="00445B61"/>
    <w:rsid w:val="00445F7D"/>
    <w:rsid w:val="00446500"/>
    <w:rsid w:val="00446CC5"/>
    <w:rsid w:val="0044754C"/>
    <w:rsid w:val="00447FCD"/>
    <w:rsid w:val="00450E53"/>
    <w:rsid w:val="00454EF4"/>
    <w:rsid w:val="0046019D"/>
    <w:rsid w:val="004646A5"/>
    <w:rsid w:val="0046680B"/>
    <w:rsid w:val="00467182"/>
    <w:rsid w:val="00467CE1"/>
    <w:rsid w:val="00467DEF"/>
    <w:rsid w:val="0047025B"/>
    <w:rsid w:val="00472DD3"/>
    <w:rsid w:val="00472F04"/>
    <w:rsid w:val="00473A03"/>
    <w:rsid w:val="00474458"/>
    <w:rsid w:val="00475201"/>
    <w:rsid w:val="004765EB"/>
    <w:rsid w:val="004777E9"/>
    <w:rsid w:val="00477C51"/>
    <w:rsid w:val="00480170"/>
    <w:rsid w:val="0048092D"/>
    <w:rsid w:val="00480E74"/>
    <w:rsid w:val="0048120B"/>
    <w:rsid w:val="00487046"/>
    <w:rsid w:val="00487824"/>
    <w:rsid w:val="00487B8D"/>
    <w:rsid w:val="00487D3D"/>
    <w:rsid w:val="00493A08"/>
    <w:rsid w:val="00493B1F"/>
    <w:rsid w:val="004961C4"/>
    <w:rsid w:val="00496311"/>
    <w:rsid w:val="004976D8"/>
    <w:rsid w:val="00497B0D"/>
    <w:rsid w:val="00497FA4"/>
    <w:rsid w:val="004A0885"/>
    <w:rsid w:val="004A12DB"/>
    <w:rsid w:val="004A231B"/>
    <w:rsid w:val="004A3675"/>
    <w:rsid w:val="004A3A25"/>
    <w:rsid w:val="004A4F69"/>
    <w:rsid w:val="004A51B8"/>
    <w:rsid w:val="004A5298"/>
    <w:rsid w:val="004A594C"/>
    <w:rsid w:val="004A7181"/>
    <w:rsid w:val="004B115D"/>
    <w:rsid w:val="004B2F31"/>
    <w:rsid w:val="004B319D"/>
    <w:rsid w:val="004B4E5C"/>
    <w:rsid w:val="004B7C7C"/>
    <w:rsid w:val="004C4E8D"/>
    <w:rsid w:val="004C538C"/>
    <w:rsid w:val="004D0715"/>
    <w:rsid w:val="004D2204"/>
    <w:rsid w:val="004D2449"/>
    <w:rsid w:val="004D2A53"/>
    <w:rsid w:val="004D47D8"/>
    <w:rsid w:val="004D5152"/>
    <w:rsid w:val="004E1677"/>
    <w:rsid w:val="004E19C5"/>
    <w:rsid w:val="004E2E7F"/>
    <w:rsid w:val="004E35BD"/>
    <w:rsid w:val="004E5A4A"/>
    <w:rsid w:val="004E5B7C"/>
    <w:rsid w:val="004E5D3B"/>
    <w:rsid w:val="004E5E03"/>
    <w:rsid w:val="004E722E"/>
    <w:rsid w:val="004E7258"/>
    <w:rsid w:val="004E7E2E"/>
    <w:rsid w:val="004F0356"/>
    <w:rsid w:val="004F11F5"/>
    <w:rsid w:val="004F2951"/>
    <w:rsid w:val="004F2FEB"/>
    <w:rsid w:val="004F3842"/>
    <w:rsid w:val="004F3DF5"/>
    <w:rsid w:val="004F4D7F"/>
    <w:rsid w:val="005014EE"/>
    <w:rsid w:val="005026CD"/>
    <w:rsid w:val="0050643F"/>
    <w:rsid w:val="00510032"/>
    <w:rsid w:val="00510088"/>
    <w:rsid w:val="005106B0"/>
    <w:rsid w:val="00511CBE"/>
    <w:rsid w:val="0051252A"/>
    <w:rsid w:val="005169C3"/>
    <w:rsid w:val="005205EF"/>
    <w:rsid w:val="00520F1D"/>
    <w:rsid w:val="00521AA1"/>
    <w:rsid w:val="00522830"/>
    <w:rsid w:val="00522E83"/>
    <w:rsid w:val="005243CC"/>
    <w:rsid w:val="00527190"/>
    <w:rsid w:val="005302A5"/>
    <w:rsid w:val="00530CF1"/>
    <w:rsid w:val="00532353"/>
    <w:rsid w:val="00532452"/>
    <w:rsid w:val="0053287C"/>
    <w:rsid w:val="00533192"/>
    <w:rsid w:val="00533A80"/>
    <w:rsid w:val="00533B59"/>
    <w:rsid w:val="00534A49"/>
    <w:rsid w:val="0053502B"/>
    <w:rsid w:val="00535D42"/>
    <w:rsid w:val="0054668C"/>
    <w:rsid w:val="00546CC1"/>
    <w:rsid w:val="00547135"/>
    <w:rsid w:val="00547A19"/>
    <w:rsid w:val="0055018D"/>
    <w:rsid w:val="00555354"/>
    <w:rsid w:val="00555B18"/>
    <w:rsid w:val="00556448"/>
    <w:rsid w:val="00557070"/>
    <w:rsid w:val="0055779C"/>
    <w:rsid w:val="00562A1A"/>
    <w:rsid w:val="005636CD"/>
    <w:rsid w:val="00564AA4"/>
    <w:rsid w:val="005653C5"/>
    <w:rsid w:val="005671B8"/>
    <w:rsid w:val="00571253"/>
    <w:rsid w:val="00571285"/>
    <w:rsid w:val="005717E9"/>
    <w:rsid w:val="00571A77"/>
    <w:rsid w:val="00571D15"/>
    <w:rsid w:val="00572FF6"/>
    <w:rsid w:val="00573650"/>
    <w:rsid w:val="00575325"/>
    <w:rsid w:val="0058015A"/>
    <w:rsid w:val="00584B84"/>
    <w:rsid w:val="0058560E"/>
    <w:rsid w:val="00586AFD"/>
    <w:rsid w:val="00586D0A"/>
    <w:rsid w:val="00590B25"/>
    <w:rsid w:val="005923E6"/>
    <w:rsid w:val="0059286F"/>
    <w:rsid w:val="0059667C"/>
    <w:rsid w:val="005973E4"/>
    <w:rsid w:val="00597476"/>
    <w:rsid w:val="005A110E"/>
    <w:rsid w:val="005A267E"/>
    <w:rsid w:val="005A3E32"/>
    <w:rsid w:val="005A4D80"/>
    <w:rsid w:val="005A57F1"/>
    <w:rsid w:val="005A5A9A"/>
    <w:rsid w:val="005A7A5A"/>
    <w:rsid w:val="005B09B7"/>
    <w:rsid w:val="005B20C8"/>
    <w:rsid w:val="005B29A3"/>
    <w:rsid w:val="005B3AC3"/>
    <w:rsid w:val="005B5F9B"/>
    <w:rsid w:val="005B7C3E"/>
    <w:rsid w:val="005C03B7"/>
    <w:rsid w:val="005C1B1C"/>
    <w:rsid w:val="005C1E73"/>
    <w:rsid w:val="005C21EC"/>
    <w:rsid w:val="005C2F5E"/>
    <w:rsid w:val="005C69DC"/>
    <w:rsid w:val="005C716F"/>
    <w:rsid w:val="005D2706"/>
    <w:rsid w:val="005D2726"/>
    <w:rsid w:val="005D3030"/>
    <w:rsid w:val="005D3599"/>
    <w:rsid w:val="005D6FF0"/>
    <w:rsid w:val="005E02B4"/>
    <w:rsid w:val="005E0B6D"/>
    <w:rsid w:val="005E1F37"/>
    <w:rsid w:val="005E649F"/>
    <w:rsid w:val="005F027D"/>
    <w:rsid w:val="005F088E"/>
    <w:rsid w:val="005F396F"/>
    <w:rsid w:val="005F4757"/>
    <w:rsid w:val="005F7316"/>
    <w:rsid w:val="006023B8"/>
    <w:rsid w:val="00602A33"/>
    <w:rsid w:val="00610D4E"/>
    <w:rsid w:val="00610F7D"/>
    <w:rsid w:val="006118BE"/>
    <w:rsid w:val="00613124"/>
    <w:rsid w:val="0061677F"/>
    <w:rsid w:val="00616BBB"/>
    <w:rsid w:val="00617F2C"/>
    <w:rsid w:val="00620584"/>
    <w:rsid w:val="00621955"/>
    <w:rsid w:val="00621B37"/>
    <w:rsid w:val="00623602"/>
    <w:rsid w:val="00623605"/>
    <w:rsid w:val="006241A9"/>
    <w:rsid w:val="00625485"/>
    <w:rsid w:val="006254A0"/>
    <w:rsid w:val="006259B9"/>
    <w:rsid w:val="006302E5"/>
    <w:rsid w:val="006311E7"/>
    <w:rsid w:val="00632117"/>
    <w:rsid w:val="0063255B"/>
    <w:rsid w:val="006337CC"/>
    <w:rsid w:val="00633F84"/>
    <w:rsid w:val="0063413E"/>
    <w:rsid w:val="006353F2"/>
    <w:rsid w:val="00635F00"/>
    <w:rsid w:val="00636EC7"/>
    <w:rsid w:val="00637F58"/>
    <w:rsid w:val="0064173B"/>
    <w:rsid w:val="00641B43"/>
    <w:rsid w:val="006420EC"/>
    <w:rsid w:val="00643339"/>
    <w:rsid w:val="0064438D"/>
    <w:rsid w:val="0064599E"/>
    <w:rsid w:val="00645BEA"/>
    <w:rsid w:val="00646EE0"/>
    <w:rsid w:val="0064707D"/>
    <w:rsid w:val="006476E6"/>
    <w:rsid w:val="00647E03"/>
    <w:rsid w:val="0065147F"/>
    <w:rsid w:val="00654C13"/>
    <w:rsid w:val="00654F2F"/>
    <w:rsid w:val="00657F3E"/>
    <w:rsid w:val="00661289"/>
    <w:rsid w:val="00663FA1"/>
    <w:rsid w:val="00664148"/>
    <w:rsid w:val="0066545B"/>
    <w:rsid w:val="00665B20"/>
    <w:rsid w:val="00665E83"/>
    <w:rsid w:val="00666710"/>
    <w:rsid w:val="00666AA5"/>
    <w:rsid w:val="00667BDA"/>
    <w:rsid w:val="00672947"/>
    <w:rsid w:val="00672E60"/>
    <w:rsid w:val="0067352C"/>
    <w:rsid w:val="0067400B"/>
    <w:rsid w:val="00674D4D"/>
    <w:rsid w:val="00677055"/>
    <w:rsid w:val="00677AD1"/>
    <w:rsid w:val="0068015B"/>
    <w:rsid w:val="006803B0"/>
    <w:rsid w:val="00681320"/>
    <w:rsid w:val="00682533"/>
    <w:rsid w:val="00682E67"/>
    <w:rsid w:val="00685C4E"/>
    <w:rsid w:val="006873FA"/>
    <w:rsid w:val="00687B44"/>
    <w:rsid w:val="0069390C"/>
    <w:rsid w:val="00693D04"/>
    <w:rsid w:val="00694183"/>
    <w:rsid w:val="006976DF"/>
    <w:rsid w:val="006A2BC2"/>
    <w:rsid w:val="006A2F62"/>
    <w:rsid w:val="006A576D"/>
    <w:rsid w:val="006A5848"/>
    <w:rsid w:val="006A5AEE"/>
    <w:rsid w:val="006A7827"/>
    <w:rsid w:val="006A7BD0"/>
    <w:rsid w:val="006B1591"/>
    <w:rsid w:val="006B1C3A"/>
    <w:rsid w:val="006B258A"/>
    <w:rsid w:val="006B26AE"/>
    <w:rsid w:val="006B3279"/>
    <w:rsid w:val="006B4B7D"/>
    <w:rsid w:val="006B57DC"/>
    <w:rsid w:val="006B5CE5"/>
    <w:rsid w:val="006B7156"/>
    <w:rsid w:val="006B7EDE"/>
    <w:rsid w:val="006C097B"/>
    <w:rsid w:val="006C1E07"/>
    <w:rsid w:val="006C2AA7"/>
    <w:rsid w:val="006C400D"/>
    <w:rsid w:val="006C48A6"/>
    <w:rsid w:val="006C5A24"/>
    <w:rsid w:val="006C7A80"/>
    <w:rsid w:val="006D3497"/>
    <w:rsid w:val="006D49F0"/>
    <w:rsid w:val="006D4CC7"/>
    <w:rsid w:val="006D4DB6"/>
    <w:rsid w:val="006D4EF3"/>
    <w:rsid w:val="006D5FD8"/>
    <w:rsid w:val="006D71C3"/>
    <w:rsid w:val="006E1E1E"/>
    <w:rsid w:val="006E2B9D"/>
    <w:rsid w:val="006E3979"/>
    <w:rsid w:val="006F0156"/>
    <w:rsid w:val="006F0581"/>
    <w:rsid w:val="006F1C5F"/>
    <w:rsid w:val="006F1C78"/>
    <w:rsid w:val="006F477B"/>
    <w:rsid w:val="006F752F"/>
    <w:rsid w:val="006F7B88"/>
    <w:rsid w:val="00700ED7"/>
    <w:rsid w:val="00701198"/>
    <w:rsid w:val="00701436"/>
    <w:rsid w:val="00702379"/>
    <w:rsid w:val="0070585F"/>
    <w:rsid w:val="00705EBF"/>
    <w:rsid w:val="0070624F"/>
    <w:rsid w:val="00706555"/>
    <w:rsid w:val="00706A6A"/>
    <w:rsid w:val="00706F60"/>
    <w:rsid w:val="0071071D"/>
    <w:rsid w:val="00710F6B"/>
    <w:rsid w:val="0071244D"/>
    <w:rsid w:val="007133C7"/>
    <w:rsid w:val="007147EC"/>
    <w:rsid w:val="00714C21"/>
    <w:rsid w:val="007153B4"/>
    <w:rsid w:val="00716ECD"/>
    <w:rsid w:val="007208E1"/>
    <w:rsid w:val="00721A60"/>
    <w:rsid w:val="00722476"/>
    <w:rsid w:val="007233A4"/>
    <w:rsid w:val="00723F13"/>
    <w:rsid w:val="00725583"/>
    <w:rsid w:val="00725941"/>
    <w:rsid w:val="00726667"/>
    <w:rsid w:val="00731A00"/>
    <w:rsid w:val="00731D4A"/>
    <w:rsid w:val="00732205"/>
    <w:rsid w:val="00733021"/>
    <w:rsid w:val="00733374"/>
    <w:rsid w:val="007404C6"/>
    <w:rsid w:val="007412B9"/>
    <w:rsid w:val="007419E7"/>
    <w:rsid w:val="00742FDD"/>
    <w:rsid w:val="007433CA"/>
    <w:rsid w:val="0074498E"/>
    <w:rsid w:val="007452F7"/>
    <w:rsid w:val="007455D9"/>
    <w:rsid w:val="00745D2A"/>
    <w:rsid w:val="00746A9A"/>
    <w:rsid w:val="00746C75"/>
    <w:rsid w:val="00746CA1"/>
    <w:rsid w:val="007478EB"/>
    <w:rsid w:val="00747B0C"/>
    <w:rsid w:val="00747F47"/>
    <w:rsid w:val="00750A8A"/>
    <w:rsid w:val="007515B8"/>
    <w:rsid w:val="0075172B"/>
    <w:rsid w:val="00751EFB"/>
    <w:rsid w:val="007549A5"/>
    <w:rsid w:val="00757417"/>
    <w:rsid w:val="007612CB"/>
    <w:rsid w:val="00761838"/>
    <w:rsid w:val="007629DF"/>
    <w:rsid w:val="0076331E"/>
    <w:rsid w:val="007633B1"/>
    <w:rsid w:val="0076525B"/>
    <w:rsid w:val="007657D0"/>
    <w:rsid w:val="0076633E"/>
    <w:rsid w:val="0077099F"/>
    <w:rsid w:val="00772DB9"/>
    <w:rsid w:val="00776505"/>
    <w:rsid w:val="0078025D"/>
    <w:rsid w:val="0078075E"/>
    <w:rsid w:val="007813E3"/>
    <w:rsid w:val="00781AFE"/>
    <w:rsid w:val="00782051"/>
    <w:rsid w:val="00783629"/>
    <w:rsid w:val="007836EB"/>
    <w:rsid w:val="007839E2"/>
    <w:rsid w:val="00784D05"/>
    <w:rsid w:val="0078618A"/>
    <w:rsid w:val="007873E5"/>
    <w:rsid w:val="007911FD"/>
    <w:rsid w:val="00797D1F"/>
    <w:rsid w:val="007A121E"/>
    <w:rsid w:val="007A2569"/>
    <w:rsid w:val="007A282B"/>
    <w:rsid w:val="007A2895"/>
    <w:rsid w:val="007A38DB"/>
    <w:rsid w:val="007B06B4"/>
    <w:rsid w:val="007B073B"/>
    <w:rsid w:val="007B7A4C"/>
    <w:rsid w:val="007C0DF1"/>
    <w:rsid w:val="007C1EAC"/>
    <w:rsid w:val="007C2238"/>
    <w:rsid w:val="007C2C41"/>
    <w:rsid w:val="007C3031"/>
    <w:rsid w:val="007C35C8"/>
    <w:rsid w:val="007C3BF2"/>
    <w:rsid w:val="007C495F"/>
    <w:rsid w:val="007C4D96"/>
    <w:rsid w:val="007C63B9"/>
    <w:rsid w:val="007C72E9"/>
    <w:rsid w:val="007D360A"/>
    <w:rsid w:val="007D459B"/>
    <w:rsid w:val="007D50AB"/>
    <w:rsid w:val="007D5BFF"/>
    <w:rsid w:val="007D654D"/>
    <w:rsid w:val="007D6C23"/>
    <w:rsid w:val="007D7B58"/>
    <w:rsid w:val="007E13C8"/>
    <w:rsid w:val="007E1E59"/>
    <w:rsid w:val="007E2857"/>
    <w:rsid w:val="007E2B43"/>
    <w:rsid w:val="007E3FA5"/>
    <w:rsid w:val="007E410D"/>
    <w:rsid w:val="007E4DF1"/>
    <w:rsid w:val="007E555F"/>
    <w:rsid w:val="007E616F"/>
    <w:rsid w:val="007E62CF"/>
    <w:rsid w:val="007E780C"/>
    <w:rsid w:val="007F2951"/>
    <w:rsid w:val="007F3A20"/>
    <w:rsid w:val="007F5B39"/>
    <w:rsid w:val="00801859"/>
    <w:rsid w:val="00802338"/>
    <w:rsid w:val="00804A98"/>
    <w:rsid w:val="00804E6F"/>
    <w:rsid w:val="008051C2"/>
    <w:rsid w:val="00805742"/>
    <w:rsid w:val="00807A20"/>
    <w:rsid w:val="00811026"/>
    <w:rsid w:val="008148D9"/>
    <w:rsid w:val="00815B1E"/>
    <w:rsid w:val="00815F74"/>
    <w:rsid w:val="008176FB"/>
    <w:rsid w:val="00817D5F"/>
    <w:rsid w:val="008239CF"/>
    <w:rsid w:val="00826D9E"/>
    <w:rsid w:val="0082751A"/>
    <w:rsid w:val="0082782A"/>
    <w:rsid w:val="008300CB"/>
    <w:rsid w:val="0083230A"/>
    <w:rsid w:val="00832B24"/>
    <w:rsid w:val="008362A7"/>
    <w:rsid w:val="00837FBF"/>
    <w:rsid w:val="00841A31"/>
    <w:rsid w:val="008446D4"/>
    <w:rsid w:val="00845020"/>
    <w:rsid w:val="0084548F"/>
    <w:rsid w:val="00846991"/>
    <w:rsid w:val="00846D7F"/>
    <w:rsid w:val="00847659"/>
    <w:rsid w:val="00851170"/>
    <w:rsid w:val="0085289E"/>
    <w:rsid w:val="008537E8"/>
    <w:rsid w:val="008556FC"/>
    <w:rsid w:val="00856DAE"/>
    <w:rsid w:val="00856FF9"/>
    <w:rsid w:val="00857A43"/>
    <w:rsid w:val="00861EE3"/>
    <w:rsid w:val="00862914"/>
    <w:rsid w:val="008630C9"/>
    <w:rsid w:val="00866D97"/>
    <w:rsid w:val="008717FD"/>
    <w:rsid w:val="00872D8E"/>
    <w:rsid w:val="008733F9"/>
    <w:rsid w:val="00873A76"/>
    <w:rsid w:val="00875E88"/>
    <w:rsid w:val="008810E7"/>
    <w:rsid w:val="0088115C"/>
    <w:rsid w:val="00883A26"/>
    <w:rsid w:val="00887A8C"/>
    <w:rsid w:val="00890255"/>
    <w:rsid w:val="0089123B"/>
    <w:rsid w:val="008918CC"/>
    <w:rsid w:val="00891DBB"/>
    <w:rsid w:val="00893A04"/>
    <w:rsid w:val="00894587"/>
    <w:rsid w:val="00894D8B"/>
    <w:rsid w:val="00894D8C"/>
    <w:rsid w:val="008956E7"/>
    <w:rsid w:val="00896090"/>
    <w:rsid w:val="0089789D"/>
    <w:rsid w:val="008A0DD3"/>
    <w:rsid w:val="008A18BD"/>
    <w:rsid w:val="008A1902"/>
    <w:rsid w:val="008A2899"/>
    <w:rsid w:val="008A58F0"/>
    <w:rsid w:val="008A6362"/>
    <w:rsid w:val="008B0960"/>
    <w:rsid w:val="008B1580"/>
    <w:rsid w:val="008B43D6"/>
    <w:rsid w:val="008B52E1"/>
    <w:rsid w:val="008C052A"/>
    <w:rsid w:val="008C4AAF"/>
    <w:rsid w:val="008C500A"/>
    <w:rsid w:val="008C5B7B"/>
    <w:rsid w:val="008C7134"/>
    <w:rsid w:val="008C7AE0"/>
    <w:rsid w:val="008D19B0"/>
    <w:rsid w:val="008D1BD8"/>
    <w:rsid w:val="008D2696"/>
    <w:rsid w:val="008D3ACE"/>
    <w:rsid w:val="008D3D0D"/>
    <w:rsid w:val="008D41C0"/>
    <w:rsid w:val="008D7863"/>
    <w:rsid w:val="008D7EC8"/>
    <w:rsid w:val="008E1DDC"/>
    <w:rsid w:val="008E47F6"/>
    <w:rsid w:val="008E58B9"/>
    <w:rsid w:val="008E6127"/>
    <w:rsid w:val="008E763F"/>
    <w:rsid w:val="008E7C7B"/>
    <w:rsid w:val="008F01F8"/>
    <w:rsid w:val="008F0845"/>
    <w:rsid w:val="008F1587"/>
    <w:rsid w:val="008F2886"/>
    <w:rsid w:val="008F4AF3"/>
    <w:rsid w:val="008F4AFA"/>
    <w:rsid w:val="008F5D78"/>
    <w:rsid w:val="008F6EC3"/>
    <w:rsid w:val="008F7960"/>
    <w:rsid w:val="0090077D"/>
    <w:rsid w:val="00900AB8"/>
    <w:rsid w:val="0090628C"/>
    <w:rsid w:val="00911885"/>
    <w:rsid w:val="00911CB9"/>
    <w:rsid w:val="00912400"/>
    <w:rsid w:val="00913F99"/>
    <w:rsid w:val="00914EF0"/>
    <w:rsid w:val="009150C8"/>
    <w:rsid w:val="00916993"/>
    <w:rsid w:val="00920396"/>
    <w:rsid w:val="009214D6"/>
    <w:rsid w:val="0092283F"/>
    <w:rsid w:val="009247DF"/>
    <w:rsid w:val="009253E1"/>
    <w:rsid w:val="00925879"/>
    <w:rsid w:val="00925DEC"/>
    <w:rsid w:val="00927A02"/>
    <w:rsid w:val="00927FBD"/>
    <w:rsid w:val="00933132"/>
    <w:rsid w:val="00933190"/>
    <w:rsid w:val="00933232"/>
    <w:rsid w:val="00936CA8"/>
    <w:rsid w:val="00937DCA"/>
    <w:rsid w:val="0094047F"/>
    <w:rsid w:val="00942B11"/>
    <w:rsid w:val="00943320"/>
    <w:rsid w:val="00943E4D"/>
    <w:rsid w:val="00947EAF"/>
    <w:rsid w:val="00950A65"/>
    <w:rsid w:val="00950D87"/>
    <w:rsid w:val="00953655"/>
    <w:rsid w:val="00954086"/>
    <w:rsid w:val="0095415D"/>
    <w:rsid w:val="009544FB"/>
    <w:rsid w:val="009559A3"/>
    <w:rsid w:val="00955CD2"/>
    <w:rsid w:val="00956A05"/>
    <w:rsid w:val="00957825"/>
    <w:rsid w:val="00960803"/>
    <w:rsid w:val="0096099E"/>
    <w:rsid w:val="00961846"/>
    <w:rsid w:val="00961C2F"/>
    <w:rsid w:val="00961FD7"/>
    <w:rsid w:val="0096264E"/>
    <w:rsid w:val="00963215"/>
    <w:rsid w:val="00963E90"/>
    <w:rsid w:val="0096451B"/>
    <w:rsid w:val="00964D2D"/>
    <w:rsid w:val="0096512B"/>
    <w:rsid w:val="009656C4"/>
    <w:rsid w:val="0096663A"/>
    <w:rsid w:val="00966FA5"/>
    <w:rsid w:val="00970AD4"/>
    <w:rsid w:val="0097335F"/>
    <w:rsid w:val="00973388"/>
    <w:rsid w:val="00973B48"/>
    <w:rsid w:val="00976B84"/>
    <w:rsid w:val="00977782"/>
    <w:rsid w:val="009826F6"/>
    <w:rsid w:val="00982BF6"/>
    <w:rsid w:val="00983C72"/>
    <w:rsid w:val="00984B78"/>
    <w:rsid w:val="00993479"/>
    <w:rsid w:val="00994A7A"/>
    <w:rsid w:val="0099518F"/>
    <w:rsid w:val="00995951"/>
    <w:rsid w:val="009A51D9"/>
    <w:rsid w:val="009A52A2"/>
    <w:rsid w:val="009A60B9"/>
    <w:rsid w:val="009A72B6"/>
    <w:rsid w:val="009B2198"/>
    <w:rsid w:val="009B29AD"/>
    <w:rsid w:val="009B2AA1"/>
    <w:rsid w:val="009B4193"/>
    <w:rsid w:val="009B648B"/>
    <w:rsid w:val="009B6A79"/>
    <w:rsid w:val="009C151C"/>
    <w:rsid w:val="009C1D1C"/>
    <w:rsid w:val="009C2625"/>
    <w:rsid w:val="009C26AA"/>
    <w:rsid w:val="009C2CFC"/>
    <w:rsid w:val="009C3AF6"/>
    <w:rsid w:val="009C6B78"/>
    <w:rsid w:val="009D0BE6"/>
    <w:rsid w:val="009D1139"/>
    <w:rsid w:val="009D2834"/>
    <w:rsid w:val="009D4620"/>
    <w:rsid w:val="009D5910"/>
    <w:rsid w:val="009D6469"/>
    <w:rsid w:val="009E158F"/>
    <w:rsid w:val="009E2EA8"/>
    <w:rsid w:val="009E67D7"/>
    <w:rsid w:val="009F01B4"/>
    <w:rsid w:val="009F0369"/>
    <w:rsid w:val="009F053B"/>
    <w:rsid w:val="009F0BCB"/>
    <w:rsid w:val="009F107D"/>
    <w:rsid w:val="009F3C8F"/>
    <w:rsid w:val="009F3D7E"/>
    <w:rsid w:val="009F4E4E"/>
    <w:rsid w:val="009F4F54"/>
    <w:rsid w:val="009F5473"/>
    <w:rsid w:val="009F6387"/>
    <w:rsid w:val="009F7B7C"/>
    <w:rsid w:val="00A00C3D"/>
    <w:rsid w:val="00A02A82"/>
    <w:rsid w:val="00A02DED"/>
    <w:rsid w:val="00A06A8E"/>
    <w:rsid w:val="00A07B51"/>
    <w:rsid w:val="00A07BFA"/>
    <w:rsid w:val="00A10FB7"/>
    <w:rsid w:val="00A114CF"/>
    <w:rsid w:val="00A11B63"/>
    <w:rsid w:val="00A12076"/>
    <w:rsid w:val="00A13712"/>
    <w:rsid w:val="00A15581"/>
    <w:rsid w:val="00A15DDA"/>
    <w:rsid w:val="00A161AA"/>
    <w:rsid w:val="00A161E6"/>
    <w:rsid w:val="00A16D8A"/>
    <w:rsid w:val="00A23211"/>
    <w:rsid w:val="00A236F2"/>
    <w:rsid w:val="00A25951"/>
    <w:rsid w:val="00A27361"/>
    <w:rsid w:val="00A30B33"/>
    <w:rsid w:val="00A31B58"/>
    <w:rsid w:val="00A3234A"/>
    <w:rsid w:val="00A337F9"/>
    <w:rsid w:val="00A3447E"/>
    <w:rsid w:val="00A34DB3"/>
    <w:rsid w:val="00A37121"/>
    <w:rsid w:val="00A37490"/>
    <w:rsid w:val="00A43A3C"/>
    <w:rsid w:val="00A43BB7"/>
    <w:rsid w:val="00A43FC0"/>
    <w:rsid w:val="00A5226A"/>
    <w:rsid w:val="00A5369A"/>
    <w:rsid w:val="00A53B2A"/>
    <w:rsid w:val="00A54919"/>
    <w:rsid w:val="00A54B8A"/>
    <w:rsid w:val="00A55D2D"/>
    <w:rsid w:val="00A60DCF"/>
    <w:rsid w:val="00A61582"/>
    <w:rsid w:val="00A62BCE"/>
    <w:rsid w:val="00A62D09"/>
    <w:rsid w:val="00A636A2"/>
    <w:rsid w:val="00A641E6"/>
    <w:rsid w:val="00A6665C"/>
    <w:rsid w:val="00A675B0"/>
    <w:rsid w:val="00A70219"/>
    <w:rsid w:val="00A70A56"/>
    <w:rsid w:val="00A70BE8"/>
    <w:rsid w:val="00A70F1C"/>
    <w:rsid w:val="00A710CD"/>
    <w:rsid w:val="00A74752"/>
    <w:rsid w:val="00A77EEC"/>
    <w:rsid w:val="00A80D31"/>
    <w:rsid w:val="00A82A6F"/>
    <w:rsid w:val="00A856D2"/>
    <w:rsid w:val="00A8685C"/>
    <w:rsid w:val="00A87B87"/>
    <w:rsid w:val="00A91420"/>
    <w:rsid w:val="00A93251"/>
    <w:rsid w:val="00A9333B"/>
    <w:rsid w:val="00A96D60"/>
    <w:rsid w:val="00A97161"/>
    <w:rsid w:val="00A97AF5"/>
    <w:rsid w:val="00AA0E6F"/>
    <w:rsid w:val="00AA2CFD"/>
    <w:rsid w:val="00AA4F21"/>
    <w:rsid w:val="00AA5229"/>
    <w:rsid w:val="00AA78DF"/>
    <w:rsid w:val="00AB0866"/>
    <w:rsid w:val="00AB0A77"/>
    <w:rsid w:val="00AB19CF"/>
    <w:rsid w:val="00AB2F88"/>
    <w:rsid w:val="00AB344C"/>
    <w:rsid w:val="00AB3DBD"/>
    <w:rsid w:val="00AC19A6"/>
    <w:rsid w:val="00AC3634"/>
    <w:rsid w:val="00AC39FA"/>
    <w:rsid w:val="00AC47CD"/>
    <w:rsid w:val="00AC4AC8"/>
    <w:rsid w:val="00AC7AD7"/>
    <w:rsid w:val="00AC7D11"/>
    <w:rsid w:val="00AD02BC"/>
    <w:rsid w:val="00AD1171"/>
    <w:rsid w:val="00AD1C4E"/>
    <w:rsid w:val="00AD3C5B"/>
    <w:rsid w:val="00AD40CD"/>
    <w:rsid w:val="00AD5473"/>
    <w:rsid w:val="00AD59A2"/>
    <w:rsid w:val="00AD634F"/>
    <w:rsid w:val="00AD6FC4"/>
    <w:rsid w:val="00AD7446"/>
    <w:rsid w:val="00AD762E"/>
    <w:rsid w:val="00AD7874"/>
    <w:rsid w:val="00AD78D0"/>
    <w:rsid w:val="00AE0199"/>
    <w:rsid w:val="00AE0DEE"/>
    <w:rsid w:val="00AE2C94"/>
    <w:rsid w:val="00AE2E23"/>
    <w:rsid w:val="00AE3529"/>
    <w:rsid w:val="00AE41DB"/>
    <w:rsid w:val="00AF1F47"/>
    <w:rsid w:val="00AF339C"/>
    <w:rsid w:val="00AF3BB0"/>
    <w:rsid w:val="00AF5006"/>
    <w:rsid w:val="00AF6D8D"/>
    <w:rsid w:val="00AF7804"/>
    <w:rsid w:val="00B01DE5"/>
    <w:rsid w:val="00B01EDA"/>
    <w:rsid w:val="00B01FD1"/>
    <w:rsid w:val="00B03549"/>
    <w:rsid w:val="00B03B20"/>
    <w:rsid w:val="00B055B4"/>
    <w:rsid w:val="00B05E39"/>
    <w:rsid w:val="00B07278"/>
    <w:rsid w:val="00B07845"/>
    <w:rsid w:val="00B11BC4"/>
    <w:rsid w:val="00B1445B"/>
    <w:rsid w:val="00B14DB9"/>
    <w:rsid w:val="00B15AE2"/>
    <w:rsid w:val="00B2031C"/>
    <w:rsid w:val="00B215F8"/>
    <w:rsid w:val="00B21B08"/>
    <w:rsid w:val="00B22409"/>
    <w:rsid w:val="00B2282D"/>
    <w:rsid w:val="00B22C11"/>
    <w:rsid w:val="00B2370D"/>
    <w:rsid w:val="00B25EC7"/>
    <w:rsid w:val="00B3113C"/>
    <w:rsid w:val="00B34615"/>
    <w:rsid w:val="00B34E3F"/>
    <w:rsid w:val="00B34FBE"/>
    <w:rsid w:val="00B364FB"/>
    <w:rsid w:val="00B40691"/>
    <w:rsid w:val="00B40D20"/>
    <w:rsid w:val="00B40F0E"/>
    <w:rsid w:val="00B41A08"/>
    <w:rsid w:val="00B42606"/>
    <w:rsid w:val="00B42D39"/>
    <w:rsid w:val="00B455A0"/>
    <w:rsid w:val="00B47E12"/>
    <w:rsid w:val="00B515AB"/>
    <w:rsid w:val="00B51A05"/>
    <w:rsid w:val="00B51CB9"/>
    <w:rsid w:val="00B529F3"/>
    <w:rsid w:val="00B53A8C"/>
    <w:rsid w:val="00B53C3D"/>
    <w:rsid w:val="00B5419E"/>
    <w:rsid w:val="00B55D1B"/>
    <w:rsid w:val="00B577AF"/>
    <w:rsid w:val="00B60AB4"/>
    <w:rsid w:val="00B60CFB"/>
    <w:rsid w:val="00B61D26"/>
    <w:rsid w:val="00B63E46"/>
    <w:rsid w:val="00B64580"/>
    <w:rsid w:val="00B65EFE"/>
    <w:rsid w:val="00B6687E"/>
    <w:rsid w:val="00B6765D"/>
    <w:rsid w:val="00B70773"/>
    <w:rsid w:val="00B71A78"/>
    <w:rsid w:val="00B72DEC"/>
    <w:rsid w:val="00B75725"/>
    <w:rsid w:val="00B75E21"/>
    <w:rsid w:val="00B76A79"/>
    <w:rsid w:val="00B80683"/>
    <w:rsid w:val="00B81B09"/>
    <w:rsid w:val="00B82024"/>
    <w:rsid w:val="00B826B2"/>
    <w:rsid w:val="00B832DC"/>
    <w:rsid w:val="00B87F7A"/>
    <w:rsid w:val="00B90272"/>
    <w:rsid w:val="00B9089A"/>
    <w:rsid w:val="00B91E51"/>
    <w:rsid w:val="00B95321"/>
    <w:rsid w:val="00B95A31"/>
    <w:rsid w:val="00B964A4"/>
    <w:rsid w:val="00BA2396"/>
    <w:rsid w:val="00BA262E"/>
    <w:rsid w:val="00BA49BB"/>
    <w:rsid w:val="00BA5160"/>
    <w:rsid w:val="00BA5448"/>
    <w:rsid w:val="00BA5E60"/>
    <w:rsid w:val="00BA62FA"/>
    <w:rsid w:val="00BB0CB3"/>
    <w:rsid w:val="00BB1120"/>
    <w:rsid w:val="00BB53BF"/>
    <w:rsid w:val="00BB5651"/>
    <w:rsid w:val="00BB5BAD"/>
    <w:rsid w:val="00BB7D0C"/>
    <w:rsid w:val="00BC144C"/>
    <w:rsid w:val="00BC175B"/>
    <w:rsid w:val="00BC2F76"/>
    <w:rsid w:val="00BC46D8"/>
    <w:rsid w:val="00BC4CF3"/>
    <w:rsid w:val="00BC638A"/>
    <w:rsid w:val="00BD06E0"/>
    <w:rsid w:val="00BD0DC2"/>
    <w:rsid w:val="00BD3677"/>
    <w:rsid w:val="00BD44BB"/>
    <w:rsid w:val="00BD5E3A"/>
    <w:rsid w:val="00BE1E83"/>
    <w:rsid w:val="00BE228F"/>
    <w:rsid w:val="00BE42FE"/>
    <w:rsid w:val="00BE7292"/>
    <w:rsid w:val="00BF0F35"/>
    <w:rsid w:val="00BF190C"/>
    <w:rsid w:val="00BF1F67"/>
    <w:rsid w:val="00BF4DEE"/>
    <w:rsid w:val="00BF566E"/>
    <w:rsid w:val="00C033CF"/>
    <w:rsid w:val="00C038AF"/>
    <w:rsid w:val="00C048A4"/>
    <w:rsid w:val="00C064E7"/>
    <w:rsid w:val="00C11FCF"/>
    <w:rsid w:val="00C12129"/>
    <w:rsid w:val="00C121A8"/>
    <w:rsid w:val="00C12372"/>
    <w:rsid w:val="00C1242D"/>
    <w:rsid w:val="00C15006"/>
    <w:rsid w:val="00C1508C"/>
    <w:rsid w:val="00C15414"/>
    <w:rsid w:val="00C15D36"/>
    <w:rsid w:val="00C15E19"/>
    <w:rsid w:val="00C170C1"/>
    <w:rsid w:val="00C179C5"/>
    <w:rsid w:val="00C17BF9"/>
    <w:rsid w:val="00C201EA"/>
    <w:rsid w:val="00C204C6"/>
    <w:rsid w:val="00C208A4"/>
    <w:rsid w:val="00C20B81"/>
    <w:rsid w:val="00C2207E"/>
    <w:rsid w:val="00C22256"/>
    <w:rsid w:val="00C24C95"/>
    <w:rsid w:val="00C25050"/>
    <w:rsid w:val="00C27468"/>
    <w:rsid w:val="00C27BE3"/>
    <w:rsid w:val="00C27E71"/>
    <w:rsid w:val="00C32169"/>
    <w:rsid w:val="00C321BC"/>
    <w:rsid w:val="00C329E2"/>
    <w:rsid w:val="00C3355C"/>
    <w:rsid w:val="00C33E6D"/>
    <w:rsid w:val="00C3475B"/>
    <w:rsid w:val="00C34BA7"/>
    <w:rsid w:val="00C3787E"/>
    <w:rsid w:val="00C404C8"/>
    <w:rsid w:val="00C426C8"/>
    <w:rsid w:val="00C4392F"/>
    <w:rsid w:val="00C47447"/>
    <w:rsid w:val="00C4746D"/>
    <w:rsid w:val="00C47C75"/>
    <w:rsid w:val="00C47DAC"/>
    <w:rsid w:val="00C50AD1"/>
    <w:rsid w:val="00C5274B"/>
    <w:rsid w:val="00C55E24"/>
    <w:rsid w:val="00C60BF4"/>
    <w:rsid w:val="00C61F4C"/>
    <w:rsid w:val="00C6259D"/>
    <w:rsid w:val="00C62ED2"/>
    <w:rsid w:val="00C6330C"/>
    <w:rsid w:val="00C639A0"/>
    <w:rsid w:val="00C63F5E"/>
    <w:rsid w:val="00C6462A"/>
    <w:rsid w:val="00C6700C"/>
    <w:rsid w:val="00C6725B"/>
    <w:rsid w:val="00C6745B"/>
    <w:rsid w:val="00C701CF"/>
    <w:rsid w:val="00C70496"/>
    <w:rsid w:val="00C71F07"/>
    <w:rsid w:val="00C73B93"/>
    <w:rsid w:val="00C759FD"/>
    <w:rsid w:val="00C75B99"/>
    <w:rsid w:val="00C76521"/>
    <w:rsid w:val="00C77E26"/>
    <w:rsid w:val="00C81E69"/>
    <w:rsid w:val="00C83093"/>
    <w:rsid w:val="00C83F40"/>
    <w:rsid w:val="00C85273"/>
    <w:rsid w:val="00C868E4"/>
    <w:rsid w:val="00C939E3"/>
    <w:rsid w:val="00C93B55"/>
    <w:rsid w:val="00C96D14"/>
    <w:rsid w:val="00C96FF3"/>
    <w:rsid w:val="00C97472"/>
    <w:rsid w:val="00CA2E35"/>
    <w:rsid w:val="00CA3821"/>
    <w:rsid w:val="00CA72A6"/>
    <w:rsid w:val="00CA7673"/>
    <w:rsid w:val="00CB3426"/>
    <w:rsid w:val="00CB59A0"/>
    <w:rsid w:val="00CB6BD2"/>
    <w:rsid w:val="00CB6C11"/>
    <w:rsid w:val="00CB7EF5"/>
    <w:rsid w:val="00CC1446"/>
    <w:rsid w:val="00CC14D4"/>
    <w:rsid w:val="00CC19DB"/>
    <w:rsid w:val="00CC1FB9"/>
    <w:rsid w:val="00CC3746"/>
    <w:rsid w:val="00CC46C9"/>
    <w:rsid w:val="00CC71A3"/>
    <w:rsid w:val="00CC75BB"/>
    <w:rsid w:val="00CC7C59"/>
    <w:rsid w:val="00CD09F3"/>
    <w:rsid w:val="00CD0B92"/>
    <w:rsid w:val="00CD0F7F"/>
    <w:rsid w:val="00CD12CF"/>
    <w:rsid w:val="00CD36CD"/>
    <w:rsid w:val="00CD4E20"/>
    <w:rsid w:val="00CD4FD0"/>
    <w:rsid w:val="00CD517A"/>
    <w:rsid w:val="00CD563E"/>
    <w:rsid w:val="00CD5A53"/>
    <w:rsid w:val="00CD6EFC"/>
    <w:rsid w:val="00CE1947"/>
    <w:rsid w:val="00CE29A3"/>
    <w:rsid w:val="00CE432E"/>
    <w:rsid w:val="00CE664B"/>
    <w:rsid w:val="00CE68B9"/>
    <w:rsid w:val="00CF35A8"/>
    <w:rsid w:val="00CF5828"/>
    <w:rsid w:val="00CF5D99"/>
    <w:rsid w:val="00CF7034"/>
    <w:rsid w:val="00D02759"/>
    <w:rsid w:val="00D02852"/>
    <w:rsid w:val="00D05568"/>
    <w:rsid w:val="00D069A2"/>
    <w:rsid w:val="00D07B35"/>
    <w:rsid w:val="00D13E7F"/>
    <w:rsid w:val="00D14AF3"/>
    <w:rsid w:val="00D14D7A"/>
    <w:rsid w:val="00D1631D"/>
    <w:rsid w:val="00D17308"/>
    <w:rsid w:val="00D176A7"/>
    <w:rsid w:val="00D17F4F"/>
    <w:rsid w:val="00D2129C"/>
    <w:rsid w:val="00D22186"/>
    <w:rsid w:val="00D224BE"/>
    <w:rsid w:val="00D24BAE"/>
    <w:rsid w:val="00D26303"/>
    <w:rsid w:val="00D26790"/>
    <w:rsid w:val="00D3109F"/>
    <w:rsid w:val="00D315AF"/>
    <w:rsid w:val="00D3222B"/>
    <w:rsid w:val="00D33739"/>
    <w:rsid w:val="00D33807"/>
    <w:rsid w:val="00D351F4"/>
    <w:rsid w:val="00D3581D"/>
    <w:rsid w:val="00D36244"/>
    <w:rsid w:val="00D366BA"/>
    <w:rsid w:val="00D442B2"/>
    <w:rsid w:val="00D45BCE"/>
    <w:rsid w:val="00D47698"/>
    <w:rsid w:val="00D47CFC"/>
    <w:rsid w:val="00D51FCF"/>
    <w:rsid w:val="00D56ACD"/>
    <w:rsid w:val="00D6003D"/>
    <w:rsid w:val="00D605FA"/>
    <w:rsid w:val="00D62824"/>
    <w:rsid w:val="00D6450B"/>
    <w:rsid w:val="00D649DF"/>
    <w:rsid w:val="00D65884"/>
    <w:rsid w:val="00D672DA"/>
    <w:rsid w:val="00D70B2A"/>
    <w:rsid w:val="00D713EE"/>
    <w:rsid w:val="00D71CF1"/>
    <w:rsid w:val="00D737D8"/>
    <w:rsid w:val="00D7426E"/>
    <w:rsid w:val="00D7531E"/>
    <w:rsid w:val="00D75E03"/>
    <w:rsid w:val="00D75E95"/>
    <w:rsid w:val="00D76F04"/>
    <w:rsid w:val="00D82002"/>
    <w:rsid w:val="00D853B9"/>
    <w:rsid w:val="00D935EF"/>
    <w:rsid w:val="00D944B3"/>
    <w:rsid w:val="00D960B3"/>
    <w:rsid w:val="00DA02D9"/>
    <w:rsid w:val="00DA08C6"/>
    <w:rsid w:val="00DA2658"/>
    <w:rsid w:val="00DA2C53"/>
    <w:rsid w:val="00DB1EC8"/>
    <w:rsid w:val="00DB45CE"/>
    <w:rsid w:val="00DB4EF3"/>
    <w:rsid w:val="00DB5194"/>
    <w:rsid w:val="00DB5F76"/>
    <w:rsid w:val="00DB6EE3"/>
    <w:rsid w:val="00DB7E78"/>
    <w:rsid w:val="00DC06D5"/>
    <w:rsid w:val="00DC362C"/>
    <w:rsid w:val="00DC3F5F"/>
    <w:rsid w:val="00DC6192"/>
    <w:rsid w:val="00DC679A"/>
    <w:rsid w:val="00DD115F"/>
    <w:rsid w:val="00DD39FB"/>
    <w:rsid w:val="00DD5282"/>
    <w:rsid w:val="00DD6FB2"/>
    <w:rsid w:val="00DD7F6E"/>
    <w:rsid w:val="00DE1A7F"/>
    <w:rsid w:val="00DE24C0"/>
    <w:rsid w:val="00DE258E"/>
    <w:rsid w:val="00DE280D"/>
    <w:rsid w:val="00DE2BF0"/>
    <w:rsid w:val="00DE378E"/>
    <w:rsid w:val="00DE3D2D"/>
    <w:rsid w:val="00DE4846"/>
    <w:rsid w:val="00DE6C93"/>
    <w:rsid w:val="00DE6ED6"/>
    <w:rsid w:val="00DE73F4"/>
    <w:rsid w:val="00DF1C71"/>
    <w:rsid w:val="00DF342D"/>
    <w:rsid w:val="00DF3655"/>
    <w:rsid w:val="00DF3BB6"/>
    <w:rsid w:val="00DF4143"/>
    <w:rsid w:val="00DF489A"/>
    <w:rsid w:val="00DF5AC4"/>
    <w:rsid w:val="00DF7FA7"/>
    <w:rsid w:val="00E00044"/>
    <w:rsid w:val="00E006CD"/>
    <w:rsid w:val="00E0197B"/>
    <w:rsid w:val="00E02B19"/>
    <w:rsid w:val="00E02DFE"/>
    <w:rsid w:val="00E0575A"/>
    <w:rsid w:val="00E05ED6"/>
    <w:rsid w:val="00E07499"/>
    <w:rsid w:val="00E07E58"/>
    <w:rsid w:val="00E101C1"/>
    <w:rsid w:val="00E10601"/>
    <w:rsid w:val="00E10C3F"/>
    <w:rsid w:val="00E10E2B"/>
    <w:rsid w:val="00E1349F"/>
    <w:rsid w:val="00E16F8B"/>
    <w:rsid w:val="00E17A81"/>
    <w:rsid w:val="00E20CF7"/>
    <w:rsid w:val="00E20DED"/>
    <w:rsid w:val="00E24554"/>
    <w:rsid w:val="00E24707"/>
    <w:rsid w:val="00E25EA3"/>
    <w:rsid w:val="00E26E9E"/>
    <w:rsid w:val="00E27965"/>
    <w:rsid w:val="00E3286F"/>
    <w:rsid w:val="00E335EA"/>
    <w:rsid w:val="00E33670"/>
    <w:rsid w:val="00E35143"/>
    <w:rsid w:val="00E35540"/>
    <w:rsid w:val="00E35864"/>
    <w:rsid w:val="00E374C2"/>
    <w:rsid w:val="00E40E4D"/>
    <w:rsid w:val="00E434AB"/>
    <w:rsid w:val="00E46A20"/>
    <w:rsid w:val="00E50B79"/>
    <w:rsid w:val="00E533AF"/>
    <w:rsid w:val="00E575B2"/>
    <w:rsid w:val="00E61234"/>
    <w:rsid w:val="00E61CCB"/>
    <w:rsid w:val="00E61E4A"/>
    <w:rsid w:val="00E62617"/>
    <w:rsid w:val="00E6583A"/>
    <w:rsid w:val="00E67CE1"/>
    <w:rsid w:val="00E67F5B"/>
    <w:rsid w:val="00E705E8"/>
    <w:rsid w:val="00E73305"/>
    <w:rsid w:val="00E74594"/>
    <w:rsid w:val="00E7499D"/>
    <w:rsid w:val="00E76360"/>
    <w:rsid w:val="00E76E02"/>
    <w:rsid w:val="00E803FF"/>
    <w:rsid w:val="00E816B8"/>
    <w:rsid w:val="00E8193A"/>
    <w:rsid w:val="00E83688"/>
    <w:rsid w:val="00E84D17"/>
    <w:rsid w:val="00E86531"/>
    <w:rsid w:val="00E8757B"/>
    <w:rsid w:val="00E907C4"/>
    <w:rsid w:val="00E90AD7"/>
    <w:rsid w:val="00E960B4"/>
    <w:rsid w:val="00E96757"/>
    <w:rsid w:val="00E97B5C"/>
    <w:rsid w:val="00EA0C44"/>
    <w:rsid w:val="00EA15E1"/>
    <w:rsid w:val="00EA2969"/>
    <w:rsid w:val="00EA29A1"/>
    <w:rsid w:val="00EA3187"/>
    <w:rsid w:val="00EA451D"/>
    <w:rsid w:val="00EA58B7"/>
    <w:rsid w:val="00EA5F8A"/>
    <w:rsid w:val="00EA7C55"/>
    <w:rsid w:val="00EB046F"/>
    <w:rsid w:val="00EB0508"/>
    <w:rsid w:val="00EB053E"/>
    <w:rsid w:val="00EB2B87"/>
    <w:rsid w:val="00EB2E38"/>
    <w:rsid w:val="00EB33B4"/>
    <w:rsid w:val="00EB5878"/>
    <w:rsid w:val="00EB6C58"/>
    <w:rsid w:val="00EB793E"/>
    <w:rsid w:val="00EC0515"/>
    <w:rsid w:val="00EC1082"/>
    <w:rsid w:val="00EC3376"/>
    <w:rsid w:val="00EC3B18"/>
    <w:rsid w:val="00EC495E"/>
    <w:rsid w:val="00EC58DB"/>
    <w:rsid w:val="00ED0040"/>
    <w:rsid w:val="00ED23F4"/>
    <w:rsid w:val="00ED361C"/>
    <w:rsid w:val="00ED4800"/>
    <w:rsid w:val="00ED4C60"/>
    <w:rsid w:val="00EE04D2"/>
    <w:rsid w:val="00EE0D39"/>
    <w:rsid w:val="00EE2680"/>
    <w:rsid w:val="00EE3CDE"/>
    <w:rsid w:val="00EE3D14"/>
    <w:rsid w:val="00EE5AAF"/>
    <w:rsid w:val="00EF2CD7"/>
    <w:rsid w:val="00EF2E19"/>
    <w:rsid w:val="00EF3333"/>
    <w:rsid w:val="00EF6C9B"/>
    <w:rsid w:val="00EF7E29"/>
    <w:rsid w:val="00F031AD"/>
    <w:rsid w:val="00F12113"/>
    <w:rsid w:val="00F123BC"/>
    <w:rsid w:val="00F132F3"/>
    <w:rsid w:val="00F160C7"/>
    <w:rsid w:val="00F16F5D"/>
    <w:rsid w:val="00F1741E"/>
    <w:rsid w:val="00F17EA7"/>
    <w:rsid w:val="00F221D7"/>
    <w:rsid w:val="00F24780"/>
    <w:rsid w:val="00F24979"/>
    <w:rsid w:val="00F25089"/>
    <w:rsid w:val="00F251AD"/>
    <w:rsid w:val="00F27EDD"/>
    <w:rsid w:val="00F30C54"/>
    <w:rsid w:val="00F31033"/>
    <w:rsid w:val="00F318CC"/>
    <w:rsid w:val="00F320F3"/>
    <w:rsid w:val="00F3320C"/>
    <w:rsid w:val="00F36C6B"/>
    <w:rsid w:val="00F40DF3"/>
    <w:rsid w:val="00F40E0A"/>
    <w:rsid w:val="00F40EE1"/>
    <w:rsid w:val="00F45B4D"/>
    <w:rsid w:val="00F45FA8"/>
    <w:rsid w:val="00F46B64"/>
    <w:rsid w:val="00F511C3"/>
    <w:rsid w:val="00F52D28"/>
    <w:rsid w:val="00F5327D"/>
    <w:rsid w:val="00F5763D"/>
    <w:rsid w:val="00F60E25"/>
    <w:rsid w:val="00F61029"/>
    <w:rsid w:val="00F624F5"/>
    <w:rsid w:val="00F6316D"/>
    <w:rsid w:val="00F638E4"/>
    <w:rsid w:val="00F639CE"/>
    <w:rsid w:val="00F639DD"/>
    <w:rsid w:val="00F63F78"/>
    <w:rsid w:val="00F65640"/>
    <w:rsid w:val="00F65738"/>
    <w:rsid w:val="00F6595A"/>
    <w:rsid w:val="00F679C5"/>
    <w:rsid w:val="00F679E1"/>
    <w:rsid w:val="00F71352"/>
    <w:rsid w:val="00F72CFF"/>
    <w:rsid w:val="00F73342"/>
    <w:rsid w:val="00F755F4"/>
    <w:rsid w:val="00F76DD4"/>
    <w:rsid w:val="00F77C49"/>
    <w:rsid w:val="00F81B11"/>
    <w:rsid w:val="00F846A5"/>
    <w:rsid w:val="00F84A55"/>
    <w:rsid w:val="00F84EEA"/>
    <w:rsid w:val="00F85075"/>
    <w:rsid w:val="00F8575A"/>
    <w:rsid w:val="00F92578"/>
    <w:rsid w:val="00F92C8C"/>
    <w:rsid w:val="00F930BE"/>
    <w:rsid w:val="00F944BF"/>
    <w:rsid w:val="00F94B40"/>
    <w:rsid w:val="00F958BA"/>
    <w:rsid w:val="00F964E0"/>
    <w:rsid w:val="00FA16C8"/>
    <w:rsid w:val="00FA40C7"/>
    <w:rsid w:val="00FA4466"/>
    <w:rsid w:val="00FB0869"/>
    <w:rsid w:val="00FB1ECB"/>
    <w:rsid w:val="00FB2461"/>
    <w:rsid w:val="00FB2FE8"/>
    <w:rsid w:val="00FB5072"/>
    <w:rsid w:val="00FB5429"/>
    <w:rsid w:val="00FB747A"/>
    <w:rsid w:val="00FB7487"/>
    <w:rsid w:val="00FC05F7"/>
    <w:rsid w:val="00FC1D0C"/>
    <w:rsid w:val="00FC363F"/>
    <w:rsid w:val="00FC447E"/>
    <w:rsid w:val="00FC4BDA"/>
    <w:rsid w:val="00FC4D98"/>
    <w:rsid w:val="00FC560F"/>
    <w:rsid w:val="00FC5BF9"/>
    <w:rsid w:val="00FC64D1"/>
    <w:rsid w:val="00FC6A15"/>
    <w:rsid w:val="00FC7602"/>
    <w:rsid w:val="00FC7BCA"/>
    <w:rsid w:val="00FD0289"/>
    <w:rsid w:val="00FD287B"/>
    <w:rsid w:val="00FD72A9"/>
    <w:rsid w:val="00FD763F"/>
    <w:rsid w:val="00FD785B"/>
    <w:rsid w:val="00FD7FB3"/>
    <w:rsid w:val="00FE092A"/>
    <w:rsid w:val="00FE2A3B"/>
    <w:rsid w:val="00FE2F34"/>
    <w:rsid w:val="00FE57AB"/>
    <w:rsid w:val="00FE6140"/>
    <w:rsid w:val="00FF0579"/>
    <w:rsid w:val="00FF7055"/>
    <w:rsid w:val="00FF76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uiPriority w:val="1"/>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uiPriority w:val="59"/>
    <w:rsid w:val="00342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426DB"/>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uiPriority w:val="99"/>
    <w:semiHidden/>
    <w:rsid w:val="003426DB"/>
    <w:rPr>
      <w:rFonts w:ascii="Times New Roman" w:eastAsia="Times New Roman" w:hAnsi="Times New Roman"/>
      <w:lang w:eastAsia="en-US"/>
    </w:rPr>
  </w:style>
  <w:style w:type="character" w:styleId="FootnoteReference">
    <w:name w:val="footnote reference"/>
    <w:basedOn w:val="DefaultParagraphFont"/>
    <w:uiPriority w:val="99"/>
    <w:semiHidden/>
    <w:rsid w:val="003426DB"/>
    <w:rPr>
      <w:vertAlign w:val="superscript"/>
    </w:rPr>
  </w:style>
  <w:style w:type="paragraph" w:customStyle="1" w:styleId="Default">
    <w:name w:val="Default"/>
    <w:rsid w:val="0066545B"/>
    <w:pPr>
      <w:autoSpaceDE w:val="0"/>
      <w:autoSpaceDN w:val="0"/>
      <w:adjustRightInd w:val="0"/>
    </w:pPr>
    <w:rPr>
      <w:rFonts w:ascii="Times New Roman" w:hAnsi="Times New Roman"/>
      <w:color w:val="000000"/>
      <w:sz w:val="24"/>
      <w:szCs w:val="24"/>
    </w:rPr>
  </w:style>
  <w:style w:type="paragraph" w:customStyle="1" w:styleId="CharCharCaracterCaracter">
    <w:name w:val="Char Char Caracter Caracter"/>
    <w:basedOn w:val="Normal"/>
    <w:rsid w:val="00142C25"/>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semiHidden/>
    <w:unhideWhenUsed/>
    <w:rsid w:val="007E410D"/>
    <w:rPr>
      <w:color w:val="800080" w:themeColor="followedHyperlink"/>
      <w:u w:val="single"/>
    </w:rPr>
  </w:style>
  <w:style w:type="paragraph" w:customStyle="1" w:styleId="CharCharCharCaracter">
    <w:name w:val="Char Char Char Caracter"/>
    <w:basedOn w:val="Normal"/>
    <w:rsid w:val="00B6687E"/>
    <w:pPr>
      <w:spacing w:after="0" w:line="240" w:lineRule="auto"/>
    </w:pPr>
    <w:rPr>
      <w:rFonts w:ascii="Times New Roman" w:eastAsia="Times New Roman" w:hAnsi="Times New Roman"/>
      <w:sz w:val="24"/>
      <w:szCs w:val="24"/>
      <w:lang w:val="pl-PL" w:eastAsia="pl-PL"/>
    </w:rPr>
  </w:style>
  <w:style w:type="character" w:customStyle="1" w:styleId="yshortcuts">
    <w:name w:val="yshortcuts"/>
    <w:basedOn w:val="DefaultParagraphFont"/>
    <w:rsid w:val="00B6687E"/>
  </w:style>
  <w:style w:type="character" w:customStyle="1" w:styleId="style121">
    <w:name w:val="style121"/>
    <w:rsid w:val="008E58B9"/>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soil/pdf/guidelines/RO%20-%20Sealing%20Guidelines.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manualLayout>
          <c:layoutTarget val="inner"/>
          <c:xMode val="edge"/>
          <c:yMode val="edge"/>
          <c:x val="0.13469430251571129"/>
          <c:y val="3.6720569252502028E-2"/>
          <c:w val="0.8561336520314754"/>
          <c:h val="0.48750615601743352"/>
        </c:manualLayout>
      </c:layout>
      <c:barChart>
        <c:barDir val="col"/>
        <c:grouping val="clustered"/>
        <c:ser>
          <c:idx val="0"/>
          <c:order val="0"/>
          <c:tx>
            <c:strRef>
              <c:f>Sheet1!$B$1</c:f>
              <c:strCache>
                <c:ptCount val="1"/>
                <c:pt idx="0">
                  <c:v>Clung. Mold. Colegiul Silvic</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71.8</c:v>
                </c:pt>
                <c:pt idx="1">
                  <c:v>72.3</c:v>
                </c:pt>
                <c:pt idx="2">
                  <c:v>71.099999999999994</c:v>
                </c:pt>
                <c:pt idx="3">
                  <c:v>74.8</c:v>
                </c:pt>
                <c:pt idx="4">
                  <c:v>75.900000000000006</c:v>
                </c:pt>
              </c:numCache>
            </c:numRef>
          </c:val>
        </c:ser>
        <c:ser>
          <c:idx val="1"/>
          <c:order val="1"/>
          <c:tx>
            <c:strRef>
              <c:f>Sheet1!$C$1</c:f>
              <c:strCache>
                <c:ptCount val="1"/>
                <c:pt idx="0">
                  <c:v>G.Humor, Bd.Bucovina 72-73</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76.3</c:v>
                </c:pt>
                <c:pt idx="1">
                  <c:v>73.2</c:v>
                </c:pt>
                <c:pt idx="2">
                  <c:v>73.099999999999994</c:v>
                </c:pt>
                <c:pt idx="3">
                  <c:v>72.8</c:v>
                </c:pt>
                <c:pt idx="4">
                  <c:v>73.099999999999994</c:v>
                </c:pt>
              </c:numCache>
            </c:numRef>
          </c:val>
        </c:ser>
        <c:ser>
          <c:idx val="2"/>
          <c:order val="2"/>
          <c:tx>
            <c:strRef>
              <c:f>Sheet1!$D$1</c:f>
              <c:strCache>
                <c:ptCount val="1"/>
                <c:pt idx="0">
                  <c:v>Suceava C. Unirii, 60 m aval de bl. AMBRO</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78.2</c:v>
                </c:pt>
                <c:pt idx="1">
                  <c:v>74.7</c:v>
                </c:pt>
                <c:pt idx="2">
                  <c:v>75.3</c:v>
                </c:pt>
                <c:pt idx="3" formatCode="0.0">
                  <c:v>77</c:v>
                </c:pt>
                <c:pt idx="4">
                  <c:v>75.2</c:v>
                </c:pt>
              </c:numCache>
            </c:numRef>
          </c:val>
        </c:ser>
        <c:ser>
          <c:idx val="3"/>
          <c:order val="3"/>
          <c:tx>
            <c:strRef>
              <c:f>Sheet1!$E$1</c:f>
              <c:strCache>
                <c:ptCount val="1"/>
                <c:pt idx="0">
                  <c:v>Siret str. Al. cel Bun 20</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75.599999999999994</c:v>
                </c:pt>
                <c:pt idx="1">
                  <c:v>71.099999999999994</c:v>
                </c:pt>
                <c:pt idx="2" formatCode="0.0">
                  <c:v>69</c:v>
                </c:pt>
                <c:pt idx="3">
                  <c:v>69.5</c:v>
                </c:pt>
                <c:pt idx="4">
                  <c:v>70.7</c:v>
                </c:pt>
              </c:numCache>
            </c:numRef>
          </c:val>
        </c:ser>
        <c:ser>
          <c:idx val="4"/>
          <c:order val="4"/>
          <c:tx>
            <c:strRef>
              <c:f>Sheet1!$F$1</c:f>
              <c:strCache>
                <c:ptCount val="1"/>
                <c:pt idx="0">
                  <c:v>Suceava C. Unirii, Șc.„Jean Bart”</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68.8</c:v>
                </c:pt>
                <c:pt idx="1">
                  <c:v>69.400000000000006</c:v>
                </c:pt>
                <c:pt idx="2">
                  <c:v>70.5</c:v>
                </c:pt>
                <c:pt idx="3">
                  <c:v>70.400000000000006</c:v>
                </c:pt>
                <c:pt idx="4">
                  <c:v>69.400000000000006</c:v>
                </c:pt>
              </c:numCache>
            </c:numRef>
          </c:val>
        </c:ser>
        <c:ser>
          <c:idx val="5"/>
          <c:order val="5"/>
          <c:tx>
            <c:strRef>
              <c:f>Sheet1!$G$1</c:f>
              <c:strCache>
                <c:ptCount val="1"/>
                <c:pt idx="0">
                  <c:v>Rădăuţi, str. Putnei 69</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0.0</c:formatCode>
                <c:ptCount val="5"/>
                <c:pt idx="0" formatCode="General">
                  <c:v>73.599999999999994</c:v>
                </c:pt>
                <c:pt idx="1">
                  <c:v>71</c:v>
                </c:pt>
                <c:pt idx="2" formatCode="General">
                  <c:v>68.400000000000006</c:v>
                </c:pt>
                <c:pt idx="3" formatCode="General">
                  <c:v>68.7</c:v>
                </c:pt>
                <c:pt idx="4" formatCode="General">
                  <c:v>71.3</c:v>
                </c:pt>
              </c:numCache>
            </c:numRef>
          </c:val>
        </c:ser>
        <c:ser>
          <c:idx val="6"/>
          <c:order val="6"/>
          <c:tx>
            <c:strRef>
              <c:f>Sheet1!$H$1</c:f>
              <c:strCache>
                <c:ptCount val="1"/>
                <c:pt idx="0">
                  <c:v>Fălticeni, str. Sucevei 80-82</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formatCode="0.0">
                  <c:v>72</c:v>
                </c:pt>
                <c:pt idx="1">
                  <c:v>71.3</c:v>
                </c:pt>
                <c:pt idx="2">
                  <c:v>69.3</c:v>
                </c:pt>
                <c:pt idx="3">
                  <c:v>68.400000000000006</c:v>
                </c:pt>
                <c:pt idx="4">
                  <c:v>69.400000000000006</c:v>
                </c:pt>
              </c:numCache>
            </c:numRef>
          </c:val>
        </c:ser>
        <c:axId val="174979328"/>
        <c:axId val="175120384"/>
      </c:barChart>
      <c:lineChart>
        <c:grouping val="standard"/>
        <c:ser>
          <c:idx val="7"/>
          <c:order val="7"/>
          <c:tx>
            <c:strRef>
              <c:f>Sheet1!$I$1</c:f>
              <c:strCache>
                <c:ptCount val="1"/>
                <c:pt idx="0">
                  <c:v>Lim. admisibilă minimă cf. SR 10009/2017</c:v>
                </c:pt>
              </c:strCache>
            </c:strRef>
          </c:tx>
          <c:spPr>
            <a:ln w="19050">
              <a:solidFill>
                <a:srgbClr val="FF0000"/>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75</c:v>
                </c:pt>
                <c:pt idx="1">
                  <c:v>75</c:v>
                </c:pt>
                <c:pt idx="2">
                  <c:v>75</c:v>
                </c:pt>
                <c:pt idx="3">
                  <c:v>75</c:v>
                </c:pt>
                <c:pt idx="4">
                  <c:v>75</c:v>
                </c:pt>
              </c:numCache>
            </c:numRef>
          </c:val>
        </c:ser>
        <c:ser>
          <c:idx val="8"/>
          <c:order val="8"/>
          <c:tx>
            <c:strRef>
              <c:f>Sheet1!$J$1</c:f>
              <c:strCache>
                <c:ptCount val="1"/>
                <c:pt idx="0">
                  <c:v>Lim. admisibilă maximă  cf. SR 10009/2017</c:v>
                </c:pt>
              </c:strCache>
            </c:strRef>
          </c:tx>
          <c:spPr>
            <a:ln w="19050">
              <a:solidFill>
                <a:srgbClr val="FF0000"/>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85</c:v>
                </c:pt>
                <c:pt idx="1">
                  <c:v>85</c:v>
                </c:pt>
                <c:pt idx="2">
                  <c:v>85</c:v>
                </c:pt>
                <c:pt idx="3">
                  <c:v>85</c:v>
                </c:pt>
                <c:pt idx="4">
                  <c:v>85</c:v>
                </c:pt>
              </c:numCache>
            </c:numRef>
          </c:val>
        </c:ser>
        <c:marker val="1"/>
        <c:axId val="174979328"/>
        <c:axId val="175120384"/>
      </c:lineChart>
      <c:catAx>
        <c:axId val="174979328"/>
        <c:scaling>
          <c:orientation val="minMax"/>
        </c:scaling>
        <c:axPos val="b"/>
        <c:numFmt formatCode="General" sourceLinked="1"/>
        <c:tickLblPos val="nextTo"/>
        <c:spPr>
          <a:ln>
            <a:solidFill>
              <a:sysClr val="windowText" lastClr="000000"/>
            </a:solidFill>
          </a:ln>
        </c:spPr>
        <c:crossAx val="175120384"/>
        <c:crossesAt val="0"/>
        <c:auto val="1"/>
        <c:lblAlgn val="ctr"/>
        <c:lblOffset val="100"/>
      </c:catAx>
      <c:valAx>
        <c:axId val="175120384"/>
        <c:scaling>
          <c:orientation val="minMax"/>
          <c:min val="0"/>
        </c:scaling>
        <c:axPos val="l"/>
        <c:majorGridlines/>
        <c:title>
          <c:tx>
            <c:rich>
              <a:bodyPr rot="0" vert="horz"/>
              <a:lstStyle/>
              <a:p>
                <a:pPr>
                  <a:defRPr/>
                </a:pPr>
                <a:r>
                  <a:rPr lang="ro-RO"/>
                  <a:t>dB(A)</a:t>
                </a:r>
              </a:p>
            </c:rich>
          </c:tx>
          <c:layout>
            <c:manualLayout>
              <c:xMode val="edge"/>
              <c:yMode val="edge"/>
              <c:x val="6.0055194065372023E-4"/>
              <c:y val="0.10224439968259781"/>
            </c:manualLayout>
          </c:layout>
        </c:title>
        <c:numFmt formatCode="General" sourceLinked="1"/>
        <c:tickLblPos val="nextTo"/>
        <c:spPr>
          <a:ln>
            <a:solidFill>
              <a:sysClr val="windowText" lastClr="000000"/>
            </a:solidFill>
          </a:ln>
        </c:spPr>
        <c:crossAx val="174979328"/>
        <c:crosses val="autoZero"/>
        <c:crossBetween val="between"/>
        <c:majorUnit val="10"/>
      </c:valAx>
      <c:spPr>
        <a:ln>
          <a:solidFill>
            <a:sysClr val="windowText" lastClr="000000"/>
          </a:solidFill>
        </a:ln>
      </c:spPr>
    </c:plotArea>
    <c:legend>
      <c:legendPos val="b"/>
      <c:layout>
        <c:manualLayout>
          <c:xMode val="edge"/>
          <c:yMode val="edge"/>
          <c:x val="4.4815298162251542E-4"/>
          <c:y val="0.68371152948236558"/>
          <c:w val="0.99696987472652954"/>
          <c:h val="0.31628847051764319"/>
        </c:manualLayout>
      </c:layout>
    </c:legend>
    <c:plotVisOnly val="1"/>
    <c:dispBlanksAs val="gap"/>
  </c:chart>
  <c:spPr>
    <a:ln>
      <a:noFill/>
    </a:ln>
  </c:spPr>
  <c:txPr>
    <a:bodyPr/>
    <a:lstStyle/>
    <a:p>
      <a:pPr>
        <a:defRPr sz="900">
          <a:latin typeface="Arial" pitchFamily="34" charset="0"/>
          <a:cs typeface="Arial" pitchFamily="34" charset="0"/>
        </a:defRPr>
      </a:pPr>
      <a:endParaRPr lang="ro-R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manualLayout>
          <c:layoutTarget val="inner"/>
          <c:xMode val="edge"/>
          <c:yMode val="edge"/>
          <c:x val="0.12122534630374752"/>
          <c:y val="3.4702342909418392E-2"/>
          <c:w val="0.8469588618410574"/>
          <c:h val="0.45606450837977608"/>
        </c:manualLayout>
      </c:layout>
      <c:barChart>
        <c:barDir val="col"/>
        <c:grouping val="clustered"/>
        <c:ser>
          <c:idx val="0"/>
          <c:order val="0"/>
          <c:tx>
            <c:strRef>
              <c:f>Sheet1!$B$1</c:f>
              <c:strCache>
                <c:ptCount val="1"/>
                <c:pt idx="0">
                  <c:v>Rădăuţi – Str. I. Nistor, grădiniţa Sf. Maria</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73.400000000000006</c:v>
                </c:pt>
                <c:pt idx="1">
                  <c:v>69.5</c:v>
                </c:pt>
                <c:pt idx="2">
                  <c:v>69.7</c:v>
                </c:pt>
                <c:pt idx="3">
                  <c:v>68.5</c:v>
                </c:pt>
                <c:pt idx="4">
                  <c:v>68.2</c:v>
                </c:pt>
              </c:numCache>
            </c:numRef>
          </c:val>
        </c:ser>
        <c:ser>
          <c:idx val="1"/>
          <c:order val="1"/>
          <c:tx>
            <c:strRef>
              <c:f>Sheet1!$C$1</c:f>
              <c:strCache>
                <c:ptCount val="1"/>
                <c:pt idx="0">
                  <c:v>Rădăuţi - Str. Gen. Iacob Zadik,  bl. 20, sc. D2</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64.900000000000006</c:v>
                </c:pt>
                <c:pt idx="1">
                  <c:v>68.7</c:v>
                </c:pt>
                <c:pt idx="2">
                  <c:v>71.3</c:v>
                </c:pt>
                <c:pt idx="3">
                  <c:v>68.7</c:v>
                </c:pt>
                <c:pt idx="4">
                  <c:v>68.099999999999994</c:v>
                </c:pt>
              </c:numCache>
            </c:numRef>
          </c:val>
        </c:ser>
        <c:ser>
          <c:idx val="2"/>
          <c:order val="2"/>
          <c:tx>
            <c:strRef>
              <c:f>Sheet1!$D$1</c:f>
              <c:strCache>
                <c:ptCount val="1"/>
                <c:pt idx="0">
                  <c:v>Gura Humorului – Str. M. Kogălniceanu,  Bl. 7</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65.900000000000006</c:v>
                </c:pt>
                <c:pt idx="1">
                  <c:v>71.5</c:v>
                </c:pt>
                <c:pt idx="2">
                  <c:v>71.3</c:v>
                </c:pt>
                <c:pt idx="3">
                  <c:v>69.900000000000006</c:v>
                </c:pt>
                <c:pt idx="4">
                  <c:v>71.5</c:v>
                </c:pt>
              </c:numCache>
            </c:numRef>
          </c:val>
        </c:ser>
        <c:ser>
          <c:idx val="3"/>
          <c:order val="3"/>
          <c:tx>
            <c:strRef>
              <c:f>Sheet1!$E$1</c:f>
              <c:strCache>
                <c:ptCount val="1"/>
                <c:pt idx="0">
                  <c:v>Suceava – Str. V. Alecsandri Col.Naţ. „Ştefan cel Mare” </c:v>
                </c:pt>
              </c:strCache>
            </c:strRef>
          </c:tx>
          <c:spPr>
            <a:solidFill>
              <a:srgbClr val="8064A2">
                <a:lumMod val="60000"/>
                <a:lumOff val="40000"/>
              </a:srgbClr>
            </a:solidFill>
          </c:spPr>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66.900000000000006</c:v>
                </c:pt>
                <c:pt idx="1">
                  <c:v>67.5</c:v>
                </c:pt>
                <c:pt idx="2">
                  <c:v>69.2</c:v>
                </c:pt>
                <c:pt idx="3">
                  <c:v>68.8</c:v>
                </c:pt>
                <c:pt idx="4">
                  <c:v>67.900000000000006</c:v>
                </c:pt>
              </c:numCache>
            </c:numRef>
          </c:val>
        </c:ser>
        <c:ser>
          <c:idx val="4"/>
          <c:order val="4"/>
          <c:tx>
            <c:strRef>
              <c:f>Sheet1!$F$1</c:f>
              <c:strCache>
                <c:ptCount val="1"/>
                <c:pt idx="0">
                  <c:v>Suceava – Bd. G. Enescu, nr. 37</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72.7</c:v>
                </c:pt>
                <c:pt idx="1">
                  <c:v>69.900000000000006</c:v>
                </c:pt>
                <c:pt idx="2">
                  <c:v>72.599999999999994</c:v>
                </c:pt>
                <c:pt idx="3">
                  <c:v>74.599999999999994</c:v>
                </c:pt>
                <c:pt idx="4">
                  <c:v>72.3</c:v>
                </c:pt>
              </c:numCache>
            </c:numRef>
          </c:val>
        </c:ser>
        <c:ser>
          <c:idx val="5"/>
          <c:order val="5"/>
          <c:tx>
            <c:strRef>
              <c:f>Sheet1!$G$1</c:f>
              <c:strCache>
                <c:ptCount val="1"/>
                <c:pt idx="0">
                  <c:v>Clung. Mold. – Str. Gării, Bl.6</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76.2</c:v>
                </c:pt>
                <c:pt idx="1">
                  <c:v>68.099999999999994</c:v>
                </c:pt>
                <c:pt idx="2">
                  <c:v>71.3</c:v>
                </c:pt>
                <c:pt idx="3">
                  <c:v>72.5</c:v>
                </c:pt>
                <c:pt idx="4">
                  <c:v>69.2</c:v>
                </c:pt>
              </c:numCache>
            </c:numRef>
          </c:val>
        </c:ser>
        <c:ser>
          <c:idx val="6"/>
          <c:order val="6"/>
          <c:tx>
            <c:strRef>
              <c:f>Sheet1!$H$1</c:f>
              <c:strCache>
                <c:ptCount val="1"/>
                <c:pt idx="0">
                  <c:v>Fălticeni – bd. Revoluţiei nr. 8 (pe E85)</c:v>
                </c:pt>
              </c:strCache>
            </c:strRef>
          </c:tx>
          <c:spPr>
            <a:solidFill>
              <a:srgbClr val="7030A0"/>
            </a:solidFill>
          </c:spPr>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63.55</c:v>
                </c:pt>
                <c:pt idx="1">
                  <c:v>64.5</c:v>
                </c:pt>
                <c:pt idx="2">
                  <c:v>64.5</c:v>
                </c:pt>
                <c:pt idx="3">
                  <c:v>67</c:v>
                </c:pt>
                <c:pt idx="4">
                  <c:v>63.7</c:v>
                </c:pt>
              </c:numCache>
            </c:numRef>
          </c:val>
        </c:ser>
        <c:ser>
          <c:idx val="7"/>
          <c:order val="7"/>
          <c:tx>
            <c:strRef>
              <c:f>Sheet1!$I$1</c:f>
              <c:strCache>
                <c:ptCount val="1"/>
                <c:pt idx="0">
                  <c:v>Rădăuţi – str. Piaţa Unirii </c:v>
                </c:pt>
              </c:strCache>
            </c:strRef>
          </c:tx>
          <c:spPr>
            <a:solidFill>
              <a:srgbClr val="EEECE1">
                <a:lumMod val="50000"/>
              </a:srgbClr>
            </a:solidFill>
            <a:ln w="19050">
              <a:noFill/>
            </a:ln>
          </c:spPr>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66.400000000000006</c:v>
                </c:pt>
                <c:pt idx="1">
                  <c:v>70.900000000000006</c:v>
                </c:pt>
                <c:pt idx="2">
                  <c:v>70.5</c:v>
                </c:pt>
                <c:pt idx="3">
                  <c:v>69.7</c:v>
                </c:pt>
                <c:pt idx="4">
                  <c:v>68.900000000000006</c:v>
                </c:pt>
              </c:numCache>
            </c:numRef>
          </c:val>
        </c:ser>
        <c:ser>
          <c:idx val="8"/>
          <c:order val="8"/>
          <c:tx>
            <c:strRef>
              <c:f>Sheet1!$J$1</c:f>
              <c:strCache>
                <c:ptCount val="1"/>
                <c:pt idx="0">
                  <c:v>Suceava – Str. C. Coposu, bl. 9</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65.5</c:v>
                </c:pt>
                <c:pt idx="1">
                  <c:v>68.099999999999994</c:v>
                </c:pt>
                <c:pt idx="2">
                  <c:v>69</c:v>
                </c:pt>
                <c:pt idx="3">
                  <c:v>67.5</c:v>
                </c:pt>
                <c:pt idx="4">
                  <c:v>68.5</c:v>
                </c:pt>
              </c:numCache>
            </c:numRef>
          </c:val>
        </c:ser>
        <c:ser>
          <c:idx val="9"/>
          <c:order val="9"/>
          <c:tx>
            <c:strRef>
              <c:f>Sheet1!$K$1</c:f>
              <c:strCache>
                <c:ptCount val="1"/>
                <c:pt idx="0">
                  <c:v>Suceava - Str. Stefan cel Mare, vis-a-vis Tribunal </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General</c:formatCode>
                <c:ptCount val="5"/>
                <c:pt idx="0">
                  <c:v>78.3</c:v>
                </c:pt>
                <c:pt idx="1">
                  <c:v>73.599999999999994</c:v>
                </c:pt>
                <c:pt idx="2">
                  <c:v>73.599999999999994</c:v>
                </c:pt>
                <c:pt idx="3">
                  <c:v>72.8</c:v>
                </c:pt>
                <c:pt idx="4">
                  <c:v>73.2</c:v>
                </c:pt>
              </c:numCache>
            </c:numRef>
          </c:val>
        </c:ser>
        <c:ser>
          <c:idx val="10"/>
          <c:order val="10"/>
          <c:tx>
            <c:strRef>
              <c:f>Sheet1!$L$1</c:f>
              <c:strCache>
                <c:ptCount val="1"/>
                <c:pt idx="0">
                  <c:v>Suceava – Str. Mărăşeşti, vis-a-vis Şc. gen.nr. 3</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General</c:formatCode>
                <c:ptCount val="5"/>
                <c:pt idx="0">
                  <c:v>71.2</c:v>
                </c:pt>
                <c:pt idx="1">
                  <c:v>66.599999999999994</c:v>
                </c:pt>
                <c:pt idx="2">
                  <c:v>66.8</c:v>
                </c:pt>
                <c:pt idx="3">
                  <c:v>65.400000000000006</c:v>
                </c:pt>
                <c:pt idx="4">
                  <c:v>62.8</c:v>
                </c:pt>
              </c:numCache>
            </c:numRef>
          </c:val>
        </c:ser>
        <c:axId val="175264512"/>
        <c:axId val="175266048"/>
      </c:barChart>
      <c:lineChart>
        <c:grouping val="standard"/>
        <c:ser>
          <c:idx val="11"/>
          <c:order val="11"/>
          <c:tx>
            <c:strRef>
              <c:f>Sheet1!$M$1</c:f>
              <c:strCache>
                <c:ptCount val="1"/>
                <c:pt idx="0">
                  <c:v>Limita admisibilă cf. SR 10009/2017</c:v>
                </c:pt>
              </c:strCache>
            </c:strRef>
          </c:tx>
          <c:spPr>
            <a:ln w="19050">
              <a:solidFill>
                <a:srgbClr val="FF0000"/>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Sheet1!$M$2:$M$6</c:f>
              <c:numCache>
                <c:formatCode>General</c:formatCode>
                <c:ptCount val="5"/>
                <c:pt idx="0">
                  <c:v>70</c:v>
                </c:pt>
                <c:pt idx="1">
                  <c:v>70</c:v>
                </c:pt>
                <c:pt idx="2">
                  <c:v>70</c:v>
                </c:pt>
                <c:pt idx="3">
                  <c:v>70</c:v>
                </c:pt>
                <c:pt idx="4">
                  <c:v>70</c:v>
                </c:pt>
              </c:numCache>
            </c:numRef>
          </c:val>
        </c:ser>
        <c:marker val="1"/>
        <c:axId val="175264512"/>
        <c:axId val="175266048"/>
      </c:lineChart>
      <c:catAx>
        <c:axId val="175264512"/>
        <c:scaling>
          <c:orientation val="minMax"/>
        </c:scaling>
        <c:axPos val="b"/>
        <c:numFmt formatCode="General" sourceLinked="1"/>
        <c:tickLblPos val="nextTo"/>
        <c:spPr>
          <a:ln>
            <a:solidFill>
              <a:sysClr val="windowText" lastClr="000000"/>
            </a:solidFill>
          </a:ln>
        </c:spPr>
        <c:crossAx val="175266048"/>
        <c:crossesAt val="0"/>
        <c:auto val="1"/>
        <c:lblAlgn val="ctr"/>
        <c:lblOffset val="100"/>
      </c:catAx>
      <c:valAx>
        <c:axId val="175266048"/>
        <c:scaling>
          <c:orientation val="minMax"/>
          <c:max val="80"/>
          <c:min val="0"/>
        </c:scaling>
        <c:axPos val="l"/>
        <c:majorGridlines/>
        <c:title>
          <c:tx>
            <c:rich>
              <a:bodyPr rot="0" vert="horz"/>
              <a:lstStyle/>
              <a:p>
                <a:pPr>
                  <a:defRPr/>
                </a:pPr>
                <a:r>
                  <a:rPr lang="ro-RO"/>
                  <a:t>dB(A)</a:t>
                </a:r>
              </a:p>
            </c:rich>
          </c:tx>
          <c:layout>
            <c:manualLayout>
              <c:xMode val="edge"/>
              <c:yMode val="edge"/>
              <c:x val="6.0055194065372023E-4"/>
              <c:y val="0.10224439968259781"/>
            </c:manualLayout>
          </c:layout>
        </c:title>
        <c:numFmt formatCode="0" sourceLinked="0"/>
        <c:tickLblPos val="nextTo"/>
        <c:spPr>
          <a:ln>
            <a:solidFill>
              <a:sysClr val="windowText" lastClr="000000"/>
            </a:solidFill>
          </a:ln>
        </c:spPr>
        <c:crossAx val="175264512"/>
        <c:crosses val="autoZero"/>
        <c:crossBetween val="between"/>
        <c:majorUnit val="10"/>
        <c:minorUnit val="5"/>
      </c:valAx>
      <c:spPr>
        <a:ln>
          <a:solidFill>
            <a:sysClr val="windowText" lastClr="000000"/>
          </a:solidFill>
        </a:ln>
      </c:spPr>
    </c:plotArea>
    <c:legend>
      <c:legendPos val="b"/>
      <c:layout>
        <c:manualLayout>
          <c:xMode val="edge"/>
          <c:yMode val="edge"/>
          <c:x val="0"/>
          <c:y val="0.60315416440646707"/>
          <c:w val="1"/>
          <c:h val="0.39684598240404112"/>
        </c:manualLayout>
      </c:layout>
    </c:legend>
    <c:plotVisOnly val="1"/>
    <c:dispBlanksAs val="gap"/>
  </c:chart>
  <c:spPr>
    <a:ln>
      <a:noFill/>
    </a:ln>
  </c:spPr>
  <c:txPr>
    <a:bodyPr/>
    <a:lstStyle/>
    <a:p>
      <a:pPr>
        <a:defRPr sz="900">
          <a:latin typeface=""/>
          <a:cs typeface="Arial" pitchFamily="34" charset="0"/>
        </a:defRPr>
      </a:pPr>
      <a:endParaRPr lang="ro-RO"/>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manualLayout>
          <c:layoutTarget val="inner"/>
          <c:xMode val="edge"/>
          <c:yMode val="edge"/>
          <c:x val="0.13965171359667897"/>
          <c:y val="4.5393735773644334E-2"/>
          <c:w val="0.84204300371389895"/>
          <c:h val="0.57015482363156544"/>
        </c:manualLayout>
      </c:layout>
      <c:barChart>
        <c:barDir val="col"/>
        <c:grouping val="clustered"/>
        <c:ser>
          <c:idx val="0"/>
          <c:order val="0"/>
          <c:tx>
            <c:strRef>
              <c:f>Sheet1!$B$1</c:f>
              <c:strCache>
                <c:ptCount val="1"/>
                <c:pt idx="0">
                  <c:v>V. Dornei, Str. Dornelor </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71.599999999999994</c:v>
                </c:pt>
                <c:pt idx="1">
                  <c:v>69.3</c:v>
                </c:pt>
                <c:pt idx="2">
                  <c:v>71</c:v>
                </c:pt>
                <c:pt idx="3">
                  <c:v>68.5</c:v>
                </c:pt>
                <c:pt idx="4">
                  <c:v>65.5</c:v>
                </c:pt>
              </c:numCache>
            </c:numRef>
          </c:val>
        </c:ser>
        <c:ser>
          <c:idx val="1"/>
          <c:order val="1"/>
          <c:tx>
            <c:strRef>
              <c:f>Sheet1!$C$1</c:f>
              <c:strCache>
                <c:ptCount val="1"/>
                <c:pt idx="0">
                  <c:v>V. Dornei, Calea Unirii </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66.5</c:v>
                </c:pt>
                <c:pt idx="1">
                  <c:v>66.5</c:v>
                </c:pt>
                <c:pt idx="2">
                  <c:v>67.900000000000006</c:v>
                </c:pt>
                <c:pt idx="3">
                  <c:v>65.5</c:v>
                </c:pt>
                <c:pt idx="4">
                  <c:v>68.8</c:v>
                </c:pt>
              </c:numCache>
            </c:numRef>
          </c:val>
        </c:ser>
        <c:ser>
          <c:idx val="2"/>
          <c:order val="2"/>
          <c:tx>
            <c:strRef>
              <c:f>Sheet1!$D$1</c:f>
              <c:strCache>
                <c:ptCount val="1"/>
                <c:pt idx="0">
                  <c:v>Suceava, Str. Narciselor</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64.2</c:v>
                </c:pt>
                <c:pt idx="1">
                  <c:v>64.7</c:v>
                </c:pt>
                <c:pt idx="2">
                  <c:v>64.599999999999994</c:v>
                </c:pt>
                <c:pt idx="3">
                  <c:v>63.9</c:v>
                </c:pt>
                <c:pt idx="4">
                  <c:v>65</c:v>
                </c:pt>
              </c:numCache>
            </c:numRef>
          </c:val>
        </c:ser>
        <c:ser>
          <c:idx val="4"/>
          <c:order val="4"/>
          <c:tx>
            <c:strRef>
              <c:f>Sheet1!$F$1</c:f>
              <c:strCache>
                <c:ptCount val="1"/>
                <c:pt idx="0">
                  <c:v>Column1</c:v>
                </c:pt>
              </c:strCache>
            </c:strRef>
          </c:tx>
          <c:cat>
            <c:numRef>
              <c:f>Sheet1!$A$2:$A$6</c:f>
              <c:numCache>
                <c:formatCode>General</c:formatCode>
                <c:ptCount val="5"/>
                <c:pt idx="0">
                  <c:v>2013</c:v>
                </c:pt>
                <c:pt idx="1">
                  <c:v>2014</c:v>
                </c:pt>
                <c:pt idx="2">
                  <c:v>2015</c:v>
                </c:pt>
                <c:pt idx="3">
                  <c:v>2016</c:v>
                </c:pt>
                <c:pt idx="4">
                  <c:v>2017</c:v>
                </c:pt>
              </c:numCache>
            </c:numRef>
          </c:cat>
          <c:val>
            <c:numRef>
              <c:f>Sheet1!$F$2:$F$6</c:f>
            </c:numRef>
          </c:val>
        </c:ser>
        <c:gapWidth val="500"/>
        <c:axId val="175347200"/>
        <c:axId val="175348736"/>
      </c:barChart>
      <c:lineChart>
        <c:grouping val="standard"/>
        <c:ser>
          <c:idx val="3"/>
          <c:order val="3"/>
          <c:tx>
            <c:strRef>
              <c:f>Sheet1!$E$1</c:f>
              <c:strCache>
                <c:ptCount val="1"/>
                <c:pt idx="0">
                  <c:v>Limita admisibilă cf. SR 10009/2017</c:v>
                </c:pt>
              </c:strCache>
            </c:strRef>
          </c:tx>
          <c:spPr>
            <a:ln w="19050">
              <a:solidFill>
                <a:srgbClr val="FF0000"/>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65</c:v>
                </c:pt>
                <c:pt idx="1">
                  <c:v>65</c:v>
                </c:pt>
                <c:pt idx="2">
                  <c:v>65</c:v>
                </c:pt>
                <c:pt idx="3">
                  <c:v>65</c:v>
                </c:pt>
                <c:pt idx="4">
                  <c:v>65</c:v>
                </c:pt>
              </c:numCache>
            </c:numRef>
          </c:val>
        </c:ser>
        <c:marker val="1"/>
        <c:axId val="175347200"/>
        <c:axId val="175348736"/>
      </c:lineChart>
      <c:catAx>
        <c:axId val="175347200"/>
        <c:scaling>
          <c:orientation val="minMax"/>
        </c:scaling>
        <c:axPos val="b"/>
        <c:numFmt formatCode="General" sourceLinked="1"/>
        <c:tickLblPos val="nextTo"/>
        <c:spPr>
          <a:ln>
            <a:solidFill>
              <a:sysClr val="windowText" lastClr="000000"/>
            </a:solidFill>
          </a:ln>
        </c:spPr>
        <c:crossAx val="175348736"/>
        <c:crossesAt val="0"/>
        <c:auto val="1"/>
        <c:lblAlgn val="ctr"/>
        <c:lblOffset val="100"/>
      </c:catAx>
      <c:valAx>
        <c:axId val="175348736"/>
        <c:scaling>
          <c:orientation val="minMax"/>
          <c:max val="80"/>
          <c:min val="0"/>
        </c:scaling>
        <c:axPos val="l"/>
        <c:majorGridlines/>
        <c:title>
          <c:tx>
            <c:rich>
              <a:bodyPr rot="0" vert="horz"/>
              <a:lstStyle/>
              <a:p>
                <a:pPr>
                  <a:defRPr/>
                </a:pPr>
                <a:r>
                  <a:rPr lang="ro-RO"/>
                  <a:t>dB(A)</a:t>
                </a:r>
              </a:p>
            </c:rich>
          </c:tx>
          <c:layout>
            <c:manualLayout>
              <c:xMode val="edge"/>
              <c:yMode val="edge"/>
              <c:x val="1.0911074740862675E-2"/>
              <c:y val="7.1315601678822491E-2"/>
            </c:manualLayout>
          </c:layout>
        </c:title>
        <c:numFmt formatCode="0" sourceLinked="0"/>
        <c:tickLblPos val="nextTo"/>
        <c:spPr>
          <a:ln>
            <a:solidFill>
              <a:sysClr val="windowText" lastClr="000000"/>
            </a:solidFill>
          </a:ln>
        </c:spPr>
        <c:crossAx val="175347200"/>
        <c:crosses val="autoZero"/>
        <c:crossBetween val="between"/>
        <c:majorUnit val="10"/>
        <c:minorUnit val="5"/>
      </c:valAx>
      <c:spPr>
        <a:ln>
          <a:solidFill>
            <a:sysClr val="windowText" lastClr="000000"/>
          </a:solidFill>
        </a:ln>
      </c:spPr>
    </c:plotArea>
    <c:legend>
      <c:legendPos val="b"/>
      <c:layout>
        <c:manualLayout>
          <c:xMode val="edge"/>
          <c:yMode val="edge"/>
          <c:x val="6.5352790831756671E-2"/>
          <c:y val="0.75817565222590988"/>
          <c:w val="0.93445104787795563"/>
          <c:h val="0.24182434777409395"/>
        </c:manualLayout>
      </c:layout>
    </c:legend>
    <c:plotVisOnly val="1"/>
    <c:dispBlanksAs val="gap"/>
  </c:chart>
  <c:spPr>
    <a:ln>
      <a:noFill/>
    </a:ln>
  </c:spPr>
  <c:txPr>
    <a:bodyPr/>
    <a:lstStyle/>
    <a:p>
      <a:pPr>
        <a:defRPr sz="900">
          <a:latin typeface="Arial" pitchFamily="34" charset="0"/>
          <a:cs typeface="Arial" pitchFamily="34" charset="0"/>
        </a:defRPr>
      </a:pPr>
      <a:endParaRPr lang="ro-RO"/>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manualLayout>
          <c:layoutTarget val="inner"/>
          <c:xMode val="edge"/>
          <c:yMode val="edge"/>
          <c:x val="0.1239803051320964"/>
          <c:y val="3.9911515811580006E-2"/>
          <c:w val="0.81417933080705751"/>
          <c:h val="0.50300423464968425"/>
        </c:manualLayout>
      </c:layout>
      <c:barChart>
        <c:barDir val="col"/>
        <c:grouping val="clustered"/>
        <c:ser>
          <c:idx val="0"/>
          <c:order val="0"/>
          <c:tx>
            <c:strRef>
              <c:f>Sheet1!$B$1</c:f>
              <c:strCache>
                <c:ptCount val="1"/>
                <c:pt idx="0">
                  <c:v>Gura Humorului – Parc  str. Marly (vis-a-vis de Primărie)</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58.1</c:v>
                </c:pt>
                <c:pt idx="1">
                  <c:v>55.6</c:v>
                </c:pt>
                <c:pt idx="2">
                  <c:v>59.5</c:v>
                </c:pt>
                <c:pt idx="3">
                  <c:v>59.3</c:v>
                </c:pt>
                <c:pt idx="4">
                  <c:v>58.5</c:v>
                </c:pt>
              </c:numCache>
            </c:numRef>
          </c:val>
        </c:ser>
        <c:ser>
          <c:idx val="1"/>
          <c:order val="1"/>
          <c:tx>
            <c:strRef>
              <c:f>Sheet1!$C$1</c:f>
              <c:strCache>
                <c:ptCount val="1"/>
                <c:pt idx="0">
                  <c:v>Clung. Mold.– Parc str. Trandafirilor, lângă Primărie </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55.5</c:v>
                </c:pt>
                <c:pt idx="1">
                  <c:v>61.2</c:v>
                </c:pt>
                <c:pt idx="2">
                  <c:v>56</c:v>
                </c:pt>
                <c:pt idx="3">
                  <c:v>56.4</c:v>
                </c:pt>
                <c:pt idx="4">
                  <c:v>50.1</c:v>
                </c:pt>
              </c:numCache>
            </c:numRef>
          </c:val>
        </c:ser>
        <c:ser>
          <c:idx val="2"/>
          <c:order val="2"/>
          <c:tx>
            <c:strRef>
              <c:f>Sheet1!$D$1</c:f>
              <c:strCache>
                <c:ptCount val="1"/>
                <c:pt idx="0">
                  <c:v>Vatra Dornei – Parc stațiune, str. Parcului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48.1</c:v>
                </c:pt>
                <c:pt idx="1">
                  <c:v>54.5</c:v>
                </c:pt>
                <c:pt idx="2">
                  <c:v>49</c:v>
                </c:pt>
                <c:pt idx="3">
                  <c:v>48.9</c:v>
                </c:pt>
                <c:pt idx="4">
                  <c:v>43.6</c:v>
                </c:pt>
              </c:numCache>
            </c:numRef>
          </c:val>
        </c:ser>
        <c:ser>
          <c:idx val="3"/>
          <c:order val="3"/>
          <c:tx>
            <c:strRef>
              <c:f>Sheet1!$E$1</c:f>
              <c:strCache>
                <c:ptCount val="1"/>
                <c:pt idx="0">
                  <c:v>Rădăuţi – Parc str. Piaţa Unirii</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56</c:v>
                </c:pt>
                <c:pt idx="1">
                  <c:v>56.9</c:v>
                </c:pt>
                <c:pt idx="2">
                  <c:v>56.4</c:v>
                </c:pt>
                <c:pt idx="3">
                  <c:v>59.4</c:v>
                </c:pt>
                <c:pt idx="4">
                  <c:v>59.7</c:v>
                </c:pt>
              </c:numCache>
            </c:numRef>
          </c:val>
        </c:ser>
        <c:ser>
          <c:idx val="4"/>
          <c:order val="4"/>
          <c:tx>
            <c:strRef>
              <c:f>Sheet1!$F$1</c:f>
              <c:strCache>
                <c:ptCount val="1"/>
                <c:pt idx="0">
                  <c:v>Suceava – Parc str. Ana Ipătescu</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68.099999999999994</c:v>
                </c:pt>
                <c:pt idx="1">
                  <c:v>59.9</c:v>
                </c:pt>
                <c:pt idx="2">
                  <c:v>60.9</c:v>
                </c:pt>
                <c:pt idx="3">
                  <c:v>60.4</c:v>
                </c:pt>
                <c:pt idx="4">
                  <c:v>58.2</c:v>
                </c:pt>
              </c:numCache>
            </c:numRef>
          </c:val>
        </c:ser>
        <c:ser>
          <c:idx val="5"/>
          <c:order val="5"/>
          <c:tx>
            <c:strRef>
              <c:f>Sheet1!$G$1</c:f>
              <c:strCache>
                <c:ptCount val="1"/>
                <c:pt idx="0">
                  <c:v>Siret – Parc Primărie, str. Laţcu Vodă</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68.900000000000006</c:v>
                </c:pt>
                <c:pt idx="1">
                  <c:v>56.2</c:v>
                </c:pt>
                <c:pt idx="2">
                  <c:v>57.5</c:v>
                </c:pt>
                <c:pt idx="3">
                  <c:v>53.7</c:v>
                </c:pt>
                <c:pt idx="4">
                  <c:v>52.9</c:v>
                </c:pt>
              </c:numCache>
            </c:numRef>
          </c:val>
        </c:ser>
        <c:ser>
          <c:idx val="7"/>
          <c:order val="7"/>
          <c:tx>
            <c:strRef>
              <c:f>Sheet1!$I$1</c:f>
              <c:strCache>
                <c:ptCount val="1"/>
                <c:pt idx="0">
                  <c:v>Column1</c:v>
                </c:pt>
              </c:strCache>
            </c:strRef>
          </c:tx>
          <c:cat>
            <c:numRef>
              <c:f>Sheet1!$A$2:$A$6</c:f>
              <c:numCache>
                <c:formatCode>General</c:formatCode>
                <c:ptCount val="5"/>
                <c:pt idx="0">
                  <c:v>2013</c:v>
                </c:pt>
                <c:pt idx="1">
                  <c:v>2014</c:v>
                </c:pt>
                <c:pt idx="2">
                  <c:v>2015</c:v>
                </c:pt>
                <c:pt idx="3">
                  <c:v>2016</c:v>
                </c:pt>
                <c:pt idx="4">
                  <c:v>2017</c:v>
                </c:pt>
              </c:numCache>
            </c:numRef>
          </c:cat>
          <c:val>
            <c:numRef>
              <c:f>Sheet1!$I$2:$I$6</c:f>
            </c:numRef>
          </c:val>
        </c:ser>
        <c:gapWidth val="279"/>
        <c:axId val="175432448"/>
        <c:axId val="175433984"/>
      </c:barChart>
      <c:lineChart>
        <c:grouping val="standard"/>
        <c:ser>
          <c:idx val="6"/>
          <c:order val="6"/>
          <c:tx>
            <c:strRef>
              <c:f>Sheet1!$H$1</c:f>
              <c:strCache>
                <c:ptCount val="1"/>
                <c:pt idx="0">
                  <c:v>Limita admisibilă cf. SR 10009/2017</c:v>
                </c:pt>
              </c:strCache>
            </c:strRef>
          </c:tx>
          <c:spPr>
            <a:ln w="19050">
              <a:solidFill>
                <a:srgbClr val="FF0000"/>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60</c:v>
                </c:pt>
                <c:pt idx="1">
                  <c:v>60</c:v>
                </c:pt>
                <c:pt idx="2">
                  <c:v>60</c:v>
                </c:pt>
                <c:pt idx="3">
                  <c:v>60</c:v>
                </c:pt>
                <c:pt idx="4">
                  <c:v>60</c:v>
                </c:pt>
              </c:numCache>
            </c:numRef>
          </c:val>
        </c:ser>
        <c:marker val="1"/>
        <c:axId val="175432448"/>
        <c:axId val="175433984"/>
      </c:lineChart>
      <c:catAx>
        <c:axId val="175432448"/>
        <c:scaling>
          <c:orientation val="minMax"/>
        </c:scaling>
        <c:axPos val="b"/>
        <c:numFmt formatCode="General" sourceLinked="1"/>
        <c:tickLblPos val="nextTo"/>
        <c:spPr>
          <a:ln>
            <a:solidFill>
              <a:sysClr val="windowText" lastClr="000000"/>
            </a:solidFill>
          </a:ln>
        </c:spPr>
        <c:crossAx val="175433984"/>
        <c:crossesAt val="0"/>
        <c:auto val="1"/>
        <c:lblAlgn val="ctr"/>
        <c:lblOffset val="100"/>
      </c:catAx>
      <c:valAx>
        <c:axId val="175433984"/>
        <c:scaling>
          <c:orientation val="minMax"/>
          <c:max val="80"/>
          <c:min val="0"/>
        </c:scaling>
        <c:axPos val="l"/>
        <c:majorGridlines/>
        <c:title>
          <c:tx>
            <c:rich>
              <a:bodyPr rot="0" vert="horz"/>
              <a:lstStyle/>
              <a:p>
                <a:pPr>
                  <a:defRPr/>
                </a:pPr>
                <a:r>
                  <a:rPr lang="ro-RO"/>
                  <a:t>dB(A)</a:t>
                </a:r>
              </a:p>
            </c:rich>
          </c:tx>
          <c:layout>
            <c:manualLayout>
              <c:xMode val="edge"/>
              <c:yMode val="edge"/>
              <c:x val="2.9269938353208864E-2"/>
              <c:y val="7.9031787693205124E-2"/>
            </c:manualLayout>
          </c:layout>
        </c:title>
        <c:numFmt formatCode="General" sourceLinked="1"/>
        <c:tickLblPos val="nextTo"/>
        <c:spPr>
          <a:ln>
            <a:solidFill>
              <a:sysClr val="windowText" lastClr="000000"/>
            </a:solidFill>
          </a:ln>
        </c:spPr>
        <c:crossAx val="175432448"/>
        <c:crosses val="autoZero"/>
        <c:crossBetween val="between"/>
        <c:majorUnit val="10"/>
        <c:minorUnit val="5"/>
      </c:valAx>
      <c:spPr>
        <a:ln>
          <a:solidFill>
            <a:sysClr val="windowText" lastClr="000000"/>
          </a:solidFill>
        </a:ln>
      </c:spPr>
    </c:plotArea>
    <c:legend>
      <c:legendPos val="b"/>
      <c:layout>
        <c:manualLayout>
          <c:xMode val="edge"/>
          <c:yMode val="edge"/>
          <c:x val="3.9353599949949435E-3"/>
          <c:y val="0.65161562339879953"/>
          <c:w val="0.98687431295258465"/>
          <c:h val="0.34072156776243773"/>
        </c:manualLayout>
      </c:layout>
    </c:legend>
    <c:plotVisOnly val="1"/>
    <c:dispBlanksAs val="gap"/>
  </c:chart>
  <c:spPr>
    <a:ln>
      <a:noFill/>
    </a:ln>
  </c:spPr>
  <c:txPr>
    <a:bodyPr/>
    <a:lstStyle/>
    <a:p>
      <a:pPr>
        <a:defRPr sz="900">
          <a:latin typeface="Arial" pitchFamily="34" charset="0"/>
          <a:cs typeface="Arial" pitchFamily="34" charset="0"/>
        </a:defRPr>
      </a:pPr>
      <a:endParaRPr lang="ro-RO"/>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manualLayout>
          <c:layoutTarget val="inner"/>
          <c:xMode val="edge"/>
          <c:yMode val="edge"/>
          <c:x val="0.12664041994750655"/>
          <c:y val="0.11156946365962431"/>
          <c:w val="0.52828116915491041"/>
          <c:h val="0.73539973043913298"/>
        </c:manualLayout>
      </c:layout>
      <c:lineChart>
        <c:grouping val="standard"/>
        <c:ser>
          <c:idx val="1"/>
          <c:order val="0"/>
          <c:tx>
            <c:strRef>
              <c:f>Sheet1!$B$1</c:f>
              <c:strCache>
                <c:ptCount val="1"/>
                <c:pt idx="0">
                  <c:v>Boli diareice acute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3027</c:v>
                </c:pt>
                <c:pt idx="1">
                  <c:v>2288</c:v>
                </c:pt>
                <c:pt idx="2">
                  <c:v>2096</c:v>
                </c:pt>
                <c:pt idx="3">
                  <c:v>2312</c:v>
                </c:pt>
                <c:pt idx="4">
                  <c:v>2284</c:v>
                </c:pt>
              </c:numCache>
            </c:numRef>
          </c:val>
        </c:ser>
        <c:ser>
          <c:idx val="2"/>
          <c:order val="1"/>
          <c:tx>
            <c:strRef>
              <c:f>Sheet1!$C$1</c:f>
              <c:strCache>
                <c:ptCount val="1"/>
                <c:pt idx="0">
                  <c:v>Dizenterie</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c:v>6</c:v>
                </c:pt>
                <c:pt idx="1">
                  <c:v>1</c:v>
                </c:pt>
                <c:pt idx="2">
                  <c:v>3</c:v>
                </c:pt>
                <c:pt idx="3" formatCode="General">
                  <c:v>0</c:v>
                </c:pt>
                <c:pt idx="4" formatCode="General">
                  <c:v>0</c:v>
                </c:pt>
              </c:numCache>
            </c:numRef>
          </c:val>
        </c:ser>
        <c:ser>
          <c:idx val="3"/>
          <c:order val="2"/>
          <c:tx>
            <c:strRef>
              <c:f>Sheet1!$D$1</c:f>
              <c:strCache>
                <c:ptCount val="1"/>
                <c:pt idx="0">
                  <c:v>Tuberculoză</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0.00</c:formatCode>
                <c:ptCount val="5"/>
                <c:pt idx="0">
                  <c:v>423</c:v>
                </c:pt>
                <c:pt idx="1">
                  <c:v>394</c:v>
                </c:pt>
                <c:pt idx="2">
                  <c:v>186</c:v>
                </c:pt>
                <c:pt idx="3">
                  <c:v>176</c:v>
                </c:pt>
                <c:pt idx="4">
                  <c:v>190</c:v>
                </c:pt>
              </c:numCache>
            </c:numRef>
          </c:val>
        </c:ser>
        <c:marker val="1"/>
        <c:axId val="144498048"/>
        <c:axId val="175584384"/>
      </c:lineChart>
      <c:catAx>
        <c:axId val="144498048"/>
        <c:scaling>
          <c:orientation val="minMax"/>
        </c:scaling>
        <c:axPos val="b"/>
        <c:numFmt formatCode="General" sourceLinked="1"/>
        <c:tickLblPos val="nextTo"/>
        <c:spPr>
          <a:ln>
            <a:solidFill>
              <a:sysClr val="windowText" lastClr="000000"/>
            </a:solidFill>
          </a:ln>
        </c:spPr>
        <c:crossAx val="175584384"/>
        <c:crosses val="autoZero"/>
        <c:auto val="1"/>
        <c:lblAlgn val="ctr"/>
        <c:lblOffset val="100"/>
      </c:catAx>
      <c:valAx>
        <c:axId val="175584384"/>
        <c:scaling>
          <c:orientation val="minMax"/>
          <c:max val="3500"/>
          <c:min val="0"/>
        </c:scaling>
        <c:axPos val="l"/>
        <c:majorGridlines/>
        <c:title>
          <c:tx>
            <c:rich>
              <a:bodyPr rot="-5400000" vert="horz"/>
              <a:lstStyle/>
              <a:p>
                <a:pPr>
                  <a:defRPr/>
                </a:pPr>
                <a:r>
                  <a:rPr lang="ro-RO"/>
                  <a:t>nr. cazuri</a:t>
                </a:r>
              </a:p>
            </c:rich>
          </c:tx>
          <c:layout>
            <c:manualLayout>
              <c:xMode val="edge"/>
              <c:yMode val="edge"/>
              <c:x val="8.6503317199074746E-3"/>
              <c:y val="0.15980745286375081"/>
            </c:manualLayout>
          </c:layout>
        </c:title>
        <c:numFmt formatCode="0" sourceLinked="0"/>
        <c:tickLblPos val="nextTo"/>
        <c:spPr>
          <a:ln>
            <a:solidFill>
              <a:sysClr val="windowText" lastClr="000000"/>
            </a:solidFill>
          </a:ln>
        </c:spPr>
        <c:crossAx val="144498048"/>
        <c:crosses val="autoZero"/>
        <c:crossBetween val="between"/>
        <c:majorUnit val="500"/>
        <c:minorUnit val="500"/>
      </c:valAx>
      <c:spPr>
        <a:noFill/>
        <a:ln>
          <a:solidFill>
            <a:sysClr val="windowText" lastClr="000000"/>
          </a:solidFill>
        </a:ln>
      </c:spPr>
    </c:plotArea>
    <c:legend>
      <c:legendPos val="r"/>
      <c:layout>
        <c:manualLayout>
          <c:xMode val="edge"/>
          <c:yMode val="edge"/>
          <c:x val="0.68903470204811612"/>
          <c:y val="0.19548887611854518"/>
          <c:w val="0.22924265555488921"/>
          <c:h val="0.73934816517527302"/>
        </c:manualLayout>
      </c:layout>
    </c:legend>
    <c:plotVisOnly val="1"/>
  </c:chart>
  <c:spPr>
    <a:noFill/>
    <a:ln>
      <a:noFill/>
    </a:ln>
  </c:spPr>
  <c:txPr>
    <a:bodyPr/>
    <a:lstStyle/>
    <a:p>
      <a:pPr>
        <a:defRPr sz="1000">
          <a:latin typeface="Arial" pitchFamily="34" charset="0"/>
          <a:cs typeface="Arial" pitchFamily="34" charset="0"/>
        </a:defRPr>
      </a:pPr>
      <a:endParaRPr lang="ro-RO"/>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0461835872902933"/>
          <c:y val="6.673157758511189E-2"/>
          <c:w val="0.75184808110164481"/>
          <c:h val="0.51350682391416058"/>
        </c:manualLayout>
      </c:layout>
      <c:barChart>
        <c:barDir val="col"/>
        <c:grouping val="stacked"/>
        <c:ser>
          <c:idx val="0"/>
          <c:order val="0"/>
          <c:tx>
            <c:strRef>
              <c:f>Sheet1!$B$1</c:f>
              <c:strCache>
                <c:ptCount val="1"/>
                <c:pt idx="0">
                  <c:v>Suceava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322</c:v>
                </c:pt>
                <c:pt idx="1">
                  <c:v>322</c:v>
                </c:pt>
                <c:pt idx="2">
                  <c:v>322</c:v>
                </c:pt>
                <c:pt idx="3">
                  <c:v>322</c:v>
                </c:pt>
                <c:pt idx="4">
                  <c:v>322</c:v>
                </c:pt>
                <c:pt idx="5">
                  <c:v>322</c:v>
                </c:pt>
              </c:numCache>
            </c:numRef>
          </c:val>
        </c:ser>
        <c:ser>
          <c:idx val="1"/>
          <c:order val="1"/>
          <c:tx>
            <c:strRef>
              <c:f>Sheet1!$C$1</c:f>
              <c:strCache>
                <c:ptCount val="1"/>
                <c:pt idx="0">
                  <c:v>Câmpulung  Moldovenesc</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16</c:v>
                </c:pt>
                <c:pt idx="1">
                  <c:v>20</c:v>
                </c:pt>
                <c:pt idx="2">
                  <c:v>20</c:v>
                </c:pt>
                <c:pt idx="3">
                  <c:v>20</c:v>
                </c:pt>
                <c:pt idx="4">
                  <c:v>35</c:v>
                </c:pt>
                <c:pt idx="5">
                  <c:v>35</c:v>
                </c:pt>
              </c:numCache>
            </c:numRef>
          </c:val>
        </c:ser>
        <c:ser>
          <c:idx val="2"/>
          <c:order val="2"/>
          <c:tx>
            <c:strRef>
              <c:f>Sheet1!$D$1</c:f>
              <c:strCache>
                <c:ptCount val="1"/>
                <c:pt idx="0">
                  <c:v>Rădăuți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Sheet1!$D$2:$D$7</c:f>
              <c:numCache>
                <c:formatCode>General</c:formatCode>
                <c:ptCount val="6"/>
                <c:pt idx="0">
                  <c:v>25</c:v>
                </c:pt>
                <c:pt idx="1">
                  <c:v>25</c:v>
                </c:pt>
                <c:pt idx="2">
                  <c:v>25</c:v>
                </c:pt>
                <c:pt idx="3">
                  <c:v>25</c:v>
                </c:pt>
                <c:pt idx="4">
                  <c:v>25</c:v>
                </c:pt>
                <c:pt idx="5">
                  <c:v>25</c:v>
                </c:pt>
              </c:numCache>
            </c:numRef>
          </c:val>
        </c:ser>
        <c:ser>
          <c:idx val="3"/>
          <c:order val="3"/>
          <c:tx>
            <c:strRef>
              <c:f>Sheet1!$E$1</c:f>
              <c:strCache>
                <c:ptCount val="1"/>
                <c:pt idx="0">
                  <c:v>Vatra Dornei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Sheet1!$E$2:$E$7</c:f>
              <c:numCache>
                <c:formatCode>General</c:formatCode>
                <c:ptCount val="6"/>
                <c:pt idx="0">
                  <c:v>37</c:v>
                </c:pt>
                <c:pt idx="1">
                  <c:v>37</c:v>
                </c:pt>
                <c:pt idx="2">
                  <c:v>37</c:v>
                </c:pt>
                <c:pt idx="3">
                  <c:v>37</c:v>
                </c:pt>
                <c:pt idx="4">
                  <c:v>37</c:v>
                </c:pt>
                <c:pt idx="5">
                  <c:v>37</c:v>
                </c:pt>
              </c:numCache>
            </c:numRef>
          </c:val>
        </c:ser>
        <c:ser>
          <c:idx val="4"/>
          <c:order val="4"/>
          <c:tx>
            <c:strRef>
              <c:f>Sheet1!$F$1</c:f>
              <c:strCache>
                <c:ptCount val="1"/>
                <c:pt idx="0">
                  <c:v>Fălticeni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Sheet1!$F$2:$F$7</c:f>
              <c:numCache>
                <c:formatCode>General</c:formatCode>
                <c:ptCount val="6"/>
                <c:pt idx="0">
                  <c:v>29</c:v>
                </c:pt>
                <c:pt idx="1">
                  <c:v>29</c:v>
                </c:pt>
                <c:pt idx="2">
                  <c:v>29</c:v>
                </c:pt>
                <c:pt idx="3">
                  <c:v>29</c:v>
                </c:pt>
                <c:pt idx="4">
                  <c:v>29</c:v>
                </c:pt>
                <c:pt idx="5">
                  <c:v>29</c:v>
                </c:pt>
              </c:numCache>
            </c:numRef>
          </c:val>
        </c:ser>
        <c:ser>
          <c:idx val="5"/>
          <c:order val="5"/>
          <c:tx>
            <c:strRef>
              <c:f>Sheet1!$G$1</c:f>
              <c:strCache>
                <c:ptCount val="1"/>
                <c:pt idx="0">
                  <c:v>Siret</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Sheet1!$G$2:$G$7</c:f>
              <c:numCache>
                <c:formatCode>General</c:formatCode>
                <c:ptCount val="6"/>
                <c:pt idx="0">
                  <c:v>12</c:v>
                </c:pt>
                <c:pt idx="1">
                  <c:v>12</c:v>
                </c:pt>
                <c:pt idx="2">
                  <c:v>12</c:v>
                </c:pt>
                <c:pt idx="3">
                  <c:v>12</c:v>
                </c:pt>
                <c:pt idx="4">
                  <c:v>12</c:v>
                </c:pt>
                <c:pt idx="5">
                  <c:v>12</c:v>
                </c:pt>
              </c:numCache>
            </c:numRef>
          </c:val>
        </c:ser>
        <c:ser>
          <c:idx val="7"/>
          <c:order val="6"/>
          <c:tx>
            <c:strRef>
              <c:f>Sheet1!$J$1</c:f>
              <c:strCache>
                <c:ptCount val="1"/>
                <c:pt idx="0">
                  <c:v>Milișăuți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Sheet1!$J$2:$J$7</c:f>
              <c:numCache>
                <c:formatCode>General</c:formatCode>
                <c:ptCount val="6"/>
                <c:pt idx="0">
                  <c:v>1</c:v>
                </c:pt>
                <c:pt idx="1">
                  <c:v>1</c:v>
                </c:pt>
                <c:pt idx="2">
                  <c:v>1</c:v>
                </c:pt>
                <c:pt idx="3">
                  <c:v>1</c:v>
                </c:pt>
                <c:pt idx="4">
                  <c:v>1</c:v>
                </c:pt>
                <c:pt idx="5">
                  <c:v>1</c:v>
                </c:pt>
              </c:numCache>
            </c:numRef>
          </c:val>
        </c:ser>
        <c:ser>
          <c:idx val="8"/>
          <c:order val="7"/>
          <c:tx>
            <c:strRef>
              <c:f>Sheet1!$K$1</c:f>
              <c:strCache>
                <c:ptCount val="1"/>
                <c:pt idx="0">
                  <c:v>Dolhasca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Sheet1!$K$2:$K$7</c:f>
              <c:numCache>
                <c:formatCode>General</c:formatCode>
                <c:ptCount val="6"/>
                <c:pt idx="0">
                  <c:v>10</c:v>
                </c:pt>
                <c:pt idx="1">
                  <c:v>10</c:v>
                </c:pt>
                <c:pt idx="2">
                  <c:v>10</c:v>
                </c:pt>
                <c:pt idx="3">
                  <c:v>10</c:v>
                </c:pt>
                <c:pt idx="4">
                  <c:v>10</c:v>
                </c:pt>
                <c:pt idx="5">
                  <c:v>10</c:v>
                </c:pt>
              </c:numCache>
            </c:numRef>
          </c:val>
        </c:ser>
        <c:ser>
          <c:idx val="9"/>
          <c:order val="8"/>
          <c:tx>
            <c:strRef>
              <c:f>Sheet1!$L$1</c:f>
              <c:strCache>
                <c:ptCount val="1"/>
                <c:pt idx="0">
                  <c:v>Frasin</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Sheet1!$L$2:$L$7</c:f>
              <c:numCache>
                <c:formatCode>General</c:formatCode>
                <c:ptCount val="6"/>
                <c:pt idx="0">
                  <c:v>1</c:v>
                </c:pt>
                <c:pt idx="1">
                  <c:v>1</c:v>
                </c:pt>
                <c:pt idx="2">
                  <c:v>1</c:v>
                </c:pt>
                <c:pt idx="3">
                  <c:v>1</c:v>
                </c:pt>
                <c:pt idx="4">
                  <c:v>1</c:v>
                </c:pt>
                <c:pt idx="5">
                  <c:v>1</c:v>
                </c:pt>
              </c:numCache>
            </c:numRef>
          </c:val>
        </c:ser>
        <c:ser>
          <c:idx val="10"/>
          <c:order val="9"/>
          <c:tx>
            <c:strRef>
              <c:f>Sheet1!$M$1</c:f>
              <c:strCache>
                <c:ptCount val="1"/>
                <c:pt idx="0">
                  <c:v>Broșteni</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Sheet1!$M$2:$M$7</c:f>
              <c:numCache>
                <c:formatCode>General</c:formatCode>
                <c:ptCount val="6"/>
                <c:pt idx="0">
                  <c:v>1</c:v>
                </c:pt>
                <c:pt idx="1">
                  <c:v>1</c:v>
                </c:pt>
                <c:pt idx="2">
                  <c:v>1</c:v>
                </c:pt>
                <c:pt idx="3">
                  <c:v>1</c:v>
                </c:pt>
                <c:pt idx="4">
                  <c:v>15</c:v>
                </c:pt>
                <c:pt idx="5">
                  <c:v>15</c:v>
                </c:pt>
              </c:numCache>
            </c:numRef>
          </c:val>
        </c:ser>
        <c:ser>
          <c:idx val="11"/>
          <c:order val="10"/>
          <c:tx>
            <c:strRef>
              <c:f>Sheet1!$N$1</c:f>
              <c:strCache>
                <c:ptCount val="1"/>
                <c:pt idx="0">
                  <c:v>Cajvana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Sheet1!$N$2:$N$7</c:f>
              <c:numCache>
                <c:formatCode>General</c:formatCode>
                <c:ptCount val="6"/>
                <c:pt idx="0">
                  <c:v>2</c:v>
                </c:pt>
                <c:pt idx="1">
                  <c:v>2</c:v>
                </c:pt>
                <c:pt idx="2">
                  <c:v>2</c:v>
                </c:pt>
                <c:pt idx="3">
                  <c:v>2</c:v>
                </c:pt>
                <c:pt idx="4">
                  <c:v>2</c:v>
                </c:pt>
                <c:pt idx="5">
                  <c:v>2</c:v>
                </c:pt>
              </c:numCache>
            </c:numRef>
          </c:val>
        </c:ser>
        <c:ser>
          <c:idx val="12"/>
          <c:order val="11"/>
          <c:tx>
            <c:strRef>
              <c:f>Sheet1!$O$1</c:f>
              <c:strCache>
                <c:ptCount val="1"/>
                <c:pt idx="0">
                  <c:v>Salcea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Sheet1!$O$2:$O$7</c:f>
              <c:numCache>
                <c:formatCode>General</c:formatCode>
                <c:ptCount val="6"/>
                <c:pt idx="0">
                  <c:v>6</c:v>
                </c:pt>
                <c:pt idx="1">
                  <c:v>6</c:v>
                </c:pt>
                <c:pt idx="2">
                  <c:v>6</c:v>
                </c:pt>
                <c:pt idx="3">
                  <c:v>6</c:v>
                </c:pt>
                <c:pt idx="4">
                  <c:v>6</c:v>
                </c:pt>
                <c:pt idx="5">
                  <c:v>6</c:v>
                </c:pt>
              </c:numCache>
            </c:numRef>
          </c:val>
        </c:ser>
        <c:ser>
          <c:idx val="13"/>
          <c:order val="12"/>
          <c:tx>
            <c:strRef>
              <c:f>Sheet1!$P$1</c:f>
              <c:strCache>
                <c:ptCount val="1"/>
                <c:pt idx="0">
                  <c:v>Vicovu de Sus</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Sheet1!$P$2:$P$7</c:f>
              <c:numCache>
                <c:formatCode>General</c:formatCode>
                <c:ptCount val="6"/>
                <c:pt idx="0">
                  <c:v>6</c:v>
                </c:pt>
                <c:pt idx="1">
                  <c:v>6</c:v>
                </c:pt>
                <c:pt idx="2">
                  <c:v>6</c:v>
                </c:pt>
                <c:pt idx="3">
                  <c:v>6</c:v>
                </c:pt>
                <c:pt idx="4">
                  <c:v>6</c:v>
                </c:pt>
                <c:pt idx="5">
                  <c:v>6</c:v>
                </c:pt>
              </c:numCache>
            </c:numRef>
          </c:val>
        </c:ser>
        <c:ser>
          <c:idx val="14"/>
          <c:order val="13"/>
          <c:tx>
            <c:strRef>
              <c:f>Sheet1!$Q$1</c:f>
              <c:strCache>
                <c:ptCount val="1"/>
                <c:pt idx="0">
                  <c:v>Solca</c:v>
                </c:pt>
              </c:strCache>
            </c:strRef>
          </c:tx>
          <c:cat>
            <c:numRef>
              <c:f>Sheet1!$A$2:$A$7</c:f>
              <c:numCache>
                <c:formatCode>General</c:formatCode>
                <c:ptCount val="6"/>
                <c:pt idx="0">
                  <c:v>2011</c:v>
                </c:pt>
                <c:pt idx="1">
                  <c:v>2012</c:v>
                </c:pt>
                <c:pt idx="2">
                  <c:v>2013</c:v>
                </c:pt>
                <c:pt idx="3">
                  <c:v>2014</c:v>
                </c:pt>
                <c:pt idx="4">
                  <c:v>2015</c:v>
                </c:pt>
                <c:pt idx="5">
                  <c:v>2016</c:v>
                </c:pt>
              </c:numCache>
            </c:numRef>
          </c:cat>
          <c:val>
            <c:numRef>
              <c:f>Sheet1!$Q$2:$Q$7</c:f>
              <c:numCache>
                <c:formatCode>General</c:formatCode>
                <c:ptCount val="6"/>
                <c:pt idx="0">
                  <c:v>18</c:v>
                </c:pt>
                <c:pt idx="1">
                  <c:v>18</c:v>
                </c:pt>
                <c:pt idx="2">
                  <c:v>18</c:v>
                </c:pt>
                <c:pt idx="3">
                  <c:v>18</c:v>
                </c:pt>
                <c:pt idx="4">
                  <c:v>18</c:v>
                </c:pt>
                <c:pt idx="5">
                  <c:v>18</c:v>
                </c:pt>
              </c:numCache>
            </c:numRef>
          </c:val>
        </c:ser>
        <c:gapWidth val="269"/>
        <c:overlap val="100"/>
        <c:axId val="175614976"/>
        <c:axId val="175510272"/>
      </c:barChart>
      <c:catAx>
        <c:axId val="175614976"/>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75510272"/>
        <c:crosses val="autoZero"/>
        <c:auto val="1"/>
        <c:lblAlgn val="ctr"/>
        <c:lblOffset val="100"/>
      </c:catAx>
      <c:valAx>
        <c:axId val="175510272"/>
        <c:scaling>
          <c:orientation val="minMax"/>
          <c:max val="600"/>
        </c:scaling>
        <c:axPos val="l"/>
        <c:majorGridlines/>
        <c:title>
          <c:tx>
            <c:rich>
              <a:bodyPr rot="-5400000" vert="horz"/>
              <a:lstStyle/>
              <a:p>
                <a:pPr>
                  <a:defRPr/>
                </a:pPr>
                <a:r>
                  <a:rPr lang="ro-RO" sz="900">
                    <a:latin typeface="Arial" pitchFamily="34" charset="0"/>
                    <a:cs typeface="Arial" pitchFamily="34" charset="0"/>
                  </a:rPr>
                  <a:t>mp/locuito</a:t>
                </a:r>
                <a:r>
                  <a:rPr lang="ro-RO">
                    <a:latin typeface="Arial" pitchFamily="34" charset="0"/>
                    <a:cs typeface="Arial" pitchFamily="34" charset="0"/>
                  </a:rPr>
                  <a:t>r</a:t>
                </a:r>
              </a:p>
            </c:rich>
          </c:tx>
        </c:title>
        <c:numFmt formatCode="General" sourceLinked="1"/>
        <c:tickLblPos val="nextTo"/>
        <c:txPr>
          <a:bodyPr/>
          <a:lstStyle/>
          <a:p>
            <a:pPr>
              <a:defRPr sz="900">
                <a:latin typeface="Arial" pitchFamily="34" charset="0"/>
                <a:cs typeface="Arial" pitchFamily="34" charset="0"/>
              </a:defRPr>
            </a:pPr>
            <a:endParaRPr lang="ro-RO"/>
          </a:p>
        </c:txPr>
        <c:crossAx val="175614976"/>
        <c:crosses val="autoZero"/>
        <c:crossBetween val="between"/>
        <c:majorUnit val="100"/>
      </c:valAx>
      <c:spPr>
        <a:ln>
          <a:solidFill>
            <a:schemeClr val="bg1">
              <a:lumMod val="50000"/>
            </a:schemeClr>
          </a:solidFill>
        </a:ln>
      </c:spPr>
    </c:plotArea>
    <c:legend>
      <c:legendPos val="b"/>
      <c:layout>
        <c:manualLayout>
          <c:xMode val="edge"/>
          <c:yMode val="edge"/>
          <c:x val="8.4967323541016992E-3"/>
          <c:y val="0.69141569824217664"/>
          <c:w val="0.98835077923231207"/>
          <c:h val="0.28434925649890475"/>
        </c:manualLayout>
      </c:layout>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018000545748571"/>
          <c:y val="8.4105054911106536E-2"/>
          <c:w val="0.81895798651744667"/>
          <c:h val="0.64664982324931453"/>
        </c:manualLayout>
      </c:layout>
      <c:lineChart>
        <c:grouping val="standard"/>
        <c:ser>
          <c:idx val="0"/>
          <c:order val="0"/>
          <c:spPr>
            <a:ln w="38100">
              <a:solidFill>
                <a:srgbClr val="000000"/>
              </a:solidFill>
              <a:prstDash val="solid"/>
            </a:ln>
          </c:spPr>
          <c:marker>
            <c:symbol val="none"/>
          </c:marker>
          <c:trendline>
            <c:spPr>
              <a:ln w="25400">
                <a:solidFill>
                  <a:srgbClr val="FF0000"/>
                </a:solidFill>
                <a:prstDash val="solid"/>
              </a:ln>
            </c:spPr>
            <c:trendlineType val="linear"/>
            <c:dispEq val="1"/>
            <c:trendlineLbl>
              <c:layout>
                <c:manualLayout>
                  <c:x val="-3.820472851424004E-2"/>
                  <c:y val="0.34910377561309847"/>
                </c:manualLayout>
              </c:layout>
              <c:tx>
                <c:rich>
                  <a:bodyPr/>
                  <a:lstStyle/>
                  <a:p>
                    <a:pPr>
                      <a:defRPr sz="900" b="0" i="0" u="none" strike="noStrike" baseline="0">
                        <a:solidFill>
                          <a:srgbClr val="000000"/>
                        </a:solidFill>
                        <a:latin typeface="Arial"/>
                        <a:ea typeface="Arial"/>
                        <a:cs typeface="Arial"/>
                      </a:defRPr>
                    </a:pPr>
                    <a:r>
                      <a:rPr lang="en-US" baseline="0"/>
                      <a:t>y = 0,03</a:t>
                    </a:r>
                    <a:r>
                      <a:rPr lang="ro-RO" baseline="0"/>
                      <a:t>65</a:t>
                    </a:r>
                    <a:r>
                      <a:rPr lang="en-US" baseline="0"/>
                      <a:t>x + 6,</a:t>
                    </a:r>
                    <a:r>
                      <a:rPr lang="ro-RO" baseline="0"/>
                      <a:t>9809</a:t>
                    </a:r>
                    <a:endParaRPr lang="en-US"/>
                  </a:p>
                </c:rich>
              </c:tx>
              <c:numFmt formatCode="General" sourceLinked="0"/>
              <c:spPr>
                <a:noFill/>
                <a:ln w="25400">
                  <a:noFill/>
                </a:ln>
              </c:spPr>
            </c:trendlineLbl>
          </c:trendline>
          <c:cat>
            <c:numRef>
              <c:f>Sheet1!$B$13:$B$69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Sheet1!$O$13:$O$69</c:f>
              <c:numCache>
                <c:formatCode>0.0</c:formatCode>
                <c:ptCount val="57"/>
                <c:pt idx="0" formatCode="General">
                  <c:v>8.3000000000000007</c:v>
                </c:pt>
                <c:pt idx="1">
                  <c:v>7.4916666666666734</c:v>
                </c:pt>
                <c:pt idx="2">
                  <c:v>7.2583333333333524</c:v>
                </c:pt>
                <c:pt idx="3">
                  <c:v>6.95</c:v>
                </c:pt>
                <c:pt idx="4">
                  <c:v>6.733333333333384</c:v>
                </c:pt>
                <c:pt idx="5">
                  <c:v>8.3583333333333343</c:v>
                </c:pt>
                <c:pt idx="6">
                  <c:v>8.1750000000000007</c:v>
                </c:pt>
                <c:pt idx="7">
                  <c:v>8</c:v>
                </c:pt>
                <c:pt idx="8">
                  <c:v>6.4333333333333913</c:v>
                </c:pt>
                <c:pt idx="9">
                  <c:v>7.5916666666666694</c:v>
                </c:pt>
                <c:pt idx="10">
                  <c:v>7.5916666666666694</c:v>
                </c:pt>
                <c:pt idx="11">
                  <c:v>7.55</c:v>
                </c:pt>
                <c:pt idx="12">
                  <c:v>7.6249999999999645</c:v>
                </c:pt>
                <c:pt idx="13" formatCode="General">
                  <c:v>7.3</c:v>
                </c:pt>
                <c:pt idx="14">
                  <c:v>8.6583333333333332</c:v>
                </c:pt>
                <c:pt idx="15">
                  <c:v>6.4416666666666824</c:v>
                </c:pt>
                <c:pt idx="16">
                  <c:v>7.5916666666666694</c:v>
                </c:pt>
                <c:pt idx="17">
                  <c:v>6.7166666666666694</c:v>
                </c:pt>
                <c:pt idx="18">
                  <c:v>7.6499999999999995</c:v>
                </c:pt>
                <c:pt idx="19">
                  <c:v>6.2583333333333524</c:v>
                </c:pt>
                <c:pt idx="20">
                  <c:v>7.2833333333333776</c:v>
                </c:pt>
                <c:pt idx="21" formatCode="General">
                  <c:v>7.7</c:v>
                </c:pt>
                <c:pt idx="22">
                  <c:v>8.5083333333333329</c:v>
                </c:pt>
                <c:pt idx="23">
                  <c:v>7.1583333333333394</c:v>
                </c:pt>
                <c:pt idx="24">
                  <c:v>6.3333333333333712</c:v>
                </c:pt>
                <c:pt idx="25">
                  <c:v>7.6833333333333433</c:v>
                </c:pt>
                <c:pt idx="26" formatCode="General">
                  <c:v>6.5</c:v>
                </c:pt>
                <c:pt idx="27">
                  <c:v>7.5333333333333741</c:v>
                </c:pt>
                <c:pt idx="28">
                  <c:v>9.1666666666666767</c:v>
                </c:pt>
                <c:pt idx="29">
                  <c:v>9.3916666666666728</c:v>
                </c:pt>
                <c:pt idx="30">
                  <c:v>7.7083333333333695</c:v>
                </c:pt>
                <c:pt idx="31">
                  <c:v>8.3000000000000007</c:v>
                </c:pt>
                <c:pt idx="32">
                  <c:v>7.4749999999999996</c:v>
                </c:pt>
                <c:pt idx="33">
                  <c:v>9.2249999999999996</c:v>
                </c:pt>
                <c:pt idx="34">
                  <c:v>8.0916666666666668</c:v>
                </c:pt>
                <c:pt idx="35">
                  <c:v>6.6916666666666664</c:v>
                </c:pt>
                <c:pt idx="36">
                  <c:v>7.4166666666666714</c:v>
                </c:pt>
                <c:pt idx="37">
                  <c:v>8.0083333333333329</c:v>
                </c:pt>
                <c:pt idx="38">
                  <c:v>8.9250000000000007</c:v>
                </c:pt>
                <c:pt idx="39">
                  <c:v>9.2833333333333332</c:v>
                </c:pt>
                <c:pt idx="40">
                  <c:v>8.3750000000000266</c:v>
                </c:pt>
                <c:pt idx="41">
                  <c:v>8.7083333333333339</c:v>
                </c:pt>
                <c:pt idx="42">
                  <c:v>8.0250000000000004</c:v>
                </c:pt>
                <c:pt idx="43">
                  <c:v>8.4500000000000028</c:v>
                </c:pt>
                <c:pt idx="44">
                  <c:v>8.0416666666666661</c:v>
                </c:pt>
                <c:pt idx="45">
                  <c:v>8.1583333333333332</c:v>
                </c:pt>
                <c:pt idx="46">
                  <c:v>9.6916666666666664</c:v>
                </c:pt>
                <c:pt idx="47">
                  <c:v>9.2333333333333183</c:v>
                </c:pt>
                <c:pt idx="48">
                  <c:v>9.0750000000000028</c:v>
                </c:pt>
                <c:pt idx="49">
                  <c:v>8.4</c:v>
                </c:pt>
                <c:pt idx="50">
                  <c:v>8.7166666666666668</c:v>
                </c:pt>
                <c:pt idx="51">
                  <c:v>8.8000000000000007</c:v>
                </c:pt>
                <c:pt idx="52">
                  <c:v>9.0166666666666728</c:v>
                </c:pt>
                <c:pt idx="53">
                  <c:v>9.0416666666666661</c:v>
                </c:pt>
                <c:pt idx="54">
                  <c:v>10.200000000000001</c:v>
                </c:pt>
                <c:pt idx="55" formatCode="General">
                  <c:v>9.7000000000000011</c:v>
                </c:pt>
                <c:pt idx="56">
                  <c:v>9.5</c:v>
                </c:pt>
              </c:numCache>
            </c:numRef>
          </c:val>
        </c:ser>
        <c:ser>
          <c:idx val="1"/>
          <c:order val="1"/>
          <c:tx>
            <c:v>1961-2017</c:v>
          </c:tx>
          <c:marker>
            <c:symbol val="none"/>
          </c:marker>
          <c:val>
            <c:numLit>
              <c:formatCode>General</c:formatCode>
              <c:ptCount val="1"/>
              <c:pt idx="0">
                <c:v>1</c:v>
              </c:pt>
            </c:numLit>
          </c:val>
        </c:ser>
        <c:marker val="1"/>
        <c:axId val="122967936"/>
        <c:axId val="122969472"/>
      </c:lineChart>
      <c:catAx>
        <c:axId val="122967936"/>
        <c:scaling>
          <c:orientation val="minMax"/>
        </c:scaling>
        <c:axPos val="b"/>
        <c:numFmt formatCode="General" sourceLinked="1"/>
        <c:tickLblPos val="nextTo"/>
        <c:spPr>
          <a:ln w="3175">
            <a:solidFill>
              <a:srgbClr val="000000"/>
            </a:solidFill>
            <a:prstDash val="solid"/>
          </a:ln>
        </c:spPr>
        <c:txPr>
          <a:bodyPr rot="-2400000" vert="horz"/>
          <a:lstStyle/>
          <a:p>
            <a:pPr>
              <a:defRPr sz="900" b="0" i="0" u="none" strike="noStrike" baseline="0">
                <a:solidFill>
                  <a:srgbClr val="000000"/>
                </a:solidFill>
                <a:latin typeface="Arial"/>
                <a:ea typeface="Arial"/>
                <a:cs typeface="Arial"/>
              </a:defRPr>
            </a:pPr>
            <a:endParaRPr lang="ro-RO"/>
          </a:p>
        </c:txPr>
        <c:crossAx val="122969472"/>
        <c:crosses val="autoZero"/>
        <c:auto val="1"/>
        <c:lblAlgn val="ctr"/>
        <c:lblOffset val="100"/>
        <c:tickLblSkip val="4"/>
        <c:tickMarkSkip val="4"/>
      </c:catAx>
      <c:valAx>
        <c:axId val="122969472"/>
        <c:scaling>
          <c:orientation val="minMax"/>
          <c:min val="4"/>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ro-RO" sz="900"/>
                  <a:t>Temperatura</a:t>
                </a:r>
              </a:p>
            </c:rich>
          </c:tx>
          <c:layout>
            <c:manualLayout>
              <c:xMode val="edge"/>
              <c:yMode val="edge"/>
              <c:x val="2.4395693347911033E-2"/>
              <c:y val="0.19804634356127515"/>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ro-RO"/>
          </a:p>
        </c:txPr>
        <c:crossAx val="122967936"/>
        <c:crosses val="autoZero"/>
        <c:crossBetween val="between"/>
      </c:valAx>
      <c:spPr>
        <a:solidFill>
          <a:srgbClr val="FFFFFF"/>
        </a:solidFill>
        <a:ln w="127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c:spPr>
    </c:plotArea>
    <c:plotVisOnly val="1"/>
    <c:dispBlanksAs val="gap"/>
  </c:chart>
  <c:spPr>
    <a:solidFill>
      <a:sysClr val="window" lastClr="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682841360101506"/>
          <c:y val="9.1081291769153014E-2"/>
          <c:w val="0.80928609183173827"/>
          <c:h val="0.65103144148487824"/>
        </c:manualLayout>
      </c:layout>
      <c:lineChart>
        <c:grouping val="standard"/>
        <c:ser>
          <c:idx val="0"/>
          <c:order val="0"/>
          <c:spPr>
            <a:ln w="38099">
              <a:solidFill>
                <a:srgbClr val="000000"/>
              </a:solidFill>
              <a:prstDash val="solid"/>
            </a:ln>
          </c:spPr>
          <c:marker>
            <c:symbol val="none"/>
          </c:marker>
          <c:trendline>
            <c:spPr>
              <a:ln w="25399">
                <a:solidFill>
                  <a:srgbClr val="FF0000"/>
                </a:solidFill>
                <a:prstDash val="solid"/>
              </a:ln>
            </c:spPr>
            <c:trendlineType val="linear"/>
            <c:dispEq val="1"/>
            <c:trendlineLbl>
              <c:layout>
                <c:manualLayout>
                  <c:x val="-8.1313203457055339E-2"/>
                  <c:y val="0.20464238845144553"/>
                </c:manualLayout>
              </c:layout>
              <c:tx>
                <c:rich>
                  <a:bodyPr/>
                  <a:lstStyle/>
                  <a:p>
                    <a:pPr>
                      <a:defRPr/>
                    </a:pPr>
                    <a:r>
                      <a:rPr lang="en-US" baseline="0"/>
                      <a:t>y = -0,</a:t>
                    </a:r>
                    <a:r>
                      <a:rPr lang="ro-RO" baseline="0"/>
                      <a:t>2716</a:t>
                    </a:r>
                    <a:r>
                      <a:rPr lang="en-US" baseline="0"/>
                      <a:t>x + 6</a:t>
                    </a:r>
                    <a:r>
                      <a:rPr lang="ro-RO" baseline="0"/>
                      <a:t>13</a:t>
                    </a:r>
                    <a:r>
                      <a:rPr lang="en-US" baseline="0"/>
                      <a:t>,</a:t>
                    </a:r>
                    <a:r>
                      <a:rPr lang="ro-RO" baseline="0"/>
                      <a:t>4</a:t>
                    </a:r>
                    <a:endParaRPr lang="en-US"/>
                  </a:p>
                </c:rich>
              </c:tx>
              <c:numFmt formatCode="General" sourceLinked="0"/>
              <c:spPr>
                <a:noFill/>
                <a:ln w="25399">
                  <a:noFill/>
                </a:ln>
              </c:spPr>
            </c:trendlineLbl>
          </c:trendline>
          <c:cat>
            <c:numRef>
              <c:f>Sheet2!$B$10:$B$66</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Sheet2!$O$10:$O$66</c:f>
              <c:numCache>
                <c:formatCode>0.0</c:formatCode>
                <c:ptCount val="57"/>
                <c:pt idx="0" formatCode="General">
                  <c:v>503.1</c:v>
                </c:pt>
                <c:pt idx="1">
                  <c:v>603.1</c:v>
                </c:pt>
                <c:pt idx="2">
                  <c:v>529.1</c:v>
                </c:pt>
                <c:pt idx="3">
                  <c:v>455.1</c:v>
                </c:pt>
                <c:pt idx="4">
                  <c:v>577.6</c:v>
                </c:pt>
                <c:pt idx="5">
                  <c:v>705.3</c:v>
                </c:pt>
                <c:pt idx="6">
                  <c:v>582.70000000000005</c:v>
                </c:pt>
                <c:pt idx="7">
                  <c:v>671.1</c:v>
                </c:pt>
                <c:pt idx="8">
                  <c:v>720.2</c:v>
                </c:pt>
                <c:pt idx="9">
                  <c:v>612.1</c:v>
                </c:pt>
                <c:pt idx="10">
                  <c:v>624.70000000000005</c:v>
                </c:pt>
                <c:pt idx="11">
                  <c:v>689.8</c:v>
                </c:pt>
                <c:pt idx="12">
                  <c:v>463.8</c:v>
                </c:pt>
                <c:pt idx="13" formatCode="General">
                  <c:v>833.7</c:v>
                </c:pt>
                <c:pt idx="14">
                  <c:v>608.6</c:v>
                </c:pt>
                <c:pt idx="15">
                  <c:v>619</c:v>
                </c:pt>
                <c:pt idx="16">
                  <c:v>591.6</c:v>
                </c:pt>
                <c:pt idx="17">
                  <c:v>783.9</c:v>
                </c:pt>
                <c:pt idx="18">
                  <c:v>629.4</c:v>
                </c:pt>
                <c:pt idx="19">
                  <c:v>603.9</c:v>
                </c:pt>
                <c:pt idx="20">
                  <c:v>804</c:v>
                </c:pt>
                <c:pt idx="21" formatCode="General">
                  <c:v>502.3</c:v>
                </c:pt>
                <c:pt idx="22">
                  <c:v>496.3</c:v>
                </c:pt>
                <c:pt idx="23">
                  <c:v>675.4</c:v>
                </c:pt>
                <c:pt idx="24">
                  <c:v>641.79999999999995</c:v>
                </c:pt>
                <c:pt idx="25">
                  <c:v>348.2</c:v>
                </c:pt>
                <c:pt idx="26" formatCode="General">
                  <c:v>579.5</c:v>
                </c:pt>
                <c:pt idx="27">
                  <c:v>735.7</c:v>
                </c:pt>
                <c:pt idx="28">
                  <c:v>520.20000000000005</c:v>
                </c:pt>
                <c:pt idx="29">
                  <c:v>420.9</c:v>
                </c:pt>
                <c:pt idx="30">
                  <c:v>771.4</c:v>
                </c:pt>
                <c:pt idx="31">
                  <c:v>546.29999999999995</c:v>
                </c:pt>
                <c:pt idx="32">
                  <c:v>571.79999999999995</c:v>
                </c:pt>
                <c:pt idx="33">
                  <c:v>471.7</c:v>
                </c:pt>
                <c:pt idx="34">
                  <c:v>537.4</c:v>
                </c:pt>
                <c:pt idx="35">
                  <c:v>642.9</c:v>
                </c:pt>
                <c:pt idx="36">
                  <c:v>591</c:v>
                </c:pt>
                <c:pt idx="37">
                  <c:v>741.7</c:v>
                </c:pt>
                <c:pt idx="38">
                  <c:v>514.70000000000005</c:v>
                </c:pt>
                <c:pt idx="39">
                  <c:v>418.3</c:v>
                </c:pt>
                <c:pt idx="40">
                  <c:v>688.6</c:v>
                </c:pt>
                <c:pt idx="41">
                  <c:v>709.3</c:v>
                </c:pt>
                <c:pt idx="42">
                  <c:v>535</c:v>
                </c:pt>
                <c:pt idx="43">
                  <c:v>480.5</c:v>
                </c:pt>
                <c:pt idx="44">
                  <c:v>808.2</c:v>
                </c:pt>
                <c:pt idx="45">
                  <c:v>814.1</c:v>
                </c:pt>
                <c:pt idx="46">
                  <c:v>687.5</c:v>
                </c:pt>
                <c:pt idx="47">
                  <c:v>883.2</c:v>
                </c:pt>
                <c:pt idx="48">
                  <c:v>622.1</c:v>
                </c:pt>
                <c:pt idx="49">
                  <c:v>869.8</c:v>
                </c:pt>
                <c:pt idx="50">
                  <c:v>408.2</c:v>
                </c:pt>
                <c:pt idx="51">
                  <c:v>462.3</c:v>
                </c:pt>
                <c:pt idx="52">
                  <c:v>508.6</c:v>
                </c:pt>
                <c:pt idx="53">
                  <c:v>696.3</c:v>
                </c:pt>
                <c:pt idx="54">
                  <c:v>345.8</c:v>
                </c:pt>
                <c:pt idx="55" formatCode="General">
                  <c:v>656.9</c:v>
                </c:pt>
                <c:pt idx="56">
                  <c:v>399.1</c:v>
                </c:pt>
              </c:numCache>
            </c:numRef>
          </c:val>
        </c:ser>
        <c:marker val="1"/>
        <c:axId val="123026816"/>
        <c:axId val="123032704"/>
      </c:lineChart>
      <c:catAx>
        <c:axId val="123026816"/>
        <c:scaling>
          <c:orientation val="minMax"/>
        </c:scaling>
        <c:axPos val="b"/>
        <c:numFmt formatCode="General" sourceLinked="1"/>
        <c:tickLblPos val="nextTo"/>
        <c:spPr>
          <a:ln w="3175">
            <a:solidFill>
              <a:srgbClr val="000000"/>
            </a:solidFill>
            <a:prstDash val="solid"/>
          </a:ln>
        </c:spPr>
        <c:txPr>
          <a:bodyPr rot="-2400000" vert="horz"/>
          <a:lstStyle/>
          <a:p>
            <a:pPr>
              <a:defRPr/>
            </a:pPr>
            <a:endParaRPr lang="ro-RO"/>
          </a:p>
        </c:txPr>
        <c:crossAx val="123032704"/>
        <c:crosses val="autoZero"/>
        <c:auto val="1"/>
        <c:lblAlgn val="ctr"/>
        <c:lblOffset val="100"/>
        <c:tickLblSkip val="4"/>
        <c:tickMarkSkip val="4"/>
      </c:catAx>
      <c:valAx>
        <c:axId val="123032704"/>
        <c:scaling>
          <c:orientation val="minMax"/>
          <c:min val="200"/>
        </c:scaling>
        <c:axPos val="l"/>
        <c:majorGridlines>
          <c:spPr>
            <a:ln w="3175">
              <a:solidFill>
                <a:srgbClr val="000000"/>
              </a:solidFill>
              <a:prstDash val="solid"/>
            </a:ln>
          </c:spPr>
        </c:majorGridlines>
        <c:title>
          <c:tx>
            <c:rich>
              <a:bodyPr/>
              <a:lstStyle/>
              <a:p>
                <a:pPr>
                  <a:defRPr b="1"/>
                </a:pPr>
                <a:r>
                  <a:rPr lang="ro-RO" b="1"/>
                  <a:t>Suma anuală a precipitaţiilor</a:t>
                </a:r>
              </a:p>
            </c:rich>
          </c:tx>
          <c:layout>
            <c:manualLayout>
              <c:xMode val="edge"/>
              <c:yMode val="edge"/>
              <c:x val="1.2387812715144938E-3"/>
              <c:y val="0.15585142248699951"/>
            </c:manualLayout>
          </c:layout>
          <c:spPr>
            <a:noFill/>
            <a:ln w="25399">
              <a:noFill/>
            </a:ln>
          </c:spPr>
        </c:title>
        <c:numFmt formatCode="General" sourceLinked="1"/>
        <c:tickLblPos val="nextTo"/>
        <c:spPr>
          <a:ln w="3175">
            <a:solidFill>
              <a:srgbClr val="000000"/>
            </a:solidFill>
            <a:prstDash val="solid"/>
          </a:ln>
        </c:spPr>
        <c:txPr>
          <a:bodyPr rot="0" vert="horz"/>
          <a:lstStyle/>
          <a:p>
            <a:pPr>
              <a:defRPr/>
            </a:pPr>
            <a:endParaRPr lang="ro-RO"/>
          </a:p>
        </c:txPr>
        <c:crossAx val="12302681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8.7930154564012847E-2"/>
          <c:y val="3.4044740223371686E-2"/>
          <c:w val="0.86164999535686393"/>
          <c:h val="0.56024512773007462"/>
        </c:manualLayout>
      </c:layout>
      <c:barChart>
        <c:barDir val="col"/>
        <c:grouping val="clustered"/>
        <c:ser>
          <c:idx val="0"/>
          <c:order val="0"/>
          <c:tx>
            <c:strRef>
              <c:f>Sheet1!$B$1</c:f>
              <c:strCache>
                <c:ptCount val="1"/>
                <c:pt idx="0">
                  <c:v>Tulburari psihice F01-F99</c:v>
                </c:pt>
              </c:strCache>
            </c:strRef>
          </c:tx>
          <c:cat>
            <c:strRef>
              <c:f>Sheet1!$A$2:$A$6</c:f>
              <c:strCache>
                <c:ptCount val="5"/>
                <c:pt idx="0">
                  <c:v>2013</c:v>
                </c:pt>
                <c:pt idx="1">
                  <c:v>2014</c:v>
                </c:pt>
                <c:pt idx="2">
                  <c:v>2015</c:v>
                </c:pt>
                <c:pt idx="3">
                  <c:v>2016</c:v>
                </c:pt>
                <c:pt idx="4">
                  <c:v>2017</c:v>
                </c:pt>
              </c:strCache>
            </c:strRef>
          </c:cat>
          <c:val>
            <c:numRef>
              <c:f>Sheet1!$B$2:$B$6</c:f>
              <c:numCache>
                <c:formatCode>General</c:formatCode>
                <c:ptCount val="5"/>
                <c:pt idx="0">
                  <c:v>12.11</c:v>
                </c:pt>
                <c:pt idx="1">
                  <c:v>9.8600000000000048</c:v>
                </c:pt>
                <c:pt idx="2">
                  <c:v>8.120000000000001</c:v>
                </c:pt>
                <c:pt idx="3">
                  <c:v>1.32</c:v>
                </c:pt>
                <c:pt idx="4">
                  <c:v>1.78</c:v>
                </c:pt>
              </c:numCache>
            </c:numRef>
          </c:val>
        </c:ser>
        <c:ser>
          <c:idx val="1"/>
          <c:order val="1"/>
          <c:tx>
            <c:strRef>
              <c:f>Sheet1!$C$1</c:f>
              <c:strCache>
                <c:ptCount val="1"/>
                <c:pt idx="0">
                  <c:v>Boli ale sistemului respirator J00-J99</c:v>
                </c:pt>
              </c:strCache>
            </c:strRef>
          </c:tx>
          <c:cat>
            <c:strRef>
              <c:f>Sheet1!$A$2:$A$6</c:f>
              <c:strCache>
                <c:ptCount val="5"/>
                <c:pt idx="0">
                  <c:v>2013</c:v>
                </c:pt>
                <c:pt idx="1">
                  <c:v>2014</c:v>
                </c:pt>
                <c:pt idx="2">
                  <c:v>2015</c:v>
                </c:pt>
                <c:pt idx="3">
                  <c:v>2016</c:v>
                </c:pt>
                <c:pt idx="4">
                  <c:v>2017</c:v>
                </c:pt>
              </c:strCache>
            </c:strRef>
          </c:cat>
          <c:val>
            <c:numRef>
              <c:f>Sheet1!$C$2:$C$6</c:f>
              <c:numCache>
                <c:formatCode>General</c:formatCode>
                <c:ptCount val="5"/>
                <c:pt idx="0">
                  <c:v>228.89000000000001</c:v>
                </c:pt>
                <c:pt idx="1">
                  <c:v>217.97</c:v>
                </c:pt>
                <c:pt idx="2">
                  <c:v>184</c:v>
                </c:pt>
                <c:pt idx="3">
                  <c:v>236.73</c:v>
                </c:pt>
                <c:pt idx="4">
                  <c:v>224.14</c:v>
                </c:pt>
              </c:numCache>
            </c:numRef>
          </c:val>
        </c:ser>
        <c:ser>
          <c:idx val="2"/>
          <c:order val="2"/>
          <c:tx>
            <c:strRef>
              <c:f>Sheet1!$D$1</c:f>
              <c:strCache>
                <c:ptCount val="1"/>
                <c:pt idx="0">
                  <c:v>Boli ale sistemului circulator I00-I99</c:v>
                </c:pt>
              </c:strCache>
            </c:strRef>
          </c:tx>
          <c:cat>
            <c:strRef>
              <c:f>Sheet1!$A$2:$A$6</c:f>
              <c:strCache>
                <c:ptCount val="5"/>
                <c:pt idx="0">
                  <c:v>2013</c:v>
                </c:pt>
                <c:pt idx="1">
                  <c:v>2014</c:v>
                </c:pt>
                <c:pt idx="2">
                  <c:v>2015</c:v>
                </c:pt>
                <c:pt idx="3">
                  <c:v>2016</c:v>
                </c:pt>
                <c:pt idx="4">
                  <c:v>2017</c:v>
                </c:pt>
              </c:strCache>
            </c:strRef>
          </c:cat>
          <c:val>
            <c:numRef>
              <c:f>Sheet1!$D$2:$D$6</c:f>
              <c:numCache>
                <c:formatCode>General</c:formatCode>
                <c:ptCount val="5"/>
                <c:pt idx="0">
                  <c:v>56.220000000000013</c:v>
                </c:pt>
                <c:pt idx="1">
                  <c:v>35.82</c:v>
                </c:pt>
                <c:pt idx="2">
                  <c:v>34.480000000000004</c:v>
                </c:pt>
                <c:pt idx="3">
                  <c:v>27.17</c:v>
                </c:pt>
                <c:pt idx="4">
                  <c:v>28.959999999999987</c:v>
                </c:pt>
              </c:numCache>
            </c:numRef>
          </c:val>
        </c:ser>
        <c:ser>
          <c:idx val="3"/>
          <c:order val="3"/>
          <c:tx>
            <c:strRef>
              <c:f>Sheet1!$E$1</c:f>
              <c:strCache>
                <c:ptCount val="1"/>
                <c:pt idx="0">
                  <c:v>Tulburări maligne C00-C80</c:v>
                </c:pt>
              </c:strCache>
            </c:strRef>
          </c:tx>
          <c:cat>
            <c:strRef>
              <c:f>Sheet1!$A$2:$A$6</c:f>
              <c:strCache>
                <c:ptCount val="5"/>
                <c:pt idx="0">
                  <c:v>2013</c:v>
                </c:pt>
                <c:pt idx="1">
                  <c:v>2014</c:v>
                </c:pt>
                <c:pt idx="2">
                  <c:v>2015</c:v>
                </c:pt>
                <c:pt idx="3">
                  <c:v>2016</c:v>
                </c:pt>
                <c:pt idx="4">
                  <c:v>2017</c:v>
                </c:pt>
              </c:strCache>
            </c:strRef>
          </c:cat>
          <c:val>
            <c:numRef>
              <c:f>Sheet1!$E$2:$E$6</c:f>
              <c:numCache>
                <c:formatCode>General</c:formatCode>
                <c:ptCount val="5"/>
                <c:pt idx="0">
                  <c:v>2.52</c:v>
                </c:pt>
                <c:pt idx="1">
                  <c:v>2.5499999999999998</c:v>
                </c:pt>
                <c:pt idx="2">
                  <c:v>0.97000000000000064</c:v>
                </c:pt>
                <c:pt idx="3">
                  <c:v>2.3199999999999967</c:v>
                </c:pt>
                <c:pt idx="4">
                  <c:v>2.38</c:v>
                </c:pt>
              </c:numCache>
            </c:numRef>
          </c:val>
        </c:ser>
        <c:ser>
          <c:idx val="4"/>
          <c:order val="4"/>
          <c:tx>
            <c:strRef>
              <c:f>Sheet1!$F$1</c:f>
              <c:strCache>
                <c:ptCount val="1"/>
                <c:pt idx="0">
                  <c:v>Diabet E10-E14</c:v>
                </c:pt>
              </c:strCache>
            </c:strRef>
          </c:tx>
          <c:cat>
            <c:strRef>
              <c:f>Sheet1!$A$2:$A$6</c:f>
              <c:strCache>
                <c:ptCount val="5"/>
                <c:pt idx="0">
                  <c:v>2013</c:v>
                </c:pt>
                <c:pt idx="1">
                  <c:v>2014</c:v>
                </c:pt>
                <c:pt idx="2">
                  <c:v>2015</c:v>
                </c:pt>
                <c:pt idx="3">
                  <c:v>2016</c:v>
                </c:pt>
                <c:pt idx="4">
                  <c:v>2017</c:v>
                </c:pt>
              </c:strCache>
            </c:strRef>
          </c:cat>
          <c:val>
            <c:numRef>
              <c:f>Sheet1!$F$2:$F$6</c:f>
              <c:numCache>
                <c:formatCode>General</c:formatCode>
                <c:ptCount val="5"/>
                <c:pt idx="0">
                  <c:v>2.3199999999999967</c:v>
                </c:pt>
                <c:pt idx="1">
                  <c:v>2.42</c:v>
                </c:pt>
                <c:pt idx="2">
                  <c:v>1.9600000000000051</c:v>
                </c:pt>
                <c:pt idx="3">
                  <c:v>2.25</c:v>
                </c:pt>
                <c:pt idx="4">
                  <c:v>2.3499999999999988</c:v>
                </c:pt>
              </c:numCache>
            </c:numRef>
          </c:val>
        </c:ser>
        <c:axId val="122756480"/>
        <c:axId val="122762368"/>
      </c:barChart>
      <c:catAx>
        <c:axId val="122756480"/>
        <c:scaling>
          <c:orientation val="minMax"/>
        </c:scaling>
        <c:axPos val="b"/>
        <c:tickLblPos val="nextTo"/>
        <c:txPr>
          <a:bodyPr rot="0"/>
          <a:lstStyle/>
          <a:p>
            <a:pPr>
              <a:defRPr sz="700" baseline="0"/>
            </a:pPr>
            <a:endParaRPr lang="ro-RO"/>
          </a:p>
        </c:txPr>
        <c:crossAx val="122762368"/>
        <c:crosses val="autoZero"/>
        <c:auto val="1"/>
        <c:lblAlgn val="ctr"/>
        <c:lblOffset val="100"/>
      </c:catAx>
      <c:valAx>
        <c:axId val="122762368"/>
        <c:scaling>
          <c:orientation val="minMax"/>
          <c:max val="250"/>
        </c:scaling>
        <c:axPos val="l"/>
        <c:majorGridlines/>
        <c:numFmt formatCode="General" sourceLinked="1"/>
        <c:tickLblPos val="nextTo"/>
        <c:txPr>
          <a:bodyPr/>
          <a:lstStyle/>
          <a:p>
            <a:pPr>
              <a:defRPr sz="700" baseline="0"/>
            </a:pPr>
            <a:endParaRPr lang="ro-RO"/>
          </a:p>
        </c:txPr>
        <c:crossAx val="122756480"/>
        <c:crosses val="autoZero"/>
        <c:crossBetween val="between"/>
        <c:majorUnit val="50"/>
        <c:minorUnit val="50"/>
      </c:valAx>
      <c:spPr>
        <a:ln>
          <a:solidFill>
            <a:schemeClr val="bg1">
              <a:lumMod val="50000"/>
            </a:schemeClr>
          </a:solidFill>
        </a:ln>
      </c:spPr>
    </c:plotArea>
    <c:legend>
      <c:legendPos val="b"/>
      <c:layout>
        <c:manualLayout>
          <c:xMode val="edge"/>
          <c:yMode val="edge"/>
          <c:x val="7.3481414208709864E-2"/>
          <c:y val="0.6907523507333635"/>
          <c:w val="0.86700409704432513"/>
          <c:h val="0.27961831192856684"/>
        </c:manualLayout>
      </c:layout>
      <c:txPr>
        <a:bodyPr/>
        <a:lstStyle/>
        <a:p>
          <a:pPr>
            <a:defRPr sz="700" baseline="0"/>
          </a:pPr>
          <a:endParaRPr lang="ro-RO"/>
        </a:p>
      </c:txPr>
    </c:legend>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822D-0378-42E8-8E54-EE133D71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5257</TotalTime>
  <Pages>1</Pages>
  <Words>5972</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40534</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173</cp:revision>
  <cp:lastPrinted>2018-07-13T08:48:00Z</cp:lastPrinted>
  <dcterms:created xsi:type="dcterms:W3CDTF">2015-07-22T06:48:00Z</dcterms:created>
  <dcterms:modified xsi:type="dcterms:W3CDTF">2018-08-14T14:02:00Z</dcterms:modified>
</cp:coreProperties>
</file>