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3101" w:rsidRPr="00DC7D7C" w:rsidRDefault="00D778EE" w:rsidP="003D2DE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D7C">
        <w:rPr>
          <w:rFonts w:ascii="Times New Roman" w:hAnsi="Times New Roman" w:cs="Times New Roman"/>
          <w:b/>
          <w:sz w:val="32"/>
          <w:szCs w:val="32"/>
        </w:rPr>
        <w:t>Ministerul Mediului</w:t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0" hidden="0" allowOverlap="1" wp14:anchorId="623A6BC5" wp14:editId="76455B67">
            <wp:simplePos x="0" y="0"/>
            <wp:positionH relativeFrom="margin">
              <wp:posOffset>5511800</wp:posOffset>
            </wp:positionH>
            <wp:positionV relativeFrom="paragraph">
              <wp:posOffset>217805</wp:posOffset>
            </wp:positionV>
            <wp:extent cx="660400" cy="556260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0" hidden="0" allowOverlap="1" wp14:anchorId="5DD07268" wp14:editId="20C1E084">
            <wp:simplePos x="0" y="0"/>
            <wp:positionH relativeFrom="margin">
              <wp:posOffset>-60323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r="75634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0" hidden="0" allowOverlap="1" wp14:anchorId="48CEEE89" wp14:editId="45A1DBA8">
            <wp:simplePos x="0" y="0"/>
            <wp:positionH relativeFrom="margin">
              <wp:posOffset>5511800</wp:posOffset>
            </wp:positionH>
            <wp:positionV relativeFrom="paragraph">
              <wp:posOffset>217805</wp:posOffset>
            </wp:positionV>
            <wp:extent cx="660400" cy="556260"/>
            <wp:effectExtent l="0" t="0" r="0" b="0"/>
            <wp:wrapNone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C7D7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0" hidden="0" allowOverlap="1" wp14:anchorId="6D74865C" wp14:editId="2A535875">
            <wp:simplePos x="0" y="0"/>
            <wp:positionH relativeFrom="margin">
              <wp:posOffset>-60323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r="75634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3101" w:rsidRDefault="00D778EE" w:rsidP="003D2DE5">
      <w:pPr>
        <w:tabs>
          <w:tab w:val="left" w:pos="3270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Agenţia Naţională pentru Protecţia Mediului</w:t>
      </w:r>
    </w:p>
    <w:tbl>
      <w:tblPr>
        <w:tblStyle w:val="a"/>
        <w:tblW w:w="9676" w:type="dxa"/>
        <w:tblInd w:w="-223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013101">
        <w:trPr>
          <w:trHeight w:val="220"/>
        </w:trPr>
        <w:tc>
          <w:tcPr>
            <w:tcW w:w="9676" w:type="dxa"/>
            <w:shd w:val="clear" w:color="auto" w:fill="FFFFFF"/>
          </w:tcPr>
          <w:p w:rsidR="00013101" w:rsidRDefault="00D778EE" w:rsidP="003D2DE5">
            <w:pPr>
              <w:spacing w:before="120"/>
              <w:contextualSpacing w:val="0"/>
              <w:jc w:val="center"/>
              <w:rPr>
                <w:rFonts w:ascii="Garamond" w:eastAsia="Garamond" w:hAnsi="Garamond" w:cs="Garamond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Agenţia pentru Protecţia Mediului Timiş</w:t>
            </w:r>
          </w:p>
        </w:tc>
      </w:tr>
    </w:tbl>
    <w:p w:rsidR="00013101" w:rsidRDefault="00013101" w:rsidP="00181CE5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C85" w:rsidRDefault="00AB4C85" w:rsidP="00181CE5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C85" w:rsidRPr="00AB4C85" w:rsidRDefault="00D778EE" w:rsidP="003D2DE5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DECIZIA  ETAPEI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DE  INCADRARE</w:t>
      </w:r>
    </w:p>
    <w:p w:rsidR="00AB4C85" w:rsidRPr="00AB4C85" w:rsidRDefault="00033AF3" w:rsidP="003D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83385E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3385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7151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3385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4A7B87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</w:p>
    <w:p w:rsidR="004A7B87" w:rsidRDefault="004A7B87" w:rsidP="003D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4A7B87" w:rsidP="003D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Proiect</w:t>
      </w:r>
    </w:p>
    <w:p w:rsidR="004A7B87" w:rsidRDefault="004A7B87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Pr="00715132" w:rsidRDefault="00D778EE" w:rsidP="00181CE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 urmare a solicitarii de emitere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acordului de mediu adresate de </w:t>
      </w:r>
      <w:r w:rsidR="00BC058C" w:rsidRPr="00BC058C">
        <w:rPr>
          <w:rFonts w:ascii="Times New Roman" w:eastAsia="Times New Roman" w:hAnsi="Times New Roman" w:cs="Times New Roman"/>
          <w:b/>
          <w:sz w:val="24"/>
          <w:szCs w:val="24"/>
        </w:rPr>
        <w:t>KISS DOREL si sotia KISS HERMINA MARIA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C058C">
        <w:rPr>
          <w:rFonts w:ascii="Times New Roman" w:eastAsia="Times New Roman" w:hAnsi="Times New Roman" w:cs="Times New Roman"/>
          <w:sz w:val="24"/>
          <w:szCs w:val="24"/>
        </w:rPr>
        <w:t>cu domiciliul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in jud. Timis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C058C" w:rsidRPr="00BC0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8C">
        <w:rPr>
          <w:rFonts w:ascii="Times New Roman" w:eastAsia="Times New Roman" w:hAnsi="Times New Roman" w:cs="Times New Roman"/>
          <w:sz w:val="24"/>
          <w:szCs w:val="24"/>
        </w:rPr>
        <w:t>oras Deta</w:t>
      </w:r>
      <w:proofErr w:type="gramStart"/>
      <w:r w:rsidR="00BC0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8C" w:rsidRPr="00BC058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C058C">
        <w:rPr>
          <w:rFonts w:ascii="Times New Roman" w:eastAsia="Times New Roman" w:hAnsi="Times New Roman" w:cs="Times New Roman"/>
          <w:sz w:val="24"/>
          <w:szCs w:val="24"/>
        </w:rPr>
        <w:t>leea</w:t>
      </w:r>
      <w:proofErr w:type="gramEnd"/>
      <w:r w:rsidR="00BC058C">
        <w:rPr>
          <w:rFonts w:ascii="Times New Roman" w:eastAsia="Times New Roman" w:hAnsi="Times New Roman" w:cs="Times New Roman"/>
          <w:sz w:val="24"/>
          <w:szCs w:val="24"/>
        </w:rPr>
        <w:t xml:space="preserve"> Revolutiei nr. 4</w:t>
      </w:r>
      <w:proofErr w:type="gramStart"/>
      <w:r w:rsidR="00BC058C" w:rsidRPr="00BC0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inreg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>istrata</w:t>
      </w:r>
      <w:proofErr w:type="gramEnd"/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la APM Timis sub nr. </w:t>
      </w:r>
      <w:r w:rsidR="00BC058C">
        <w:rPr>
          <w:rFonts w:ascii="Times New Roman" w:eastAsia="Times New Roman" w:hAnsi="Times New Roman" w:cs="Times New Roman"/>
          <w:sz w:val="24"/>
          <w:szCs w:val="24"/>
        </w:rPr>
        <w:t>8515RP/13.07</w:t>
      </w:r>
      <w:r w:rsidR="004A7B87">
        <w:rPr>
          <w:rFonts w:ascii="Times New Roman" w:eastAsia="Times New Roman" w:hAnsi="Times New Roman" w:cs="Times New Roman"/>
          <w:sz w:val="24"/>
          <w:szCs w:val="24"/>
        </w:rPr>
        <w:t>.2017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 ultimele completari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depuse cu nr.</w:t>
      </w:r>
      <w:r w:rsidR="00BC058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4A7B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058C">
        <w:rPr>
          <w:rFonts w:ascii="Times New Roman" w:eastAsia="Times New Roman" w:hAnsi="Times New Roman" w:cs="Times New Roman"/>
          <w:sz w:val="24"/>
          <w:szCs w:val="24"/>
        </w:rPr>
        <w:t>RP/17</w:t>
      </w:r>
      <w:r w:rsidR="00DC7D7C">
        <w:rPr>
          <w:rFonts w:ascii="Times New Roman" w:eastAsia="Times New Roman" w:hAnsi="Times New Roman" w:cs="Times New Roman"/>
          <w:sz w:val="24"/>
          <w:szCs w:val="24"/>
        </w:rPr>
        <w:t>.01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C7D7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baza HG nr. 445/2009 privind evaluarea impactului anumitor proiecte publice si private asupra mediului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Ordonantei de urgenta a Guvernului nr. 57/2007 privind regimul ariilor naturale protejate, conservarea habitatelor naturale, a florei si faunei salbatice, cu modificarile si completarile ulterioare,</w:t>
      </w:r>
    </w:p>
    <w:p w:rsidR="00013101" w:rsidRPr="00BC058C" w:rsidRDefault="00D778EE" w:rsidP="00181C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Agentia pentru Protectia Mediului Timis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decide, ca urmare a consultarilor desfasurate in cadrul sedintei Comisiei de An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aliza Tehnica, din data de </w:t>
      </w:r>
      <w:r w:rsidR="00181CE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7C177C">
        <w:rPr>
          <w:rFonts w:ascii="Times New Roman" w:eastAsia="Times New Roman" w:hAnsi="Times New Roman" w:cs="Times New Roman"/>
          <w:sz w:val="24"/>
          <w:szCs w:val="24"/>
        </w:rPr>
        <w:t>.01.2018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 proiectul elaborat in scopul </w:t>
      </w:r>
      <w:r w:rsidR="00BC0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87" w:rsidRPr="004A7B8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”</w:t>
      </w:r>
      <w:r w:rsidR="00BC058C" w:rsidRPr="00BC058C">
        <w:rPr>
          <w:rFonts w:ascii="Times New Roman" w:eastAsia="Times New Roman" w:hAnsi="Times New Roman" w:cs="Times New Roman"/>
          <w:b/>
          <w:sz w:val="24"/>
          <w:szCs w:val="24"/>
        </w:rPr>
        <w:t>CONSTRUIRE HALA PENTRU PRODUCTIE PASTE FAINOASE IN REGIM DE INALTIME PARTER</w:t>
      </w:r>
      <w:r w:rsidR="004A7B87" w:rsidRPr="004A7B8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propus a 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amplasat in  </w:t>
      </w:r>
      <w:r w:rsidR="00BC058C" w:rsidRPr="00BC058C">
        <w:rPr>
          <w:rFonts w:ascii="Times New Roman" w:eastAsia="Times New Roman" w:hAnsi="Times New Roman" w:cs="Times New Roman"/>
          <w:sz w:val="24"/>
          <w:szCs w:val="24"/>
        </w:rPr>
        <w:t xml:space="preserve">oras Deta,  Aleea Revolutiei nr. </w:t>
      </w:r>
      <w:proofErr w:type="gramStart"/>
      <w:r w:rsidR="00F74D3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C058C" w:rsidRPr="00BC05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CF </w:t>
      </w:r>
      <w:r w:rsidR="00BC058C" w:rsidRPr="00BC058C">
        <w:rPr>
          <w:rFonts w:ascii="Times New Roman" w:eastAsia="Times New Roman" w:hAnsi="Times New Roman" w:cs="Times New Roman"/>
          <w:sz w:val="24"/>
          <w:szCs w:val="24"/>
        </w:rPr>
        <w:t>401906</w:t>
      </w:r>
      <w:r w:rsidR="00715132">
        <w:rPr>
          <w:rFonts w:ascii="Times New Roman" w:eastAsia="Times New Roman" w:hAnsi="Times New Roman" w:cs="Times New Roman"/>
          <w:sz w:val="24"/>
          <w:szCs w:val="24"/>
        </w:rPr>
        <w:t>, nr.</w:t>
      </w:r>
      <w:proofErr w:type="gramEnd"/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177C">
        <w:rPr>
          <w:rFonts w:ascii="Times New Roman" w:eastAsia="Times New Roman" w:hAnsi="Times New Roman" w:cs="Times New Roman"/>
          <w:sz w:val="24"/>
          <w:szCs w:val="24"/>
        </w:rPr>
        <w:t>Top.</w:t>
      </w:r>
      <w:proofErr w:type="gramEnd"/>
      <w:r w:rsidR="0071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058C">
        <w:rPr>
          <w:rFonts w:ascii="Times New Roman" w:eastAsia="Times New Roman" w:hAnsi="Times New Roman" w:cs="Times New Roman"/>
          <w:sz w:val="24"/>
          <w:szCs w:val="24"/>
        </w:rPr>
        <w:t>401906,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jud Timis,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 se supune evaluarii impactului asupra mediului si evaluarii adecvate.</w:t>
      </w:r>
      <w:proofErr w:type="gramEnd"/>
    </w:p>
    <w:p w:rsidR="00013101" w:rsidRDefault="00D778EE" w:rsidP="00181CE5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Justificarea prezentei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decizii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Motivele care au stat la baza luarii deciziei etapei de incadrare in procedura de evaluare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impactului asupra mediului sunt urmatoarele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E544D" w:rsidRPr="0097101C" w:rsidRDefault="00D778EE" w:rsidP="00181CE5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gramStart"/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>proiectul</w:t>
      </w:r>
      <w:proofErr w:type="gramEnd"/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 incadreaza in prevederile Hotararii Guvernului nr. </w:t>
      </w:r>
      <w:proofErr w:type="gramStart"/>
      <w:r w:rsidRPr="00EE54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445/ 2009, </w:t>
      </w:r>
      <w:r w:rsidR="00EE544D" w:rsidRPr="005F0B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>Anexa nr.</w:t>
      </w:r>
      <w:proofErr w:type="gramEnd"/>
      <w:r w:rsidR="00EE544D" w:rsidRPr="005F0B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2, </w:t>
      </w:r>
      <w:r w:rsidR="0097101C" w:rsidRPr="005F0B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pct. </w:t>
      </w:r>
      <w:r w:rsidR="0097101C" w:rsidRPr="005F0B9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10</w:t>
      </w:r>
      <w:r w:rsidR="00181CE5" w:rsidRPr="005F0B9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97101C" w:rsidRPr="005F0B9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/>
        </w:rPr>
        <w:t>b.proiecte de dezvoltare urbană, inclusiv construcţia centrelor comerciale şi a parcărilor auto;</w:t>
      </w:r>
    </w:p>
    <w:p w:rsidR="00013101" w:rsidRPr="00EE544D" w:rsidRDefault="00D778EE" w:rsidP="00181CE5">
      <w:pPr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proiectul propus nu intră sub incidenţa art. 28 din Ordonanţa de Urgenţă a Guvernului nr. 57/2007 privind regimul ariilor naturale protejate, conservarea habitatelor naturale, a florei şi faunei sălbatice, cu modificările şi completările ulterioare;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Justificarea in raport cu criteriile din anexa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HG 445/2009: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Caracteristicile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proiectului :</w:t>
      </w:r>
      <w:proofErr w:type="gramEnd"/>
    </w:p>
    <w:p w:rsidR="00013101" w:rsidRDefault="008C7C53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Mărimea proiectului</w:t>
      </w:r>
      <w:r w:rsidR="00D778E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C7C53" w:rsidRPr="008C7C53" w:rsidRDefault="00DD5220" w:rsidP="008C7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 terenul </w:t>
      </w:r>
      <w:r w:rsidR="00AD7761"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înscris în Cartea Funciară C.F. nr. </w:t>
      </w:r>
      <w:r w:rsidR="008C7C53" w:rsidRPr="008C7C53">
        <w:rPr>
          <w:rFonts w:ascii="Times New Roman" w:eastAsia="Times New Roman" w:hAnsi="Times New Roman" w:cs="Times New Roman"/>
          <w:sz w:val="24"/>
          <w:szCs w:val="24"/>
        </w:rPr>
        <w:t>401906</w:t>
      </w:r>
      <w:r w:rsidR="00325C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Timișoara - teren intravilan in St=</w:t>
      </w:r>
      <w:r w:rsidR="008C7C53" w:rsidRPr="008C7C53">
        <w:rPr>
          <w:rFonts w:ascii="Times New Roman" w:eastAsia="Times New Roman" w:hAnsi="Times New Roman" w:cs="Times New Roman"/>
          <w:sz w:val="24"/>
          <w:szCs w:val="24"/>
        </w:rPr>
        <w:t>437</w:t>
      </w:r>
      <w:r w:rsidR="00325C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mp,</w:t>
      </w:r>
      <w:r w:rsidRPr="00DD522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DD52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propune construirea </w:t>
      </w:r>
      <w:r w:rsidR="008C7C53">
        <w:rPr>
          <w:rFonts w:ascii="Times New Roman" w:eastAsia="Times New Roman" w:hAnsi="Times New Roman" w:cs="Times New Roman"/>
          <w:bCs/>
          <w:sz w:val="24"/>
          <w:szCs w:val="24"/>
        </w:rPr>
        <w:t xml:space="preserve">unei hale in regim P pentru productia </w:t>
      </w:r>
      <w:proofErr w:type="gramStart"/>
      <w:r w:rsidR="008C7C53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8C7C53" w:rsidRPr="008C7C5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paste</w:t>
      </w:r>
      <w:proofErr w:type="gramEnd"/>
      <w:r w:rsidR="008C7C53" w:rsidRPr="008C7C5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fainoase.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Accesul pe parcelă </w:t>
      </w:r>
      <w:r w:rsidR="008C7C53" w:rsidRPr="008C7C5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atat auto cat si pietonal se </w:t>
      </w:r>
      <w:r w:rsidR="008C7C5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va </w:t>
      </w:r>
      <w:r w:rsidR="008C7C53" w:rsidRPr="008C7C53">
        <w:rPr>
          <w:rFonts w:ascii="Times New Roman" w:eastAsia="Times New Roman" w:hAnsi="Times New Roman" w:cs="Times New Roman"/>
          <w:sz w:val="24"/>
          <w:szCs w:val="24"/>
          <w:lang w:val="pt-BR"/>
        </w:rPr>
        <w:t>face dinspre Aleea Revolutiei, de pe latura nordica.</w:t>
      </w: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9C2F2A" w:rsidRPr="009C2F2A" w:rsidRDefault="009C2F2A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C2F2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9C2F2A" w:rsidRDefault="003D5969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Lucrari propuse: 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– construire </w:t>
      </w:r>
      <w:r w:rsidR="00E77C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hala productie paste fainoase </w:t>
      </w:r>
      <w:r w:rsidR="00325C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– </w:t>
      </w:r>
      <w:r w:rsidR="00E77C2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realizare parcari (4 </w:t>
      </w:r>
      <w:r w:rsidR="004D7523">
        <w:rPr>
          <w:rFonts w:ascii="Times New Roman" w:eastAsia="Times New Roman" w:hAnsi="Times New Roman" w:cs="Times New Roman"/>
          <w:sz w:val="24"/>
          <w:szCs w:val="24"/>
          <w:lang w:val="pt-BR"/>
        </w:rPr>
        <w:t>locuri parcare)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– spatii verzi amenajate</w:t>
      </w:r>
    </w:p>
    <w:p w:rsidR="00AD7761" w:rsidRP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D7761">
        <w:rPr>
          <w:rFonts w:ascii="Times New Roman" w:eastAsia="Times New Roman" w:hAnsi="Times New Roman" w:cs="Times New Roman"/>
          <w:sz w:val="24"/>
          <w:szCs w:val="24"/>
          <w:lang w:val="pt-BR"/>
        </w:rPr>
        <w:t>– realizarea uitilităţilor obiectivului</w:t>
      </w:r>
      <w:r w:rsidR="0013300E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D7761" w:rsidRDefault="00AD776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A7017" w:rsidRPr="00FA7017" w:rsidRDefault="00FA7017" w:rsidP="00FA7017">
      <w:pPr>
        <w:widowControl/>
        <w:spacing w:after="0" w:line="240" w:lineRule="auto"/>
        <w:jc w:val="both"/>
        <w:rPr>
          <w:rFonts w:ascii="Times New Roman" w:eastAsia="01_FuturaRO_Light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01_FuturaRO_Light" w:hAnsi="Times New Roman" w:cs="Times New Roman"/>
          <w:b/>
          <w:color w:val="auto"/>
          <w:sz w:val="24"/>
          <w:szCs w:val="24"/>
          <w:lang w:eastAsia="zh-CN"/>
        </w:rPr>
        <w:t>Bilant</w:t>
      </w:r>
      <w:r w:rsidRPr="00FA7017">
        <w:rPr>
          <w:rFonts w:ascii="Times New Roman" w:eastAsia="01_FuturaRO_Light" w:hAnsi="Times New Roman" w:cs="Times New Roman"/>
          <w:b/>
          <w:color w:val="auto"/>
          <w:sz w:val="24"/>
          <w:szCs w:val="24"/>
          <w:lang w:eastAsia="zh-CN"/>
        </w:rPr>
        <w:t xml:space="preserve"> teritorial:</w:t>
      </w:r>
    </w:p>
    <w:p w:rsidR="00FA7017" w:rsidRPr="00FA7017" w:rsidRDefault="00FA7017" w:rsidP="00FA7017">
      <w:pPr>
        <w:tabs>
          <w:tab w:val="left" w:pos="58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bCs/>
          <w:color w:val="auto"/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683"/>
        <w:gridCol w:w="1675"/>
      </w:tblGrid>
      <w:tr w:rsidR="00FA7017" w:rsidRPr="00FA7017" w:rsidTr="00BA1D80">
        <w:tc>
          <w:tcPr>
            <w:tcW w:w="1592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Suprafete</w:t>
            </w:r>
          </w:p>
        </w:tc>
        <w:tc>
          <w:tcPr>
            <w:tcW w:w="1683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 xml:space="preserve">Existent  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(</w:t>
            </w: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mp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)</w:t>
            </w:r>
          </w:p>
        </w:tc>
        <w:tc>
          <w:tcPr>
            <w:tcW w:w="1675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 xml:space="preserve">Propus 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(</w:t>
            </w: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mp</w:t>
            </w:r>
            <w:r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)</w:t>
            </w:r>
          </w:p>
        </w:tc>
      </w:tr>
      <w:tr w:rsidR="00FA7017" w:rsidRPr="00FA7017" w:rsidTr="00BA1D80">
        <w:tc>
          <w:tcPr>
            <w:tcW w:w="1592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val="ro-RO"/>
              </w:rPr>
              <w:t>Suprafata totala a terenului</w:t>
            </w:r>
          </w:p>
        </w:tc>
        <w:tc>
          <w:tcPr>
            <w:tcW w:w="1683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437</w:t>
            </w:r>
          </w:p>
        </w:tc>
        <w:tc>
          <w:tcPr>
            <w:tcW w:w="1675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437</w:t>
            </w:r>
          </w:p>
        </w:tc>
      </w:tr>
      <w:tr w:rsidR="00FA7017" w:rsidRPr="00FA7017" w:rsidTr="00BA1D80">
        <w:tc>
          <w:tcPr>
            <w:tcW w:w="1592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val="ro-RO"/>
              </w:rPr>
              <w:t>Suprafata construita la sol</w:t>
            </w:r>
          </w:p>
        </w:tc>
        <w:tc>
          <w:tcPr>
            <w:tcW w:w="1683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75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175</w:t>
            </w:r>
          </w:p>
        </w:tc>
      </w:tr>
      <w:tr w:rsidR="00FA7017" w:rsidRPr="00FA7017" w:rsidTr="00BA1D80">
        <w:tc>
          <w:tcPr>
            <w:tcW w:w="1592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 xml:space="preserve">Suprafata spatiu verde </w:t>
            </w:r>
          </w:p>
        </w:tc>
        <w:tc>
          <w:tcPr>
            <w:tcW w:w="1683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75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45</w:t>
            </w:r>
          </w:p>
        </w:tc>
      </w:tr>
      <w:tr w:rsidR="00FA7017" w:rsidRPr="00FA7017" w:rsidTr="00BA1D80">
        <w:tc>
          <w:tcPr>
            <w:tcW w:w="1592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Suprafata parcari</w:t>
            </w:r>
          </w:p>
        </w:tc>
        <w:tc>
          <w:tcPr>
            <w:tcW w:w="1683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75" w:type="dxa"/>
          </w:tcPr>
          <w:p w:rsidR="00FA7017" w:rsidRPr="00FA7017" w:rsidRDefault="00FA7017" w:rsidP="00FA7017">
            <w:p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FA7017">
              <w:rPr>
                <w:rFonts w:ascii="Times New Roman" w:eastAsia="Lucida Sans Unicode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217</w:t>
            </w:r>
          </w:p>
        </w:tc>
      </w:tr>
    </w:tbl>
    <w:p w:rsidR="00325C10" w:rsidRPr="00FA7017" w:rsidRDefault="00325C10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70A8D" w:rsidRDefault="00270A8D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POT existent = 0%</w:t>
      </w:r>
    </w:p>
    <w:p w:rsidR="00270A8D" w:rsidRDefault="00270A8D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CUT existent = 0</w:t>
      </w:r>
    </w:p>
    <w:p w:rsidR="00325C10" w:rsidRPr="00325C10" w:rsidRDefault="00325C10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POT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propus </w:t>
      </w:r>
      <w:r w:rsidR="00FA70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= 40 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%</w:t>
      </w:r>
    </w:p>
    <w:p w:rsidR="00325C10" w:rsidRPr="00325C10" w:rsidRDefault="00325C10" w:rsidP="00181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CUT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propus </w:t>
      </w:r>
      <w:r w:rsidR="00FA701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= 0,</w:t>
      </w:r>
      <w:r w:rsidRPr="00325C10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</w:p>
    <w:p w:rsidR="003D5969" w:rsidRPr="009C2F2A" w:rsidRDefault="003D5969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A6EA8" w:rsidRPr="003A6EA8" w:rsidRDefault="003A6EA8" w:rsidP="003A6E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 xml:space="preserve">Procesul tehnologic pentru activitatea de fabricarea a pastelor </w:t>
      </w:r>
      <w:proofErr w:type="gramStart"/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 xml:space="preserve">fainoase  </w:t>
      </w:r>
      <w:r w:rsidR="001F3866">
        <w:rPr>
          <w:rFonts w:ascii="Times New Roman" w:eastAsia="Times New Roman" w:hAnsi="Times New Roman" w:cs="Times New Roman"/>
          <w:iCs/>
          <w:sz w:val="24"/>
          <w:szCs w:val="24"/>
        </w:rPr>
        <w:t>va</w:t>
      </w:r>
      <w:proofErr w:type="gramEnd"/>
      <w:r w:rsidR="001F386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cuprinde urmatoarele faze:</w:t>
      </w:r>
    </w:p>
    <w:p w:rsidR="003A6EA8" w:rsidRPr="003A6EA8" w:rsidRDefault="003A6EA8" w:rsidP="003A6E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receptia materiilor prime si auxiliare;</w:t>
      </w:r>
    </w:p>
    <w:p w:rsidR="003A6EA8" w:rsidRPr="003A6EA8" w:rsidRDefault="003A6EA8" w:rsidP="003A6E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dozarea materiilor prime si auxiliare;</w:t>
      </w:r>
    </w:p>
    <w:p w:rsidR="003A6EA8" w:rsidRPr="003A6EA8" w:rsidRDefault="003A6EA8" w:rsidP="003A6E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prepararea aluatului in malaxor;</w:t>
      </w:r>
    </w:p>
    <w:p w:rsidR="003A6EA8" w:rsidRPr="003A6EA8" w:rsidRDefault="003A6EA8" w:rsidP="003A6E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formarea pastelor si taierea lor  manuala;</w:t>
      </w:r>
    </w:p>
    <w:p w:rsidR="003A6EA8" w:rsidRPr="003A6EA8" w:rsidRDefault="003A6EA8" w:rsidP="003A6E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uscarea in spatiul de uscare prevazut cu aeroterme</w:t>
      </w:r>
    </w:p>
    <w:p w:rsidR="003A6EA8" w:rsidRPr="003A6EA8" w:rsidRDefault="003A6EA8" w:rsidP="003A6E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ambalarea</w:t>
      </w:r>
    </w:p>
    <w:p w:rsidR="001F3866" w:rsidRDefault="003A6EA8" w:rsidP="001F386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>depozitarea</w:t>
      </w:r>
      <w:proofErr w:type="gramEnd"/>
      <w:r w:rsidRPr="003A6EA8">
        <w:rPr>
          <w:rFonts w:ascii="Times New Roman" w:eastAsia="Times New Roman" w:hAnsi="Times New Roman" w:cs="Times New Roman"/>
          <w:iCs/>
          <w:sz w:val="24"/>
          <w:szCs w:val="24"/>
        </w:rPr>
        <w:t xml:space="preserve"> si livrarea.</w:t>
      </w:r>
    </w:p>
    <w:p w:rsidR="003A6EA8" w:rsidRDefault="003A6EA8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A3A22" w:rsidRPr="00AF6178" w:rsidRDefault="00C41A87" w:rsidP="00EA3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6178">
        <w:rPr>
          <w:rFonts w:ascii="Times New Roman" w:eastAsia="Times New Roman" w:hAnsi="Times New Roman" w:cs="Times New Roman"/>
          <w:b/>
          <w:sz w:val="24"/>
          <w:szCs w:val="24"/>
        </w:rPr>
        <w:t>Dotari</w:t>
      </w:r>
      <w:r w:rsidR="00646721" w:rsidRPr="00AF6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721" w:rsidRPr="00AF6178">
        <w:rPr>
          <w:rFonts w:ascii="Times New Roman" w:eastAsia="Times New Roman" w:hAnsi="Times New Roman" w:cs="Times New Roman"/>
          <w:b/>
          <w:sz w:val="24"/>
          <w:szCs w:val="24"/>
        </w:rPr>
        <w:t>in conformitate cu procesul tehnologic:</w:t>
      </w:r>
      <w:r w:rsidR="00AF61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EA3A22" w:rsidRPr="00EA3A22">
        <w:rPr>
          <w:rFonts w:ascii="Times New Roman" w:eastAsia="Times New Roman" w:hAnsi="Times New Roman" w:cs="Times New Roman"/>
          <w:iCs/>
          <w:sz w:val="24"/>
          <w:szCs w:val="24"/>
        </w:rPr>
        <w:t>-  Utilaje</w:t>
      </w:r>
      <w:proofErr w:type="gramEnd"/>
      <w:r w:rsidR="00EA3A22" w:rsidRPr="00EA3A22">
        <w:rPr>
          <w:rFonts w:ascii="Times New Roman" w:eastAsia="Times New Roman" w:hAnsi="Times New Roman" w:cs="Times New Roman"/>
          <w:iCs/>
          <w:sz w:val="24"/>
          <w:szCs w:val="24"/>
        </w:rPr>
        <w:t xml:space="preserve">: malaxor </w:t>
      </w:r>
      <w:r w:rsidR="00EA3A22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A3A22" w:rsidRPr="00EA3A22">
        <w:rPr>
          <w:rFonts w:ascii="Times New Roman" w:eastAsia="Times New Roman" w:hAnsi="Times New Roman" w:cs="Times New Roman"/>
          <w:iCs/>
          <w:sz w:val="24"/>
          <w:szCs w:val="24"/>
        </w:rPr>
        <w:t>putere 1 KW</w:t>
      </w:r>
      <w:r w:rsidR="00EA3A22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A3A22" w:rsidRPr="00EA3A22">
        <w:rPr>
          <w:rFonts w:ascii="Times New Roman" w:eastAsia="Times New Roman" w:hAnsi="Times New Roman" w:cs="Times New Roman"/>
          <w:iCs/>
          <w:sz w:val="24"/>
          <w:szCs w:val="24"/>
        </w:rPr>
        <w:t xml:space="preserve"> - 1 buc,  blat inox  formare paste fainoase cu o suprafata de 1,89 mp</w:t>
      </w:r>
      <w:r w:rsidR="00EA3A22">
        <w:rPr>
          <w:rFonts w:ascii="Times New Roman" w:eastAsia="Times New Roman" w:hAnsi="Times New Roman" w:cs="Times New Roman"/>
          <w:iCs/>
          <w:sz w:val="24"/>
          <w:szCs w:val="24"/>
        </w:rPr>
        <w:t>, frigider, chiuve</w:t>
      </w:r>
      <w:r w:rsidR="00EA3A22" w:rsidRPr="00EA3A22">
        <w:rPr>
          <w:rFonts w:ascii="Times New Roman" w:eastAsia="Times New Roman" w:hAnsi="Times New Roman" w:cs="Times New Roman"/>
          <w:iCs/>
          <w:sz w:val="24"/>
          <w:szCs w:val="24"/>
        </w:rPr>
        <w:t>ta.</w:t>
      </w:r>
    </w:p>
    <w:p w:rsidR="00891346" w:rsidRPr="00B76AC3" w:rsidRDefault="00891346" w:rsidP="00181C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55B8B" w:rsidRDefault="00891346" w:rsidP="00D55B8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1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Materii prime</w:t>
      </w:r>
      <w:r w:rsidR="0013300E" w:rsidRPr="00AF617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Pr="008913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care se vor utiliza in </w:t>
      </w:r>
      <w:r w:rsidR="00B76AC3">
        <w:rPr>
          <w:rFonts w:ascii="Times New Roman" w:eastAsia="Times New Roman" w:hAnsi="Times New Roman" w:cs="Times New Roman"/>
          <w:color w:val="auto"/>
          <w:sz w:val="24"/>
          <w:szCs w:val="24"/>
        </w:rPr>
        <w:t>activitate</w:t>
      </w:r>
      <w:r w:rsidR="00D55B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faina, oua, </w:t>
      </w:r>
      <w:proofErr w:type="gramStart"/>
      <w:r w:rsidR="00D55B8B">
        <w:rPr>
          <w:rFonts w:ascii="Times New Roman" w:eastAsia="Times New Roman" w:hAnsi="Times New Roman" w:cs="Times New Roman"/>
          <w:color w:val="auto"/>
          <w:sz w:val="24"/>
          <w:szCs w:val="24"/>
        </w:rPr>
        <w:t>apa</w:t>
      </w:r>
      <w:proofErr w:type="gramEnd"/>
      <w:r w:rsidR="00D55B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sare. </w:t>
      </w:r>
    </w:p>
    <w:p w:rsidR="0013300E" w:rsidRDefault="0013300E" w:rsidP="0013300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single"/>
        </w:rPr>
      </w:pPr>
    </w:p>
    <w:p w:rsidR="0013300E" w:rsidRPr="00AF6178" w:rsidRDefault="0013300E" w:rsidP="0013300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single"/>
        </w:rPr>
      </w:pPr>
      <w:r w:rsidRPr="00AF617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Ambalaje folosite:</w:t>
      </w:r>
      <w:r w:rsidR="00AF6178" w:rsidRPr="00AF617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Pr="0013300E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-pungi polietilena inscriptionate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.</w:t>
      </w:r>
    </w:p>
    <w:p w:rsidR="00D55B8B" w:rsidRDefault="00D55B8B" w:rsidP="00D55B8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55B8B" w:rsidRPr="00D55B8B" w:rsidRDefault="00D55B8B" w:rsidP="00D55B8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D55B8B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single"/>
        </w:rPr>
        <w:t>Capacitate de productie:</w:t>
      </w:r>
      <w:r w:rsidRPr="00D55B8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10 kg paste fainoase/zi.</w:t>
      </w:r>
    </w:p>
    <w:p w:rsidR="00013101" w:rsidRDefault="00013101" w:rsidP="00181CE5">
      <w:pPr>
        <w:tabs>
          <w:tab w:val="left" w:pos="737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05DAB" w:rsidRPr="00A05DAB" w:rsidRDefault="00D778EE" w:rsidP="00181CE5">
      <w:pPr>
        <w:tabs>
          <w:tab w:val="left" w:pos="73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6178">
        <w:rPr>
          <w:rFonts w:ascii="Times New Roman" w:eastAsia="Times New Roman" w:hAnsi="Times New Roman" w:cs="Times New Roman"/>
          <w:b/>
          <w:sz w:val="24"/>
          <w:szCs w:val="24"/>
        </w:rPr>
        <w:t xml:space="preserve">Alimentarea cu </w:t>
      </w:r>
      <w:proofErr w:type="gramStart"/>
      <w:r w:rsidRPr="00AF6178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proofErr w:type="gramEnd"/>
      <w:r w:rsidRPr="00AF617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05D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va realiza in sistem centralizat prin bransament 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reteaua publica de alimentare cu apa a </w:t>
      </w:r>
      <w:r w:rsidR="009B0107">
        <w:rPr>
          <w:rFonts w:ascii="Times New Roman" w:eastAsia="Times New Roman" w:hAnsi="Times New Roman" w:cs="Times New Roman"/>
          <w:sz w:val="24"/>
          <w:szCs w:val="24"/>
          <w:lang w:val="ro-RO"/>
        </w:rPr>
        <w:t>orasului Deta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</w:t>
      </w:r>
    </w:p>
    <w:p w:rsidR="00517688" w:rsidRPr="00517688" w:rsidRDefault="00A05DAB" w:rsidP="00243782">
      <w:pPr>
        <w:widowControl/>
        <w:spacing w:before="269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F61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Canalizarea menajera:</w:t>
      </w:r>
      <w:r w:rsidRPr="00A05D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va realiza in sistem centralizat prin 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racord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reteaua publica a </w:t>
      </w:r>
      <w:r w:rsidR="009B0107">
        <w:rPr>
          <w:rFonts w:ascii="Times New Roman" w:eastAsia="Times New Roman" w:hAnsi="Times New Roman" w:cs="Times New Roman"/>
          <w:sz w:val="24"/>
          <w:szCs w:val="24"/>
          <w:lang w:val="ro-RO"/>
        </w:rPr>
        <w:t>orasului Deta</w:t>
      </w:r>
      <w:r w:rsidR="00395FB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A05D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Apele pluviale 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platformele aferente circulatiilor si parcajelor 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se vor colecta prin intermediul un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or rigole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deschise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, vor fi preepurate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intr-un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decantor-separator de hidrocarburi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385E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>cu debitul de 1,5 l/s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, dupa care acestea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fi stocate 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ntr-un 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bazin de retentie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</w:t>
      </w:r>
      <w:r w:rsidR="0083385E">
        <w:rPr>
          <w:rFonts w:ascii="Times New Roman" w:eastAsia="Times New Roman" w:hAnsi="Times New Roman" w:cs="Times New Roman"/>
          <w:sz w:val="24"/>
          <w:szCs w:val="24"/>
          <w:lang w:val="ro-RO"/>
        </w:rPr>
        <w:t>capacitatea de</w:t>
      </w:r>
      <w:bookmarkStart w:id="0" w:name="_GoBack"/>
      <w:bookmarkEnd w:id="0"/>
      <w:r w:rsidR="0083385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mc.</w:t>
      </w:r>
      <w:r w:rsid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fr-FR"/>
        </w:rPr>
        <w:t>Surplusul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fi preluat în canalizarea </w:t>
      </w:r>
      <w:r w:rsidR="00BA5604">
        <w:rPr>
          <w:rFonts w:ascii="Times New Roman" w:eastAsia="Times New Roman" w:hAnsi="Times New Roman" w:cs="Times New Roman"/>
          <w:sz w:val="24"/>
          <w:szCs w:val="24"/>
          <w:lang w:val="ro-RO"/>
        </w:rPr>
        <w:t>orasului Deta</w:t>
      </w:r>
      <w:r w:rsidR="00517688" w:rsidRPr="0051768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BA1F1D" w:rsidRPr="00BA1F1D" w:rsidRDefault="00A05DAB" w:rsidP="00BA1F1D">
      <w:pPr>
        <w:widowControl/>
        <w:spacing w:before="269"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  <w:lastRenderedPageBreak/>
        <w:t>Instalatii de incalzire:</w:t>
      </w:r>
      <w:r w:rsidRPr="00A05DA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05D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030F2" w:rsidRPr="000030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Spațiul de lucru va fi încălzit cu ajutorul unei centrale </w:t>
      </w:r>
      <w:r w:rsidR="000030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termice pe </w:t>
      </w:r>
      <w:r w:rsidR="00BA1F1D" w:rsidRPr="00BA1F1D">
        <w:rPr>
          <w:rFonts w:ascii="Times New Roman" w:eastAsia="Times New Roman" w:hAnsi="Times New Roman" w:cs="Times New Roman"/>
          <w:sz w:val="24"/>
          <w:szCs w:val="24"/>
        </w:rPr>
        <w:t>combustibil solid ( lemn) amplasata in spatiul tehnic</w:t>
      </w:r>
      <w:r w:rsidR="00BA1F1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putere de 40 </w:t>
      </w:r>
      <w:r w:rsidR="003D2DE5">
        <w:rPr>
          <w:rFonts w:ascii="Times New Roman" w:eastAsia="Times New Roman" w:hAnsi="Times New Roman" w:cs="Times New Roman"/>
          <w:sz w:val="24"/>
          <w:szCs w:val="24"/>
          <w:lang w:val="ro-RO"/>
        </w:rPr>
        <w:t>kw</w:t>
      </w:r>
      <w:r w:rsidR="000030F2" w:rsidRPr="000030F2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013101" w:rsidRDefault="00D778EE" w:rsidP="00181CE5">
      <w:pPr>
        <w:widowControl/>
        <w:spacing w:before="26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Organizarea de santier:</w:t>
      </w:r>
    </w:p>
    <w:p w:rsidR="00BA1F1D" w:rsidRPr="00740B03" w:rsidRDefault="00D778EE" w:rsidP="0018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5380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gramStart"/>
      <w:r w:rsidRPr="0025380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 w:rsidRPr="00253801">
        <w:rPr>
          <w:rFonts w:ascii="Times New Roman" w:eastAsia="Times New Roman" w:hAnsi="Times New Roman" w:cs="Times New Roman"/>
          <w:sz w:val="24"/>
          <w:szCs w:val="24"/>
        </w:rPr>
        <w:t xml:space="preserve"> realiza exclusiv pe terenul aferent investitiei propuse, incris in </w:t>
      </w:r>
      <w:r w:rsidR="00253801" w:rsidRPr="00253801">
        <w:rPr>
          <w:rFonts w:ascii="Times New Roman" w:eastAsia="Times New Roman" w:hAnsi="Times New Roman" w:cs="Times New Roman"/>
          <w:sz w:val="24"/>
          <w:szCs w:val="24"/>
        </w:rPr>
        <w:t xml:space="preserve">CF </w:t>
      </w:r>
      <w:r w:rsidR="003D0106">
        <w:rPr>
          <w:rFonts w:ascii="Times New Roman" w:eastAsia="Times New Roman" w:hAnsi="Times New Roman" w:cs="Times New Roman"/>
          <w:sz w:val="24"/>
          <w:szCs w:val="24"/>
        </w:rPr>
        <w:t xml:space="preserve">426592 </w:t>
      </w:r>
      <w:r w:rsidR="00BA1F1D">
        <w:rPr>
          <w:rFonts w:ascii="Times New Roman" w:eastAsia="Times New Roman" w:hAnsi="Times New Roman" w:cs="Times New Roman"/>
          <w:sz w:val="24"/>
          <w:szCs w:val="24"/>
        </w:rPr>
        <w:t>Deta</w:t>
      </w:r>
      <w:r w:rsidR="00740B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106" w:rsidRPr="005739F0" w:rsidRDefault="003D0106" w:rsidP="0018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9F0">
        <w:rPr>
          <w:rFonts w:ascii="Times New Roman" w:hAnsi="Times New Roman" w:cs="Times New Roman"/>
          <w:sz w:val="24"/>
          <w:szCs w:val="24"/>
        </w:rPr>
        <w:t>Materialele, utilajele si uneltele necesare pentru constructie vor fi depozitate strict pe terenul beneficiarului, fara a se folosi spatiul public in acest scop.</w:t>
      </w:r>
      <w:proofErr w:type="gramEnd"/>
    </w:p>
    <w:p w:rsidR="003D0106" w:rsidRPr="005739F0" w:rsidRDefault="003D0106" w:rsidP="00181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F0">
        <w:rPr>
          <w:rFonts w:ascii="Times New Roman" w:hAnsi="Times New Roman" w:cs="Times New Roman"/>
          <w:sz w:val="24"/>
          <w:szCs w:val="24"/>
        </w:rPr>
        <w:t xml:space="preserve">Intreținerea utilajelor se </w:t>
      </w:r>
      <w:proofErr w:type="gramStart"/>
      <w:r w:rsidRPr="005739F0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5739F0">
        <w:rPr>
          <w:rFonts w:ascii="Times New Roman" w:hAnsi="Times New Roman" w:cs="Times New Roman"/>
          <w:sz w:val="24"/>
          <w:szCs w:val="24"/>
        </w:rPr>
        <w:t xml:space="preserve"> face doar în unități specializate. </w:t>
      </w:r>
      <w:proofErr w:type="gramStart"/>
      <w:r w:rsidRPr="005739F0">
        <w:rPr>
          <w:rFonts w:ascii="Times New Roman" w:hAnsi="Times New Roman" w:cs="Times New Roman"/>
          <w:sz w:val="24"/>
          <w:szCs w:val="24"/>
        </w:rPr>
        <w:t>Schimburile de ulei și alimentarea cu combustil se v</w:t>
      </w:r>
      <w:r w:rsidR="003D2DE5">
        <w:rPr>
          <w:rFonts w:ascii="Times New Roman" w:hAnsi="Times New Roman" w:cs="Times New Roman"/>
          <w:sz w:val="24"/>
          <w:szCs w:val="24"/>
        </w:rPr>
        <w:t>or</w:t>
      </w:r>
      <w:r w:rsidRPr="005739F0">
        <w:rPr>
          <w:rFonts w:ascii="Times New Roman" w:hAnsi="Times New Roman" w:cs="Times New Roman"/>
          <w:sz w:val="24"/>
          <w:szCs w:val="24"/>
        </w:rPr>
        <w:t>face doar la unități specializate.</w:t>
      </w:r>
      <w:proofErr w:type="gramEnd"/>
      <w:r w:rsidRPr="005739F0">
        <w:rPr>
          <w:rFonts w:ascii="Times New Roman" w:hAnsi="Times New Roman" w:cs="Times New Roman"/>
          <w:sz w:val="24"/>
          <w:szCs w:val="24"/>
        </w:rPr>
        <w:t xml:space="preserve"> Pe amplasamentul organizarii de </w:t>
      </w:r>
      <w:r w:rsidR="005739F0" w:rsidRPr="005739F0">
        <w:rPr>
          <w:rFonts w:ascii="Times New Roman" w:hAnsi="Times New Roman" w:cs="Times New Roman"/>
          <w:sz w:val="24"/>
          <w:szCs w:val="24"/>
        </w:rPr>
        <w:t xml:space="preserve">santier nu se vor </w:t>
      </w:r>
      <w:proofErr w:type="gramStart"/>
      <w:r w:rsidR="005739F0" w:rsidRPr="005739F0">
        <w:rPr>
          <w:rFonts w:ascii="Times New Roman" w:hAnsi="Times New Roman" w:cs="Times New Roman"/>
          <w:sz w:val="24"/>
          <w:szCs w:val="24"/>
        </w:rPr>
        <w:t>depozita  combustibili</w:t>
      </w:r>
      <w:proofErr w:type="gramEnd"/>
      <w:r w:rsidR="005739F0" w:rsidRPr="00573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106" w:rsidRPr="005739F0" w:rsidRDefault="003D0106" w:rsidP="00740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9F0">
        <w:rPr>
          <w:rFonts w:ascii="Times New Roman" w:hAnsi="Times New Roman" w:cs="Times New Roman"/>
          <w:sz w:val="24"/>
          <w:szCs w:val="24"/>
        </w:rPr>
        <w:t xml:space="preserve">Organizarea de șantier </w:t>
      </w:r>
      <w:proofErr w:type="gramStart"/>
      <w:r w:rsidRPr="005739F0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5739F0">
        <w:rPr>
          <w:rFonts w:ascii="Times New Roman" w:hAnsi="Times New Roman" w:cs="Times New Roman"/>
          <w:sz w:val="24"/>
          <w:szCs w:val="24"/>
        </w:rPr>
        <w:t xml:space="preserve"> fi dotata cu</w:t>
      </w:r>
      <w:r w:rsidR="00DE0552">
        <w:rPr>
          <w:rFonts w:ascii="Times New Roman" w:hAnsi="Times New Roman" w:cs="Times New Roman"/>
          <w:sz w:val="24"/>
          <w:szCs w:val="24"/>
        </w:rPr>
        <w:t xml:space="preserve"> toalete ecologice si containere petru depozitarea tuturor categoriilor de deseuri.</w:t>
      </w:r>
      <w:r w:rsidRPr="00573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B03" w:rsidRDefault="00740B03" w:rsidP="00181CE5">
      <w:pPr>
        <w:tabs>
          <w:tab w:val="left" w:pos="737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tabs>
          <w:tab w:val="left" w:pos="737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Cumularea cu alte proiecte: -</w:t>
      </w:r>
      <w:r w:rsidR="00225AA0" w:rsidRPr="00225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Utilizarea resurselor naturale: </w:t>
      </w:r>
      <w:r w:rsidR="00A36F97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013101" w:rsidRPr="00727D18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Producţia de deşeuri: 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În etapa de realizare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investitiei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-deseuri rezultate din lucrarile de constructii; depozitarea deseurilor nevalorificabile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face numai in locurile indicate de administratia publica locala; 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deseuri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valorificabile (lemn, metal, plastic, etc.) vor fi predate catre unitati specializate autorizate;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deseurile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menajere se vor colecta in europubele si vor fi preluate de unitati  specializate autorizate;</w:t>
      </w:r>
    </w:p>
    <w:p w:rsidR="00265374" w:rsidRDefault="00265374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deseurile</w:t>
      </w:r>
      <w:proofErr w:type="gramEnd"/>
      <w:r w:rsidR="00DE0552">
        <w:rPr>
          <w:rFonts w:ascii="Times New Roman" w:eastAsia="Times New Roman" w:hAnsi="Times New Roman" w:cs="Times New Roman"/>
          <w:sz w:val="24"/>
          <w:szCs w:val="24"/>
        </w:rPr>
        <w:t xml:space="preserve"> rezultate din activitate</w:t>
      </w:r>
      <w:r>
        <w:rPr>
          <w:rFonts w:ascii="Times New Roman" w:eastAsia="Times New Roman" w:hAnsi="Times New Roman" w:cs="Times New Roman"/>
          <w:sz w:val="24"/>
          <w:szCs w:val="24"/>
        </w:rPr>
        <w:t>, vor fi predate catre unitati specializate autorizate.</w:t>
      </w:r>
    </w:p>
    <w:p w:rsidR="00013101" w:rsidRDefault="00013101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Emisiile poluante, inclusiv zgomotul si alte surse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disconfort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Pr="005F7C53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zgomot nu va depasi nivelul prevazut de S</w:t>
      </w:r>
      <w:r w:rsidR="00731704">
        <w:rPr>
          <w:rFonts w:ascii="Times New Roman" w:eastAsia="Times New Roman" w:hAnsi="Times New Roman" w:cs="Times New Roman"/>
          <w:sz w:val="24"/>
          <w:szCs w:val="24"/>
        </w:rPr>
        <w:t>R 10009: 2017</w:t>
      </w:r>
      <w:r w:rsidR="005F7C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7C53" w:rsidRPr="005F7C5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“Acustica; Limite admisibile ale nivelului de zgomot din nediul ambiant; 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vor respecta prevederile Ord. M.A.P.P.M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756/1997 pentru aprobarea Reglementarii privind evaluarea poluarii mediului, cu modificarile si completarile ulterioare.</w:t>
      </w:r>
      <w:proofErr w:type="gramEnd"/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870">
        <w:rPr>
          <w:rFonts w:ascii="Times New Roman" w:eastAsia="Times New Roman" w:hAnsi="Times New Roman" w:cs="Times New Roman"/>
          <w:sz w:val="24"/>
          <w:szCs w:val="24"/>
        </w:rPr>
        <w:t xml:space="preserve">pentru apele uzate menajere, </w:t>
      </w:r>
      <w:r>
        <w:rPr>
          <w:rFonts w:ascii="Times New Roman" w:eastAsia="Times New Roman" w:hAnsi="Times New Roman" w:cs="Times New Roman"/>
          <w:sz w:val="24"/>
          <w:szCs w:val="24"/>
        </w:rPr>
        <w:t>se vor respecta valorile prevazute in normativul NTPA 002/2002 aprobat prin HG 188/2002 modificat si completat prin HG 352/ 2005 privind conditiile de descarcare in mediul acvatic a apelor uzate;</w:t>
      </w:r>
    </w:p>
    <w:p w:rsidR="00013101" w:rsidRDefault="00D778EE" w:rsidP="00181CE5">
      <w:pPr>
        <w:spacing w:after="0" w:line="240" w:lineRule="auto"/>
        <w:ind w:left="-2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apele pluviale, se vor respecta prevederile normativului NTPA 001/2002, aprobat prin HG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188/2002 şi modificat prin HG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352/2005, privind condiţiile de descărcare în mediul acvatic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apelor uzate;</w:t>
      </w: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Riscul de accident, ţinându-se seama in special de substanţele si tehnologiile utilizate: -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cazul</w:t>
      </w:r>
    </w:p>
    <w:p w:rsidR="0073535A" w:rsidRDefault="0073535A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 Localizarea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proiectelor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Default="00D778EE" w:rsidP="00181CE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Utilizarea existenta a terenului: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conform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prevederilor Certificatului de Urbanism nr. </w:t>
      </w:r>
      <w:r w:rsidR="003A00CC">
        <w:rPr>
          <w:rFonts w:ascii="Times New Roman" w:eastAsia="Times New Roman" w:hAnsi="Times New Roman" w:cs="Times New Roman"/>
          <w:b/>
          <w:sz w:val="24"/>
          <w:szCs w:val="24"/>
        </w:rPr>
        <w:t>25/13</w:t>
      </w:r>
      <w:r w:rsidR="007B622F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4619CB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folosinta actuală a </w:t>
      </w:r>
      <w:r w:rsidR="004619CB">
        <w:rPr>
          <w:rFonts w:ascii="Times New Roman" w:eastAsia="Times New Roman" w:hAnsi="Times New Roman" w:cs="Times New Roman"/>
          <w:sz w:val="24"/>
          <w:szCs w:val="24"/>
        </w:rPr>
        <w:t xml:space="preserve">terenului </w:t>
      </w:r>
      <w:proofErr w:type="gramStart"/>
      <w:r w:rsidR="004619C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gramEnd"/>
      <w:r w:rsidR="004619CB">
        <w:rPr>
          <w:rFonts w:ascii="Times New Roman" w:eastAsia="Times New Roman" w:hAnsi="Times New Roman" w:cs="Times New Roman"/>
          <w:sz w:val="24"/>
          <w:szCs w:val="24"/>
        </w:rPr>
        <w:t xml:space="preserve">: teren </w:t>
      </w:r>
      <w:r w:rsidR="007B622F">
        <w:rPr>
          <w:rFonts w:ascii="Times New Roman" w:eastAsia="Times New Roman" w:hAnsi="Times New Roman" w:cs="Times New Roman"/>
          <w:sz w:val="24"/>
          <w:szCs w:val="24"/>
        </w:rPr>
        <w:t xml:space="preserve">intravilan in str. </w:t>
      </w:r>
      <w:r w:rsidR="003A00CC">
        <w:rPr>
          <w:rFonts w:ascii="Times New Roman" w:eastAsia="Times New Roman" w:hAnsi="Times New Roman" w:cs="Times New Roman"/>
          <w:sz w:val="24"/>
          <w:szCs w:val="24"/>
        </w:rPr>
        <w:t>Revolutiei, nr. 6</w:t>
      </w:r>
      <w:r w:rsidR="0003780B">
        <w:rPr>
          <w:rFonts w:ascii="Times New Roman" w:eastAsia="Times New Roman" w:hAnsi="Times New Roman" w:cs="Times New Roman"/>
          <w:sz w:val="24"/>
          <w:szCs w:val="24"/>
        </w:rPr>
        <w:t xml:space="preserve">; Destinatie conform </w:t>
      </w:r>
      <w:r w:rsidR="003A00CC">
        <w:rPr>
          <w:rFonts w:ascii="Times New Roman" w:eastAsia="Times New Roman" w:hAnsi="Times New Roman" w:cs="Times New Roman"/>
          <w:sz w:val="24"/>
          <w:szCs w:val="24"/>
        </w:rPr>
        <w:t>RGU aprobat prin HG 525/1996 republicat</w:t>
      </w:r>
      <w:r w:rsidR="0003780B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3A00CC">
        <w:rPr>
          <w:rFonts w:ascii="Times New Roman" w:eastAsia="Times New Roman" w:hAnsi="Times New Roman" w:cs="Times New Roman"/>
          <w:sz w:val="24"/>
          <w:szCs w:val="24"/>
        </w:rPr>
        <w:t>Curti constructii</w:t>
      </w:r>
      <w:r w:rsidR="0003780B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Relativa abundenta a resurselor naturale din zona, calitatea si capacitatea regenerativa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acestora 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Capacitatea de absorbtie a mediului, cu atenţie deosebită pentru: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="00282145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 umede; nu este cazul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b)</w:t>
      </w:r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2145"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 w:rsidR="00282145">
        <w:rPr>
          <w:rFonts w:ascii="Times New Roman" w:eastAsia="Times New Roman" w:hAnsi="Times New Roman" w:cs="Times New Roman"/>
          <w:sz w:val="24"/>
          <w:szCs w:val="24"/>
        </w:rPr>
        <w:t xml:space="preserve"> costiere: nu este cazul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montane si împădurite: nu este cazul,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parcurile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 rezervaţiile naturale: nu este cazul,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e)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ariile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clasificate sau zonele protejate prin legislaţia in vigoare cum sunt: zone de protecţie a faunei piscicole, bazine piscicole naturale şi bazine piscicole amenajate etc: nu este cazul;  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f)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zonele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protecţie speciala, mai ales cele desemnate prin Ordonanţa de urgenţă a Guvernului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57/2007 privind regimul ariilor naturale protejate, conservarea habitatelor naturale, a florei şi faunei sălbatice, cu modificările şi completările ulterioare, zonele prevăzute prin Legea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5/2000 privind aprobarea Planului de amenajare a teritoriului naţional – Secţiunea a III-a – zone protejate, zonele de protecţie instituite conform prevederilor Legii apelor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107/1996, cu modificările şi completările ulterioare, şi Hotărârea Guvernului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930/2005 pentru aprobarea Normelor speciale privind caracterul şi mărimea zonelor de protecţie sanitară şi hidrogeologică: 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cazul;</w:t>
      </w:r>
    </w:p>
    <w:p w:rsidR="00013101" w:rsidRDefault="00D778EE" w:rsidP="00181CE5">
      <w:pPr>
        <w:spacing w:after="0" w:line="240" w:lineRule="auto"/>
        <w:ind w:right="14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ariile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care standardele de calitate a mediului stabilite de legislaţie au fost deja depăşite: nu este cazul;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h)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ariile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dens populate: nu este cazul;</w:t>
      </w:r>
    </w:p>
    <w:p w:rsidR="00013101" w:rsidRDefault="00D778EE" w:rsidP="00181CE5">
      <w:pPr>
        <w:numPr>
          <w:ilvl w:val="0"/>
          <w:numId w:val="1"/>
        </w:numPr>
        <w:spacing w:after="0" w:line="240" w:lineRule="auto"/>
        <w:ind w:left="709" w:right="144" w:hanging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peisaje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 semnificaţie istorica , culturala si arheologica : nu este cazul.</w:t>
      </w:r>
    </w:p>
    <w:p w:rsidR="00013101" w:rsidRDefault="00013101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Caracteristicile impactului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potenţial :</w:t>
      </w:r>
      <w:proofErr w:type="gramEnd"/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Extinderea impactului: aria geografica si numărul de persoane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afectate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nu este cazul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Natura transfrontaliera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 este cazul;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Mărimea si complexitatea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perioada de execuţie şi implementare a proiectului impactul asupra factorilor de mediu va fi nesemnificativ daca se vor respecta masurile  privind protecţia factorilor de mediu impuse prin proiect ( prezentate detaliat  in memoriul de prezentare care stă la baza deciziei);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Probabilitatea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nesemnificativa;</w:t>
      </w:r>
    </w:p>
    <w:p w:rsidR="00013101" w:rsidRDefault="00D778EE" w:rsidP="00181CE5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Durata, frecventa si reversibilitatea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impactului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 este cazul.</w:t>
      </w:r>
    </w:p>
    <w:p w:rsidR="009501D0" w:rsidRDefault="009501D0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1D0" w:rsidRDefault="009501D0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Motivele care au stat la baza luarii deciziei etapei de incadrare in procedura de evaluare adecvata sunt urmatoarele: - </w:t>
      </w:r>
    </w:p>
    <w:p w:rsidR="00013101" w:rsidRDefault="00013101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Conditiile de realizare a proiectului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Investiţia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 cu respectarea proiectului tehnic elaborat potrivit legii, a memoriului de prezentare intocmit conform prevederilor Ordinului MMP nr.135/2010, a legislaţiei de mediu in vigoare si a menţiunilor din Certificatul de Urbanism nr.</w:t>
      </w:r>
      <w:r w:rsidR="00C85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00CC">
        <w:rPr>
          <w:rFonts w:ascii="Times New Roman" w:eastAsia="Times New Roman" w:hAnsi="Times New Roman" w:cs="Times New Roman"/>
          <w:b/>
          <w:sz w:val="24"/>
          <w:szCs w:val="24"/>
        </w:rPr>
        <w:t>25/13</w:t>
      </w:r>
      <w:r w:rsidR="00282145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C858CF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>
        <w:rPr>
          <w:rFonts w:ascii="Times New Roman" w:eastAsia="Times New Roman" w:hAnsi="Times New Roman" w:cs="Times New Roman"/>
          <w:sz w:val="24"/>
          <w:szCs w:val="24"/>
        </w:rPr>
        <w:t>, em</w:t>
      </w:r>
      <w:r w:rsidR="002821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3A00CC">
        <w:rPr>
          <w:rFonts w:ascii="Times New Roman" w:eastAsia="Times New Roman" w:hAnsi="Times New Roman" w:cs="Times New Roman"/>
          <w:sz w:val="24"/>
          <w:szCs w:val="24"/>
        </w:rPr>
        <w:t>s de Primaria orasului Deta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La executarea lucrărilor, se vor respecta normele legale în vigoare: sanitare, de prevenire si stingere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incendiilor, de protecţia muncii si de gospodărire a apelor.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Lucrările se vor desfăşura cu respectarea condiţiilor tehnice si a regimului juridic prevăzute prin actele de reglementare prealabile, emise de alte autoritati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43782">
        <w:rPr>
          <w:rFonts w:ascii="Times New Roman" w:eastAsia="Times New Roman" w:hAnsi="Times New Roman" w:cs="Times New Roman"/>
          <w:sz w:val="24"/>
          <w:szCs w:val="24"/>
        </w:rPr>
        <w:t xml:space="preserve"> Aviz</w:t>
      </w:r>
      <w:proofErr w:type="gramEnd"/>
      <w:r w:rsidR="00243782">
        <w:rPr>
          <w:rFonts w:ascii="Times New Roman" w:eastAsia="Times New Roman" w:hAnsi="Times New Roman" w:cs="Times New Roman"/>
          <w:sz w:val="24"/>
          <w:szCs w:val="24"/>
        </w:rPr>
        <w:t xml:space="preserve"> tehnic de bransare/racordare nr. 58135/DT-ST/31.10.2017 SC AQUATIM SA, Notificare DSP Timis nr. 20595/634/C/24.10.2017,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extras CF nr. 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00CC">
        <w:rPr>
          <w:rFonts w:ascii="Times New Roman" w:eastAsia="Times New Roman" w:hAnsi="Times New Roman" w:cs="Times New Roman"/>
          <w:sz w:val="24"/>
          <w:szCs w:val="24"/>
        </w:rPr>
        <w:t>01906</w:t>
      </w:r>
      <w:r w:rsidR="00731704" w:rsidRPr="00731704">
        <w:rPr>
          <w:rFonts w:ascii="Times New Roman" w:eastAsia="Times New Roman" w:hAnsi="Times New Roman" w:cs="Times New Roman"/>
          <w:sz w:val="24"/>
          <w:szCs w:val="24"/>
        </w:rPr>
        <w:t xml:space="preserve">, nr. 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cad</w:t>
      </w:r>
      <w:r w:rsidR="00731704" w:rsidRPr="00731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13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4D33">
        <w:rPr>
          <w:rFonts w:ascii="Times New Roman" w:eastAsia="Times New Roman" w:hAnsi="Times New Roman" w:cs="Times New Roman"/>
          <w:sz w:val="24"/>
          <w:szCs w:val="24"/>
        </w:rPr>
        <w:t>01906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titular </w:t>
      </w:r>
      <w:r w:rsidR="00F74D33">
        <w:rPr>
          <w:rFonts w:ascii="Times New Roman" w:eastAsia="Times New Roman" w:hAnsi="Times New Roman" w:cs="Times New Roman"/>
          <w:sz w:val="24"/>
          <w:szCs w:val="24"/>
        </w:rPr>
        <w:t>KISS DOREL si sotia KISS HERMINA MARIA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suprafata </w:t>
      </w:r>
      <w:r w:rsidR="00F74D33">
        <w:rPr>
          <w:rFonts w:ascii="Times New Roman" w:eastAsia="Times New Roman" w:hAnsi="Times New Roman" w:cs="Times New Roman"/>
          <w:sz w:val="24"/>
          <w:szCs w:val="24"/>
        </w:rPr>
        <w:t xml:space="preserve">437 </w:t>
      </w:r>
      <w:r w:rsidR="00045776">
        <w:rPr>
          <w:rFonts w:ascii="Times New Roman" w:eastAsia="Times New Roman" w:hAnsi="Times New Roman" w:cs="Times New Roman"/>
          <w:sz w:val="24"/>
          <w:szCs w:val="24"/>
        </w:rPr>
        <w:t>mp, emis de OCPI Timis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13101" w:rsidRDefault="00D778EE" w:rsidP="00181CE5">
      <w:pPr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 se vor evacua apele uzate rezultate din activitatea desfasurata direct in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cursuri de apa invecinate (daca este cazul);</w:t>
      </w:r>
    </w:p>
    <w:p w:rsidR="00013101" w:rsidRDefault="00D778EE" w:rsidP="00181CE5">
      <w:pPr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 se vor spala obiecte, produse, ambalaje, materiale care pot produce impurificarea in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cursuri de apa invecinate(daca este cazul);</w:t>
      </w:r>
    </w:p>
    <w:p w:rsidR="00013101" w:rsidRDefault="00D778EE" w:rsidP="00181CE5">
      <w:pPr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 se vor arunca si nu se vor depozita in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cursuri de apa  deseuri de orice fel;</w:t>
      </w:r>
    </w:p>
    <w:p w:rsidR="00013101" w:rsidRDefault="00D778EE" w:rsidP="00181CE5">
      <w:pPr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perioada de exploatare se vor lua masuri pentru prevenirea poluarilor accidentale datorate eventualelor scurgeri de combustibil de la utilaje;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Utilajele utilizate pe durata de realizare a lucrǎrilor, precum şi mijloacele de transport, vor avea o stare tehnicǎ corespunzǎtoare, astfel încât sǎ fie exclusǎ orice posibilitate de poluare a mediului inconjurator cu combustibil ori material lubrifiant direct sau indirect;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Luarea de măsuri de reducere a nivelului încărcării atmosferice cu pulberi la depozitarea pamantului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rezultat din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excavare ;</w:t>
      </w:r>
      <w:proofErr w:type="gramEnd"/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In perioada de execuţie a lucrărilor vor fi stabilite zone de parcare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autovehiculelor si a utilajelor utilizate;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Se vor lua masuri pentru evitarea poluării accidentale a factorilor de mediu pe toata durata execuţiei lucrărilor şi implementării proiectului;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Se vor lua măsuri de reducere a nivelului încărcării atmosferice cu pulberi la depozitarea pamantului rezultat din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excavare ;</w:t>
      </w:r>
      <w:proofErr w:type="gramEnd"/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 Evitarea pierderilor de materiale si substanţe cu potenţial poluant in vederea eliminării poluării accidentale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apelor de suprafaţa si a apelor subterane.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In cazul poluării accidentale a solului cu produse petroliere si uleiuri minerale de la vehiculele grele si de la echipamentele mobile se va proceda imediat la utilizarea materialelor absorbante, la decopertarea solului contaminat, stocarea temporară a deşeurilor rezultate şi a solului decopertat în recipienţi adecvaţi, şi tratarea de către firme specializate;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Se interzic lucrările de întreţinere si reparaţii la utilajele si mijloacele de transport in cadrul obiectivului de investiţii (acestea se vor realiza numai prin unitati specializate autorizate);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Lucrările vor fi executate fara a produce disconfort locuitorilor prin generarea de noxe, praf, zgomot si vibraţii;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Amplasarea organizarii de santier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 cu respectarea prevederilor OUG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195/2005 aprobata cu modificari prin Legea 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265/2006 privind Protectia Mediului cu modificarile si completarile ulterioare;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Activităţile care produc mult praf vor fi reduse in perioadele cu vânt puternic sau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proceda la umectarea suprafeţelor sau luarea altor măsuri (ex.împrejmuire cu panouri, acoperirea solului decopertat şi depozitat temporar, etc.) în vederea reducerii dispersiei pulberilor în suspensie în atmosferă;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Este interzisă parasirea incintei organizării de şantier, cu rotile autovehiculelor şi/sau caroseria murdară;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Materialele fine (pamant, balast, nisip) se vor transporta in autovehicule prevăzute cu prelate pentru împiedicarea imprastierii acestora pe partea carosabila;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Nu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degrada mediul natural sau amenajat, prin depozitari necontrolate de deseuri de orice fel;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Pe parcursul executarii lucrarilor de constructii nu se vor taia arbori si nu vor fi afectate spatiile verzi; 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Managementul deşeurilor generate de lucrări va fi in conformitate cu legislaţia specifica de mediu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 fi in responsabilitatea titularului de proiect cat si a operatorului care realizează lucrările;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Depozitarea deseurilor nevalorificabile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face numai in locurile aprobate de administratia locala; deseurile valorificabile (metalice, lemn, material plastic) vor fi predate catre unitati specializate autorizate;</w:t>
      </w:r>
    </w:p>
    <w:p w:rsidR="00013101" w:rsidRPr="005F7C53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respecta nivelul de zgomot maxim admis conform – S</w:t>
      </w:r>
      <w:r w:rsidR="005F7C5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10009</w:t>
      </w:r>
      <w:r w:rsidR="00045776">
        <w:rPr>
          <w:rFonts w:ascii="Times New Roman" w:eastAsia="Times New Roman" w:hAnsi="Times New Roman" w:cs="Times New Roman"/>
          <w:sz w:val="24"/>
          <w:szCs w:val="24"/>
        </w:rPr>
        <w:t>:2017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privind </w:t>
      </w:r>
      <w:r w:rsidR="005F7C53" w:rsidRPr="005F7C5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“Acustica; Limite admisibile ale nivelului de zgomot din nediul ambiant; 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Se vor verifica periodic utilajele si mijloacele de transport in ceea ce priveşte nivelul de emisii de monoxid de carbon si a altor gaze de eşapament, nivelul de zgomot si se vor pune in funcţiune numai cele care corespund cerinţelor tehnice; se vor evita pierderile de carburanţi sau lubrefianţi la staţionarea utilajelor; 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Alimentarea cu carburanţi, repararea si întreţinerea mijloacelor de transport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utilajelor folosite pe şantier se va face numai la societati specializate si autorizate;</w:t>
      </w:r>
    </w:p>
    <w:p w:rsidR="00013101" w:rsidRDefault="00D778EE" w:rsidP="00181CE5">
      <w:pPr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 Nu se vor stoca combustibili in cadrul organizarii de şantier.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Prezentul act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valabil pe toată perioada punerii în aplicare a proiectului, în condiţiile în care nu intervin modificări ale datelor care au stat la baza emiterii acestuia.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Titularul proiectului are obligaţia de a notifica in scris autoritatea pentru protecţia mediului despre orice modificare sau extindere a proiectului survenita după emiterea deciziei etapei de încadrare, APM Timiş urmând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aplica in mod corespunzător, in aceasta situaţie prevederile art. 22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alin(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3) din HG nr.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445/2009.</w:t>
      </w:r>
      <w:proofErr w:type="gramEnd"/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Prezentul act nu exonerează de răspundere titularul, proiectantul si/sau constructorul in cazul producerii unor accidente in timpul execuţiei lucrărilor sau exploatării acestora.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Nerespectarea prevederilor prezentului acord de mediu se sanctioneaza conform prevederilor legale in vigoare.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După finali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>zarea lucrărilor de construire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titularul va 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 xml:space="preserve">notifica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APM Timiş 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 xml:space="preserve">in vederea stabilirii necesitatii </w:t>
      </w:r>
      <w:r w:rsidR="0097101C">
        <w:rPr>
          <w:rFonts w:ascii="Times New Roman" w:eastAsia="Times New Roman" w:hAnsi="Times New Roman" w:cs="Times New Roman"/>
          <w:b/>
          <w:sz w:val="24"/>
          <w:szCs w:val="24"/>
        </w:rPr>
        <w:t>emiterii</w:t>
      </w:r>
      <w:r w:rsidR="00045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2DE5">
        <w:rPr>
          <w:rFonts w:ascii="Times New Roman" w:eastAsia="Times New Roman" w:hAnsi="Times New Roman" w:cs="Times New Roman"/>
          <w:b/>
          <w:sz w:val="24"/>
          <w:szCs w:val="24"/>
        </w:rPr>
        <w:t xml:space="preserve">autorizaţiei de mediu </w:t>
      </w:r>
      <w:proofErr w:type="gramStart"/>
      <w:r w:rsidR="003D2DE5">
        <w:rPr>
          <w:rFonts w:ascii="Times New Roman" w:eastAsia="Times New Roman" w:hAnsi="Times New Roman" w:cs="Times New Roman"/>
          <w:b/>
          <w:sz w:val="24"/>
          <w:szCs w:val="24"/>
        </w:rPr>
        <w:t>conform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prevederilor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Ord. nr. 1798 /2007 pentru aprobarea Procedurii de emitere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autorizaţiei de mediu, cu modificarile si completarile ulterioare.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Prezenta decizie poate fi contestată în conformitate cu prevederile H.G. nr.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445/2009 privind evaluarea impactului anumitor proiecte publice şi private asupra mediului şi ale Legii contenciosului administrativ nr.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554/2004, cu modificările şi completările ulterioare.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  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DIRECTOR EXECUTIV                             </w:t>
      </w:r>
      <w:r w:rsidR="00C049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2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SEF SERVICIU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Mihai CEPEHA                                                    AVIZE, ACORDURI, AUTORIZATII</w:t>
      </w: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Lucia SCRIUBA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013101" w:rsidRDefault="00013101" w:rsidP="0018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101" w:rsidRDefault="00D778EE" w:rsidP="00181CE5">
      <w:pPr>
        <w:spacing w:after="0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013101" w:rsidRDefault="00D778EE" w:rsidP="00181CE5">
      <w:pPr>
        <w:spacing w:after="0"/>
        <w:ind w:left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INTOCMIT,</w:t>
      </w:r>
    </w:p>
    <w:p w:rsidR="00013101" w:rsidRPr="00DC7D7C" w:rsidRDefault="00D778EE" w:rsidP="00181CE5">
      <w:pPr>
        <w:spacing w:after="0"/>
        <w:ind w:hanging="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DC7D7C">
        <w:rPr>
          <w:rFonts w:ascii="Times New Roman" w:eastAsia="Times New Roman" w:hAnsi="Times New Roman" w:cs="Times New Roman"/>
          <w:b/>
          <w:sz w:val="24"/>
          <w:szCs w:val="24"/>
        </w:rPr>
        <w:t>Corina MIHOC</w:t>
      </w:r>
    </w:p>
    <w:sectPr w:rsidR="00013101" w:rsidRPr="00DC7D7C">
      <w:footerReference w:type="default" r:id="rId10"/>
      <w:footerReference w:type="first" r:id="rId11"/>
      <w:pgSz w:w="11907" w:h="16840"/>
      <w:pgMar w:top="924" w:right="850" w:bottom="576" w:left="99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94" w:rsidRDefault="00205A94">
      <w:pPr>
        <w:spacing w:after="0" w:line="240" w:lineRule="auto"/>
      </w:pPr>
      <w:r>
        <w:separator/>
      </w:r>
    </w:p>
  </w:endnote>
  <w:endnote w:type="continuationSeparator" w:id="0">
    <w:p w:rsidR="00205A94" w:rsidRDefault="0020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01_FuturaRO_Light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b/>
        <w:color w:val="00214E"/>
        <w:sz w:val="24"/>
        <w:szCs w:val="24"/>
      </w:rPr>
      <w:t>AGENŢIA PENTRU PROTECŢIA MEDIULUI TIMIŞ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 wp14:anchorId="67390A96" wp14:editId="1257F788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1800" y="3779683"/>
                        <a:ext cx="6248399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214E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11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53BFEA7B" wp14:editId="049354DE">
          <wp:simplePos x="0" y="0"/>
          <wp:positionH relativeFrom="margin">
            <wp:posOffset>-592453</wp:posOffset>
          </wp:positionH>
          <wp:positionV relativeFrom="paragraph">
            <wp:posOffset>-426717</wp:posOffset>
          </wp:positionV>
          <wp:extent cx="532130" cy="437515"/>
          <wp:effectExtent l="0" t="0" r="0" b="0"/>
          <wp:wrapNone/>
          <wp:docPr id="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130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color w:val="00214E"/>
        <w:sz w:val="24"/>
        <w:szCs w:val="24"/>
      </w:rPr>
      <w:t>B-dul Liviu Rebreanu, nr.18-18A, Timişoara</w:t>
    </w:r>
    <w:proofErr w:type="gramStart"/>
    <w:r>
      <w:rPr>
        <w:rFonts w:ascii="Times New Roman" w:eastAsia="Times New Roman" w:hAnsi="Times New Roman" w:cs="Times New Roman"/>
        <w:color w:val="00214E"/>
        <w:sz w:val="24"/>
        <w:szCs w:val="24"/>
      </w:rPr>
      <w:t>, ,</w:t>
    </w:r>
    <w:proofErr w:type="gramEnd"/>
    <w:r>
      <w:rPr>
        <w:rFonts w:ascii="Times New Roman" w:eastAsia="Times New Roman" w:hAnsi="Times New Roman" w:cs="Times New Roman"/>
        <w:color w:val="00214E"/>
        <w:sz w:val="24"/>
        <w:szCs w:val="24"/>
      </w:rPr>
      <w:t xml:space="preserve"> Cod 300210</w:t>
    </w:r>
  </w:p>
  <w:p w:rsidR="00013101" w:rsidRPr="00727D18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  <w:u w:val="single"/>
      </w:rPr>
    </w:pPr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 xml:space="preserve">E-mail: </w:t>
    </w:r>
    <w:hyperlink r:id="rId3">
      <w:r w:rsidRPr="00727D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office@apmtm.anpm.ro</w:t>
      </w:r>
    </w:hyperlink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>; Tel. 0256.491.795; 0256. 226.675; Fax 0256</w:t>
    </w:r>
    <w:proofErr w:type="gramStart"/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>..201.005</w:t>
    </w:r>
    <w:proofErr w:type="gramEnd"/>
    <w:r w:rsidRPr="00727D18">
      <w:rPr>
        <w:rFonts w:ascii="Times New Roman" w:eastAsia="Times New Roman" w:hAnsi="Times New Roman" w:cs="Times New Roman"/>
        <w:color w:val="00214E"/>
        <w:sz w:val="24"/>
        <w:szCs w:val="24"/>
        <w:u w:val="single"/>
      </w:rPr>
      <w:t xml:space="preserve">               </w:t>
    </w:r>
  </w:p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center"/>
      <w:rPr>
        <w:rFonts w:ascii="Garamond" w:eastAsia="Garamond" w:hAnsi="Garamond" w:cs="Garamond"/>
        <w:color w:val="00214E"/>
        <w:sz w:val="24"/>
        <w:szCs w:val="24"/>
      </w:rPr>
    </w:pPr>
    <w:r>
      <w:rPr>
        <w:rFonts w:ascii="Garamond" w:eastAsia="Garamond" w:hAnsi="Garamond" w:cs="Garamond"/>
        <w:color w:val="00214E"/>
        <w:sz w:val="24"/>
        <w:szCs w:val="24"/>
      </w:rPr>
      <w:t xml:space="preserve">                                                                                                                                                      </w:t>
    </w:r>
    <w:r>
      <w:rPr>
        <w:rFonts w:ascii="Garamond" w:eastAsia="Garamond" w:hAnsi="Garamond" w:cs="Garamond"/>
        <w:color w:val="00214E"/>
        <w:sz w:val="24"/>
        <w:szCs w:val="24"/>
      </w:rPr>
      <w:fldChar w:fldCharType="begin"/>
    </w:r>
    <w:r>
      <w:rPr>
        <w:rFonts w:ascii="Garamond" w:eastAsia="Garamond" w:hAnsi="Garamond" w:cs="Garamond"/>
        <w:color w:val="00214E"/>
        <w:sz w:val="24"/>
        <w:szCs w:val="24"/>
      </w:rPr>
      <w:instrText>PAGE</w:instrText>
    </w:r>
    <w:r>
      <w:rPr>
        <w:rFonts w:ascii="Garamond" w:eastAsia="Garamond" w:hAnsi="Garamond" w:cs="Garamond"/>
        <w:color w:val="00214E"/>
        <w:sz w:val="24"/>
        <w:szCs w:val="24"/>
      </w:rPr>
      <w:fldChar w:fldCharType="separate"/>
    </w:r>
    <w:r w:rsidR="0083385E">
      <w:rPr>
        <w:rFonts w:ascii="Garamond" w:eastAsia="Garamond" w:hAnsi="Garamond" w:cs="Garamond"/>
        <w:noProof/>
        <w:color w:val="00214E"/>
        <w:sz w:val="24"/>
        <w:szCs w:val="24"/>
      </w:rPr>
      <w:t>2</w:t>
    </w:r>
    <w:r>
      <w:rPr>
        <w:rFonts w:ascii="Garamond" w:eastAsia="Garamond" w:hAnsi="Garamond" w:cs="Garamond"/>
        <w:color w:val="00214E"/>
        <w:sz w:val="24"/>
        <w:szCs w:val="24"/>
      </w:rPr>
      <w:fldChar w:fldCharType="end"/>
    </w:r>
  </w:p>
  <w:p w:rsidR="00013101" w:rsidRDefault="00013101" w:rsidP="00727D18">
    <w:pPr>
      <w:spacing w:after="0" w:line="240" w:lineRule="auto"/>
      <w:jc w:val="center"/>
      <w:rPr>
        <w:rFonts w:ascii="Arial" w:eastAsia="Arial" w:hAnsi="Arial" w:cs="Arial"/>
        <w:color w:val="00214E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01" w:rsidRDefault="00D778EE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b/>
        <w:color w:val="00214E"/>
        <w:sz w:val="24"/>
        <w:szCs w:val="24"/>
      </w:rPr>
      <w:t>AGENŢIA PENTRU PROTECŢIA MEDIULUI TIMIŞ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hidden="0" allowOverlap="1" wp14:anchorId="719F9042" wp14:editId="116E37B4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1800" y="3779683"/>
                        <a:ext cx="6248399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214E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-139699</wp:posOffset>
              </wp:positionH>
              <wp:positionV relativeFrom="paragraph">
                <wp:posOffset>-38099</wp:posOffset>
              </wp:positionV>
              <wp:extent cx="6261100" cy="25400"/>
              <wp:effectExtent b="0" l="0" r="0" t="0"/>
              <wp:wrapNone/>
              <wp:docPr id="8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11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36195" distR="36195" simplePos="0" relativeHeight="251661312" behindDoc="0" locked="0" layoutInCell="0" hidden="0" allowOverlap="1" wp14:anchorId="4C5BB474" wp14:editId="7526AB97">
          <wp:simplePos x="0" y="0"/>
          <wp:positionH relativeFrom="margin">
            <wp:posOffset>-457197</wp:posOffset>
          </wp:positionH>
          <wp:positionV relativeFrom="paragraph">
            <wp:posOffset>-457197</wp:posOffset>
          </wp:positionV>
          <wp:extent cx="532130" cy="437515"/>
          <wp:effectExtent l="0" t="0" r="0" b="0"/>
          <wp:wrapTopAndBottom distT="0" distB="0"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130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3101" w:rsidRDefault="00D778EE">
    <w:pPr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color w:val="00214E"/>
        <w:sz w:val="24"/>
        <w:szCs w:val="24"/>
      </w:rPr>
      <w:t xml:space="preserve">B-dul. Liviu Rebreanu nr.18-18A, Timişoara, cod 300210; </w:t>
    </w:r>
  </w:p>
  <w:p w:rsidR="00013101" w:rsidRPr="00727D18" w:rsidRDefault="00D778EE" w:rsidP="00727D18">
    <w:pPr>
      <w:spacing w:after="0" w:line="240" w:lineRule="auto"/>
      <w:jc w:val="center"/>
      <w:rPr>
        <w:rFonts w:ascii="Times New Roman" w:eastAsia="Times New Roman" w:hAnsi="Times New Roman" w:cs="Times New Roman"/>
        <w:color w:val="00214E"/>
        <w:sz w:val="24"/>
        <w:szCs w:val="24"/>
      </w:rPr>
    </w:pPr>
    <w:r>
      <w:rPr>
        <w:rFonts w:ascii="Times New Roman" w:eastAsia="Times New Roman" w:hAnsi="Times New Roman" w:cs="Times New Roman"/>
        <w:color w:val="00214E"/>
        <w:sz w:val="24"/>
        <w:szCs w:val="24"/>
      </w:rPr>
      <w:t xml:space="preserve">E-mail: </w:t>
    </w:r>
    <w:hyperlink r:id="rId3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office@apmtm.anpm.ro</w:t>
      </w:r>
    </w:hyperlink>
    <w:r>
      <w:rPr>
        <w:rFonts w:ascii="Times New Roman" w:eastAsia="Times New Roman" w:hAnsi="Times New Roman" w:cs="Times New Roman"/>
        <w:color w:val="00214E"/>
        <w:sz w:val="24"/>
        <w:szCs w:val="24"/>
      </w:rPr>
      <w:t>; Tel: 0256.491.795, 0256.226.675; Fax: 0256.201.005</w:t>
    </w:r>
  </w:p>
  <w:p w:rsidR="00013101" w:rsidRDefault="00013101">
    <w:pPr>
      <w:spacing w:after="0" w:line="240" w:lineRule="auto"/>
      <w:jc w:val="center"/>
      <w:rPr>
        <w:rFonts w:ascii="Arial" w:eastAsia="Arial" w:hAnsi="Arial" w:cs="Arial"/>
        <w:color w:val="00214E"/>
        <w:sz w:val="17"/>
        <w:szCs w:val="17"/>
      </w:rPr>
    </w:pPr>
  </w:p>
  <w:p w:rsidR="00013101" w:rsidRDefault="00D778EE" w:rsidP="00727D18">
    <w:pPr>
      <w:tabs>
        <w:tab w:val="center" w:pos="4320"/>
        <w:tab w:val="right" w:pos="8640"/>
      </w:tabs>
      <w:spacing w:after="0" w:line="240" w:lineRule="auto"/>
      <w:jc w:val="right"/>
    </w:pPr>
    <w:r>
      <w:t xml:space="preserve">                           </w:t>
    </w:r>
    <w:r w:rsidR="00727D18">
      <w:t xml:space="preserve">                        </w:t>
    </w:r>
    <w:r>
      <w:t xml:space="preserve">                                       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83385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94" w:rsidRDefault="00205A94">
      <w:pPr>
        <w:spacing w:after="0" w:line="240" w:lineRule="auto"/>
      </w:pPr>
      <w:r>
        <w:separator/>
      </w:r>
    </w:p>
  </w:footnote>
  <w:footnote w:type="continuationSeparator" w:id="0">
    <w:p w:rsidR="00205A94" w:rsidRDefault="0020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2200E0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0"/>
        <w:szCs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F94896"/>
    <w:multiLevelType w:val="hybridMultilevel"/>
    <w:tmpl w:val="18E8CCE0"/>
    <w:lvl w:ilvl="0" w:tplc="8BC22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B92ABA"/>
    <w:multiLevelType w:val="multilevel"/>
    <w:tmpl w:val="D32CC6B0"/>
    <w:lvl w:ilvl="0">
      <w:start w:val="4"/>
      <w:numFmt w:val="upperRoman"/>
      <w:lvlText w:val="%1."/>
      <w:lvlJc w:val="left"/>
      <w:pPr>
        <w:ind w:left="928" w:firstLine="568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862" w:firstLine="502"/>
      </w:pPr>
    </w:lvl>
    <w:lvl w:ilvl="2">
      <w:start w:val="1"/>
      <w:numFmt w:val="lowerRoman"/>
      <w:lvlText w:val="%3."/>
      <w:lvlJc w:val="right"/>
      <w:pPr>
        <w:ind w:left="1582" w:firstLine="1402"/>
      </w:pPr>
    </w:lvl>
    <w:lvl w:ilvl="3">
      <w:start w:val="1"/>
      <w:numFmt w:val="decimal"/>
      <w:lvlText w:val="%4."/>
      <w:lvlJc w:val="left"/>
      <w:pPr>
        <w:ind w:left="2302" w:firstLine="1942"/>
      </w:pPr>
    </w:lvl>
    <w:lvl w:ilvl="4">
      <w:start w:val="1"/>
      <w:numFmt w:val="lowerLetter"/>
      <w:lvlText w:val="%5."/>
      <w:lvlJc w:val="left"/>
      <w:pPr>
        <w:ind w:left="3022" w:firstLine="2662"/>
      </w:pPr>
    </w:lvl>
    <w:lvl w:ilvl="5">
      <w:start w:val="1"/>
      <w:numFmt w:val="lowerRoman"/>
      <w:lvlText w:val="%6."/>
      <w:lvlJc w:val="right"/>
      <w:pPr>
        <w:ind w:left="3742" w:firstLine="3562"/>
      </w:pPr>
    </w:lvl>
    <w:lvl w:ilvl="6">
      <w:start w:val="1"/>
      <w:numFmt w:val="decimal"/>
      <w:lvlText w:val="%7."/>
      <w:lvlJc w:val="left"/>
      <w:pPr>
        <w:ind w:left="4462" w:firstLine="4102"/>
      </w:pPr>
    </w:lvl>
    <w:lvl w:ilvl="7">
      <w:start w:val="1"/>
      <w:numFmt w:val="lowerLetter"/>
      <w:lvlText w:val="%8."/>
      <w:lvlJc w:val="left"/>
      <w:pPr>
        <w:ind w:left="5182" w:firstLine="4822"/>
      </w:pPr>
    </w:lvl>
    <w:lvl w:ilvl="8">
      <w:start w:val="1"/>
      <w:numFmt w:val="lowerRoman"/>
      <w:lvlText w:val="%9."/>
      <w:lvlJc w:val="right"/>
      <w:pPr>
        <w:ind w:left="5902" w:firstLine="5722"/>
      </w:pPr>
    </w:lvl>
  </w:abstractNum>
  <w:abstractNum w:abstractNumId="5">
    <w:nsid w:val="19091748"/>
    <w:multiLevelType w:val="multilevel"/>
    <w:tmpl w:val="D9A64D14"/>
    <w:lvl w:ilvl="0">
      <w:start w:val="1"/>
      <w:numFmt w:val="lowerRoman"/>
      <w:lvlText w:val="%1)"/>
      <w:lvlJc w:val="left"/>
      <w:pPr>
        <w:ind w:left="1140" w:firstLine="15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26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42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5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6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85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98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112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12900"/>
      </w:pPr>
      <w:rPr>
        <w:vertAlign w:val="baseline"/>
      </w:rPr>
    </w:lvl>
  </w:abstractNum>
  <w:abstractNum w:abstractNumId="6">
    <w:nsid w:val="2E164F77"/>
    <w:multiLevelType w:val="multilevel"/>
    <w:tmpl w:val="86862AC2"/>
    <w:lvl w:ilvl="0">
      <w:start w:val="1"/>
      <w:numFmt w:val="bullet"/>
      <w:lvlText w:val="-"/>
      <w:lvlJc w:val="left"/>
      <w:pPr>
        <w:ind w:left="1070" w:firstLine="17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331E404C"/>
    <w:multiLevelType w:val="multilevel"/>
    <w:tmpl w:val="C0F2B512"/>
    <w:lvl w:ilvl="0">
      <w:start w:val="1"/>
      <w:numFmt w:val="upperRoman"/>
      <w:lvlText w:val="%1."/>
      <w:lvlJc w:val="left"/>
      <w:pPr>
        <w:ind w:left="1866" w:firstLine="1146"/>
      </w:pPr>
      <w:rPr>
        <w:b w:val="0"/>
        <w:strike w:val="0"/>
        <w:u w:val="none"/>
      </w:rPr>
    </w:lvl>
    <w:lvl w:ilvl="1">
      <w:start w:val="4"/>
      <w:numFmt w:val="decimal"/>
      <w:lvlText w:val="%1.%2."/>
      <w:lvlJc w:val="left"/>
      <w:pPr>
        <w:ind w:left="1866" w:firstLine="1146"/>
      </w:pPr>
    </w:lvl>
    <w:lvl w:ilvl="2">
      <w:start w:val="1"/>
      <w:numFmt w:val="upperLetter"/>
      <w:lvlText w:val="%1.%2.%3."/>
      <w:lvlJc w:val="left"/>
      <w:pPr>
        <w:ind w:left="1866" w:firstLine="1146"/>
      </w:pPr>
    </w:lvl>
    <w:lvl w:ilvl="3">
      <w:start w:val="1"/>
      <w:numFmt w:val="upperLetter"/>
      <w:lvlText w:val="%1.%2.%3.%4."/>
      <w:lvlJc w:val="left"/>
      <w:pPr>
        <w:ind w:left="2226" w:firstLine="1146"/>
      </w:pPr>
    </w:lvl>
    <w:lvl w:ilvl="4">
      <w:start w:val="1"/>
      <w:numFmt w:val="decimal"/>
      <w:lvlText w:val="%1.%2.%3.%4.%5."/>
      <w:lvlJc w:val="left"/>
      <w:pPr>
        <w:ind w:left="2226" w:firstLine="1146"/>
      </w:pPr>
    </w:lvl>
    <w:lvl w:ilvl="5">
      <w:start w:val="1"/>
      <w:numFmt w:val="decimal"/>
      <w:lvlText w:val="%1.%2.%3.%4.%5.%6."/>
      <w:lvlJc w:val="left"/>
      <w:pPr>
        <w:ind w:left="2586" w:firstLine="1146"/>
      </w:pPr>
    </w:lvl>
    <w:lvl w:ilvl="6">
      <w:start w:val="1"/>
      <w:numFmt w:val="decimal"/>
      <w:lvlText w:val="%1.%2.%3.%4.%5.%6.%7."/>
      <w:lvlJc w:val="left"/>
      <w:pPr>
        <w:ind w:left="2586" w:firstLine="1146"/>
      </w:pPr>
    </w:lvl>
    <w:lvl w:ilvl="7">
      <w:start w:val="1"/>
      <w:numFmt w:val="decimal"/>
      <w:lvlText w:val="%1.%2.%3.%4.%5.%6.%7.%8."/>
      <w:lvlJc w:val="left"/>
      <w:pPr>
        <w:ind w:left="2946" w:firstLine="1146"/>
      </w:pPr>
    </w:lvl>
    <w:lvl w:ilvl="8">
      <w:start w:val="1"/>
      <w:numFmt w:val="decimal"/>
      <w:lvlText w:val="%1.%2.%3.%4.%5.%6.%7.%8.%9."/>
      <w:lvlJc w:val="left"/>
      <w:pPr>
        <w:ind w:left="2946" w:firstLine="1146"/>
      </w:pPr>
    </w:lvl>
  </w:abstractNum>
  <w:abstractNum w:abstractNumId="8">
    <w:nsid w:val="590A127B"/>
    <w:multiLevelType w:val="multilevel"/>
    <w:tmpl w:val="6DA84848"/>
    <w:lvl w:ilvl="0">
      <w:start w:val="1"/>
      <w:numFmt w:val="upperRoman"/>
      <w:lvlText w:val="%1."/>
      <w:lvlJc w:val="left"/>
      <w:pPr>
        <w:ind w:left="720" w:firstLine="360"/>
      </w:pPr>
      <w:rPr>
        <w:b w:val="0"/>
        <w:strike w:val="0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25B78C5"/>
    <w:multiLevelType w:val="hybridMultilevel"/>
    <w:tmpl w:val="46546484"/>
    <w:lvl w:ilvl="0" w:tplc="E9029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5535C"/>
    <w:multiLevelType w:val="multilevel"/>
    <w:tmpl w:val="62DC02E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C705B4E"/>
    <w:multiLevelType w:val="multilevel"/>
    <w:tmpl w:val="FFCA990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>
    <w:nsid w:val="71CA1B52"/>
    <w:multiLevelType w:val="multilevel"/>
    <w:tmpl w:val="B2E446B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>
    <w:nsid w:val="724F188B"/>
    <w:multiLevelType w:val="multilevel"/>
    <w:tmpl w:val="620E0B0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6561F12"/>
    <w:multiLevelType w:val="hybridMultilevel"/>
    <w:tmpl w:val="F68E4768"/>
    <w:lvl w:ilvl="0" w:tplc="E8E425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61324"/>
    <w:multiLevelType w:val="multilevel"/>
    <w:tmpl w:val="F7760F00"/>
    <w:lvl w:ilvl="0">
      <w:start w:val="1"/>
      <w:numFmt w:val="bullet"/>
      <w:lvlText w:val="-"/>
      <w:lvlJc w:val="left"/>
      <w:pPr>
        <w:ind w:left="1211" w:firstLine="2062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bullet"/>
      <w:lvlText w:val="-"/>
      <w:lvlJc w:val="left"/>
      <w:pPr>
        <w:ind w:left="1211" w:firstLine="2062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ind w:left="928" w:firstLine="1496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3">
      <w:start w:val="1"/>
      <w:numFmt w:val="bullet"/>
      <w:lvlText w:val="-"/>
      <w:lvlJc w:val="left"/>
      <w:pPr>
        <w:ind w:left="3011" w:firstLine="5662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31" w:firstLine="710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51" w:firstLine="854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71" w:firstLine="998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91" w:firstLine="1142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11" w:firstLine="12862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3101"/>
    <w:rsid w:val="000030F2"/>
    <w:rsid w:val="00013101"/>
    <w:rsid w:val="00032B2B"/>
    <w:rsid w:val="00033AF3"/>
    <w:rsid w:val="0003780B"/>
    <w:rsid w:val="00045383"/>
    <w:rsid w:val="00045776"/>
    <w:rsid w:val="00084BC0"/>
    <w:rsid w:val="000858F2"/>
    <w:rsid w:val="000A4972"/>
    <w:rsid w:val="000B3201"/>
    <w:rsid w:val="000E27BF"/>
    <w:rsid w:val="00102B25"/>
    <w:rsid w:val="00131725"/>
    <w:rsid w:val="0013300E"/>
    <w:rsid w:val="001476D6"/>
    <w:rsid w:val="00165CF3"/>
    <w:rsid w:val="00181CE5"/>
    <w:rsid w:val="001B7024"/>
    <w:rsid w:val="001F3866"/>
    <w:rsid w:val="00205A94"/>
    <w:rsid w:val="00225AA0"/>
    <w:rsid w:val="00243782"/>
    <w:rsid w:val="00253801"/>
    <w:rsid w:val="00265374"/>
    <w:rsid w:val="002708A7"/>
    <w:rsid w:val="00270A8D"/>
    <w:rsid w:val="00282145"/>
    <w:rsid w:val="002949DA"/>
    <w:rsid w:val="00294F24"/>
    <w:rsid w:val="002A718D"/>
    <w:rsid w:val="002C56F9"/>
    <w:rsid w:val="002D432D"/>
    <w:rsid w:val="002D4E24"/>
    <w:rsid w:val="002F131E"/>
    <w:rsid w:val="00303F22"/>
    <w:rsid w:val="00325C10"/>
    <w:rsid w:val="00377169"/>
    <w:rsid w:val="00377A6C"/>
    <w:rsid w:val="00395FB7"/>
    <w:rsid w:val="003A00CC"/>
    <w:rsid w:val="003A6EA8"/>
    <w:rsid w:val="003B59A1"/>
    <w:rsid w:val="003D0106"/>
    <w:rsid w:val="003D2DE5"/>
    <w:rsid w:val="003D5969"/>
    <w:rsid w:val="004120CB"/>
    <w:rsid w:val="004619CB"/>
    <w:rsid w:val="004A7B87"/>
    <w:rsid w:val="004B6B44"/>
    <w:rsid w:val="004C5BF3"/>
    <w:rsid w:val="004D7523"/>
    <w:rsid w:val="004F787B"/>
    <w:rsid w:val="00500678"/>
    <w:rsid w:val="00501AF0"/>
    <w:rsid w:val="00514B27"/>
    <w:rsid w:val="00517688"/>
    <w:rsid w:val="005239DB"/>
    <w:rsid w:val="005739F0"/>
    <w:rsid w:val="005E764C"/>
    <w:rsid w:val="005F0B9C"/>
    <w:rsid w:val="005F7C53"/>
    <w:rsid w:val="0061046A"/>
    <w:rsid w:val="0062799B"/>
    <w:rsid w:val="00646721"/>
    <w:rsid w:val="006607B6"/>
    <w:rsid w:val="006858E7"/>
    <w:rsid w:val="00687DEA"/>
    <w:rsid w:val="00693D2C"/>
    <w:rsid w:val="006C7E8B"/>
    <w:rsid w:val="006F51C8"/>
    <w:rsid w:val="007077B2"/>
    <w:rsid w:val="007125CB"/>
    <w:rsid w:val="00715132"/>
    <w:rsid w:val="00727D18"/>
    <w:rsid w:val="00731704"/>
    <w:rsid w:val="0073535A"/>
    <w:rsid w:val="00740B03"/>
    <w:rsid w:val="00745EA4"/>
    <w:rsid w:val="00784870"/>
    <w:rsid w:val="007B622F"/>
    <w:rsid w:val="007C177C"/>
    <w:rsid w:val="007D481A"/>
    <w:rsid w:val="00803AB4"/>
    <w:rsid w:val="0083385E"/>
    <w:rsid w:val="00885A4B"/>
    <w:rsid w:val="00891346"/>
    <w:rsid w:val="008A254A"/>
    <w:rsid w:val="008B45BE"/>
    <w:rsid w:val="008C55AF"/>
    <w:rsid w:val="008C7C53"/>
    <w:rsid w:val="009501D0"/>
    <w:rsid w:val="00953116"/>
    <w:rsid w:val="0097101C"/>
    <w:rsid w:val="009765ED"/>
    <w:rsid w:val="009B0107"/>
    <w:rsid w:val="009C2F2A"/>
    <w:rsid w:val="009E5487"/>
    <w:rsid w:val="00A02ACA"/>
    <w:rsid w:val="00A05DAB"/>
    <w:rsid w:val="00A36F97"/>
    <w:rsid w:val="00A43217"/>
    <w:rsid w:val="00A60ABB"/>
    <w:rsid w:val="00AA2540"/>
    <w:rsid w:val="00AB4C85"/>
    <w:rsid w:val="00AD727D"/>
    <w:rsid w:val="00AD7761"/>
    <w:rsid w:val="00AF6178"/>
    <w:rsid w:val="00B01DE3"/>
    <w:rsid w:val="00B26EF9"/>
    <w:rsid w:val="00B30D7A"/>
    <w:rsid w:val="00B714E5"/>
    <w:rsid w:val="00B76AC3"/>
    <w:rsid w:val="00B81E84"/>
    <w:rsid w:val="00BA1F1D"/>
    <w:rsid w:val="00BA5604"/>
    <w:rsid w:val="00BC058C"/>
    <w:rsid w:val="00BD2CC0"/>
    <w:rsid w:val="00C0499B"/>
    <w:rsid w:val="00C26BBE"/>
    <w:rsid w:val="00C41A87"/>
    <w:rsid w:val="00C50F48"/>
    <w:rsid w:val="00C60D3B"/>
    <w:rsid w:val="00C858CF"/>
    <w:rsid w:val="00CA0A9F"/>
    <w:rsid w:val="00CB1613"/>
    <w:rsid w:val="00CB7C3D"/>
    <w:rsid w:val="00CE559D"/>
    <w:rsid w:val="00CF7C7E"/>
    <w:rsid w:val="00D00C54"/>
    <w:rsid w:val="00D32981"/>
    <w:rsid w:val="00D5002C"/>
    <w:rsid w:val="00D55B8B"/>
    <w:rsid w:val="00D778EE"/>
    <w:rsid w:val="00DC2CD0"/>
    <w:rsid w:val="00DC2CFA"/>
    <w:rsid w:val="00DC7D7C"/>
    <w:rsid w:val="00DD5220"/>
    <w:rsid w:val="00DE0552"/>
    <w:rsid w:val="00DF6F0B"/>
    <w:rsid w:val="00E23EC6"/>
    <w:rsid w:val="00E31730"/>
    <w:rsid w:val="00E31847"/>
    <w:rsid w:val="00E6080B"/>
    <w:rsid w:val="00E63940"/>
    <w:rsid w:val="00E67520"/>
    <w:rsid w:val="00E77C2A"/>
    <w:rsid w:val="00E81352"/>
    <w:rsid w:val="00EA3A22"/>
    <w:rsid w:val="00EC7CB6"/>
    <w:rsid w:val="00EE544D"/>
    <w:rsid w:val="00F07027"/>
    <w:rsid w:val="00F179A9"/>
    <w:rsid w:val="00F30464"/>
    <w:rsid w:val="00F41996"/>
    <w:rsid w:val="00F74D33"/>
    <w:rsid w:val="00FA65EE"/>
    <w:rsid w:val="00FA7017"/>
    <w:rsid w:val="00FB73B6"/>
    <w:rsid w:val="00FC7844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Times" w:eastAsia="Times" w:hAnsi="Times" w:cs="Times"/>
      <w:b/>
      <w:color w:val="FF0000"/>
      <w:sz w:val="24"/>
      <w:szCs w:val="24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85"/>
  </w:style>
  <w:style w:type="paragraph" w:styleId="Footer">
    <w:name w:val="footer"/>
    <w:basedOn w:val="Normal"/>
    <w:link w:val="Foot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85"/>
  </w:style>
  <w:style w:type="paragraph" w:styleId="BalloonText">
    <w:name w:val="Balloon Text"/>
    <w:basedOn w:val="Normal"/>
    <w:link w:val="BalloonTextChar"/>
    <w:uiPriority w:val="99"/>
    <w:semiHidden/>
    <w:unhideWhenUsed/>
    <w:rsid w:val="00C6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7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Times" w:eastAsia="Times" w:hAnsi="Times" w:cs="Times"/>
      <w:b/>
      <w:color w:val="FF0000"/>
      <w:sz w:val="24"/>
      <w:szCs w:val="24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/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85"/>
  </w:style>
  <w:style w:type="paragraph" w:styleId="Footer">
    <w:name w:val="footer"/>
    <w:basedOn w:val="Normal"/>
    <w:link w:val="FooterChar"/>
    <w:uiPriority w:val="99"/>
    <w:unhideWhenUsed/>
    <w:rsid w:val="00AB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85"/>
  </w:style>
  <w:style w:type="paragraph" w:styleId="BalloonText">
    <w:name w:val="Balloon Text"/>
    <w:basedOn w:val="Normal"/>
    <w:link w:val="BalloonTextChar"/>
    <w:uiPriority w:val="99"/>
    <w:semiHidden/>
    <w:unhideWhenUsed/>
    <w:rsid w:val="00C6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7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rpmtm.anpm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m.anpm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Mihoc Corina</dc:creator>
  <cp:lastModifiedBy>Mihoc Corina</cp:lastModifiedBy>
  <cp:revision>37</cp:revision>
  <cp:lastPrinted>2018-02-01T07:30:00Z</cp:lastPrinted>
  <dcterms:created xsi:type="dcterms:W3CDTF">2018-02-01T07:44:00Z</dcterms:created>
  <dcterms:modified xsi:type="dcterms:W3CDTF">2018-02-02T11:50:00Z</dcterms:modified>
</cp:coreProperties>
</file>