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86" w:rsidRPr="003902D1" w:rsidRDefault="00EC1A86" w:rsidP="00A454A7">
      <w:p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Legislaţia comunitară şi naţională din acest domeniu poate fi accesată din sec</w:t>
      </w:r>
      <w:r w:rsidR="000A6DE7" w:rsidRPr="003902D1">
        <w:rPr>
          <w:rFonts w:ascii="Times New Roman" w:hAnsi="Times New Roman" w:cs="Times New Roman"/>
          <w:sz w:val="28"/>
          <w:szCs w:val="28"/>
        </w:rPr>
        <w:t>ţiunea similară de pe site-ul A</w:t>
      </w:r>
      <w:r w:rsidRPr="003902D1">
        <w:rPr>
          <w:rFonts w:ascii="Times New Roman" w:hAnsi="Times New Roman" w:cs="Times New Roman"/>
          <w:sz w:val="28"/>
          <w:szCs w:val="28"/>
        </w:rPr>
        <w:t xml:space="preserve">NPM la adresa: </w:t>
      </w:r>
      <w:hyperlink r:id="rId5" w:history="1">
        <w:r w:rsidR="000A6DE7" w:rsidRPr="003902D1">
          <w:rPr>
            <w:rStyle w:val="Hyperlink"/>
            <w:rFonts w:ascii="Times New Roman" w:hAnsi="Times New Roman" w:cs="Times New Roman"/>
            <w:sz w:val="28"/>
            <w:szCs w:val="28"/>
          </w:rPr>
          <w:t>http://www.anpm.ro/poluanti-organici-persistenti-pops-</w:t>
        </w:r>
      </w:hyperlink>
      <w:r w:rsidR="000A6DE7" w:rsidRPr="003902D1">
        <w:rPr>
          <w:rFonts w:ascii="Times New Roman" w:hAnsi="Times New Roman" w:cs="Times New Roman"/>
          <w:sz w:val="28"/>
          <w:szCs w:val="28"/>
        </w:rPr>
        <w:t>.</w:t>
      </w:r>
    </w:p>
    <w:p w:rsidR="00EC1A86" w:rsidRPr="003902D1" w:rsidRDefault="00EC1A86" w:rsidP="00A454A7">
      <w:pPr>
        <w:spacing w:after="0" w:line="240" w:lineRule="auto"/>
        <w:jc w:val="both"/>
        <w:rPr>
          <w:rFonts w:ascii="Times New Roman" w:hAnsi="Times New Roman" w:cs="Times New Roman"/>
          <w:sz w:val="16"/>
          <w:szCs w:val="16"/>
        </w:rPr>
      </w:pPr>
    </w:p>
    <w:p w:rsidR="00B44002" w:rsidRPr="003902D1" w:rsidRDefault="00B44002" w:rsidP="00A454A7">
      <w:pPr>
        <w:spacing w:after="0" w:line="240" w:lineRule="auto"/>
        <w:jc w:val="both"/>
        <w:rPr>
          <w:rFonts w:ascii="Times New Roman" w:hAnsi="Times New Roman" w:cs="Times New Roman"/>
          <w:sz w:val="28"/>
          <w:szCs w:val="28"/>
          <w:lang w:val="en-US"/>
        </w:rPr>
      </w:pPr>
      <w:r w:rsidRPr="003902D1">
        <w:rPr>
          <w:rFonts w:ascii="Times New Roman" w:hAnsi="Times New Roman" w:cs="Times New Roman"/>
          <w:iCs/>
          <w:sz w:val="28"/>
          <w:szCs w:val="28"/>
          <w:lang w:val="en-US"/>
        </w:rPr>
        <w:t>Poluanţii organici persistenţi, denumiţi în continuare POP, au proprietăţi toxice, rezistă la degradare, se bioacumulează şi sunt transportaţi pe calea aerului, apei şi prin intermediul speciilor migratoare dincolo de graniţele naţionale, depozitându-se departe de locul lor de emisie şi acumulându-se în ecosisteme terestre şi acvatice. Emisiile acestor poluanţi pot produce efecte dăunătoare asupra sănătăţii umane şi mediului.</w:t>
      </w:r>
    </w:p>
    <w:p w:rsidR="00A454A7" w:rsidRPr="003902D1" w:rsidRDefault="00A454A7" w:rsidP="00A454A7">
      <w:pPr>
        <w:spacing w:after="0" w:line="240" w:lineRule="auto"/>
        <w:jc w:val="both"/>
        <w:rPr>
          <w:rFonts w:ascii="Times New Roman" w:hAnsi="Times New Roman" w:cs="Times New Roman"/>
          <w:sz w:val="16"/>
          <w:szCs w:val="16"/>
        </w:rPr>
      </w:pPr>
    </w:p>
    <w:p w:rsidR="000A6DE7" w:rsidRPr="003902D1" w:rsidRDefault="00EC1A86" w:rsidP="00A454A7">
      <w:pPr>
        <w:spacing w:after="0" w:line="240" w:lineRule="auto"/>
        <w:jc w:val="both"/>
        <w:rPr>
          <w:rFonts w:ascii="Times New Roman" w:hAnsi="Times New Roman" w:cs="Times New Roman"/>
          <w:sz w:val="28"/>
          <w:szCs w:val="28"/>
          <w:lang w:val="en-US"/>
        </w:rPr>
      </w:pPr>
      <w:r w:rsidRPr="003902D1">
        <w:rPr>
          <w:rFonts w:ascii="Times New Roman" w:hAnsi="Times New Roman" w:cs="Times New Roman"/>
          <w:sz w:val="28"/>
          <w:szCs w:val="28"/>
        </w:rPr>
        <w:t>Convenţia de la Stockholm privind Poluanţii Organici Persistenţi (POP), adoptată în luna mai 2001, are ca obiectiv protejarea sănătăţii umane şi a mediului faţă de poluanţii organici persistenţi care au proprietăţi toxice, persistenţă, bioacumulare, volatilitate şi biodisponibilitate. A intrat în vigoare la 17 mai 2004 şi România a devenit parte a Convenţiei odată cu ratificarea acesteia prin Legea nr. 261/2004, care prevede reducerea şi unde este necesar, eliminarea a</w:t>
      </w:r>
      <w:r w:rsidR="000A6DE7" w:rsidRPr="003902D1">
        <w:rPr>
          <w:rFonts w:ascii="Times New Roman" w:hAnsi="Times New Roman" w:cs="Times New Roman"/>
          <w:sz w:val="28"/>
          <w:szCs w:val="28"/>
          <w:lang w:val="en-US"/>
        </w:rPr>
        <w:t>:</w:t>
      </w:r>
    </w:p>
    <w:p w:rsidR="000A6DE7" w:rsidRPr="003902D1" w:rsidRDefault="00EC1A86" w:rsidP="00A454A7">
      <w:pPr>
        <w:pStyle w:val="ListParagraph"/>
        <w:numPr>
          <w:ilvl w:val="0"/>
          <w:numId w:val="3"/>
        </w:num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nouă pesticide şi anume: aldrin, clordan, DDT, dieldrin, endrin, heptaclor,</w:t>
      </w:r>
      <w:r w:rsidR="000A6DE7" w:rsidRPr="003902D1">
        <w:rPr>
          <w:rFonts w:ascii="Times New Roman" w:hAnsi="Times New Roman" w:cs="Times New Roman"/>
          <w:sz w:val="28"/>
          <w:szCs w:val="28"/>
        </w:rPr>
        <w:t xml:space="preserve"> hexaclorbenzen, mirex, toxafen</w:t>
      </w:r>
      <w:r w:rsidR="000A6DE7" w:rsidRPr="003902D1">
        <w:rPr>
          <w:rFonts w:ascii="Times New Roman" w:hAnsi="Times New Roman" w:cs="Times New Roman"/>
          <w:sz w:val="28"/>
          <w:szCs w:val="28"/>
          <w:lang w:val="en-US"/>
        </w:rPr>
        <w:t>,</w:t>
      </w:r>
    </w:p>
    <w:p w:rsidR="000A6DE7" w:rsidRPr="003902D1" w:rsidRDefault="00EC1A86" w:rsidP="00A454A7">
      <w:pPr>
        <w:pStyle w:val="ListParagraph"/>
        <w:numPr>
          <w:ilvl w:val="0"/>
          <w:numId w:val="3"/>
        </w:num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două substanţe chimice industriale: bifenilii policloruraţi (PCB) şi hexaclorbenzenul (HCB),</w:t>
      </w:r>
    </w:p>
    <w:p w:rsidR="000A6DE7" w:rsidRPr="003902D1" w:rsidRDefault="00EC1A86" w:rsidP="00A454A7">
      <w:pPr>
        <w:pStyle w:val="ListParagraph"/>
        <w:numPr>
          <w:ilvl w:val="0"/>
          <w:numId w:val="3"/>
        </w:num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 xml:space="preserve"> patru produşi secundari: dibenzo-p-dioxine policlorurate şi dibenzofurani, HCB şi PCB. </w:t>
      </w:r>
    </w:p>
    <w:p w:rsidR="00EC1A86" w:rsidRPr="003902D1" w:rsidRDefault="00EC1A86" w:rsidP="00A454A7">
      <w:p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Ulterior s-au introdus şi alte substanţe: tetrabromodifenileter, pentabromodifenileter (PBDE), hexabromodifenileter, heptabromodifenileter, acid perfluoroctan sulfonic şi derivaţii săi (PFOS), hexaclorciclohexani inclusiv lindan, clordecon, pentaclorbenzen (PeCB), hexabromdifenil, hexaclorbutadiena, naftaline policlorurate (PCN), parafine clorurate cu catena scurtă (PCCS, cloroalcani C10-C13), endosulfan.</w:t>
      </w:r>
    </w:p>
    <w:p w:rsidR="00EC1A86" w:rsidRPr="003902D1" w:rsidRDefault="00EC1A86" w:rsidP="00A454A7">
      <w:pPr>
        <w:spacing w:after="0" w:line="240" w:lineRule="auto"/>
        <w:jc w:val="both"/>
        <w:rPr>
          <w:rFonts w:ascii="Times New Roman" w:hAnsi="Times New Roman" w:cs="Times New Roman"/>
          <w:sz w:val="16"/>
          <w:szCs w:val="16"/>
        </w:rPr>
      </w:pPr>
    </w:p>
    <w:p w:rsidR="003902D1" w:rsidRDefault="00EC1A86" w:rsidP="00A454A7">
      <w:p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Poluanţii organici persistenţi sunt reglementaţi de Regulamentul (CE) nr. 850/2004 al P</w:t>
      </w:r>
      <w:r w:rsidR="00A454A7" w:rsidRPr="003902D1">
        <w:rPr>
          <w:rFonts w:ascii="Times New Roman" w:hAnsi="Times New Roman" w:cs="Times New Roman"/>
          <w:sz w:val="28"/>
          <w:szCs w:val="28"/>
        </w:rPr>
        <w:t>.</w:t>
      </w:r>
      <w:r w:rsidRPr="003902D1">
        <w:rPr>
          <w:rFonts w:ascii="Times New Roman" w:hAnsi="Times New Roman" w:cs="Times New Roman"/>
          <w:sz w:val="28"/>
          <w:szCs w:val="28"/>
        </w:rPr>
        <w:t>E</w:t>
      </w:r>
      <w:r w:rsidR="00A454A7" w:rsidRPr="003902D1">
        <w:rPr>
          <w:rFonts w:ascii="Times New Roman" w:hAnsi="Times New Roman" w:cs="Times New Roman"/>
          <w:sz w:val="28"/>
          <w:szCs w:val="28"/>
        </w:rPr>
        <w:t xml:space="preserve">. </w:t>
      </w:r>
      <w:r w:rsidRPr="003902D1">
        <w:rPr>
          <w:rFonts w:ascii="Times New Roman" w:hAnsi="Times New Roman" w:cs="Times New Roman"/>
          <w:sz w:val="28"/>
          <w:szCs w:val="28"/>
        </w:rPr>
        <w:t xml:space="preserve">şi al Consiliului </w:t>
      </w:r>
      <w:r w:rsidR="00A454A7" w:rsidRPr="003902D1">
        <w:rPr>
          <w:rFonts w:ascii="Times New Roman" w:hAnsi="Times New Roman" w:cs="Times New Roman"/>
          <w:i/>
          <w:sz w:val="28"/>
          <w:szCs w:val="28"/>
          <w:lang w:val="en-US"/>
        </w:rPr>
        <w:t>(CE)</w:t>
      </w:r>
      <w:r w:rsidR="00A454A7" w:rsidRPr="003902D1">
        <w:rPr>
          <w:rFonts w:ascii="Times New Roman" w:hAnsi="Times New Roman" w:cs="Times New Roman"/>
          <w:sz w:val="28"/>
          <w:szCs w:val="28"/>
        </w:rPr>
        <w:t xml:space="preserve"> </w:t>
      </w:r>
      <w:r w:rsidRPr="003902D1">
        <w:rPr>
          <w:rFonts w:ascii="Times New Roman" w:hAnsi="Times New Roman" w:cs="Times New Roman"/>
          <w:sz w:val="28"/>
          <w:szCs w:val="28"/>
        </w:rPr>
        <w:t xml:space="preserve">cu amendamentele ulterioare. </w:t>
      </w:r>
    </w:p>
    <w:p w:rsidR="00B44002" w:rsidRPr="003902D1" w:rsidRDefault="00EC1A86" w:rsidP="00A454A7">
      <w:pPr>
        <w:spacing w:after="0" w:line="240" w:lineRule="auto"/>
        <w:jc w:val="both"/>
        <w:rPr>
          <w:rFonts w:ascii="Times New Roman" w:hAnsi="Times New Roman" w:cs="Times New Roman"/>
          <w:sz w:val="28"/>
          <w:szCs w:val="28"/>
          <w:lang w:val="en-US"/>
        </w:rPr>
      </w:pPr>
      <w:r w:rsidRPr="003902D1">
        <w:rPr>
          <w:rFonts w:ascii="Times New Roman" w:hAnsi="Times New Roman" w:cs="Times New Roman"/>
          <w:sz w:val="28"/>
          <w:szCs w:val="28"/>
        </w:rPr>
        <w:t xml:space="preserve">Legislaţia europeană a fost transpusă în legislaţia românească prin </w:t>
      </w:r>
      <w:r w:rsidR="00B44002" w:rsidRPr="003902D1">
        <w:rPr>
          <w:rFonts w:ascii="Times New Roman" w:hAnsi="Times New Roman" w:cs="Times New Roman"/>
          <w:i/>
          <w:sz w:val="28"/>
          <w:szCs w:val="28"/>
        </w:rPr>
        <w:t xml:space="preserve">H.G. nr. </w:t>
      </w:r>
      <w:r w:rsidR="00B44002" w:rsidRPr="003902D1">
        <w:rPr>
          <w:rFonts w:ascii="Times New Roman" w:hAnsi="Times New Roman" w:cs="Times New Roman"/>
          <w:i/>
          <w:sz w:val="28"/>
          <w:szCs w:val="28"/>
          <w:lang w:val="en-US"/>
        </w:rPr>
        <w:t>561/2008 privind stabilirea unor măsuri pentru aplicarea Regulamentului PE şi al Consiliului (CE) nr. 850/2004 privind poluanţii organici persistenţi şi pentru modificarea Directivei 79/117/CEE</w:t>
      </w:r>
      <w:r w:rsidR="00B44002" w:rsidRPr="003902D1">
        <w:rPr>
          <w:rFonts w:ascii="Times New Roman" w:hAnsi="Times New Roman" w:cs="Times New Roman"/>
          <w:sz w:val="28"/>
          <w:szCs w:val="28"/>
        </w:rPr>
        <w:t xml:space="preserve"> </w:t>
      </w:r>
      <w:r w:rsidR="00B44002" w:rsidRPr="003902D1">
        <w:rPr>
          <w:rFonts w:ascii="Times New Roman" w:hAnsi="Times New Roman" w:cs="Times New Roman"/>
          <w:sz w:val="28"/>
          <w:szCs w:val="28"/>
        </w:rPr>
        <w:t xml:space="preserve">şi </w:t>
      </w:r>
      <w:r w:rsidR="00B44002" w:rsidRPr="003902D1">
        <w:rPr>
          <w:rFonts w:ascii="Times New Roman" w:hAnsi="Times New Roman" w:cs="Times New Roman"/>
          <w:i/>
          <w:sz w:val="28"/>
          <w:szCs w:val="28"/>
        </w:rPr>
        <w:t xml:space="preserve">H.G. nr. 1497/2008 </w:t>
      </w:r>
      <w:r w:rsidR="00B44002" w:rsidRPr="003902D1">
        <w:rPr>
          <w:rFonts w:ascii="Times New Roman" w:hAnsi="Times New Roman" w:cs="Times New Roman"/>
          <w:i/>
          <w:sz w:val="28"/>
          <w:szCs w:val="28"/>
          <w:lang w:val="en-US"/>
        </w:rPr>
        <w:t>privind aprobarea Planului naţional de implementare a prevederilor Convenţiei privind poluanţii organici persistenţi, adoptată la Stockholm la 22 m</w:t>
      </w:r>
      <w:r w:rsidR="003902D1" w:rsidRPr="003902D1">
        <w:rPr>
          <w:rFonts w:ascii="Times New Roman" w:hAnsi="Times New Roman" w:cs="Times New Roman"/>
          <w:i/>
          <w:sz w:val="28"/>
          <w:szCs w:val="28"/>
          <w:lang w:val="en-US"/>
        </w:rPr>
        <w:t>ai 2001, aferent perioadei 2008</w:t>
      </w:r>
      <w:r w:rsidR="00B44002" w:rsidRPr="003902D1">
        <w:rPr>
          <w:rFonts w:ascii="Times New Roman" w:hAnsi="Times New Roman" w:cs="Times New Roman"/>
          <w:i/>
          <w:sz w:val="28"/>
          <w:szCs w:val="28"/>
          <w:lang w:val="en-US"/>
        </w:rPr>
        <w:t>-2029</w:t>
      </w:r>
      <w:r w:rsidR="00B44002" w:rsidRPr="003902D1">
        <w:rPr>
          <w:rFonts w:ascii="Times New Roman" w:hAnsi="Times New Roman" w:cs="Times New Roman"/>
          <w:i/>
          <w:sz w:val="28"/>
          <w:szCs w:val="28"/>
          <w:lang w:val="en-US"/>
        </w:rPr>
        <w:t xml:space="preserve">, </w:t>
      </w:r>
      <w:r w:rsidR="00B44002" w:rsidRPr="003902D1">
        <w:rPr>
          <w:rFonts w:ascii="Times New Roman" w:hAnsi="Times New Roman" w:cs="Times New Roman"/>
          <w:i/>
          <w:sz w:val="28"/>
          <w:szCs w:val="28"/>
        </w:rPr>
        <w:t>cu modificările și completările ulterioare</w:t>
      </w:r>
      <w:r w:rsidR="00B44002" w:rsidRPr="003902D1">
        <w:rPr>
          <w:rFonts w:ascii="Times New Roman" w:hAnsi="Times New Roman" w:cs="Times New Roman"/>
          <w:sz w:val="28"/>
          <w:szCs w:val="28"/>
        </w:rPr>
        <w:t>.</w:t>
      </w:r>
    </w:p>
    <w:p w:rsidR="00B44002" w:rsidRPr="003902D1" w:rsidRDefault="00B44002" w:rsidP="00A454A7">
      <w:pPr>
        <w:spacing w:after="0" w:line="240" w:lineRule="auto"/>
        <w:jc w:val="both"/>
        <w:rPr>
          <w:rFonts w:ascii="Times New Roman" w:hAnsi="Times New Roman" w:cs="Times New Roman"/>
          <w:sz w:val="16"/>
          <w:szCs w:val="16"/>
        </w:rPr>
      </w:pPr>
    </w:p>
    <w:p w:rsidR="00A454A7" w:rsidRPr="003902D1" w:rsidRDefault="006D6392" w:rsidP="006D6392">
      <w:pPr>
        <w:spacing w:after="0" w:line="240" w:lineRule="auto"/>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O</w:t>
      </w:r>
      <w:r w:rsidR="00A454A7" w:rsidRPr="003902D1">
        <w:rPr>
          <w:rFonts w:ascii="Times New Roman" w:hAnsi="Times New Roman" w:cs="Times New Roman"/>
          <w:iCs/>
          <w:sz w:val="28"/>
          <w:szCs w:val="28"/>
          <w:lang w:val="en-US"/>
        </w:rPr>
        <w:t>biectivel</w:t>
      </w:r>
      <w:r w:rsidRPr="003902D1">
        <w:rPr>
          <w:rFonts w:ascii="Times New Roman" w:hAnsi="Times New Roman" w:cs="Times New Roman"/>
          <w:iCs/>
          <w:sz w:val="28"/>
          <w:szCs w:val="28"/>
          <w:lang w:val="en-US"/>
        </w:rPr>
        <w:t>e</w:t>
      </w:r>
      <w:r w:rsidR="00A454A7" w:rsidRPr="003902D1">
        <w:rPr>
          <w:rFonts w:ascii="Times New Roman" w:hAnsi="Times New Roman" w:cs="Times New Roman"/>
          <w:iCs/>
          <w:sz w:val="28"/>
          <w:szCs w:val="28"/>
          <w:lang w:val="en-US"/>
        </w:rPr>
        <w:t>-cheie pentru implementarea prevederilor Convenţiei de la Stockholm</w:t>
      </w:r>
      <w:r w:rsidR="003902D1" w:rsidRPr="003902D1">
        <w:rPr>
          <w:rFonts w:ascii="Times New Roman" w:hAnsi="Times New Roman" w:cs="Times New Roman"/>
          <w:sz w:val="28"/>
          <w:szCs w:val="28"/>
        </w:rPr>
        <w:t xml:space="preserve"> sunt următoarele</w:t>
      </w:r>
      <w:r w:rsidR="00A454A7" w:rsidRPr="003902D1">
        <w:rPr>
          <w:rFonts w:ascii="Times New Roman" w:hAnsi="Times New Roman" w:cs="Times New Roman"/>
          <w:iCs/>
          <w:sz w:val="28"/>
          <w:szCs w:val="28"/>
          <w:lang w:val="en-US"/>
        </w:rPr>
        <w:t>:</w:t>
      </w:r>
    </w:p>
    <w:p w:rsidR="003902D1" w:rsidRPr="003902D1" w:rsidRDefault="003902D1" w:rsidP="006D6392">
      <w:pPr>
        <w:spacing w:after="0" w:line="240" w:lineRule="auto"/>
        <w:jc w:val="both"/>
        <w:rPr>
          <w:rFonts w:ascii="Times New Roman" w:hAnsi="Times New Roman" w:cs="Times New Roman"/>
          <w:sz w:val="16"/>
          <w:szCs w:val="16"/>
        </w:rPr>
      </w:pP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eliminarea bromodifenil eterilor (PBDE) din fluxurile de deşeuri;</w:t>
      </w: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reducerea riscului privind acidul sulfonic perfluorooctanic (PFOS), sărurile acestuia şi fluorura de sulfonil perfluorooctanică (PFOSF);</w:t>
      </w: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eliminarea echipamentelor cu conţinut de bifenili policloruraţi (PCBs);</w:t>
      </w: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reducerea emisiilor neintenţionate de POP;</w:t>
      </w: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lastRenderedPageBreak/>
        <w:t>îmbunătăţirea performanţelor privind protecţia mediului în sectorul agricol;</w:t>
      </w: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remedierea solurilor contaminate cu POP (inclusiv solurile cu poluare istorică);</w:t>
      </w:r>
    </w:p>
    <w:p w:rsidR="003902D1"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informarea şi conştientizarea publicului;</w:t>
      </w:r>
    </w:p>
    <w:p w:rsidR="00A454A7" w:rsidRPr="003902D1" w:rsidRDefault="00A454A7" w:rsidP="003902D1">
      <w:pPr>
        <w:pStyle w:val="ListParagraph"/>
        <w:numPr>
          <w:ilvl w:val="0"/>
          <w:numId w:val="4"/>
        </w:numPr>
        <w:jc w:val="both"/>
        <w:rPr>
          <w:rFonts w:ascii="Times New Roman" w:hAnsi="Times New Roman" w:cs="Times New Roman"/>
          <w:iCs/>
          <w:sz w:val="28"/>
          <w:szCs w:val="28"/>
          <w:lang w:val="en-US"/>
        </w:rPr>
      </w:pPr>
      <w:r w:rsidRPr="003902D1">
        <w:rPr>
          <w:rFonts w:ascii="Times New Roman" w:hAnsi="Times New Roman" w:cs="Times New Roman"/>
          <w:iCs/>
          <w:sz w:val="28"/>
          <w:szCs w:val="28"/>
          <w:lang w:val="en-US"/>
        </w:rPr>
        <w:t>cercetare şi dezvoltare.</w:t>
      </w:r>
    </w:p>
    <w:p w:rsidR="00A454A7" w:rsidRPr="003902D1" w:rsidRDefault="00A454A7" w:rsidP="00A454A7">
      <w:pPr>
        <w:pStyle w:val="ListParagraph"/>
        <w:spacing w:after="0" w:line="240" w:lineRule="auto"/>
        <w:jc w:val="both"/>
        <w:rPr>
          <w:rFonts w:ascii="Times New Roman" w:hAnsi="Times New Roman" w:cs="Times New Roman"/>
          <w:sz w:val="16"/>
          <w:szCs w:val="16"/>
        </w:rPr>
      </w:pPr>
    </w:p>
    <w:p w:rsidR="00EC1A86" w:rsidRPr="003902D1" w:rsidRDefault="00EC1A86" w:rsidP="00A454A7">
      <w:p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În vederea atingerii de către ţara noastră a obiectivului-cheie 3 al Convenţiei de la Stockholm privind eliminarea echipamentelor cu bifenili policloruraţi (PCB), Planul naţional de implementare a convenţiei a stabilit ca înlocuirea treptată a echipamentelor cu PCB să fie realizată până în anul 2025 (convenit ca fiind "sfârşitul existenţei utile" a acestor echipamente), iar eliminarea echipamentelor cu PCB scoase din uz până în anul 2028.</w:t>
      </w:r>
    </w:p>
    <w:p w:rsidR="00EC1A86" w:rsidRPr="003902D1" w:rsidRDefault="00EC1A86" w:rsidP="00A454A7">
      <w:pPr>
        <w:spacing w:after="0" w:line="240" w:lineRule="auto"/>
        <w:jc w:val="both"/>
        <w:rPr>
          <w:rFonts w:ascii="Times New Roman" w:hAnsi="Times New Roman" w:cs="Times New Roman"/>
          <w:sz w:val="16"/>
          <w:szCs w:val="16"/>
        </w:rPr>
      </w:pPr>
    </w:p>
    <w:p w:rsidR="00EC1A86" w:rsidRPr="003902D1" w:rsidRDefault="00EC1A86" w:rsidP="00A454A7">
      <w:p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Având în vedere perioada scurtă rămasă până la data la care operatorii economici sunt obligaţi să finalizeze scoaterea din uz a tuturor echipamentelor cu PCB deținute (până la fin</w:t>
      </w:r>
      <w:r w:rsidR="003902D1" w:rsidRPr="003902D1">
        <w:rPr>
          <w:rFonts w:ascii="Times New Roman" w:hAnsi="Times New Roman" w:cs="Times New Roman"/>
          <w:sz w:val="28"/>
          <w:szCs w:val="28"/>
        </w:rPr>
        <w:t>alul</w:t>
      </w:r>
      <w:r w:rsidRPr="003902D1">
        <w:rPr>
          <w:rFonts w:ascii="Times New Roman" w:hAnsi="Times New Roman" w:cs="Times New Roman"/>
          <w:sz w:val="28"/>
          <w:szCs w:val="28"/>
        </w:rPr>
        <w:t xml:space="preserve"> anului 2025), se recomandă înlocuirea şi eliminarea treptată a acestora în aşa fel încât costurile să fie eşalonate şi să nu se perturbe activitatea, urmând ca informaţiile privind calendarul înlocuirii şi eliminării/decontaminării să fie introduse în raportările anuale care vor fi solicitate.</w:t>
      </w:r>
    </w:p>
    <w:p w:rsidR="00EC1A86" w:rsidRPr="003902D1" w:rsidRDefault="00EC1A86" w:rsidP="00A454A7">
      <w:pPr>
        <w:spacing w:after="0" w:line="240" w:lineRule="auto"/>
        <w:jc w:val="both"/>
        <w:rPr>
          <w:rFonts w:ascii="Times New Roman" w:hAnsi="Times New Roman" w:cs="Times New Roman"/>
          <w:sz w:val="16"/>
          <w:szCs w:val="16"/>
        </w:rPr>
      </w:pPr>
    </w:p>
    <w:p w:rsidR="00EC1A86" w:rsidRPr="003902D1" w:rsidRDefault="00EC1A86" w:rsidP="00A454A7">
      <w:pPr>
        <w:spacing w:after="0" w:line="240" w:lineRule="auto"/>
        <w:jc w:val="both"/>
        <w:rPr>
          <w:rFonts w:ascii="Times New Roman" w:hAnsi="Times New Roman" w:cs="Times New Roman"/>
          <w:sz w:val="28"/>
          <w:szCs w:val="28"/>
        </w:rPr>
      </w:pPr>
      <w:r w:rsidRPr="003902D1">
        <w:rPr>
          <w:rFonts w:ascii="Times New Roman" w:hAnsi="Times New Roman" w:cs="Times New Roman"/>
          <w:sz w:val="28"/>
          <w:szCs w:val="28"/>
        </w:rPr>
        <w:t>Situaţia echipamentelor cu conţinut de PCB la fin</w:t>
      </w:r>
      <w:r w:rsidR="000A6DE7" w:rsidRPr="003902D1">
        <w:rPr>
          <w:rFonts w:ascii="Times New Roman" w:hAnsi="Times New Roman" w:cs="Times New Roman"/>
          <w:sz w:val="28"/>
          <w:szCs w:val="28"/>
        </w:rPr>
        <w:t xml:space="preserve">alul </w:t>
      </w:r>
      <w:r w:rsidRPr="003902D1">
        <w:rPr>
          <w:rFonts w:ascii="Times New Roman" w:hAnsi="Times New Roman" w:cs="Times New Roman"/>
          <w:sz w:val="28"/>
          <w:szCs w:val="28"/>
        </w:rPr>
        <w:t>anului 2022, este prezentată sintetic în tabelul următor:</w:t>
      </w:r>
    </w:p>
    <w:p w:rsidR="003902D1" w:rsidRDefault="003902D1" w:rsidP="00A454A7">
      <w:pPr>
        <w:spacing w:after="0" w:line="240" w:lineRule="auto"/>
        <w:jc w:val="both"/>
        <w:rPr>
          <w:rFonts w:ascii="Times New Roman" w:hAnsi="Times New Roman" w:cs="Times New Roman"/>
          <w:sz w:val="16"/>
          <w:szCs w:val="16"/>
        </w:rPr>
      </w:pPr>
    </w:p>
    <w:p w:rsidR="003902D1" w:rsidRPr="003902D1" w:rsidRDefault="003902D1" w:rsidP="00A454A7">
      <w:pPr>
        <w:spacing w:after="0" w:line="240" w:lineRule="auto"/>
        <w:jc w:val="both"/>
        <w:rPr>
          <w:rFonts w:ascii="Times New Roman" w:hAnsi="Times New Roman" w:cs="Times New Roman"/>
          <w:sz w:val="16"/>
          <w:szCs w:val="16"/>
        </w:rPr>
      </w:pPr>
    </w:p>
    <w:tbl>
      <w:tblPr>
        <w:tblW w:w="4800" w:type="pct"/>
        <w:jc w:val="center"/>
        <w:shd w:val="clear" w:color="auto" w:fill="F9F9F9"/>
        <w:tblCellMar>
          <w:left w:w="0" w:type="dxa"/>
          <w:right w:w="0" w:type="dxa"/>
        </w:tblCellMar>
        <w:tblLook w:val="04A0" w:firstRow="1" w:lastRow="0" w:firstColumn="1" w:lastColumn="0" w:noHBand="0" w:noVBand="1"/>
      </w:tblPr>
      <w:tblGrid>
        <w:gridCol w:w="2587"/>
        <w:gridCol w:w="2093"/>
        <w:gridCol w:w="2111"/>
        <w:gridCol w:w="2605"/>
      </w:tblGrid>
      <w:tr w:rsidR="000A6DE7" w:rsidRPr="003902D1" w:rsidTr="00FA7AC8">
        <w:trPr>
          <w:jc w:val="center"/>
        </w:trPr>
        <w:tc>
          <w:tcPr>
            <w:tcW w:w="2904"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rsidR="000A6DE7" w:rsidRPr="003902D1" w:rsidRDefault="000A6DE7" w:rsidP="00FA7AC8">
            <w:pPr>
              <w:spacing w:beforeAutospacing="1" w:after="0" w:afterAutospacing="1" w:line="360" w:lineRule="atLeast"/>
              <w:jc w:val="center"/>
              <w:rPr>
                <w:rFonts w:ascii="Times New Roman" w:eastAsia="Times New Roman" w:hAnsi="Times New Roman" w:cs="Times New Roman"/>
                <w:noProof w:val="0"/>
                <w:color w:val="666666"/>
                <w:spacing w:val="12"/>
                <w:sz w:val="24"/>
                <w:szCs w:val="24"/>
                <w:lang w:val="en-US"/>
              </w:rPr>
            </w:pP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Număr</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de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transformatoare</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în</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funcţiune</w:t>
            </w:r>
            <w:proofErr w:type="spellEnd"/>
          </w:p>
        </w:tc>
        <w:tc>
          <w:tcPr>
            <w:tcW w:w="2132"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rsidR="000A6DE7" w:rsidRPr="003902D1" w:rsidRDefault="000A6DE7" w:rsidP="00FA7AC8">
            <w:pPr>
              <w:spacing w:beforeAutospacing="1" w:after="0" w:afterAutospacing="1" w:line="360" w:lineRule="atLeast"/>
              <w:jc w:val="center"/>
              <w:rPr>
                <w:rFonts w:ascii="Times New Roman" w:eastAsia="Times New Roman" w:hAnsi="Times New Roman" w:cs="Times New Roman"/>
                <w:noProof w:val="0"/>
                <w:color w:val="666666"/>
                <w:spacing w:val="12"/>
                <w:sz w:val="24"/>
                <w:szCs w:val="24"/>
                <w:lang w:val="en-US"/>
              </w:rPr>
            </w:pP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Număr</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de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transformatoare</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scoase</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din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uz</w:t>
            </w:r>
            <w:proofErr w:type="spellEnd"/>
          </w:p>
        </w:tc>
        <w:tc>
          <w:tcPr>
            <w:tcW w:w="2294"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rsidR="000A6DE7" w:rsidRPr="003902D1" w:rsidRDefault="000A6DE7" w:rsidP="00FA7AC8">
            <w:pPr>
              <w:spacing w:beforeAutospacing="1" w:after="0" w:afterAutospacing="1" w:line="360" w:lineRule="atLeast"/>
              <w:jc w:val="center"/>
              <w:rPr>
                <w:rFonts w:ascii="Times New Roman" w:eastAsia="Times New Roman" w:hAnsi="Times New Roman" w:cs="Times New Roman"/>
                <w:noProof w:val="0"/>
                <w:color w:val="666666"/>
                <w:spacing w:val="12"/>
                <w:sz w:val="24"/>
                <w:szCs w:val="24"/>
                <w:lang w:val="en-US"/>
              </w:rPr>
            </w:pP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Număr</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de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condensatoare</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în</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funcţiune</w:t>
            </w:r>
            <w:proofErr w:type="spellEnd"/>
          </w:p>
        </w:tc>
        <w:tc>
          <w:tcPr>
            <w:tcW w:w="3066"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rsidR="000A6DE7" w:rsidRPr="003902D1" w:rsidRDefault="000A6DE7" w:rsidP="00FA7AC8">
            <w:pPr>
              <w:spacing w:beforeAutospacing="1" w:after="0" w:afterAutospacing="1" w:line="360" w:lineRule="atLeast"/>
              <w:jc w:val="center"/>
              <w:rPr>
                <w:rFonts w:ascii="Times New Roman" w:eastAsia="Times New Roman" w:hAnsi="Times New Roman" w:cs="Times New Roman"/>
                <w:noProof w:val="0"/>
                <w:color w:val="666666"/>
                <w:spacing w:val="12"/>
                <w:sz w:val="24"/>
                <w:szCs w:val="24"/>
                <w:lang w:val="en-US"/>
              </w:rPr>
            </w:pP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Număr</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de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condensatoare</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scoase</w:t>
            </w:r>
            <w:proofErr w:type="spellEnd"/>
            <w:r w:rsidRPr="003902D1">
              <w:rPr>
                <w:rFonts w:ascii="Times New Roman" w:eastAsia="Times New Roman" w:hAnsi="Times New Roman" w:cs="Times New Roman"/>
                <w:b/>
                <w:bCs/>
                <w:noProof w:val="0"/>
                <w:color w:val="666666"/>
                <w:spacing w:val="12"/>
                <w:sz w:val="24"/>
                <w:szCs w:val="24"/>
                <w:bdr w:val="none" w:sz="0" w:space="0" w:color="auto" w:frame="1"/>
                <w:lang w:val="en-US"/>
              </w:rPr>
              <w:t xml:space="preserve"> din </w:t>
            </w:r>
            <w:proofErr w:type="spellStart"/>
            <w:r w:rsidRPr="003902D1">
              <w:rPr>
                <w:rFonts w:ascii="Times New Roman" w:eastAsia="Times New Roman" w:hAnsi="Times New Roman" w:cs="Times New Roman"/>
                <w:b/>
                <w:bCs/>
                <w:noProof w:val="0"/>
                <w:color w:val="666666"/>
                <w:spacing w:val="12"/>
                <w:sz w:val="24"/>
                <w:szCs w:val="24"/>
                <w:bdr w:val="none" w:sz="0" w:space="0" w:color="auto" w:frame="1"/>
                <w:lang w:val="en-US"/>
              </w:rPr>
              <w:t>uz</w:t>
            </w:r>
            <w:proofErr w:type="spellEnd"/>
          </w:p>
        </w:tc>
      </w:tr>
      <w:tr w:rsidR="000A6DE7" w:rsidRPr="003902D1" w:rsidTr="00FA7AC8">
        <w:trPr>
          <w:jc w:val="center"/>
        </w:trPr>
        <w:tc>
          <w:tcPr>
            <w:tcW w:w="2904"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rsidR="000A6DE7" w:rsidRPr="003902D1" w:rsidRDefault="003902D1" w:rsidP="003902D1">
            <w:pPr>
              <w:spacing w:before="100" w:beforeAutospacing="1" w:after="100" w:afterAutospacing="1" w:line="360" w:lineRule="atLeast"/>
              <w:jc w:val="center"/>
              <w:rPr>
                <w:rFonts w:ascii="Times New Roman" w:eastAsia="Times New Roman" w:hAnsi="Times New Roman" w:cs="Times New Roman"/>
                <w:noProof w:val="0"/>
                <w:color w:val="666666"/>
                <w:spacing w:val="12"/>
                <w:sz w:val="24"/>
                <w:szCs w:val="24"/>
                <w:lang w:val="en-US"/>
              </w:rPr>
            </w:pPr>
            <w:r w:rsidRPr="003902D1">
              <w:rPr>
                <w:rFonts w:ascii="Times New Roman" w:eastAsia="Times New Roman" w:hAnsi="Times New Roman" w:cs="Times New Roman"/>
                <w:noProof w:val="0"/>
                <w:color w:val="666666"/>
                <w:spacing w:val="12"/>
                <w:sz w:val="24"/>
                <w:szCs w:val="24"/>
                <w:lang w:val="en-US"/>
              </w:rPr>
              <w:t>23</w:t>
            </w:r>
          </w:p>
        </w:tc>
        <w:tc>
          <w:tcPr>
            <w:tcW w:w="2132"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rsidR="000A6DE7" w:rsidRPr="003902D1" w:rsidRDefault="000A6DE7" w:rsidP="00FA7AC8">
            <w:pPr>
              <w:spacing w:before="100" w:beforeAutospacing="1" w:after="100" w:afterAutospacing="1" w:line="360" w:lineRule="atLeast"/>
              <w:jc w:val="center"/>
              <w:rPr>
                <w:rFonts w:ascii="Times New Roman" w:eastAsia="Times New Roman" w:hAnsi="Times New Roman" w:cs="Times New Roman"/>
                <w:noProof w:val="0"/>
                <w:color w:val="666666"/>
                <w:spacing w:val="12"/>
                <w:sz w:val="24"/>
                <w:szCs w:val="24"/>
                <w:lang w:val="en-US"/>
              </w:rPr>
            </w:pPr>
            <w:r w:rsidRPr="003902D1">
              <w:rPr>
                <w:rFonts w:ascii="Times New Roman" w:eastAsia="Times New Roman" w:hAnsi="Times New Roman" w:cs="Times New Roman"/>
                <w:noProof w:val="0"/>
                <w:color w:val="666666"/>
                <w:spacing w:val="12"/>
                <w:sz w:val="24"/>
                <w:szCs w:val="24"/>
                <w:lang w:val="en-US"/>
              </w:rPr>
              <w:t>0</w:t>
            </w:r>
          </w:p>
        </w:tc>
        <w:tc>
          <w:tcPr>
            <w:tcW w:w="2294"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rsidR="000A6DE7" w:rsidRPr="003902D1" w:rsidRDefault="000A6DE7" w:rsidP="003902D1">
            <w:pPr>
              <w:spacing w:before="100" w:beforeAutospacing="1" w:after="100" w:afterAutospacing="1" w:line="360" w:lineRule="atLeast"/>
              <w:jc w:val="center"/>
              <w:rPr>
                <w:rFonts w:ascii="Times New Roman" w:eastAsia="Times New Roman" w:hAnsi="Times New Roman" w:cs="Times New Roman"/>
                <w:noProof w:val="0"/>
                <w:color w:val="666666"/>
                <w:spacing w:val="12"/>
                <w:sz w:val="24"/>
                <w:szCs w:val="24"/>
                <w:lang w:val="en-US"/>
              </w:rPr>
            </w:pPr>
            <w:r w:rsidRPr="003902D1">
              <w:rPr>
                <w:rFonts w:ascii="Times New Roman" w:eastAsia="Times New Roman" w:hAnsi="Times New Roman" w:cs="Times New Roman"/>
                <w:noProof w:val="0"/>
                <w:color w:val="666666"/>
                <w:spacing w:val="12"/>
                <w:sz w:val="24"/>
                <w:szCs w:val="24"/>
                <w:lang w:val="en-US"/>
              </w:rPr>
              <w:t>7</w:t>
            </w:r>
            <w:r w:rsidR="003902D1" w:rsidRPr="003902D1">
              <w:rPr>
                <w:rFonts w:ascii="Times New Roman" w:eastAsia="Times New Roman" w:hAnsi="Times New Roman" w:cs="Times New Roman"/>
                <w:noProof w:val="0"/>
                <w:color w:val="666666"/>
                <w:spacing w:val="12"/>
                <w:sz w:val="24"/>
                <w:szCs w:val="24"/>
                <w:lang w:val="en-US"/>
              </w:rPr>
              <w:t>6</w:t>
            </w:r>
          </w:p>
        </w:tc>
        <w:tc>
          <w:tcPr>
            <w:tcW w:w="3066"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rsidR="000A6DE7" w:rsidRPr="003902D1" w:rsidRDefault="003902D1" w:rsidP="00FA7AC8">
            <w:pPr>
              <w:spacing w:before="100" w:beforeAutospacing="1" w:after="100" w:afterAutospacing="1" w:line="360" w:lineRule="atLeast"/>
              <w:jc w:val="center"/>
              <w:rPr>
                <w:rFonts w:ascii="Times New Roman" w:eastAsia="Times New Roman" w:hAnsi="Times New Roman" w:cs="Times New Roman"/>
                <w:noProof w:val="0"/>
                <w:color w:val="666666"/>
                <w:spacing w:val="12"/>
                <w:sz w:val="24"/>
                <w:szCs w:val="24"/>
                <w:lang w:val="en-US"/>
              </w:rPr>
            </w:pPr>
            <w:r w:rsidRPr="003902D1">
              <w:rPr>
                <w:rFonts w:ascii="Times New Roman" w:eastAsia="Times New Roman" w:hAnsi="Times New Roman" w:cs="Times New Roman"/>
                <w:noProof w:val="0"/>
                <w:color w:val="666666"/>
                <w:spacing w:val="12"/>
                <w:sz w:val="24"/>
                <w:szCs w:val="24"/>
                <w:lang w:val="en-US"/>
              </w:rPr>
              <w:t>0</w:t>
            </w:r>
          </w:p>
        </w:tc>
      </w:tr>
    </w:tbl>
    <w:p w:rsidR="00EC1A86" w:rsidRPr="000A6DE7" w:rsidRDefault="00EC1A86" w:rsidP="000A6DE7">
      <w:pPr>
        <w:jc w:val="both"/>
        <w:rPr>
          <w:rFonts w:ascii="Times New Roman" w:hAnsi="Times New Roman" w:cs="Times New Roman"/>
          <w:sz w:val="24"/>
          <w:szCs w:val="24"/>
        </w:rPr>
      </w:pPr>
      <w:bookmarkStart w:id="0" w:name="_GoBack"/>
      <w:bookmarkEnd w:id="0"/>
    </w:p>
    <w:sectPr w:rsidR="00EC1A86" w:rsidRPr="000A6DE7" w:rsidSect="000A6DE7">
      <w:pgSz w:w="11906" w:h="16838" w:code="9"/>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DA"/>
    <w:multiLevelType w:val="hybridMultilevel"/>
    <w:tmpl w:val="8F147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4667"/>
    <w:multiLevelType w:val="multilevel"/>
    <w:tmpl w:val="301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B0637"/>
    <w:multiLevelType w:val="hybridMultilevel"/>
    <w:tmpl w:val="5D8E9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F273F03"/>
    <w:multiLevelType w:val="hybridMultilevel"/>
    <w:tmpl w:val="CEDA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6018D"/>
    <w:multiLevelType w:val="hybridMultilevel"/>
    <w:tmpl w:val="472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2"/>
    <w:rsid w:val="000A6DE7"/>
    <w:rsid w:val="000D2EBC"/>
    <w:rsid w:val="00106DA6"/>
    <w:rsid w:val="001B6BE6"/>
    <w:rsid w:val="003902D1"/>
    <w:rsid w:val="00581901"/>
    <w:rsid w:val="006D6392"/>
    <w:rsid w:val="00756FC2"/>
    <w:rsid w:val="00761614"/>
    <w:rsid w:val="0099014A"/>
    <w:rsid w:val="00A454A7"/>
    <w:rsid w:val="00B44002"/>
    <w:rsid w:val="00B77251"/>
    <w:rsid w:val="00B91EF5"/>
    <w:rsid w:val="00E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BE8B"/>
  <w15:chartTrackingRefBased/>
  <w15:docId w15:val="{873EAB19-102E-4A6C-BEF9-38CC2925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DE7"/>
    <w:rPr>
      <w:color w:val="0000FF" w:themeColor="hyperlink"/>
      <w:u w:val="single"/>
    </w:rPr>
  </w:style>
  <w:style w:type="paragraph" w:styleId="ListParagraph">
    <w:name w:val="List Paragraph"/>
    <w:basedOn w:val="Normal"/>
    <w:uiPriority w:val="34"/>
    <w:qFormat/>
    <w:rsid w:val="000A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8351">
      <w:bodyDiv w:val="1"/>
      <w:marLeft w:val="0"/>
      <w:marRight w:val="0"/>
      <w:marTop w:val="0"/>
      <w:marBottom w:val="0"/>
      <w:divBdr>
        <w:top w:val="none" w:sz="0" w:space="0" w:color="auto"/>
        <w:left w:val="none" w:sz="0" w:space="0" w:color="auto"/>
        <w:bottom w:val="none" w:sz="0" w:space="0" w:color="auto"/>
        <w:right w:val="none" w:sz="0" w:space="0" w:color="auto"/>
      </w:divBdr>
    </w:div>
    <w:div w:id="8177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pm.ro/poluanti-organici-persistenti-p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Raduica - APM Timis</dc:creator>
  <cp:keywords/>
  <dc:description/>
  <cp:lastModifiedBy>Ramona Raduica - APM Timis</cp:lastModifiedBy>
  <cp:revision>3</cp:revision>
  <dcterms:created xsi:type="dcterms:W3CDTF">2023-09-27T10:59:00Z</dcterms:created>
  <dcterms:modified xsi:type="dcterms:W3CDTF">2023-09-28T13:08:00Z</dcterms:modified>
</cp:coreProperties>
</file>