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B4321C" w:rsidRDefault="00FB1623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4"/>
          <w:szCs w:val="24"/>
        </w:rPr>
      </w:pPr>
      <w:r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B4321C">
        <w:rPr>
          <w:rStyle w:val="sttpar"/>
          <w:rFonts w:ascii="Times New Roman" w:hAnsi="Times New Roman"/>
          <w:sz w:val="24"/>
          <w:szCs w:val="24"/>
        </w:rPr>
        <w:t>Anun</w:t>
      </w:r>
      <w:proofErr w:type="spellEnd"/>
      <w:r w:rsidR="00CC105D" w:rsidRPr="00B4321C">
        <w:rPr>
          <w:rStyle w:val="tpa1"/>
          <w:rFonts w:ascii="Times New Roman" w:hAnsi="Times New Roman"/>
          <w:sz w:val="24"/>
          <w:szCs w:val="24"/>
          <w:lang w:val="pt-BR"/>
        </w:rPr>
        <w:t>t</w:t>
      </w:r>
      <w:r w:rsidR="00CC105D" w:rsidRPr="00B4321C">
        <w:rPr>
          <w:rStyle w:val="sttpar"/>
          <w:rFonts w:ascii="Times New Roman" w:hAnsi="Times New Roman"/>
          <w:sz w:val="24"/>
          <w:szCs w:val="24"/>
        </w:rPr>
        <w:t xml:space="preserve"> public</w:t>
      </w:r>
    </w:p>
    <w:p w:rsidR="00CC105D" w:rsidRPr="00B4321C" w:rsidRDefault="00CC105D" w:rsidP="00404CC7">
      <w:pPr>
        <w:spacing w:after="0" w:line="240" w:lineRule="auto"/>
        <w:jc w:val="center"/>
        <w:rPr>
          <w:rStyle w:val="tpa1"/>
          <w:rFonts w:ascii="Times New Roman" w:hAnsi="Times New Roman"/>
          <w:b/>
          <w:sz w:val="24"/>
          <w:szCs w:val="24"/>
          <w:lang w:val="pt-BR"/>
        </w:rPr>
      </w:pPr>
      <w:r w:rsidRPr="00B4321C">
        <w:rPr>
          <w:rStyle w:val="tpa1"/>
          <w:rFonts w:ascii="Times New Roman" w:hAnsi="Times New Roman"/>
          <w:b/>
          <w:sz w:val="24"/>
          <w:szCs w:val="24"/>
          <w:lang w:val="pt-BR"/>
        </w:rPr>
        <w:t>AGEN</w:t>
      </w:r>
      <w:r w:rsidR="00452038" w:rsidRPr="00B4321C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B4321C">
        <w:rPr>
          <w:rStyle w:val="tpa1"/>
          <w:rFonts w:ascii="Times New Roman" w:hAnsi="Times New Roman"/>
          <w:b/>
          <w:sz w:val="24"/>
          <w:szCs w:val="24"/>
          <w:lang w:val="pt-BR"/>
        </w:rPr>
        <w:t>IA PENTRU PROTEC</w:t>
      </w:r>
      <w:r w:rsidR="00452038" w:rsidRPr="00B4321C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B4321C">
        <w:rPr>
          <w:rStyle w:val="tpa1"/>
          <w:rFonts w:ascii="Times New Roman" w:hAnsi="Times New Roman"/>
          <w:b/>
          <w:sz w:val="24"/>
          <w:szCs w:val="24"/>
          <w:lang w:val="pt-BR"/>
        </w:rPr>
        <w:t>IA  MEDIULUI TULCEA</w:t>
      </w:r>
    </w:p>
    <w:p w:rsidR="00CC105D" w:rsidRPr="00B4321C" w:rsidRDefault="00452038" w:rsidP="00404CC7">
      <w:pPr>
        <w:spacing w:after="0" w:line="240" w:lineRule="auto"/>
        <w:rPr>
          <w:rStyle w:val="sttpar"/>
          <w:rFonts w:ascii="Times New Roman" w:hAnsi="Times New Roman"/>
          <w:sz w:val="24"/>
          <w:szCs w:val="24"/>
        </w:rPr>
      </w:pPr>
      <w:proofErr w:type="spellStart"/>
      <w:proofErr w:type="gramStart"/>
      <w:r w:rsidRPr="00B4321C">
        <w:rPr>
          <w:rStyle w:val="sttpar"/>
          <w:rFonts w:ascii="Times New Roman" w:hAnsi="Times New Roman"/>
          <w:sz w:val="24"/>
          <w:szCs w:val="24"/>
        </w:rPr>
        <w:t>anunţă</w:t>
      </w:r>
      <w:proofErr w:type="spellEnd"/>
      <w:proofErr w:type="gramEnd"/>
      <w:r w:rsidR="00CC105D" w:rsidRPr="00B43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B4321C">
        <w:rPr>
          <w:rStyle w:val="sttpar"/>
          <w:rFonts w:ascii="Times New Roman" w:hAnsi="Times New Roman"/>
          <w:sz w:val="24"/>
          <w:szCs w:val="24"/>
        </w:rPr>
        <w:t>publicul</w:t>
      </w:r>
      <w:proofErr w:type="spellEnd"/>
      <w:r w:rsidR="00CC105D" w:rsidRPr="00B43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B4321C">
        <w:rPr>
          <w:rStyle w:val="sttpar"/>
          <w:rFonts w:ascii="Times New Roman" w:hAnsi="Times New Roman"/>
          <w:sz w:val="24"/>
          <w:szCs w:val="24"/>
        </w:rPr>
        <w:t>interesat</w:t>
      </w:r>
      <w:proofErr w:type="spellEnd"/>
      <w:r w:rsidR="00CC105D" w:rsidRPr="00B43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B4321C">
        <w:rPr>
          <w:rStyle w:val="sttpar"/>
          <w:rFonts w:ascii="Times New Roman" w:hAnsi="Times New Roman"/>
          <w:sz w:val="24"/>
          <w:szCs w:val="24"/>
        </w:rPr>
        <w:t>asupra</w:t>
      </w:r>
      <w:proofErr w:type="spellEnd"/>
      <w:r w:rsidR="00CC105D" w:rsidRPr="00B43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B4321C">
        <w:rPr>
          <w:rStyle w:val="sttpar"/>
          <w:rFonts w:ascii="Times New Roman" w:hAnsi="Times New Roman"/>
          <w:sz w:val="24"/>
          <w:szCs w:val="24"/>
        </w:rPr>
        <w:t>lu</w:t>
      </w:r>
      <w:r w:rsidRPr="00B4321C">
        <w:rPr>
          <w:rStyle w:val="sttpar"/>
          <w:rFonts w:ascii="Times New Roman" w:hAnsi="Times New Roman"/>
          <w:sz w:val="24"/>
          <w:szCs w:val="24"/>
        </w:rPr>
        <w:t>ă</w:t>
      </w:r>
      <w:r w:rsidR="00CC105D" w:rsidRPr="00B4321C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="00CC105D" w:rsidRPr="00B43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B4321C">
        <w:rPr>
          <w:rStyle w:val="sttpar"/>
          <w:rFonts w:ascii="Times New Roman" w:hAnsi="Times New Roman"/>
          <w:sz w:val="24"/>
          <w:szCs w:val="24"/>
        </w:rPr>
        <w:t>deciziei</w:t>
      </w:r>
      <w:proofErr w:type="spellEnd"/>
      <w:r w:rsidR="00CC105D" w:rsidRPr="00B43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B4321C">
        <w:rPr>
          <w:rStyle w:val="sttpar"/>
          <w:rFonts w:ascii="Times New Roman" w:hAnsi="Times New Roman"/>
          <w:sz w:val="24"/>
          <w:szCs w:val="24"/>
        </w:rPr>
        <w:t>etapei</w:t>
      </w:r>
      <w:proofErr w:type="spellEnd"/>
      <w:r w:rsidR="00CC105D" w:rsidRPr="00B4321C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B4321C">
        <w:rPr>
          <w:rStyle w:val="sttpar"/>
          <w:rFonts w:ascii="Times New Roman" w:hAnsi="Times New Roman"/>
          <w:sz w:val="24"/>
          <w:szCs w:val="24"/>
        </w:rPr>
        <w:t>î</w:t>
      </w:r>
      <w:r w:rsidR="00CC105D" w:rsidRPr="00B4321C">
        <w:rPr>
          <w:rStyle w:val="sttpar"/>
          <w:rFonts w:ascii="Times New Roman" w:hAnsi="Times New Roman"/>
          <w:sz w:val="24"/>
          <w:szCs w:val="24"/>
        </w:rPr>
        <w:t>ncadrare</w:t>
      </w:r>
      <w:proofErr w:type="spellEnd"/>
      <w:r w:rsidR="00CC105D" w:rsidRPr="00B4321C">
        <w:rPr>
          <w:rStyle w:val="sttpar"/>
          <w:rFonts w:ascii="Times New Roman" w:hAnsi="Times New Roman"/>
          <w:sz w:val="24"/>
          <w:szCs w:val="24"/>
        </w:rPr>
        <w:t xml:space="preserve"> conform HG nr.1076/2004, </w:t>
      </w:r>
      <w:proofErr w:type="spellStart"/>
      <w:r w:rsidR="00CC105D" w:rsidRPr="00B4321C">
        <w:rPr>
          <w:rStyle w:val="sttpar"/>
          <w:rFonts w:ascii="Times New Roman" w:hAnsi="Times New Roman"/>
          <w:sz w:val="24"/>
          <w:szCs w:val="24"/>
        </w:rPr>
        <w:t>respectiv</w:t>
      </w:r>
      <w:proofErr w:type="spellEnd"/>
      <w:r w:rsidR="00CC105D" w:rsidRPr="00B4321C">
        <w:rPr>
          <w:rStyle w:val="sttpar"/>
          <w:rFonts w:ascii="Times New Roman" w:hAnsi="Times New Roman"/>
          <w:sz w:val="24"/>
          <w:szCs w:val="24"/>
        </w:rPr>
        <w:t xml:space="preserve"> ca</w:t>
      </w:r>
      <w:r w:rsidR="007239B2" w:rsidRPr="00B4321C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C10B0B" w:rsidRPr="00B4321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239B2" w:rsidRPr="00B4321C">
        <w:rPr>
          <w:rFonts w:ascii="Times New Roman" w:hAnsi="Times New Roman"/>
          <w:sz w:val="24"/>
          <w:szCs w:val="24"/>
          <w:lang w:val="ro-RO"/>
        </w:rPr>
        <w:t xml:space="preserve">Planul Urbanistic Zonal </w:t>
      </w:r>
      <w:r w:rsidR="007350FF" w:rsidRPr="00B4321C">
        <w:rPr>
          <w:rFonts w:ascii="Times New Roman" w:hAnsi="Times New Roman"/>
          <w:sz w:val="24"/>
          <w:szCs w:val="24"/>
          <w:lang w:val="ro-RO"/>
        </w:rPr>
        <w:t>:</w:t>
      </w:r>
      <w:r w:rsidR="007350FF" w:rsidRPr="00B4321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E6B46" w:rsidRPr="00B4321C">
        <w:rPr>
          <w:rFonts w:ascii="Times New Roman" w:hAnsi="Times New Roman"/>
          <w:b/>
          <w:sz w:val="24"/>
          <w:szCs w:val="24"/>
          <w:lang w:val="ro-RO"/>
        </w:rPr>
        <w:t xml:space="preserve">PUZ </w:t>
      </w:r>
      <w:r w:rsidR="00B4321C" w:rsidRPr="00B4321C">
        <w:rPr>
          <w:rFonts w:ascii="Times New Roman" w:hAnsi="Times New Roman"/>
          <w:b/>
          <w:sz w:val="24"/>
          <w:szCs w:val="24"/>
          <w:lang w:val="ro-RO"/>
        </w:rPr>
        <w:t>„ REPARATII CAPITALE LOCUINTA SI TRANSFORMARE IN PENSIUNE”</w:t>
      </w:r>
      <w:r w:rsidR="00B4321C" w:rsidRPr="00B4321C">
        <w:rPr>
          <w:rFonts w:ascii="Times New Roman" w:hAnsi="Times New Roman"/>
          <w:sz w:val="24"/>
          <w:szCs w:val="24"/>
          <w:lang w:val="ro-RO"/>
        </w:rPr>
        <w:t xml:space="preserve">     amplasat în  intravilanul com.Jurilovca str.Veteranilor nr.24 </w:t>
      </w:r>
      <w:r w:rsidR="00B4321C" w:rsidRPr="00B4321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4321C" w:rsidRPr="00B4321C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9978FF" w:rsidRPr="00B4321C">
        <w:rPr>
          <w:rFonts w:ascii="Times New Roman" w:hAnsi="Times New Roman"/>
          <w:sz w:val="24"/>
          <w:szCs w:val="24"/>
        </w:rPr>
        <w:t xml:space="preserve"> </w:t>
      </w:r>
      <w:r w:rsidR="009978FF" w:rsidRPr="00B43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78FF" w:rsidRPr="00B4321C">
        <w:rPr>
          <w:rStyle w:val="sttpar"/>
          <w:rFonts w:ascii="Times New Roman" w:hAnsi="Times New Roman"/>
          <w:sz w:val="24"/>
          <w:szCs w:val="24"/>
        </w:rPr>
        <w:t>având</w:t>
      </w:r>
      <w:proofErr w:type="spellEnd"/>
      <w:r w:rsidR="009978FF" w:rsidRPr="00B4321C">
        <w:rPr>
          <w:rStyle w:val="sttpar"/>
          <w:rFonts w:ascii="Times New Roman" w:hAnsi="Times New Roman"/>
          <w:sz w:val="24"/>
          <w:szCs w:val="24"/>
        </w:rPr>
        <w:t xml:space="preserve"> ca titular </w:t>
      </w:r>
      <w:proofErr w:type="spellStart"/>
      <w:r w:rsidR="009978FF" w:rsidRPr="00B4321C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="009978FF" w:rsidRPr="00B4321C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B4321C" w:rsidRPr="00B4321C">
        <w:rPr>
          <w:rFonts w:ascii="Times New Roman" w:hAnsi="Times New Roman"/>
          <w:b/>
          <w:sz w:val="24"/>
          <w:szCs w:val="24"/>
          <w:lang w:val="ro-RO"/>
        </w:rPr>
        <w:t xml:space="preserve">STAN ALEXANDRU  </w:t>
      </w:r>
      <w:r w:rsidR="009978FF" w:rsidRPr="00B4321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E6B46" w:rsidRPr="00B4321C">
        <w:rPr>
          <w:rFonts w:ascii="Times New Roman" w:hAnsi="Times New Roman"/>
          <w:sz w:val="24"/>
          <w:szCs w:val="24"/>
          <w:lang w:val="ro-RO"/>
        </w:rPr>
        <w:t xml:space="preserve"> nu </w:t>
      </w:r>
      <w:proofErr w:type="spellStart"/>
      <w:r w:rsidR="00CC105D" w:rsidRPr="00B4321C">
        <w:rPr>
          <w:rStyle w:val="sttpar"/>
          <w:rFonts w:ascii="Times New Roman" w:hAnsi="Times New Roman"/>
          <w:sz w:val="24"/>
          <w:szCs w:val="24"/>
        </w:rPr>
        <w:t>necesit</w:t>
      </w:r>
      <w:r w:rsidRPr="00B4321C">
        <w:rPr>
          <w:rStyle w:val="sttpar"/>
          <w:rFonts w:ascii="Times New Roman" w:hAnsi="Times New Roman"/>
          <w:sz w:val="24"/>
          <w:szCs w:val="24"/>
        </w:rPr>
        <w:t>ă</w:t>
      </w:r>
      <w:proofErr w:type="spellEnd"/>
      <w:r w:rsidR="00CC105D" w:rsidRPr="00B43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B4321C">
        <w:rPr>
          <w:rStyle w:val="sttpar"/>
          <w:rFonts w:ascii="Times New Roman" w:hAnsi="Times New Roman"/>
          <w:sz w:val="24"/>
          <w:szCs w:val="24"/>
        </w:rPr>
        <w:t>evaluare</w:t>
      </w:r>
      <w:proofErr w:type="spellEnd"/>
      <w:r w:rsidR="00CC105D" w:rsidRPr="00B4321C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="00CC105D" w:rsidRPr="00B4321C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="00CC105D" w:rsidRPr="00B4321C">
        <w:rPr>
          <w:rStyle w:val="sttpar"/>
          <w:rFonts w:ascii="Times New Roman" w:hAnsi="Times New Roman"/>
          <w:sz w:val="24"/>
          <w:szCs w:val="24"/>
        </w:rPr>
        <w:t>.</w:t>
      </w:r>
    </w:p>
    <w:p w:rsidR="009C6620" w:rsidRPr="00B4321C" w:rsidRDefault="009C6620" w:rsidP="00404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4321C">
        <w:rPr>
          <w:rFonts w:ascii="Times New Roman" w:hAnsi="Times New Roman"/>
          <w:sz w:val="24"/>
          <w:szCs w:val="24"/>
          <w:lang w:val="ro-RO"/>
        </w:rPr>
        <w:t xml:space="preserve">         Motivele care au stat la baza luării deciziei:</w:t>
      </w:r>
    </w:p>
    <w:p w:rsidR="00B4321C" w:rsidRPr="00B4321C" w:rsidRDefault="00B4321C" w:rsidP="00B432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Prezenta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documentatie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urbanistica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analizeaza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posibilitatea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amplasarii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cladirilor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ce vor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asigura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servicii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turistice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capacitate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redusa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un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teren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B4321C">
        <w:rPr>
          <w:rFonts w:ascii="Times New Roman" w:hAnsi="Times New Roman"/>
          <w:sz w:val="24"/>
          <w:szCs w:val="24"/>
          <w:lang w:val="fr-FR"/>
        </w:rPr>
        <w:t>ce</w:t>
      </w:r>
      <w:proofErr w:type="gramEnd"/>
      <w:r w:rsidRPr="00B4321C">
        <w:rPr>
          <w:rFonts w:ascii="Times New Roman" w:hAnsi="Times New Roman"/>
          <w:sz w:val="24"/>
          <w:szCs w:val="24"/>
          <w:lang w:val="fr-FR"/>
        </w:rPr>
        <w:t xml:space="preserve"> are ca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vecinatati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 : Nord –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drum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stradal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Veteranilor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 ; Sud –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Derughin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Moria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 ; Est –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drum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stradal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;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Vest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Crapescu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Gheorghe. </w:t>
      </w:r>
    </w:p>
    <w:p w:rsidR="00B4321C" w:rsidRPr="00B4321C" w:rsidRDefault="00B4321C" w:rsidP="00B432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321C">
        <w:rPr>
          <w:rFonts w:ascii="Times New Roman" w:hAnsi="Times New Roman"/>
          <w:sz w:val="24"/>
          <w:szCs w:val="24"/>
        </w:rPr>
        <w:t>Conform</w:t>
      </w:r>
      <w:proofErr w:type="gram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temei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</w:rPr>
        <w:t>proiectare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B4321C">
        <w:rPr>
          <w:rFonts w:ascii="Times New Roman" w:hAnsi="Times New Roman"/>
          <w:sz w:val="24"/>
          <w:szCs w:val="24"/>
        </w:rPr>
        <w:t>propune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schimbarea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destinatiei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actuale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</w:rPr>
        <w:t>locuinta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4321C">
        <w:rPr>
          <w:rFonts w:ascii="Times New Roman" w:hAnsi="Times New Roman"/>
          <w:sz w:val="24"/>
          <w:szCs w:val="24"/>
        </w:rPr>
        <w:t>servicii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mixte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turism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321C">
        <w:rPr>
          <w:rFonts w:ascii="Times New Roman" w:hAnsi="Times New Roman"/>
          <w:sz w:val="24"/>
          <w:szCs w:val="24"/>
        </w:rPr>
        <w:t>urmata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</w:rPr>
        <w:t>reparatia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capitala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4321C">
        <w:rPr>
          <w:rFonts w:ascii="Times New Roman" w:hAnsi="Times New Roman"/>
          <w:sz w:val="24"/>
          <w:szCs w:val="24"/>
        </w:rPr>
        <w:t>constructiilor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existente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4321C">
        <w:rPr>
          <w:rFonts w:ascii="Times New Roman" w:hAnsi="Times New Roman"/>
          <w:sz w:val="24"/>
          <w:szCs w:val="24"/>
        </w:rPr>
        <w:t>vederea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utilizarii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acestora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pentru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noua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functiune</w:t>
      </w:r>
      <w:proofErr w:type="spellEnd"/>
      <w:r w:rsidRPr="00B4321C">
        <w:rPr>
          <w:rFonts w:ascii="Times New Roman" w:hAnsi="Times New Roman"/>
          <w:sz w:val="24"/>
          <w:szCs w:val="24"/>
        </w:rPr>
        <w:t>.</w:t>
      </w:r>
    </w:p>
    <w:p w:rsidR="00B4321C" w:rsidRPr="00B4321C" w:rsidRDefault="00B4321C" w:rsidP="00B432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21C">
        <w:rPr>
          <w:rFonts w:ascii="Times New Roman" w:hAnsi="Times New Roman"/>
          <w:sz w:val="24"/>
          <w:szCs w:val="24"/>
        </w:rPr>
        <w:t>Incinta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studiata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4321C">
        <w:rPr>
          <w:rFonts w:ascii="Times New Roman" w:hAnsi="Times New Roman"/>
          <w:sz w:val="24"/>
          <w:szCs w:val="24"/>
        </w:rPr>
        <w:t>afla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amplasata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4321C">
        <w:rPr>
          <w:rFonts w:ascii="Times New Roman" w:hAnsi="Times New Roman"/>
          <w:sz w:val="24"/>
          <w:szCs w:val="24"/>
        </w:rPr>
        <w:t>intravilanul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localitatii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Jurilovca</w:t>
      </w:r>
      <w:proofErr w:type="spellEnd"/>
      <w:proofErr w:type="gramStart"/>
      <w:r w:rsidRPr="00B4321C">
        <w:rPr>
          <w:rFonts w:ascii="Times New Roman" w:hAnsi="Times New Roman"/>
          <w:sz w:val="24"/>
          <w:szCs w:val="24"/>
        </w:rPr>
        <w:t>, ,</w:t>
      </w:r>
      <w:proofErr w:type="gramEnd"/>
      <w:r w:rsidRPr="00B4321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4321C">
        <w:rPr>
          <w:rFonts w:ascii="Times New Roman" w:hAnsi="Times New Roman"/>
          <w:sz w:val="24"/>
          <w:szCs w:val="24"/>
        </w:rPr>
        <w:t>partea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</w:rPr>
        <w:t>nord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4321C">
        <w:rPr>
          <w:rFonts w:ascii="Times New Roman" w:hAnsi="Times New Roman"/>
          <w:sz w:val="24"/>
          <w:szCs w:val="24"/>
        </w:rPr>
        <w:t>acesteia</w:t>
      </w:r>
      <w:proofErr w:type="spellEnd"/>
      <w:r w:rsidRPr="00B4321C">
        <w:rPr>
          <w:rFonts w:ascii="Times New Roman" w:hAnsi="Times New Roman"/>
          <w:sz w:val="24"/>
          <w:szCs w:val="24"/>
        </w:rPr>
        <w:t>.</w:t>
      </w:r>
    </w:p>
    <w:p w:rsidR="00B4321C" w:rsidRPr="00B4321C" w:rsidRDefault="00B4321C" w:rsidP="00B432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21C">
        <w:rPr>
          <w:rFonts w:ascii="Times New Roman" w:hAnsi="Times New Roman"/>
          <w:sz w:val="24"/>
          <w:szCs w:val="24"/>
        </w:rPr>
        <w:t>Sunt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prezente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trei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constructii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aflate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4321C">
        <w:rPr>
          <w:rFonts w:ascii="Times New Roman" w:hAnsi="Times New Roman"/>
          <w:sz w:val="24"/>
          <w:szCs w:val="24"/>
        </w:rPr>
        <w:t>stadiu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</w:rPr>
        <w:t>degradare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mediu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B4321C">
        <w:rPr>
          <w:rFonts w:ascii="Times New Roman" w:hAnsi="Times New Roman"/>
          <w:sz w:val="24"/>
          <w:szCs w:val="24"/>
        </w:rPr>
        <w:t>constructiile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sunt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pozitionate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pe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limite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</w:rPr>
        <w:t>proprietate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B4321C">
        <w:rPr>
          <w:rFonts w:ascii="Times New Roman" w:hAnsi="Times New Roman"/>
          <w:sz w:val="24"/>
          <w:szCs w:val="24"/>
        </w:rPr>
        <w:t>domeniul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public;</w:t>
      </w:r>
      <w:bookmarkStart w:id="0" w:name="_Hlk478974544"/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21C">
        <w:rPr>
          <w:rFonts w:ascii="Times New Roman" w:hAnsi="Times New Roman"/>
          <w:sz w:val="24"/>
          <w:szCs w:val="24"/>
        </w:rPr>
        <w:t>Constructiile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definitive </w:t>
      </w:r>
      <w:proofErr w:type="spellStart"/>
      <w:r w:rsidRPr="00B4321C">
        <w:rPr>
          <w:rFonts w:ascii="Times New Roman" w:hAnsi="Times New Roman"/>
          <w:sz w:val="24"/>
          <w:szCs w:val="24"/>
        </w:rPr>
        <w:t>vor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dispune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de o </w:t>
      </w:r>
      <w:proofErr w:type="spellStart"/>
      <w:r w:rsidRPr="00B4321C">
        <w:rPr>
          <w:rFonts w:ascii="Times New Roman" w:hAnsi="Times New Roman"/>
          <w:sz w:val="24"/>
          <w:szCs w:val="24"/>
        </w:rPr>
        <w:t>retragere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de 3,50 m fata de </w:t>
      </w:r>
      <w:proofErr w:type="spellStart"/>
      <w:r w:rsidRPr="00B4321C">
        <w:rPr>
          <w:rFonts w:ascii="Times New Roman" w:hAnsi="Times New Roman"/>
          <w:sz w:val="24"/>
          <w:szCs w:val="24"/>
        </w:rPr>
        <w:t>aliniamentul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4321C">
        <w:rPr>
          <w:rFonts w:ascii="Times New Roman" w:hAnsi="Times New Roman"/>
          <w:sz w:val="24"/>
          <w:szCs w:val="24"/>
        </w:rPr>
        <w:t>nord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321C">
        <w:rPr>
          <w:rFonts w:ascii="Times New Roman" w:hAnsi="Times New Roman"/>
          <w:sz w:val="24"/>
          <w:szCs w:val="24"/>
        </w:rPr>
        <w:t>respectiv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2,00 m fata de </w:t>
      </w:r>
      <w:proofErr w:type="spellStart"/>
      <w:r w:rsidRPr="00B4321C">
        <w:rPr>
          <w:rFonts w:ascii="Times New Roman" w:hAnsi="Times New Roman"/>
          <w:sz w:val="24"/>
          <w:szCs w:val="24"/>
        </w:rPr>
        <w:t>aliniamentul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estic</w:t>
      </w:r>
      <w:bookmarkEnd w:id="0"/>
      <w:proofErr w:type="spellEnd"/>
      <w:r w:rsidRPr="00B4321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4321C">
        <w:rPr>
          <w:rFonts w:ascii="Times New Roman" w:hAnsi="Times New Roman"/>
          <w:sz w:val="24"/>
          <w:szCs w:val="24"/>
        </w:rPr>
        <w:t>Constructiile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viitoare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4321C">
        <w:rPr>
          <w:rFonts w:ascii="Times New Roman" w:hAnsi="Times New Roman"/>
          <w:sz w:val="24"/>
          <w:szCs w:val="24"/>
        </w:rPr>
        <w:t>vor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amplasa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strict in </w:t>
      </w:r>
      <w:proofErr w:type="spellStart"/>
      <w:r w:rsidRPr="00B4321C">
        <w:rPr>
          <w:rFonts w:ascii="Times New Roman" w:hAnsi="Times New Roman"/>
          <w:sz w:val="24"/>
          <w:szCs w:val="24"/>
        </w:rPr>
        <w:t>aceasta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zona.</w:t>
      </w:r>
      <w:proofErr w:type="gram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4321C">
        <w:rPr>
          <w:rFonts w:ascii="Times New Roman" w:hAnsi="Times New Roman"/>
          <w:sz w:val="24"/>
          <w:szCs w:val="24"/>
        </w:rPr>
        <w:t>Amenajarile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</w:rPr>
        <w:t>incinta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4321C">
        <w:rPr>
          <w:rFonts w:ascii="Times New Roman" w:hAnsi="Times New Roman"/>
          <w:sz w:val="24"/>
          <w:szCs w:val="24"/>
        </w:rPr>
        <w:t>alei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321C">
        <w:rPr>
          <w:rFonts w:ascii="Times New Roman" w:hAnsi="Times New Roman"/>
          <w:sz w:val="24"/>
          <w:szCs w:val="24"/>
        </w:rPr>
        <w:t>circulatii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, etc.) se pot </w:t>
      </w:r>
      <w:proofErr w:type="spellStart"/>
      <w:r w:rsidRPr="00B4321C">
        <w:rPr>
          <w:rFonts w:ascii="Times New Roman" w:hAnsi="Times New Roman"/>
          <w:sz w:val="24"/>
          <w:szCs w:val="24"/>
        </w:rPr>
        <w:t>realiza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si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4321C">
        <w:rPr>
          <w:rFonts w:ascii="Times New Roman" w:hAnsi="Times New Roman"/>
          <w:sz w:val="24"/>
          <w:szCs w:val="24"/>
        </w:rPr>
        <w:t>afara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zonei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</w:rPr>
        <w:t>edificabil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pe</w:t>
      </w:r>
      <w:bookmarkStart w:id="1" w:name="_GoBack"/>
      <w:bookmarkEnd w:id="1"/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limita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aliniamentului</w:t>
      </w:r>
      <w:proofErr w:type="spellEnd"/>
      <w:r w:rsidRPr="00B4321C">
        <w:rPr>
          <w:rFonts w:ascii="Times New Roman" w:hAnsi="Times New Roman"/>
          <w:sz w:val="24"/>
          <w:szCs w:val="24"/>
        </w:rPr>
        <w:t>.</w:t>
      </w:r>
      <w:proofErr w:type="gramEnd"/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321C">
        <w:rPr>
          <w:rFonts w:ascii="Times New Roman" w:hAnsi="Times New Roman"/>
          <w:b/>
          <w:bCs/>
          <w:sz w:val="24"/>
          <w:szCs w:val="24"/>
        </w:rPr>
        <w:tab/>
      </w:r>
      <w:r w:rsidRPr="00B4321C">
        <w:rPr>
          <w:rFonts w:ascii="Times New Roman" w:hAnsi="Times New Roman"/>
          <w:sz w:val="24"/>
          <w:szCs w:val="24"/>
        </w:rPr>
        <w:tab/>
      </w:r>
      <w:r w:rsidRPr="00B4321C">
        <w:rPr>
          <w:rFonts w:ascii="Times New Roman" w:hAnsi="Times New Roman"/>
          <w:b/>
          <w:bCs/>
          <w:sz w:val="24"/>
          <w:szCs w:val="24"/>
        </w:rPr>
        <w:t>REGIM DE INALTIME</w:t>
      </w:r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21C">
        <w:rPr>
          <w:rFonts w:ascii="Times New Roman" w:hAnsi="Times New Roman"/>
          <w:sz w:val="24"/>
          <w:szCs w:val="24"/>
        </w:rPr>
        <w:tab/>
        <w:t xml:space="preserve">-se </w:t>
      </w:r>
      <w:proofErr w:type="spellStart"/>
      <w:r w:rsidRPr="00B4321C">
        <w:rPr>
          <w:rFonts w:ascii="Times New Roman" w:hAnsi="Times New Roman"/>
          <w:sz w:val="24"/>
          <w:szCs w:val="24"/>
        </w:rPr>
        <w:t>propune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B4321C">
        <w:rPr>
          <w:rFonts w:ascii="Times New Roman" w:hAnsi="Times New Roman"/>
          <w:sz w:val="24"/>
          <w:szCs w:val="24"/>
        </w:rPr>
        <w:t>regim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</w:rPr>
        <w:t>inaltime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maxim P+1+M, </w:t>
      </w:r>
      <w:proofErr w:type="spellStart"/>
      <w:r w:rsidRPr="00B4321C">
        <w:rPr>
          <w:rFonts w:ascii="Times New Roman" w:hAnsi="Times New Roman"/>
          <w:sz w:val="24"/>
          <w:szCs w:val="24"/>
        </w:rPr>
        <w:t>sunt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premise </w:t>
      </w:r>
      <w:proofErr w:type="spellStart"/>
      <w:r w:rsidRPr="00B4321C">
        <w:rPr>
          <w:rFonts w:ascii="Times New Roman" w:hAnsi="Times New Roman"/>
          <w:sz w:val="24"/>
          <w:szCs w:val="24"/>
        </w:rPr>
        <w:t>si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subsoluri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sau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demisoluri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; in </w:t>
      </w:r>
      <w:proofErr w:type="spellStart"/>
      <w:r w:rsidRPr="00B4321C">
        <w:rPr>
          <w:rFonts w:ascii="Times New Roman" w:hAnsi="Times New Roman"/>
          <w:sz w:val="24"/>
          <w:szCs w:val="24"/>
        </w:rPr>
        <w:t>cazul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in care </w:t>
      </w:r>
      <w:proofErr w:type="spellStart"/>
      <w:r w:rsidRPr="00B4321C">
        <w:rPr>
          <w:rFonts w:ascii="Times New Roman" w:hAnsi="Times New Roman"/>
          <w:sz w:val="24"/>
          <w:szCs w:val="24"/>
        </w:rPr>
        <w:t>sunt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spatii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tehnice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- nu intra in </w:t>
      </w:r>
      <w:proofErr w:type="spellStart"/>
      <w:r w:rsidRPr="00B4321C">
        <w:rPr>
          <w:rFonts w:ascii="Times New Roman" w:hAnsi="Times New Roman"/>
          <w:sz w:val="24"/>
          <w:szCs w:val="24"/>
        </w:rPr>
        <w:t>calcului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indicilor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urbanistici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B4321C">
        <w:rPr>
          <w:rFonts w:ascii="Times New Roman" w:hAnsi="Times New Roman"/>
          <w:sz w:val="24"/>
          <w:szCs w:val="24"/>
        </w:rPr>
        <w:t>cazul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in care </w:t>
      </w:r>
      <w:proofErr w:type="spellStart"/>
      <w:r w:rsidRPr="00B4321C">
        <w:rPr>
          <w:rFonts w:ascii="Times New Roman" w:hAnsi="Times New Roman"/>
          <w:sz w:val="24"/>
          <w:szCs w:val="24"/>
        </w:rPr>
        <w:t>sunt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spatii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utile se are in </w:t>
      </w:r>
      <w:proofErr w:type="spellStart"/>
      <w:r w:rsidRPr="00B4321C">
        <w:rPr>
          <w:rFonts w:ascii="Times New Roman" w:hAnsi="Times New Roman"/>
          <w:sz w:val="24"/>
          <w:szCs w:val="24"/>
        </w:rPr>
        <w:t>vedere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B4321C">
        <w:rPr>
          <w:rFonts w:ascii="Times New Roman" w:hAnsi="Times New Roman"/>
          <w:sz w:val="24"/>
          <w:szCs w:val="24"/>
        </w:rPr>
        <w:t>regimul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</w:rPr>
        <w:t>inaltime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B4321C">
        <w:rPr>
          <w:rFonts w:ascii="Times New Roman" w:hAnsi="Times New Roman"/>
          <w:sz w:val="24"/>
          <w:szCs w:val="24"/>
        </w:rPr>
        <w:t>intregului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corp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sa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nu fie </w:t>
      </w:r>
      <w:proofErr w:type="spellStart"/>
      <w:r w:rsidRPr="00B4321C">
        <w:rPr>
          <w:rFonts w:ascii="Times New Roman" w:hAnsi="Times New Roman"/>
          <w:sz w:val="24"/>
          <w:szCs w:val="24"/>
        </w:rPr>
        <w:t>dispus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pe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mail </w:t>
      </w:r>
      <w:proofErr w:type="spellStart"/>
      <w:r w:rsidRPr="00B4321C">
        <w:rPr>
          <w:rFonts w:ascii="Times New Roman" w:hAnsi="Times New Roman"/>
          <w:sz w:val="24"/>
          <w:szCs w:val="24"/>
        </w:rPr>
        <w:t>mult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</w:rPr>
        <w:t>trei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niveluri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;</w:t>
      </w:r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21C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B4321C">
        <w:rPr>
          <w:rFonts w:ascii="Times New Roman" w:hAnsi="Times New Roman"/>
          <w:sz w:val="24"/>
          <w:szCs w:val="24"/>
        </w:rPr>
        <w:t>inaltimea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maxima a </w:t>
      </w:r>
      <w:proofErr w:type="spellStart"/>
      <w:r w:rsidRPr="00B4321C">
        <w:rPr>
          <w:rFonts w:ascii="Times New Roman" w:hAnsi="Times New Roman"/>
          <w:sz w:val="24"/>
          <w:szCs w:val="24"/>
        </w:rPr>
        <w:t>constructiilor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321C">
        <w:rPr>
          <w:rFonts w:ascii="Times New Roman" w:hAnsi="Times New Roman"/>
          <w:sz w:val="24"/>
          <w:szCs w:val="24"/>
        </w:rPr>
        <w:t>masurata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4321C">
        <w:rPr>
          <w:rFonts w:ascii="Times New Roman" w:hAnsi="Times New Roman"/>
          <w:sz w:val="24"/>
          <w:szCs w:val="24"/>
        </w:rPr>
        <w:t>cota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terenului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sistematizat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, nu </w:t>
      </w:r>
      <w:proofErr w:type="spellStart"/>
      <w:r w:rsidRPr="00B4321C">
        <w:rPr>
          <w:rFonts w:ascii="Times New Roman" w:hAnsi="Times New Roman"/>
          <w:sz w:val="24"/>
          <w:szCs w:val="24"/>
        </w:rPr>
        <w:t>va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depasi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10</w:t>
      </w:r>
      <w:proofErr w:type="gramStart"/>
      <w:r w:rsidRPr="00B4321C">
        <w:rPr>
          <w:rFonts w:ascii="Times New Roman" w:hAnsi="Times New Roman"/>
          <w:sz w:val="24"/>
          <w:szCs w:val="24"/>
        </w:rPr>
        <w:t>,00</w:t>
      </w:r>
      <w:proofErr w:type="gramEnd"/>
      <w:r w:rsidRPr="00B4321C">
        <w:rPr>
          <w:rFonts w:ascii="Times New Roman" w:hAnsi="Times New Roman"/>
          <w:sz w:val="24"/>
          <w:szCs w:val="24"/>
        </w:rPr>
        <w:t xml:space="preserve"> m.</w:t>
      </w:r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21C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B4321C">
        <w:rPr>
          <w:rFonts w:ascii="Times New Roman" w:hAnsi="Times New Roman"/>
          <w:sz w:val="24"/>
          <w:szCs w:val="24"/>
        </w:rPr>
        <w:t>amplasarea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cladirilor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B4321C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B4321C">
        <w:rPr>
          <w:rFonts w:ascii="Times New Roman" w:hAnsi="Times New Roman"/>
          <w:sz w:val="24"/>
          <w:szCs w:val="24"/>
        </w:rPr>
        <w:t xml:space="preserve"> face </w:t>
      </w:r>
      <w:proofErr w:type="spellStart"/>
      <w:r w:rsidRPr="00B4321C">
        <w:rPr>
          <w:rFonts w:ascii="Times New Roman" w:hAnsi="Times New Roman"/>
          <w:sz w:val="24"/>
          <w:szCs w:val="24"/>
        </w:rPr>
        <w:t>pe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platforme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independente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pentru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fiecare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corp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321C">
        <w:rPr>
          <w:rFonts w:ascii="Times New Roman" w:hAnsi="Times New Roman"/>
          <w:sz w:val="24"/>
          <w:szCs w:val="24"/>
        </w:rPr>
        <w:t>sau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sistematizare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generala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dupa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</w:rPr>
        <w:t>caz</w:t>
      </w:r>
      <w:proofErr w:type="spellEnd"/>
      <w:r w:rsidRPr="00B4321C">
        <w:rPr>
          <w:rFonts w:ascii="Times New Roman" w:hAnsi="Times New Roman"/>
          <w:sz w:val="24"/>
          <w:szCs w:val="24"/>
        </w:rPr>
        <w:t>;</w:t>
      </w:r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  <w:lang w:val="fr-FR"/>
        </w:rPr>
      </w:pPr>
      <w:r w:rsidRPr="00B4321C">
        <w:rPr>
          <w:rFonts w:ascii="Times New Roman" w:hAnsi="Times New Roman"/>
          <w:b/>
          <w:sz w:val="24"/>
          <w:szCs w:val="24"/>
          <w:lang w:val="fr-FR"/>
        </w:rPr>
        <w:tab/>
        <w:t>BILANT TERITORIAL ZONA SERVICII  MIXTE TURISM 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080"/>
        <w:gridCol w:w="990"/>
        <w:gridCol w:w="1170"/>
        <w:gridCol w:w="1170"/>
      </w:tblGrid>
      <w:tr w:rsidR="00B4321C" w:rsidRPr="00B4321C" w:rsidTr="00302215">
        <w:trPr>
          <w:trHeight w:val="458"/>
        </w:trPr>
        <w:tc>
          <w:tcPr>
            <w:tcW w:w="5040" w:type="dxa"/>
            <w:vMerge w:val="restart"/>
          </w:tcPr>
          <w:p w:rsidR="00B4321C" w:rsidRPr="00B4321C" w:rsidRDefault="00B4321C" w:rsidP="003022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ZONA SERVICII TURISM</w:t>
            </w:r>
          </w:p>
          <w:p w:rsidR="00B4321C" w:rsidRPr="00B4321C" w:rsidRDefault="00B4321C" w:rsidP="003022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si LOCUIRE SEZONIERA</w:t>
            </w:r>
          </w:p>
          <w:p w:rsidR="00B4321C" w:rsidRPr="00B4321C" w:rsidRDefault="00B4321C" w:rsidP="003022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cu spatii verzi generale si interstitiale</w:t>
            </w:r>
          </w:p>
        </w:tc>
        <w:tc>
          <w:tcPr>
            <w:tcW w:w="2070" w:type="dxa"/>
            <w:gridSpan w:val="2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 xml:space="preserve">        existent</w:t>
            </w:r>
          </w:p>
        </w:tc>
        <w:tc>
          <w:tcPr>
            <w:tcW w:w="2340" w:type="dxa"/>
            <w:gridSpan w:val="2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fr-FR" w:eastAsia="ro-RO"/>
              </w:rPr>
              <w:t xml:space="preserve">        </w:t>
            </w: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propus</w:t>
            </w:r>
          </w:p>
        </w:tc>
      </w:tr>
      <w:tr w:rsidR="00B4321C" w:rsidRPr="00B4321C" w:rsidTr="00302215">
        <w:trPr>
          <w:trHeight w:val="193"/>
        </w:trPr>
        <w:tc>
          <w:tcPr>
            <w:tcW w:w="5040" w:type="dxa"/>
            <w:vMerge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fr-FR" w:eastAsia="ro-RO"/>
              </w:rPr>
            </w:pPr>
          </w:p>
        </w:tc>
        <w:tc>
          <w:tcPr>
            <w:tcW w:w="108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fr-FR" w:eastAsia="ro-RO"/>
              </w:rPr>
              <w:t xml:space="preserve">  </w:t>
            </w: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Mp</w:t>
            </w:r>
          </w:p>
        </w:tc>
        <w:tc>
          <w:tcPr>
            <w:tcW w:w="99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fr-FR" w:eastAsia="ro-RO"/>
              </w:rPr>
              <w:t xml:space="preserve">  </w:t>
            </w: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%</w:t>
            </w:r>
          </w:p>
        </w:tc>
        <w:tc>
          <w:tcPr>
            <w:tcW w:w="117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fr-FR" w:eastAsia="ro-RO"/>
              </w:rPr>
              <w:t xml:space="preserve"> </w:t>
            </w: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 xml:space="preserve"> Mp</w:t>
            </w:r>
          </w:p>
        </w:tc>
        <w:tc>
          <w:tcPr>
            <w:tcW w:w="117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fr-FR" w:eastAsia="ro-RO"/>
              </w:rPr>
              <w:t xml:space="preserve">   </w:t>
            </w: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%</w:t>
            </w:r>
          </w:p>
        </w:tc>
      </w:tr>
      <w:tr w:rsidR="00B4321C" w:rsidRPr="00B4321C" w:rsidTr="00302215">
        <w:trPr>
          <w:trHeight w:val="692"/>
        </w:trPr>
        <w:tc>
          <w:tcPr>
            <w:tcW w:w="504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 xml:space="preserve">SUPRAFATA MAXIMA CONSTRUITA </w:t>
            </w:r>
          </w:p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conform P.O.T. PROPUS</w:t>
            </w:r>
          </w:p>
        </w:tc>
        <w:tc>
          <w:tcPr>
            <w:tcW w:w="108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-</w:t>
            </w:r>
          </w:p>
        </w:tc>
        <w:tc>
          <w:tcPr>
            <w:tcW w:w="99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-</w:t>
            </w:r>
          </w:p>
        </w:tc>
        <w:tc>
          <w:tcPr>
            <w:tcW w:w="117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210,30</w:t>
            </w:r>
          </w:p>
        </w:tc>
        <w:tc>
          <w:tcPr>
            <w:tcW w:w="117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15,00</w:t>
            </w:r>
          </w:p>
        </w:tc>
      </w:tr>
      <w:tr w:rsidR="00B4321C" w:rsidRPr="00B4321C" w:rsidTr="00302215">
        <w:trPr>
          <w:trHeight w:val="361"/>
        </w:trPr>
        <w:tc>
          <w:tcPr>
            <w:tcW w:w="504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SUPRAFATA MINIMA SPATII VERZI</w:t>
            </w:r>
          </w:p>
        </w:tc>
        <w:tc>
          <w:tcPr>
            <w:tcW w:w="108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-</w:t>
            </w:r>
          </w:p>
        </w:tc>
        <w:tc>
          <w:tcPr>
            <w:tcW w:w="99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-</w:t>
            </w:r>
          </w:p>
        </w:tc>
        <w:tc>
          <w:tcPr>
            <w:tcW w:w="117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350,50</w:t>
            </w:r>
          </w:p>
        </w:tc>
        <w:tc>
          <w:tcPr>
            <w:tcW w:w="117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25,00</w:t>
            </w:r>
          </w:p>
        </w:tc>
      </w:tr>
      <w:tr w:rsidR="00B4321C" w:rsidRPr="00B4321C" w:rsidTr="00302215">
        <w:trPr>
          <w:trHeight w:val="361"/>
        </w:trPr>
        <w:tc>
          <w:tcPr>
            <w:tcW w:w="504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SUPRAFATA PLATFORME SI ALEI</w:t>
            </w:r>
          </w:p>
        </w:tc>
        <w:tc>
          <w:tcPr>
            <w:tcW w:w="108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-</w:t>
            </w:r>
          </w:p>
        </w:tc>
        <w:tc>
          <w:tcPr>
            <w:tcW w:w="99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-</w:t>
            </w:r>
          </w:p>
        </w:tc>
        <w:tc>
          <w:tcPr>
            <w:tcW w:w="117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280,40</w:t>
            </w:r>
          </w:p>
        </w:tc>
        <w:tc>
          <w:tcPr>
            <w:tcW w:w="117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25,00</w:t>
            </w:r>
          </w:p>
        </w:tc>
      </w:tr>
      <w:tr w:rsidR="00B4321C" w:rsidRPr="00B4321C" w:rsidTr="00302215">
        <w:trPr>
          <w:trHeight w:val="361"/>
        </w:trPr>
        <w:tc>
          <w:tcPr>
            <w:tcW w:w="504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 xml:space="preserve">SUPRATAFA SUBZONE GOSPODARESTI SI </w:t>
            </w:r>
          </w:p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AGREMENT</w:t>
            </w:r>
          </w:p>
        </w:tc>
        <w:tc>
          <w:tcPr>
            <w:tcW w:w="108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-</w:t>
            </w:r>
          </w:p>
        </w:tc>
        <w:tc>
          <w:tcPr>
            <w:tcW w:w="99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-</w:t>
            </w:r>
          </w:p>
        </w:tc>
        <w:tc>
          <w:tcPr>
            <w:tcW w:w="117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280,40</w:t>
            </w:r>
          </w:p>
        </w:tc>
        <w:tc>
          <w:tcPr>
            <w:tcW w:w="117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35,00</w:t>
            </w:r>
          </w:p>
        </w:tc>
      </w:tr>
      <w:tr w:rsidR="00B4321C" w:rsidRPr="00B4321C" w:rsidTr="00302215">
        <w:trPr>
          <w:trHeight w:val="361"/>
        </w:trPr>
        <w:tc>
          <w:tcPr>
            <w:tcW w:w="504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both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SUPRAFATA TEHNICO-EDILITARA</w:t>
            </w:r>
          </w:p>
        </w:tc>
        <w:tc>
          <w:tcPr>
            <w:tcW w:w="108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-</w:t>
            </w:r>
          </w:p>
        </w:tc>
        <w:tc>
          <w:tcPr>
            <w:tcW w:w="99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-</w:t>
            </w:r>
          </w:p>
        </w:tc>
        <w:tc>
          <w:tcPr>
            <w:tcW w:w="117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0,00</w:t>
            </w:r>
          </w:p>
        </w:tc>
        <w:tc>
          <w:tcPr>
            <w:tcW w:w="1170" w:type="dxa"/>
          </w:tcPr>
          <w:p w:rsidR="00B4321C" w:rsidRPr="00B4321C" w:rsidRDefault="00B4321C" w:rsidP="00302215">
            <w:pPr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35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</w:pPr>
            <w:r w:rsidRPr="00B4321C">
              <w:rPr>
                <w:rFonts w:ascii="Times New Roman" w:eastAsia="Times New Roman" w:hAnsi="Times New Roman"/>
                <w:noProof/>
                <w:sz w:val="24"/>
                <w:szCs w:val="24"/>
                <w:lang w:val="fr-FR" w:eastAsia="ro-RO"/>
              </w:rPr>
              <w:t>0,00</w:t>
            </w:r>
          </w:p>
        </w:tc>
      </w:tr>
    </w:tbl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ind w:right="-335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Suprafata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zonei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studiate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este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de</w:t>
      </w:r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15.299,00mp.</w:t>
      </w:r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ind w:right="-335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B4321C">
        <w:rPr>
          <w:rFonts w:ascii="Times New Roman" w:hAnsi="Times New Roman"/>
          <w:b/>
          <w:sz w:val="24"/>
          <w:szCs w:val="24"/>
          <w:lang w:val="fr-FR"/>
        </w:rPr>
        <w:tab/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Suprafata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de</w:t>
      </w:r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teren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analizata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ce face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obiectul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prezentului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plan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este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de</w:t>
      </w:r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1402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mp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>.</w:t>
      </w:r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ind w:right="-335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B4321C">
        <w:rPr>
          <w:rFonts w:ascii="Times New Roman" w:hAnsi="Times New Roman"/>
          <w:b/>
          <w:sz w:val="24"/>
          <w:szCs w:val="24"/>
          <w:lang w:val="fr-FR"/>
        </w:rPr>
        <w:tab/>
      </w:r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ind w:right="-335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B4321C">
        <w:rPr>
          <w:rFonts w:ascii="Times New Roman" w:hAnsi="Times New Roman"/>
          <w:b/>
          <w:sz w:val="24"/>
          <w:szCs w:val="24"/>
          <w:lang w:val="fr-FR"/>
        </w:rPr>
        <w:lastRenderedPageBreak/>
        <w:tab/>
        <w:t xml:space="preserve">INDICI </w:t>
      </w:r>
      <w:proofErr w:type="gramStart"/>
      <w:r w:rsidRPr="00B4321C">
        <w:rPr>
          <w:rFonts w:ascii="Times New Roman" w:hAnsi="Times New Roman"/>
          <w:b/>
          <w:sz w:val="24"/>
          <w:szCs w:val="24"/>
          <w:lang w:val="fr-FR"/>
        </w:rPr>
        <w:t>DE OCUPARE</w:t>
      </w:r>
      <w:proofErr w:type="gramEnd"/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ind w:right="-335"/>
        <w:jc w:val="both"/>
        <w:rPr>
          <w:rFonts w:ascii="Times New Roman" w:hAnsi="Times New Roman"/>
          <w:sz w:val="24"/>
          <w:szCs w:val="24"/>
          <w:lang w:val="fr-FR"/>
        </w:rPr>
      </w:pPr>
      <w:r w:rsidRPr="00B4321C">
        <w:rPr>
          <w:rFonts w:ascii="Times New Roman" w:hAnsi="Times New Roman"/>
          <w:sz w:val="24"/>
          <w:szCs w:val="24"/>
          <w:lang w:val="fr-FR"/>
        </w:rPr>
        <w:t xml:space="preserve">POT  max. =  15,00%      </w:t>
      </w:r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ind w:right="-335"/>
        <w:jc w:val="both"/>
        <w:rPr>
          <w:rFonts w:ascii="Times New Roman" w:hAnsi="Times New Roman"/>
          <w:sz w:val="24"/>
          <w:szCs w:val="24"/>
          <w:lang w:val="fr-FR"/>
        </w:rPr>
      </w:pPr>
      <w:r w:rsidRPr="00B4321C">
        <w:rPr>
          <w:rFonts w:ascii="Times New Roman" w:hAnsi="Times New Roman"/>
          <w:sz w:val="24"/>
          <w:szCs w:val="24"/>
          <w:lang w:val="fr-FR"/>
        </w:rPr>
        <w:t>CUT  max. =  0,5</w:t>
      </w:r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ind w:right="-335"/>
        <w:jc w:val="both"/>
        <w:rPr>
          <w:rFonts w:ascii="Times New Roman" w:hAnsi="Times New Roman"/>
          <w:sz w:val="24"/>
          <w:szCs w:val="24"/>
          <w:lang w:val="fr-FR"/>
        </w:rPr>
      </w:pPr>
      <w:r w:rsidRPr="00B4321C">
        <w:rPr>
          <w:rFonts w:ascii="Times New Roman" w:hAnsi="Times New Roman"/>
          <w:sz w:val="24"/>
          <w:szCs w:val="24"/>
          <w:lang w:val="fr-FR"/>
        </w:rPr>
        <w:t>REGIM DE INALTIME max = P+1+M</w:t>
      </w:r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ind w:right="-335"/>
        <w:jc w:val="both"/>
        <w:rPr>
          <w:rFonts w:ascii="Times New Roman" w:hAnsi="Times New Roman"/>
          <w:sz w:val="24"/>
          <w:szCs w:val="24"/>
          <w:lang w:val="fr-FR"/>
        </w:rPr>
      </w:pPr>
      <w:r w:rsidRPr="00B4321C">
        <w:rPr>
          <w:rFonts w:ascii="Times New Roman" w:hAnsi="Times New Roman"/>
          <w:sz w:val="24"/>
          <w:szCs w:val="24"/>
          <w:lang w:val="fr-FR"/>
        </w:rPr>
        <w:t>INALTIME MAXIMA = 10 m</w:t>
      </w:r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ind w:right="-335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B4321C">
        <w:rPr>
          <w:rFonts w:ascii="Times New Roman" w:hAnsi="Times New Roman"/>
          <w:sz w:val="24"/>
          <w:szCs w:val="24"/>
          <w:lang w:val="fr-FR"/>
        </w:rPr>
        <w:tab/>
      </w:r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DEZVOLTAREA ECHIPARII EDILITARE</w:t>
      </w:r>
    </w:p>
    <w:p w:rsidR="00B4321C" w:rsidRPr="00B4321C" w:rsidRDefault="00B4321C" w:rsidP="00B4321C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right="-335"/>
        <w:jc w:val="both"/>
        <w:textAlignment w:val="baseline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Alimentarea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cu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apa</w:t>
      </w:r>
      <w:proofErr w:type="spellEnd"/>
    </w:p>
    <w:p w:rsidR="00B4321C" w:rsidRPr="00B4321C" w:rsidRDefault="00B4321C" w:rsidP="00B4321C">
      <w:pPr>
        <w:pStyle w:val="BodyText2"/>
        <w:tabs>
          <w:tab w:val="left" w:pos="0"/>
          <w:tab w:val="left" w:pos="630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4321C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B4321C">
        <w:rPr>
          <w:rFonts w:ascii="Times New Roman" w:hAnsi="Times New Roman"/>
          <w:sz w:val="24"/>
          <w:szCs w:val="24"/>
        </w:rPr>
        <w:t>Alimentarea</w:t>
      </w:r>
      <w:proofErr w:type="spellEnd"/>
      <w:r w:rsidRPr="00B4321C">
        <w:rPr>
          <w:rFonts w:ascii="Times New Roman" w:hAnsi="Times New Roman"/>
          <w:sz w:val="24"/>
          <w:szCs w:val="24"/>
        </w:rPr>
        <w:t xml:space="preserve"> cu </w:t>
      </w:r>
      <w:proofErr w:type="spellStart"/>
      <w:proofErr w:type="gramStart"/>
      <w:r w:rsidRPr="00B4321C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B4321C">
        <w:rPr>
          <w:rFonts w:ascii="Times New Roman" w:hAnsi="Times New Roman"/>
          <w:sz w:val="24"/>
          <w:szCs w:val="24"/>
        </w:rPr>
        <w:t xml:space="preserve"> </w:t>
      </w:r>
      <w:r w:rsidRPr="00B4321C">
        <w:rPr>
          <w:rFonts w:ascii="Times New Roman" w:hAnsi="Times New Roman"/>
          <w:sz w:val="24"/>
          <w:szCs w:val="24"/>
          <w:lang w:val="fr-FR"/>
        </w:rPr>
        <w:t xml:space="preserve">se va face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reteaua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existenta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alimentare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apa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B4321C" w:rsidRPr="00B4321C" w:rsidRDefault="00B4321C" w:rsidP="00B4321C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0" w:right="-335"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Evacuarea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apelor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uzate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menajere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4321C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Evacuarea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apelor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uzate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menajere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se va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rezolva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intermediul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retelei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canalizare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apa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menajera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existenta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in zona.</w:t>
      </w:r>
    </w:p>
    <w:p w:rsidR="00B4321C" w:rsidRPr="00B4321C" w:rsidRDefault="00B4321C" w:rsidP="00B4321C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Alimentarea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cu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energie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electrica</w:t>
      </w:r>
      <w:proofErr w:type="spellEnd"/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4321C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necesarului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consum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electric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poate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asigura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retelele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existente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in zona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amplasamentului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cat si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solutii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locale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surse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regenerabile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cum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ar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fi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panourile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fotovoltaice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panouri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solare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, dupa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caz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>.</w:t>
      </w:r>
    </w:p>
    <w:p w:rsidR="00B4321C" w:rsidRPr="00B4321C" w:rsidRDefault="00B4321C" w:rsidP="00B4321C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Telecomunicatii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fr-FR"/>
        </w:rPr>
      </w:pPr>
      <w:r w:rsidRPr="00B4321C">
        <w:rPr>
          <w:rFonts w:ascii="Times New Roman" w:hAnsi="Times New Roman"/>
          <w:b/>
          <w:sz w:val="24"/>
          <w:szCs w:val="24"/>
          <w:lang w:val="fr-FR"/>
        </w:rPr>
        <w:tab/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Comunicarea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se va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rezolva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telefonie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mobila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servicii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de internet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sistem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wireless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>.</w:t>
      </w:r>
    </w:p>
    <w:p w:rsidR="00B4321C" w:rsidRPr="00B4321C" w:rsidRDefault="00B4321C" w:rsidP="00B4321C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Alimentare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cu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caldura</w:t>
      </w:r>
      <w:proofErr w:type="spellEnd"/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fr-FR"/>
        </w:rPr>
      </w:pPr>
      <w:r w:rsidRPr="00B4321C">
        <w:rPr>
          <w:rFonts w:ascii="Times New Roman" w:hAnsi="Times New Roman"/>
          <w:b/>
          <w:sz w:val="24"/>
          <w:szCs w:val="24"/>
          <w:lang w:val="fr-FR"/>
        </w:rPr>
        <w:tab/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consumului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caldura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se va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rezolva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sisteme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locale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carburanti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solizi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energii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regenerabile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>.</w:t>
      </w:r>
    </w:p>
    <w:p w:rsidR="00B4321C" w:rsidRPr="00B4321C" w:rsidRDefault="00B4321C" w:rsidP="00B4321C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Alimentarea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cu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gaze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naturale</w:t>
      </w:r>
      <w:proofErr w:type="spellEnd"/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fr-FR"/>
        </w:rPr>
      </w:pPr>
      <w:r w:rsidRPr="00B4321C">
        <w:rPr>
          <w:rFonts w:ascii="Times New Roman" w:hAnsi="Times New Roman"/>
          <w:b/>
          <w:sz w:val="24"/>
          <w:szCs w:val="24"/>
          <w:lang w:val="fr-FR"/>
        </w:rPr>
        <w:tab/>
      </w:r>
      <w:r w:rsidRPr="00B4321C">
        <w:rPr>
          <w:rFonts w:ascii="Times New Roman" w:hAnsi="Times New Roman"/>
          <w:sz w:val="24"/>
          <w:szCs w:val="24"/>
          <w:lang w:val="fr-FR"/>
        </w:rPr>
        <w:t xml:space="preserve">Nu se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propune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dezvoltarea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retelelor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de gaze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naturale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>.</w:t>
      </w:r>
    </w:p>
    <w:p w:rsidR="00B4321C" w:rsidRPr="00B4321C" w:rsidRDefault="00B4321C" w:rsidP="00B4321C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Gospodarie</w:t>
      </w:r>
      <w:proofErr w:type="spellEnd"/>
      <w:r w:rsidRPr="00B4321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b/>
          <w:sz w:val="24"/>
          <w:szCs w:val="24"/>
          <w:lang w:val="fr-FR"/>
        </w:rPr>
        <w:t>comunala</w:t>
      </w:r>
      <w:proofErr w:type="spellEnd"/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fr-FR"/>
        </w:rPr>
      </w:pPr>
      <w:r w:rsidRPr="00B4321C">
        <w:rPr>
          <w:rFonts w:ascii="Times New Roman" w:hAnsi="Times New Roman"/>
          <w:b/>
          <w:sz w:val="24"/>
          <w:szCs w:val="24"/>
          <w:lang w:val="fr-FR"/>
        </w:rPr>
        <w:tab/>
      </w:r>
      <w:r w:rsidRPr="00B4321C">
        <w:rPr>
          <w:rFonts w:ascii="Times New Roman" w:hAnsi="Times New Roman"/>
          <w:sz w:val="24"/>
          <w:szCs w:val="24"/>
          <w:lang w:val="fr-FR"/>
        </w:rPr>
        <w:t xml:space="preserve">In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incinta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detinuta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se are in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vederea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amenajarea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platforme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gospodaresti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care sa fie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posibila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depozitarea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sortarea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evacuarea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deseurilor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menajere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rezultate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functionarea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obiectivului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accesul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facil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mijloacelor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de transport care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asigura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colectarea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acestor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4321C">
        <w:rPr>
          <w:rFonts w:ascii="Times New Roman" w:hAnsi="Times New Roman"/>
          <w:sz w:val="24"/>
          <w:szCs w:val="24"/>
          <w:lang w:val="fr-FR"/>
        </w:rPr>
        <w:t>deseuri</w:t>
      </w:r>
      <w:proofErr w:type="spellEnd"/>
      <w:r w:rsidRPr="00B4321C">
        <w:rPr>
          <w:rFonts w:ascii="Times New Roman" w:hAnsi="Times New Roman"/>
          <w:sz w:val="24"/>
          <w:szCs w:val="24"/>
          <w:lang w:val="fr-FR"/>
        </w:rPr>
        <w:t>.</w:t>
      </w:r>
    </w:p>
    <w:p w:rsidR="00B4321C" w:rsidRPr="00B4321C" w:rsidRDefault="00B4321C" w:rsidP="00B4321C">
      <w:pPr>
        <w:pStyle w:val="BodyText2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B4321C">
        <w:rPr>
          <w:rFonts w:ascii="Times New Roman" w:hAnsi="Times New Roman"/>
          <w:color w:val="000000"/>
          <w:sz w:val="24"/>
          <w:szCs w:val="24"/>
          <w:lang w:val="ro-RO"/>
        </w:rPr>
        <w:t>Planul nu este situat în interiorul sau imediata vecinătate a unor arii naturale protejate.</w:t>
      </w:r>
    </w:p>
    <w:p w:rsidR="00B4321C" w:rsidRPr="00B4321C" w:rsidRDefault="00B4321C" w:rsidP="00B4321C">
      <w:pPr>
        <w:pStyle w:val="BodyText2"/>
        <w:tabs>
          <w:tab w:val="left" w:pos="630"/>
        </w:tabs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4321C" w:rsidRPr="00B4321C" w:rsidRDefault="00B4321C" w:rsidP="00B4321C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B4321C">
        <w:rPr>
          <w:rFonts w:ascii="Times New Roman" w:hAnsi="Times New Roman"/>
          <w:sz w:val="24"/>
          <w:szCs w:val="24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B4321C" w:rsidRPr="00B4321C" w:rsidRDefault="00B4321C" w:rsidP="00B4321C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B4321C">
        <w:rPr>
          <w:rFonts w:ascii="Times New Roman" w:hAnsi="Times New Roman"/>
          <w:sz w:val="24"/>
          <w:szCs w:val="24"/>
          <w:lang w:val="ro-RO"/>
        </w:rPr>
        <w:t xml:space="preserve">Observaţiile publicului se vor primi in scris la  APM Tulcea ,telefon/fax 0240 /510622, 0240/510621, e-mail </w:t>
      </w:r>
      <w:r w:rsidRPr="00B4321C">
        <w:rPr>
          <w:rFonts w:ascii="Times New Roman" w:hAnsi="Times New Roman"/>
          <w:color w:val="000000"/>
          <w:sz w:val="24"/>
          <w:szCs w:val="24"/>
          <w:lang w:val="ro-RO"/>
        </w:rPr>
        <w:fldChar w:fldCharType="begin"/>
      </w:r>
      <w:r w:rsidRPr="00B4321C">
        <w:rPr>
          <w:rFonts w:ascii="Times New Roman" w:hAnsi="Times New Roman"/>
          <w:color w:val="000000"/>
          <w:sz w:val="24"/>
          <w:szCs w:val="24"/>
          <w:lang w:val="ro-RO"/>
        </w:rPr>
        <w:instrText xml:space="preserve"> HYPERLINK "mailto:office@apmtl.anpm.ro" </w:instrText>
      </w:r>
      <w:r w:rsidRPr="00B4321C">
        <w:rPr>
          <w:rFonts w:ascii="Times New Roman" w:hAnsi="Times New Roman"/>
          <w:color w:val="000000"/>
          <w:sz w:val="24"/>
          <w:szCs w:val="24"/>
          <w:lang w:val="ro-RO"/>
        </w:rPr>
        <w:fldChar w:fldCharType="separate"/>
      </w:r>
      <w:r w:rsidRPr="00B4321C">
        <w:rPr>
          <w:rStyle w:val="Hyperlink"/>
          <w:rFonts w:ascii="Times New Roman" w:hAnsi="Times New Roman"/>
          <w:color w:val="000000"/>
          <w:sz w:val="24"/>
          <w:szCs w:val="24"/>
          <w:lang w:val="ro-RO"/>
        </w:rPr>
        <w:t>office@apmtl.anpm.ro</w:t>
      </w:r>
      <w:r w:rsidRPr="00B4321C">
        <w:rPr>
          <w:rFonts w:ascii="Times New Roman" w:hAnsi="Times New Roman"/>
          <w:color w:val="000000"/>
          <w:sz w:val="24"/>
          <w:szCs w:val="24"/>
          <w:lang w:val="ro-RO"/>
        </w:rPr>
        <w:fldChar w:fldCharType="end"/>
      </w:r>
      <w:r w:rsidRPr="00B4321C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B4321C">
        <w:rPr>
          <w:rFonts w:ascii="Times New Roman" w:hAnsi="Times New Roman"/>
          <w:sz w:val="24"/>
          <w:szCs w:val="24"/>
          <w:lang w:val="ro-RO"/>
        </w:rPr>
        <w:t xml:space="preserve"> în termen de 10 zile calendaristice de la data publicării anunţului.</w:t>
      </w:r>
    </w:p>
    <w:p w:rsidR="00B4321C" w:rsidRPr="00B4321C" w:rsidRDefault="00B4321C" w:rsidP="00B4321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B4321C" w:rsidRPr="00B4321C" w:rsidRDefault="00B4321C" w:rsidP="00404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E6B46" w:rsidRPr="00B4321C" w:rsidRDefault="00BE6B46" w:rsidP="00BE6B46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E6B46" w:rsidRPr="00B4321C" w:rsidRDefault="00BE6B46" w:rsidP="00BE6B46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B4321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BE6B46" w:rsidRPr="00B4321C" w:rsidRDefault="00BE6B46" w:rsidP="00BE6B46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BE6B46" w:rsidRPr="00B4321C" w:rsidRDefault="00BE6B46" w:rsidP="00BE6B46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BE6B46" w:rsidRPr="00B4321C" w:rsidRDefault="00BE6B46" w:rsidP="00404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E6B46" w:rsidRPr="00452038" w:rsidRDefault="009C6620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B4321C">
        <w:rPr>
          <w:rStyle w:val="sttpar"/>
          <w:rFonts w:ascii="Times New Roman" w:hAnsi="Times New Roman"/>
          <w:sz w:val="24"/>
          <w:szCs w:val="24"/>
        </w:rPr>
        <w:t>Postat</w:t>
      </w:r>
      <w:proofErr w:type="spellEnd"/>
      <w:r w:rsidRPr="00B43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B4321C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B4321C">
        <w:rPr>
          <w:rStyle w:val="sttpar"/>
          <w:rFonts w:ascii="Times New Roman" w:hAnsi="Times New Roman"/>
          <w:sz w:val="24"/>
          <w:szCs w:val="24"/>
        </w:rPr>
        <w:t xml:space="preserve"> site APM </w:t>
      </w:r>
      <w:proofErr w:type="spellStart"/>
      <w:r w:rsidRPr="00B4321C">
        <w:rPr>
          <w:rStyle w:val="sttpar"/>
          <w:rFonts w:ascii="Times New Roman" w:hAnsi="Times New Roman"/>
          <w:sz w:val="24"/>
          <w:szCs w:val="24"/>
        </w:rPr>
        <w:t>Tulcea</w:t>
      </w:r>
      <w:proofErr w:type="spellEnd"/>
      <w:r w:rsidRPr="00B4321C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BE6B46" w:rsidRPr="00B4321C">
        <w:rPr>
          <w:rStyle w:val="sttpar"/>
          <w:rFonts w:ascii="Times New Roman" w:hAnsi="Times New Roman"/>
          <w:sz w:val="24"/>
          <w:szCs w:val="24"/>
        </w:rPr>
        <w:t>2</w:t>
      </w:r>
      <w:r w:rsidR="00B4321C">
        <w:rPr>
          <w:rStyle w:val="sttpar"/>
          <w:rFonts w:ascii="Times New Roman" w:hAnsi="Times New Roman"/>
          <w:sz w:val="24"/>
          <w:szCs w:val="24"/>
        </w:rPr>
        <w:t>3</w:t>
      </w:r>
      <w:r w:rsidR="00452038" w:rsidRPr="00B4321C">
        <w:rPr>
          <w:rStyle w:val="sttpar"/>
          <w:rFonts w:ascii="Times New Roman" w:hAnsi="Times New Roman"/>
          <w:sz w:val="24"/>
          <w:szCs w:val="24"/>
        </w:rPr>
        <w:t>.</w:t>
      </w:r>
      <w:r w:rsidR="00FE014B" w:rsidRPr="00B4321C">
        <w:rPr>
          <w:rStyle w:val="sttpar"/>
          <w:rFonts w:ascii="Times New Roman" w:hAnsi="Times New Roman"/>
          <w:sz w:val="24"/>
          <w:szCs w:val="24"/>
        </w:rPr>
        <w:t>0</w:t>
      </w:r>
      <w:r w:rsidR="00B4321C">
        <w:rPr>
          <w:rStyle w:val="sttpar"/>
          <w:rFonts w:ascii="Times New Roman" w:hAnsi="Times New Roman"/>
          <w:sz w:val="24"/>
          <w:szCs w:val="24"/>
        </w:rPr>
        <w:t>5</w:t>
      </w:r>
      <w:r w:rsidR="00452038" w:rsidRPr="00B4321C">
        <w:rPr>
          <w:rStyle w:val="sttpar"/>
          <w:rFonts w:ascii="Times New Roman" w:hAnsi="Times New Roman"/>
          <w:sz w:val="24"/>
          <w:szCs w:val="24"/>
        </w:rPr>
        <w:t>.201</w:t>
      </w:r>
      <w:r w:rsidR="003A5158" w:rsidRPr="00B4321C">
        <w:rPr>
          <w:rStyle w:val="sttpar"/>
          <w:rFonts w:ascii="Times New Roman" w:hAnsi="Times New Roman"/>
          <w:sz w:val="24"/>
          <w:szCs w:val="24"/>
        </w:rPr>
        <w:t>7</w:t>
      </w:r>
    </w:p>
    <w:sectPr w:rsidR="00BE6B46" w:rsidRPr="0045203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07CB1610"/>
    <w:multiLevelType w:val="hybridMultilevel"/>
    <w:tmpl w:val="1AF6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222A4"/>
    <w:multiLevelType w:val="hybridMultilevel"/>
    <w:tmpl w:val="7B34F8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1056FE"/>
    <w:rsid w:val="001070FF"/>
    <w:rsid w:val="00111F7A"/>
    <w:rsid w:val="0014563A"/>
    <w:rsid w:val="00206973"/>
    <w:rsid w:val="002449B2"/>
    <w:rsid w:val="00251284"/>
    <w:rsid w:val="00257160"/>
    <w:rsid w:val="0029122D"/>
    <w:rsid w:val="002A336A"/>
    <w:rsid w:val="0034597A"/>
    <w:rsid w:val="003917BF"/>
    <w:rsid w:val="003A5158"/>
    <w:rsid w:val="003F4DDA"/>
    <w:rsid w:val="00404CC7"/>
    <w:rsid w:val="00412085"/>
    <w:rsid w:val="00440A15"/>
    <w:rsid w:val="00452038"/>
    <w:rsid w:val="00462FE9"/>
    <w:rsid w:val="00471CB2"/>
    <w:rsid w:val="00490535"/>
    <w:rsid w:val="004A77FB"/>
    <w:rsid w:val="00511FE2"/>
    <w:rsid w:val="00547964"/>
    <w:rsid w:val="0057372F"/>
    <w:rsid w:val="005907A4"/>
    <w:rsid w:val="00596558"/>
    <w:rsid w:val="006120C6"/>
    <w:rsid w:val="00633789"/>
    <w:rsid w:val="006A46EB"/>
    <w:rsid w:val="007239B2"/>
    <w:rsid w:val="007350FF"/>
    <w:rsid w:val="007536F9"/>
    <w:rsid w:val="00771E75"/>
    <w:rsid w:val="008510A1"/>
    <w:rsid w:val="00923B92"/>
    <w:rsid w:val="009978FF"/>
    <w:rsid w:val="009C6620"/>
    <w:rsid w:val="00A062E0"/>
    <w:rsid w:val="00AE2B71"/>
    <w:rsid w:val="00B428B3"/>
    <w:rsid w:val="00B4321C"/>
    <w:rsid w:val="00BA2389"/>
    <w:rsid w:val="00BE3E2E"/>
    <w:rsid w:val="00BE6B46"/>
    <w:rsid w:val="00C10B0B"/>
    <w:rsid w:val="00C2331E"/>
    <w:rsid w:val="00C31C8C"/>
    <w:rsid w:val="00C336DE"/>
    <w:rsid w:val="00C3402B"/>
    <w:rsid w:val="00C60174"/>
    <w:rsid w:val="00CC105D"/>
    <w:rsid w:val="00E2268A"/>
    <w:rsid w:val="00F03DD2"/>
    <w:rsid w:val="00F14096"/>
    <w:rsid w:val="00F34361"/>
    <w:rsid w:val="00F4187F"/>
    <w:rsid w:val="00F628FC"/>
    <w:rsid w:val="00F9656D"/>
    <w:rsid w:val="00FB162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uiPriority w:val="99"/>
    <w:semiHidden/>
    <w:unhideWhenUsed/>
    <w:rsid w:val="009C6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6620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9C662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6B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6B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uiPriority w:val="99"/>
    <w:semiHidden/>
    <w:unhideWhenUsed/>
    <w:rsid w:val="009C6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6620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9C662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6B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6B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lucica.udrea</cp:lastModifiedBy>
  <cp:revision>3</cp:revision>
  <cp:lastPrinted>2016-04-26T08:44:00Z</cp:lastPrinted>
  <dcterms:created xsi:type="dcterms:W3CDTF">2017-05-23T12:09:00Z</dcterms:created>
  <dcterms:modified xsi:type="dcterms:W3CDTF">2017-05-23T12:13:00Z</dcterms:modified>
</cp:coreProperties>
</file>