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FD" w:rsidRDefault="00F670FD" w:rsidP="005363F8">
      <w:pPr>
        <w:spacing w:line="300" w:lineRule="atLeast"/>
        <w:jc w:val="both"/>
        <w:textAlignment w:val="baseline"/>
        <w:rPr>
          <w:rStyle w:val="sttpar"/>
          <w:rFonts w:ascii="Times New Roman" w:hAnsi="Times New Roman"/>
          <w:sz w:val="28"/>
          <w:szCs w:val="28"/>
          <w:lang w:val="ro-RO"/>
        </w:rPr>
      </w:pPr>
    </w:p>
    <w:p w:rsidR="00CC105D" w:rsidRPr="005363F8" w:rsidRDefault="00CC105D" w:rsidP="005363F8">
      <w:pPr>
        <w:spacing w:line="300" w:lineRule="atLeast"/>
        <w:jc w:val="center"/>
        <w:textAlignment w:val="baseline"/>
        <w:rPr>
          <w:rStyle w:val="sttpar"/>
          <w:rFonts w:ascii="Times New Roman" w:hAnsi="Times New Roman"/>
          <w:sz w:val="32"/>
          <w:szCs w:val="32"/>
          <w:lang w:val="ro-RO"/>
        </w:rPr>
      </w:pPr>
      <w:r w:rsidRPr="005363F8">
        <w:rPr>
          <w:rStyle w:val="sttpar"/>
          <w:rFonts w:ascii="Times New Roman" w:hAnsi="Times New Roman"/>
          <w:sz w:val="32"/>
          <w:szCs w:val="32"/>
          <w:lang w:val="ro-RO"/>
        </w:rPr>
        <w:t>Anun</w:t>
      </w:r>
      <w:r w:rsidRPr="005363F8">
        <w:rPr>
          <w:rStyle w:val="tpa1"/>
          <w:rFonts w:ascii="Times New Roman" w:hAnsi="Times New Roman"/>
          <w:sz w:val="32"/>
          <w:szCs w:val="32"/>
          <w:lang w:val="ro-RO"/>
        </w:rPr>
        <w:t>t</w:t>
      </w:r>
      <w:r w:rsidRPr="005363F8">
        <w:rPr>
          <w:rStyle w:val="sttpar"/>
          <w:rFonts w:ascii="Times New Roman" w:hAnsi="Times New Roman"/>
          <w:sz w:val="32"/>
          <w:szCs w:val="32"/>
          <w:lang w:val="ro-RO"/>
        </w:rPr>
        <w:t xml:space="preserve"> public</w:t>
      </w:r>
    </w:p>
    <w:p w:rsidR="00CC105D" w:rsidRPr="00F86108" w:rsidRDefault="00CC105D" w:rsidP="005363F8">
      <w:pPr>
        <w:jc w:val="both"/>
        <w:rPr>
          <w:rStyle w:val="sttpar"/>
          <w:rFonts w:ascii="Times New Roman" w:hAnsi="Times New Roman"/>
          <w:sz w:val="28"/>
          <w:szCs w:val="28"/>
          <w:lang w:val="ro-RO"/>
        </w:rPr>
      </w:pPr>
      <w:r w:rsidRPr="00F86108">
        <w:rPr>
          <w:rStyle w:val="tpa1"/>
          <w:rFonts w:ascii="Times New Roman" w:hAnsi="Times New Roman"/>
          <w:sz w:val="28"/>
          <w:szCs w:val="28"/>
          <w:lang w:val="ro-RO"/>
        </w:rPr>
        <w:t>AGEN</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PENTRU PROTEC</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MEDIULUI TULCEA</w:t>
      </w:r>
      <w:r w:rsidR="000F3F32">
        <w:rPr>
          <w:rStyle w:val="tpa1"/>
          <w:rFonts w:ascii="Times New Roman" w:hAnsi="Times New Roman"/>
          <w:sz w:val="28"/>
          <w:szCs w:val="28"/>
          <w:lang w:val="ro-RO"/>
        </w:rPr>
        <w:t xml:space="preserve"> </w:t>
      </w:r>
      <w:r w:rsidR="00452038" w:rsidRPr="00F86108">
        <w:rPr>
          <w:rStyle w:val="sttpar"/>
          <w:rFonts w:ascii="Times New Roman" w:hAnsi="Times New Roman"/>
          <w:sz w:val="28"/>
          <w:szCs w:val="28"/>
          <w:lang w:val="ro-RO"/>
        </w:rPr>
        <w:t>anunţă</w:t>
      </w:r>
      <w:r w:rsidRPr="00F86108">
        <w:rPr>
          <w:rStyle w:val="sttpar"/>
          <w:rFonts w:ascii="Times New Roman" w:hAnsi="Times New Roman"/>
          <w:sz w:val="28"/>
          <w:szCs w:val="28"/>
          <w:lang w:val="ro-RO"/>
        </w:rPr>
        <w:t xml:space="preserve"> publicul interesat asupra lu</w:t>
      </w:r>
      <w:r w:rsidR="00452038" w:rsidRPr="00F86108">
        <w:rPr>
          <w:rStyle w:val="sttpar"/>
          <w:rFonts w:ascii="Times New Roman" w:hAnsi="Times New Roman"/>
          <w:sz w:val="28"/>
          <w:szCs w:val="28"/>
          <w:lang w:val="ro-RO"/>
        </w:rPr>
        <w:t>ă</w:t>
      </w:r>
      <w:r w:rsidRPr="00F86108">
        <w:rPr>
          <w:rStyle w:val="sttpar"/>
          <w:rFonts w:ascii="Times New Roman" w:hAnsi="Times New Roman"/>
          <w:sz w:val="28"/>
          <w:szCs w:val="28"/>
          <w:lang w:val="ro-RO"/>
        </w:rPr>
        <w:t xml:space="preserve">rii deciziei etapei de </w:t>
      </w:r>
      <w:r w:rsidR="00452038" w:rsidRPr="00F86108">
        <w:rPr>
          <w:rStyle w:val="sttpar"/>
          <w:rFonts w:ascii="Times New Roman" w:hAnsi="Times New Roman"/>
          <w:sz w:val="28"/>
          <w:szCs w:val="28"/>
          <w:lang w:val="ro-RO"/>
        </w:rPr>
        <w:t>î</w:t>
      </w:r>
      <w:r w:rsidRPr="00F86108">
        <w:rPr>
          <w:rStyle w:val="sttpar"/>
          <w:rFonts w:ascii="Times New Roman" w:hAnsi="Times New Roman"/>
          <w:sz w:val="28"/>
          <w:szCs w:val="28"/>
          <w:lang w:val="ro-RO"/>
        </w:rPr>
        <w:t>ncadrare conform HG nr.1076/2004, respectiv ca</w:t>
      </w:r>
      <w:r w:rsidR="00485B3B">
        <w:rPr>
          <w:rFonts w:ascii="Times New Roman" w:hAnsi="Times New Roman"/>
          <w:b/>
          <w:sz w:val="28"/>
          <w:szCs w:val="28"/>
          <w:lang w:val="ro-RO"/>
        </w:rPr>
        <w:t xml:space="preserve"> </w:t>
      </w:r>
      <w:r w:rsidR="00AF751D" w:rsidRPr="00AF751D">
        <w:rPr>
          <w:rFonts w:ascii="Times New Roman" w:hAnsi="Times New Roman"/>
          <w:b/>
          <w:sz w:val="28"/>
          <w:szCs w:val="28"/>
          <w:lang w:val="ro-RO"/>
        </w:rPr>
        <w:t xml:space="preserve">PUZ: </w:t>
      </w:r>
      <w:r w:rsidR="00120BEB" w:rsidRPr="00120BEB">
        <w:rPr>
          <w:rFonts w:ascii="Times New Roman" w:hAnsi="Times New Roman"/>
          <w:b/>
          <w:sz w:val="28"/>
          <w:szCs w:val="28"/>
          <w:lang w:val="ro-RO"/>
        </w:rPr>
        <w:t xml:space="preserve">„CONSTRUIRE SPATIU COMERCIAL SI SERVICE AUTO”, </w:t>
      </w:r>
      <w:r w:rsidR="00120BEB">
        <w:rPr>
          <w:rFonts w:ascii="Times New Roman" w:hAnsi="Times New Roman"/>
          <w:sz w:val="28"/>
          <w:szCs w:val="28"/>
          <w:lang w:val="ro-RO"/>
        </w:rPr>
        <w:t xml:space="preserve">propus a se realiza </w:t>
      </w:r>
      <w:r w:rsidR="00120BEB" w:rsidRPr="00120BEB">
        <w:rPr>
          <w:rFonts w:ascii="Times New Roman" w:hAnsi="Times New Roman"/>
          <w:sz w:val="28"/>
          <w:szCs w:val="28"/>
          <w:lang w:val="ro-RO"/>
        </w:rPr>
        <w:t>in loc. Tulcea, str. Isaccei, nr. 111, jud. Tulcea</w:t>
      </w:r>
      <w:r w:rsidR="00412085" w:rsidRPr="00F86108">
        <w:rPr>
          <w:rStyle w:val="sttpar"/>
          <w:rFonts w:ascii="Times New Roman" w:hAnsi="Times New Roman"/>
          <w:sz w:val="28"/>
          <w:szCs w:val="28"/>
          <w:lang w:val="ro-RO"/>
        </w:rPr>
        <w:t>, avân</w:t>
      </w:r>
      <w:r w:rsidRPr="00F86108">
        <w:rPr>
          <w:rStyle w:val="sttpar"/>
          <w:rFonts w:ascii="Times New Roman" w:hAnsi="Times New Roman"/>
          <w:sz w:val="28"/>
          <w:szCs w:val="28"/>
          <w:lang w:val="ro-RO"/>
        </w:rPr>
        <w:t>d ca titular</w:t>
      </w:r>
      <w:r w:rsidR="00D862B7">
        <w:rPr>
          <w:rStyle w:val="sttpar"/>
          <w:rFonts w:ascii="Times New Roman" w:hAnsi="Times New Roman"/>
          <w:sz w:val="28"/>
          <w:szCs w:val="28"/>
          <w:lang w:val="ro-RO"/>
        </w:rPr>
        <w:t xml:space="preserve"> pe</w:t>
      </w:r>
      <w:r w:rsidR="00485B3B">
        <w:rPr>
          <w:rStyle w:val="sttpar"/>
          <w:rFonts w:ascii="Times New Roman" w:hAnsi="Times New Roman"/>
          <w:sz w:val="28"/>
          <w:szCs w:val="28"/>
          <w:lang w:val="ro-RO"/>
        </w:rPr>
        <w:t xml:space="preserve"> </w:t>
      </w:r>
      <w:r w:rsidR="00120BEB">
        <w:rPr>
          <w:rFonts w:ascii="Times New Roman" w:hAnsi="Times New Roman"/>
          <w:b/>
          <w:sz w:val="28"/>
          <w:szCs w:val="28"/>
          <w:lang w:val="ro-RO"/>
        </w:rPr>
        <w:t>SC UTIL GRUP SRL</w:t>
      </w:r>
      <w:r w:rsidR="00B9687D">
        <w:rPr>
          <w:rStyle w:val="sttpar"/>
          <w:rFonts w:ascii="Times New Roman" w:hAnsi="Times New Roman"/>
          <w:b/>
          <w:sz w:val="28"/>
          <w:szCs w:val="28"/>
          <w:lang w:val="ro-RO"/>
        </w:rPr>
        <w:t>,</w:t>
      </w:r>
      <w:r w:rsidR="00AF751D">
        <w:rPr>
          <w:rStyle w:val="sttpar"/>
          <w:rFonts w:ascii="Times New Roman" w:hAnsi="Times New Roman"/>
          <w:b/>
          <w:sz w:val="28"/>
          <w:szCs w:val="28"/>
          <w:lang w:val="ro-RO"/>
        </w:rPr>
        <w:t xml:space="preserve"> </w:t>
      </w:r>
      <w:r w:rsidR="0050579B" w:rsidRPr="00F86108">
        <w:rPr>
          <w:rStyle w:val="sttpar"/>
          <w:rFonts w:ascii="Times New Roman" w:hAnsi="Times New Roman"/>
          <w:sz w:val="28"/>
          <w:szCs w:val="28"/>
          <w:lang w:val="ro-RO"/>
        </w:rPr>
        <w:t xml:space="preserve">nu </w:t>
      </w:r>
      <w:r w:rsidR="00412FF2" w:rsidRPr="00F86108">
        <w:rPr>
          <w:rFonts w:ascii="Times New Roman" w:hAnsi="Times New Roman"/>
          <w:sz w:val="28"/>
          <w:szCs w:val="28"/>
          <w:lang w:val="ro-RO"/>
        </w:rPr>
        <w:t>necesită efectuarea evaluării de mediu pentru planuri și programe, conform HG.1076/2004, pentru planul precizat</w:t>
      </w:r>
      <w:r w:rsidR="0050579B" w:rsidRPr="00F86108">
        <w:rPr>
          <w:rFonts w:ascii="Times New Roman" w:hAnsi="Times New Roman"/>
          <w:sz w:val="28"/>
          <w:szCs w:val="28"/>
          <w:lang w:val="ro-RO"/>
        </w:rPr>
        <w:t>.</w:t>
      </w:r>
    </w:p>
    <w:p w:rsidR="00452038" w:rsidRDefault="00452038" w:rsidP="005363F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Marimea planului - Planul Urbanistic Zonal are ca obiect amplasarea in intravilanul municipiului Tulcea, pe terenul cu o suprafata de 1.043,00 mp, a unor imobile de comert si prestari servicii si functiuni complementare.</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Planul prevede:</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 realizarea unei cladiri pentru vanzarea de piese auto si a unei cladiri pentru service auto;</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 stabilirea procentului de ocupare al terenului la 45%;</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 stabilirea coeficientului de utilizare al terenului la 1;5;</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 amenajarea unui acces carosabil corespunzator la caile de comunicatii rutiere existente (strada ISACCEI) pentru asigurarea circulatiilor in zona;</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 asigurarea unor suprafete de teren pentru amenajarile exterioare de incinta (alei carosabile si pietonale, parcari, platforme gospodaresti, etc.);</w:t>
      </w:r>
    </w:p>
    <w:p w:rsidR="005363F8" w:rsidRPr="005363F8" w:rsidRDefault="005363F8" w:rsidP="005363F8">
      <w:pPr>
        <w:spacing w:after="0" w:line="240" w:lineRule="auto"/>
        <w:jc w:val="both"/>
        <w:rPr>
          <w:rFonts w:ascii="Times New Roman" w:eastAsia="Times New Roman" w:hAnsi="Times New Roman"/>
          <w:bCs/>
          <w:kern w:val="32"/>
          <w:sz w:val="28"/>
          <w:szCs w:val="28"/>
          <w:lang w:val="ro-RO"/>
        </w:rPr>
      </w:pPr>
      <w:r w:rsidRPr="005363F8">
        <w:rPr>
          <w:rFonts w:ascii="Times New Roman" w:eastAsia="Times New Roman" w:hAnsi="Times New Roman"/>
          <w:b/>
          <w:bCs/>
          <w:kern w:val="32"/>
          <w:sz w:val="28"/>
          <w:szCs w:val="28"/>
          <w:lang w:val="ro-RO"/>
        </w:rPr>
        <w:t>Vecinatatile terenului studiat</w:t>
      </w:r>
      <w:r w:rsidRPr="005363F8">
        <w:rPr>
          <w:rFonts w:ascii="Times New Roman" w:eastAsia="Times New Roman" w:hAnsi="Times New Roman"/>
          <w:bCs/>
          <w:kern w:val="32"/>
          <w:sz w:val="28"/>
          <w:szCs w:val="28"/>
          <w:lang w:val="ro-RO"/>
        </w:rPr>
        <w:t xml:space="preserve"> : </w:t>
      </w:r>
    </w:p>
    <w:p w:rsidR="005363F8" w:rsidRPr="005363F8" w:rsidRDefault="005363F8" w:rsidP="005363F8">
      <w:pPr>
        <w:numPr>
          <w:ilvl w:val="0"/>
          <w:numId w:val="2"/>
        </w:numPr>
        <w:spacing w:after="0" w:line="240" w:lineRule="auto"/>
        <w:ind w:right="-180"/>
        <w:contextualSpacing/>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Nord : domeniul public – strada ISACCEI;</w:t>
      </w:r>
    </w:p>
    <w:p w:rsidR="005363F8" w:rsidRPr="005363F8" w:rsidRDefault="005363F8" w:rsidP="005363F8">
      <w:pPr>
        <w:numPr>
          <w:ilvl w:val="0"/>
          <w:numId w:val="2"/>
        </w:numPr>
        <w:spacing w:after="0" w:line="240" w:lineRule="auto"/>
        <w:ind w:right="-180"/>
        <w:contextualSpacing/>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Est : proprietate privata – IE-36064, SC JAKI GROUP SRL – cladirea invecinata se afla la 45cm;</w:t>
      </w:r>
    </w:p>
    <w:p w:rsidR="005363F8" w:rsidRPr="005363F8" w:rsidRDefault="005363F8" w:rsidP="005363F8">
      <w:pPr>
        <w:numPr>
          <w:ilvl w:val="0"/>
          <w:numId w:val="2"/>
        </w:numPr>
        <w:spacing w:after="0" w:line="240" w:lineRule="auto"/>
        <w:ind w:right="-180"/>
        <w:contextualSpacing/>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Vest : proprietate privata – LUCA PETRE – teren liber de constructii. Cladirea invecinata se afla la o distanta de 11,35m;</w:t>
      </w:r>
    </w:p>
    <w:p w:rsidR="005363F8" w:rsidRPr="005363F8" w:rsidRDefault="005363F8" w:rsidP="005363F8">
      <w:pPr>
        <w:numPr>
          <w:ilvl w:val="0"/>
          <w:numId w:val="2"/>
        </w:numPr>
        <w:spacing w:after="0" w:line="240" w:lineRule="auto"/>
        <w:ind w:right="-180"/>
        <w:contextualSpacing/>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Sud : proprietate privata – CUTOV CORNEL – cladirile se afla la peste 30m conform suportului topografic;</w:t>
      </w:r>
    </w:p>
    <w:p w:rsidR="005363F8" w:rsidRPr="005363F8" w:rsidRDefault="005363F8" w:rsidP="005363F8">
      <w:pPr>
        <w:spacing w:after="0" w:line="240" w:lineRule="auto"/>
        <w:ind w:left="720" w:right="-180"/>
        <w:contextualSpacing/>
        <w:jc w:val="both"/>
        <w:rPr>
          <w:rFonts w:ascii="ISOCPEUR" w:eastAsia="Times New Roman" w:hAnsi="ISOCPEUR" w:cs="Tahoma"/>
          <w:sz w:val="24"/>
          <w:szCs w:val="24"/>
          <w:lang w:val="ro-RO" w:eastAsia="ro-RO"/>
        </w:rPr>
      </w:pPr>
    </w:p>
    <w:p w:rsidR="005363F8" w:rsidRPr="005363F8" w:rsidRDefault="005363F8" w:rsidP="005363F8">
      <w:pPr>
        <w:spacing w:after="0" w:line="240" w:lineRule="auto"/>
        <w:ind w:firstLine="360"/>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Se propun urmatorii indicatori urbanistici de control:</w:t>
      </w:r>
    </w:p>
    <w:p w:rsidR="005363F8" w:rsidRPr="005363F8" w:rsidRDefault="005363F8" w:rsidP="005363F8">
      <w:pPr>
        <w:spacing w:after="0" w:line="240" w:lineRule="auto"/>
        <w:ind w:firstLine="360"/>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Subzona u1 - regim ma</w:t>
      </w:r>
      <w:r w:rsidR="00486F33">
        <w:rPr>
          <w:rFonts w:ascii="ISOCPEUR" w:eastAsia="Times New Roman" w:hAnsi="ISOCPEUR" w:cs="Tahoma"/>
          <w:sz w:val="24"/>
          <w:szCs w:val="24"/>
          <w:lang w:val="ro-RO" w:eastAsia="ro-RO"/>
        </w:rPr>
        <w:t>xim de inaltime 17m, S/D+P+2e, m</w:t>
      </w:r>
      <w:r w:rsidRPr="005363F8">
        <w:rPr>
          <w:rFonts w:ascii="ISOCPEUR" w:eastAsia="Times New Roman" w:hAnsi="ISOCPEUR" w:cs="Tahoma"/>
          <w:sz w:val="24"/>
          <w:szCs w:val="24"/>
          <w:lang w:val="ro-RO" w:eastAsia="ro-RO"/>
        </w:rPr>
        <w:t xml:space="preserve">axim 3 nivele. </w:t>
      </w:r>
    </w:p>
    <w:p w:rsidR="005363F8" w:rsidRPr="005363F8" w:rsidRDefault="005363F8" w:rsidP="005363F8">
      <w:pPr>
        <w:spacing w:after="0" w:line="240" w:lineRule="auto"/>
        <w:ind w:firstLine="360"/>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 xml:space="preserve"> Subzona u2 - regim ma</w:t>
      </w:r>
      <w:r w:rsidR="00486F33">
        <w:rPr>
          <w:rFonts w:ascii="ISOCPEUR" w:eastAsia="Times New Roman" w:hAnsi="ISOCPEUR" w:cs="Tahoma"/>
          <w:sz w:val="24"/>
          <w:szCs w:val="24"/>
          <w:lang w:val="ro-RO" w:eastAsia="ro-RO"/>
        </w:rPr>
        <w:t>xim de inaltime 20m, S/D+P+3e, m</w:t>
      </w:r>
      <w:r w:rsidRPr="005363F8">
        <w:rPr>
          <w:rFonts w:ascii="ISOCPEUR" w:eastAsia="Times New Roman" w:hAnsi="ISOCPEUR" w:cs="Tahoma"/>
          <w:sz w:val="24"/>
          <w:szCs w:val="24"/>
          <w:lang w:val="ro-RO" w:eastAsia="ro-RO"/>
        </w:rPr>
        <w:t>axim 4 nivele.</w:t>
      </w:r>
    </w:p>
    <w:p w:rsidR="005363F8" w:rsidRPr="005363F8" w:rsidRDefault="005363F8" w:rsidP="005363F8">
      <w:pPr>
        <w:spacing w:after="0" w:line="240" w:lineRule="auto"/>
        <w:jc w:val="both"/>
        <w:rPr>
          <w:rFonts w:ascii="ISOCPEUR" w:eastAsia="Times New Roman" w:hAnsi="ISOCPEUR" w:cs="Tahoma"/>
          <w:b/>
          <w:sz w:val="26"/>
          <w:szCs w:val="24"/>
          <w:lang w:val="ro-RO" w:eastAsia="ro-RO"/>
        </w:rPr>
      </w:pPr>
    </w:p>
    <w:p w:rsidR="005363F8" w:rsidRPr="005363F8" w:rsidRDefault="005363F8" w:rsidP="005363F8">
      <w:pPr>
        <w:spacing w:after="0" w:line="240" w:lineRule="auto"/>
        <w:ind w:left="360"/>
        <w:jc w:val="both"/>
        <w:rPr>
          <w:rFonts w:ascii="ISOCPEUR" w:eastAsia="Times New Roman" w:hAnsi="ISOCPEUR" w:cs="Tahoma"/>
          <w:b/>
          <w:sz w:val="26"/>
          <w:szCs w:val="24"/>
          <w:lang w:val="ro-RO" w:eastAsia="ro-RO"/>
        </w:rPr>
      </w:pPr>
      <w:r w:rsidRPr="005363F8">
        <w:rPr>
          <w:rFonts w:ascii="ISOCPEUR" w:eastAsia="Times New Roman" w:hAnsi="ISOCPEUR" w:cs="Tahoma"/>
          <w:b/>
          <w:sz w:val="26"/>
          <w:szCs w:val="24"/>
          <w:lang w:val="ro-RO" w:eastAsia="ro-RO"/>
        </w:rPr>
        <w:t>BILANT TERITORIAL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326"/>
        <w:gridCol w:w="1824"/>
      </w:tblGrid>
      <w:tr w:rsidR="005363F8" w:rsidRPr="005363F8" w:rsidTr="00D47A1C">
        <w:tc>
          <w:tcPr>
            <w:tcW w:w="5418" w:type="dxa"/>
          </w:tcPr>
          <w:p w:rsidR="005363F8" w:rsidRPr="005363F8" w:rsidRDefault="005363F8" w:rsidP="005363F8">
            <w:pPr>
              <w:keepNext/>
              <w:spacing w:after="0" w:line="240" w:lineRule="auto"/>
              <w:jc w:val="both"/>
              <w:outlineLvl w:val="2"/>
              <w:rPr>
                <w:rFonts w:ascii="ISOCPEUR" w:eastAsia="Times New Roman" w:hAnsi="ISOCPEUR" w:cs="Tahoma"/>
                <w:b/>
                <w:bCs/>
                <w:sz w:val="24"/>
                <w:szCs w:val="24"/>
                <w:lang w:val="ro-RO" w:eastAsia="ro-RO"/>
              </w:rPr>
            </w:pPr>
            <w:r w:rsidRPr="005363F8">
              <w:rPr>
                <w:rFonts w:ascii="ISOCPEUR" w:eastAsia="Times New Roman" w:hAnsi="ISOCPEUR" w:cs="Tahoma"/>
                <w:b/>
                <w:bCs/>
                <w:sz w:val="24"/>
                <w:szCs w:val="24"/>
                <w:lang w:val="ro-RO" w:eastAsia="ro-RO"/>
              </w:rPr>
              <w:t>ZONE/SUBZONE FUNCTIONALE</w:t>
            </w:r>
          </w:p>
        </w:tc>
        <w:tc>
          <w:tcPr>
            <w:tcW w:w="1326" w:type="dxa"/>
          </w:tcPr>
          <w:p w:rsidR="005363F8" w:rsidRPr="005363F8" w:rsidRDefault="005363F8" w:rsidP="005363F8">
            <w:pPr>
              <w:keepNext/>
              <w:spacing w:after="0" w:line="240" w:lineRule="auto"/>
              <w:jc w:val="both"/>
              <w:outlineLvl w:val="2"/>
              <w:rPr>
                <w:rFonts w:ascii="ISOCPEUR" w:eastAsia="Times New Roman" w:hAnsi="ISOCPEUR" w:cs="Tahoma"/>
                <w:b/>
                <w:bCs/>
                <w:sz w:val="24"/>
                <w:szCs w:val="24"/>
                <w:lang w:val="ro-RO" w:eastAsia="ro-RO"/>
              </w:rPr>
            </w:pPr>
            <w:r w:rsidRPr="005363F8">
              <w:rPr>
                <w:rFonts w:ascii="ISOCPEUR" w:eastAsia="Times New Roman" w:hAnsi="ISOCPEUR" w:cs="Tahoma"/>
                <w:b/>
                <w:bCs/>
                <w:sz w:val="24"/>
                <w:szCs w:val="24"/>
                <w:lang w:val="ro-RO" w:eastAsia="ro-RO"/>
              </w:rPr>
              <w:t>mp</w:t>
            </w:r>
          </w:p>
        </w:tc>
        <w:tc>
          <w:tcPr>
            <w:tcW w:w="1824" w:type="dxa"/>
          </w:tcPr>
          <w:p w:rsidR="005363F8" w:rsidRPr="005363F8" w:rsidRDefault="005363F8" w:rsidP="005363F8">
            <w:pPr>
              <w:spacing w:after="0" w:line="240" w:lineRule="auto"/>
              <w:jc w:val="both"/>
              <w:rPr>
                <w:rFonts w:ascii="ISOCPEUR" w:eastAsia="Times New Roman" w:hAnsi="ISOCPEUR" w:cs="Tahoma"/>
                <w:b/>
                <w:sz w:val="24"/>
                <w:szCs w:val="24"/>
                <w:lang w:val="ro-RO" w:eastAsia="ro-RO"/>
              </w:rPr>
            </w:pPr>
            <w:r w:rsidRPr="005363F8">
              <w:rPr>
                <w:rFonts w:ascii="ISOCPEUR" w:eastAsia="Times New Roman" w:hAnsi="ISOCPEUR" w:cs="Tahoma"/>
                <w:b/>
                <w:sz w:val="24"/>
                <w:szCs w:val="24"/>
                <w:lang w:val="ro-RO" w:eastAsia="ro-RO"/>
              </w:rPr>
              <w:t>%</w:t>
            </w:r>
          </w:p>
        </w:tc>
      </w:tr>
      <w:tr w:rsidR="005363F8" w:rsidRPr="005363F8" w:rsidTr="00D47A1C">
        <w:tc>
          <w:tcPr>
            <w:tcW w:w="5418" w:type="dxa"/>
          </w:tcPr>
          <w:p w:rsidR="005363F8" w:rsidRPr="005363F8" w:rsidRDefault="005363F8" w:rsidP="005363F8">
            <w:pPr>
              <w:keepNext/>
              <w:spacing w:after="0" w:line="240" w:lineRule="auto"/>
              <w:jc w:val="both"/>
              <w:outlineLvl w:val="2"/>
              <w:rPr>
                <w:rFonts w:ascii="ISOCPEUR" w:eastAsia="Times New Roman" w:hAnsi="ISOCPEUR" w:cs="Tahoma"/>
                <w:bCs/>
                <w:sz w:val="24"/>
                <w:szCs w:val="24"/>
                <w:lang w:val="ro-RO" w:eastAsia="ro-RO"/>
              </w:rPr>
            </w:pPr>
            <w:r w:rsidRPr="005363F8">
              <w:rPr>
                <w:rFonts w:ascii="ISOCPEUR" w:eastAsia="Times New Roman" w:hAnsi="ISOCPEUR" w:cs="Tahoma"/>
                <w:bCs/>
                <w:sz w:val="24"/>
                <w:szCs w:val="24"/>
                <w:lang w:val="ro-RO" w:eastAsia="ro-RO"/>
              </w:rPr>
              <w:t>TOTAL TEREN</w:t>
            </w:r>
          </w:p>
        </w:tc>
        <w:tc>
          <w:tcPr>
            <w:tcW w:w="1326" w:type="dxa"/>
            <w:vAlign w:val="center"/>
          </w:tcPr>
          <w:p w:rsidR="005363F8" w:rsidRPr="005363F8" w:rsidRDefault="005363F8" w:rsidP="005363F8">
            <w:pPr>
              <w:keepNext/>
              <w:spacing w:after="0" w:line="240" w:lineRule="auto"/>
              <w:jc w:val="both"/>
              <w:outlineLvl w:val="2"/>
              <w:rPr>
                <w:rFonts w:ascii="ISOCPEUR" w:eastAsia="Times New Roman" w:hAnsi="ISOCPEUR" w:cs="Tahoma"/>
                <w:b/>
                <w:bCs/>
                <w:sz w:val="24"/>
                <w:szCs w:val="24"/>
                <w:lang w:val="ro-RO" w:eastAsia="ro-RO"/>
              </w:rPr>
            </w:pPr>
            <w:r w:rsidRPr="005363F8">
              <w:rPr>
                <w:rFonts w:ascii="ISOCPEUR" w:eastAsia="Times New Roman" w:hAnsi="ISOCPEUR" w:cs="Tahoma"/>
                <w:b/>
                <w:bCs/>
                <w:sz w:val="24"/>
                <w:szCs w:val="24"/>
                <w:lang w:val="ro-RO" w:eastAsia="ro-RO"/>
              </w:rPr>
              <w:t>1.043</w:t>
            </w:r>
          </w:p>
        </w:tc>
        <w:tc>
          <w:tcPr>
            <w:tcW w:w="1824" w:type="dxa"/>
            <w:vAlign w:val="center"/>
          </w:tcPr>
          <w:p w:rsidR="005363F8" w:rsidRPr="005363F8" w:rsidRDefault="005363F8" w:rsidP="005363F8">
            <w:pPr>
              <w:spacing w:after="0" w:line="240" w:lineRule="auto"/>
              <w:jc w:val="both"/>
              <w:rPr>
                <w:rFonts w:ascii="ISOCPEUR" w:eastAsia="Times New Roman" w:hAnsi="ISOCPEUR" w:cs="Tahoma"/>
                <w:b/>
                <w:sz w:val="24"/>
                <w:szCs w:val="24"/>
                <w:lang w:val="ro-RO" w:eastAsia="ro-RO"/>
              </w:rPr>
            </w:pPr>
            <w:r w:rsidRPr="005363F8">
              <w:rPr>
                <w:rFonts w:ascii="ISOCPEUR" w:eastAsia="Times New Roman" w:hAnsi="ISOCPEUR" w:cs="Tahoma"/>
                <w:b/>
                <w:sz w:val="24"/>
                <w:szCs w:val="24"/>
                <w:lang w:val="ro-RO" w:eastAsia="ro-RO"/>
              </w:rPr>
              <w:t>100</w:t>
            </w:r>
          </w:p>
        </w:tc>
      </w:tr>
      <w:tr w:rsidR="005363F8" w:rsidRPr="005363F8" w:rsidTr="00D47A1C">
        <w:tc>
          <w:tcPr>
            <w:tcW w:w="5418" w:type="dxa"/>
          </w:tcPr>
          <w:p w:rsidR="005363F8" w:rsidRPr="005363F8" w:rsidRDefault="005363F8" w:rsidP="005363F8">
            <w:pPr>
              <w:spacing w:after="0" w:line="240" w:lineRule="auto"/>
              <w:jc w:val="both"/>
              <w:rPr>
                <w:rFonts w:ascii="ISOCPEUR" w:eastAsia="Times New Roman" w:hAnsi="ISOCPEUR" w:cs="Tahoma"/>
                <w:sz w:val="26"/>
                <w:szCs w:val="24"/>
                <w:lang w:val="ro-RO" w:eastAsia="ro-RO"/>
              </w:rPr>
            </w:pPr>
            <w:r w:rsidRPr="005363F8">
              <w:rPr>
                <w:rFonts w:ascii="Arial" w:eastAsia="Times New Roman" w:hAnsi="Arial" w:cs="Arial"/>
                <w:sz w:val="24"/>
                <w:szCs w:val="24"/>
                <w:lang w:val="ro-RO" w:eastAsia="ro-RO"/>
              </w:rPr>
              <w:t>●</w:t>
            </w:r>
            <w:r w:rsidRPr="005363F8">
              <w:rPr>
                <w:rFonts w:ascii="ISOCPEUR" w:eastAsia="Times New Roman" w:hAnsi="ISOCPEUR" w:cs="Tahoma"/>
                <w:sz w:val="24"/>
                <w:szCs w:val="24"/>
                <w:lang w:val="ro-RO" w:eastAsia="ro-RO"/>
              </w:rPr>
              <w:t xml:space="preserve"> ZONA </w:t>
            </w:r>
            <w:r w:rsidRPr="005363F8">
              <w:rPr>
                <w:rFonts w:ascii="ISOCPEUR" w:eastAsia="Times New Roman" w:hAnsi="ISOCPEUR" w:cs="Tahoma"/>
                <w:b/>
                <w:sz w:val="24"/>
                <w:szCs w:val="24"/>
                <w:lang w:val="ro-RO" w:eastAsia="ro-RO"/>
              </w:rPr>
              <w:t xml:space="preserve">Isco </w:t>
            </w:r>
            <w:r w:rsidRPr="005363F8">
              <w:rPr>
                <w:rFonts w:ascii="ISOCPEUR" w:eastAsia="Times New Roman" w:hAnsi="ISOCPEUR" w:cs="Tahoma"/>
                <w:sz w:val="24"/>
                <w:szCs w:val="24"/>
                <w:lang w:val="ro-RO" w:eastAsia="ro-RO"/>
              </w:rPr>
              <w:t xml:space="preserve">  - unitati industriale – subzona comert si prestari servicii - din care:</w:t>
            </w:r>
          </w:p>
        </w:tc>
        <w:tc>
          <w:tcPr>
            <w:tcW w:w="1326" w:type="dxa"/>
            <w:vAlign w:val="center"/>
          </w:tcPr>
          <w:p w:rsidR="005363F8" w:rsidRPr="005363F8" w:rsidRDefault="005363F8" w:rsidP="005363F8">
            <w:pPr>
              <w:spacing w:after="0" w:line="240" w:lineRule="auto"/>
              <w:jc w:val="both"/>
              <w:rPr>
                <w:rFonts w:ascii="ISOCPEUR" w:eastAsia="Times New Roman" w:hAnsi="ISOCPEUR" w:cs="Tahoma"/>
                <w:b/>
                <w:sz w:val="24"/>
                <w:szCs w:val="24"/>
                <w:lang w:val="ro-RO" w:eastAsia="ro-RO"/>
              </w:rPr>
            </w:pPr>
            <w:r w:rsidRPr="005363F8">
              <w:rPr>
                <w:rFonts w:ascii="ISOCPEUR" w:eastAsia="Times New Roman" w:hAnsi="ISOCPEUR" w:cs="Tahoma"/>
                <w:b/>
                <w:sz w:val="24"/>
                <w:szCs w:val="24"/>
                <w:lang w:val="ro-RO" w:eastAsia="ro-RO"/>
              </w:rPr>
              <w:t>1.043</w:t>
            </w:r>
          </w:p>
        </w:tc>
        <w:tc>
          <w:tcPr>
            <w:tcW w:w="1824" w:type="dxa"/>
            <w:vAlign w:val="center"/>
          </w:tcPr>
          <w:p w:rsidR="005363F8" w:rsidRPr="005363F8" w:rsidRDefault="005363F8" w:rsidP="005363F8">
            <w:pPr>
              <w:spacing w:after="0" w:line="240" w:lineRule="auto"/>
              <w:jc w:val="both"/>
              <w:rPr>
                <w:rFonts w:ascii="ISOCPEUR" w:eastAsia="Times New Roman" w:hAnsi="ISOCPEUR" w:cs="Tahoma"/>
                <w:b/>
                <w:sz w:val="24"/>
                <w:szCs w:val="24"/>
                <w:lang w:val="ro-RO" w:eastAsia="ro-RO"/>
              </w:rPr>
            </w:pPr>
            <w:r w:rsidRPr="005363F8">
              <w:rPr>
                <w:rFonts w:ascii="ISOCPEUR" w:eastAsia="Times New Roman" w:hAnsi="ISOCPEUR" w:cs="Tahoma"/>
                <w:b/>
                <w:sz w:val="24"/>
                <w:szCs w:val="24"/>
                <w:lang w:val="ro-RO" w:eastAsia="ro-RO"/>
              </w:rPr>
              <w:t>100</w:t>
            </w:r>
          </w:p>
        </w:tc>
      </w:tr>
      <w:tr w:rsidR="005363F8" w:rsidRPr="005363F8" w:rsidTr="00D47A1C">
        <w:tc>
          <w:tcPr>
            <w:tcW w:w="5418" w:type="dxa"/>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Suprafata maxima construita pe lot</w:t>
            </w:r>
          </w:p>
        </w:tc>
        <w:tc>
          <w:tcPr>
            <w:tcW w:w="1326"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469,35</w:t>
            </w:r>
          </w:p>
        </w:tc>
        <w:tc>
          <w:tcPr>
            <w:tcW w:w="1824"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45,00</w:t>
            </w:r>
          </w:p>
        </w:tc>
      </w:tr>
      <w:tr w:rsidR="005363F8" w:rsidRPr="005363F8" w:rsidTr="00D47A1C">
        <w:tc>
          <w:tcPr>
            <w:tcW w:w="5418" w:type="dxa"/>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Suprafata spatii verzi minim pe lot</w:t>
            </w:r>
          </w:p>
        </w:tc>
        <w:tc>
          <w:tcPr>
            <w:tcW w:w="1326"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208,60</w:t>
            </w:r>
          </w:p>
        </w:tc>
        <w:tc>
          <w:tcPr>
            <w:tcW w:w="1824"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20,00</w:t>
            </w:r>
          </w:p>
        </w:tc>
      </w:tr>
      <w:tr w:rsidR="005363F8" w:rsidRPr="005363F8" w:rsidTr="00D47A1C">
        <w:tc>
          <w:tcPr>
            <w:tcW w:w="5418" w:type="dxa"/>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 xml:space="preserve">Suprafata amenajari incinta </w:t>
            </w:r>
          </w:p>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(parcaje, platforme, circulatii, alei carosabile, etc. )</w:t>
            </w:r>
          </w:p>
        </w:tc>
        <w:tc>
          <w:tcPr>
            <w:tcW w:w="1326"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365,05</w:t>
            </w:r>
          </w:p>
        </w:tc>
        <w:tc>
          <w:tcPr>
            <w:tcW w:w="1824" w:type="dxa"/>
            <w:vAlign w:val="center"/>
          </w:tcPr>
          <w:p w:rsidR="005363F8" w:rsidRPr="005363F8" w:rsidRDefault="005363F8" w:rsidP="005363F8">
            <w:pPr>
              <w:spacing w:after="0" w:line="240" w:lineRule="auto"/>
              <w:jc w:val="both"/>
              <w:rPr>
                <w:rFonts w:ascii="ISOCPEUR" w:eastAsia="Times New Roman" w:hAnsi="ISOCPEUR" w:cs="Tahoma"/>
                <w:sz w:val="24"/>
                <w:szCs w:val="24"/>
                <w:lang w:val="ro-RO" w:eastAsia="ro-RO"/>
              </w:rPr>
            </w:pPr>
            <w:r w:rsidRPr="005363F8">
              <w:rPr>
                <w:rFonts w:ascii="ISOCPEUR" w:eastAsia="Times New Roman" w:hAnsi="ISOCPEUR" w:cs="Tahoma"/>
                <w:sz w:val="24"/>
                <w:szCs w:val="24"/>
                <w:lang w:val="ro-RO" w:eastAsia="ro-RO"/>
              </w:rPr>
              <w:t>35,00</w:t>
            </w:r>
          </w:p>
        </w:tc>
      </w:tr>
    </w:tbl>
    <w:p w:rsidR="005363F8" w:rsidRPr="005363F8" w:rsidRDefault="005363F8" w:rsidP="005363F8">
      <w:pPr>
        <w:spacing w:after="0" w:line="240" w:lineRule="auto"/>
        <w:ind w:left="360"/>
        <w:jc w:val="both"/>
        <w:rPr>
          <w:rFonts w:ascii="ISOCPEUR" w:eastAsia="Times New Roman" w:hAnsi="ISOCPEUR" w:cs="Tahoma"/>
          <w:sz w:val="24"/>
          <w:szCs w:val="24"/>
          <w:u w:val="single"/>
          <w:lang w:val="ro-RO" w:eastAsia="ro-RO"/>
        </w:rPr>
      </w:pP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b/>
          <w:sz w:val="28"/>
          <w:szCs w:val="28"/>
          <w:lang w:val="ro-RO"/>
        </w:rPr>
        <w:t>Alimentarea cu apa</w:t>
      </w:r>
      <w:r w:rsidRPr="005363F8">
        <w:rPr>
          <w:rFonts w:ascii="Times New Roman" w:hAnsi="Times New Roman"/>
          <w:sz w:val="28"/>
          <w:szCs w:val="28"/>
          <w:lang w:val="ro-RO"/>
        </w:rPr>
        <w:t xml:space="preserve"> se va realiza de la conducta de apa amplasata subteran pe strada Isaccei (bransament existent).</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b/>
          <w:sz w:val="28"/>
          <w:szCs w:val="28"/>
          <w:lang w:val="ro-RO"/>
        </w:rPr>
        <w:t>Apele menajere</w:t>
      </w:r>
      <w:r w:rsidRPr="005363F8">
        <w:rPr>
          <w:rFonts w:ascii="Times New Roman" w:hAnsi="Times New Roman"/>
          <w:sz w:val="28"/>
          <w:szCs w:val="28"/>
          <w:lang w:val="ro-RO"/>
        </w:rPr>
        <w:t xml:space="preserve"> vor fi colectate prin intermediul unor retele de canalizare propuse a fi dirijate gravitational la caminele de vizitare existente pe colectorul amplasat subteran pe strada Isaccei. Vor fi prevazute separatoare de grasimi pentru spatiile de alimentatie publica, dupa caz si separatoare de hidrocarburi pentru spatiile de intretinere masini.</w:t>
      </w:r>
    </w:p>
    <w:p w:rsidR="005363F8" w:rsidRPr="005363F8" w:rsidRDefault="005363F8" w:rsidP="005363F8">
      <w:pPr>
        <w:spacing w:after="0" w:line="240" w:lineRule="auto"/>
        <w:jc w:val="both"/>
        <w:rPr>
          <w:rFonts w:ascii="Times New Roman" w:hAnsi="Times New Roman"/>
          <w:b/>
          <w:sz w:val="28"/>
          <w:szCs w:val="28"/>
          <w:lang w:val="ro-RO"/>
        </w:rPr>
      </w:pPr>
      <w:r w:rsidRPr="005363F8">
        <w:rPr>
          <w:rFonts w:ascii="Times New Roman" w:hAnsi="Times New Roman"/>
          <w:b/>
          <w:sz w:val="28"/>
          <w:szCs w:val="28"/>
          <w:lang w:val="ro-RO"/>
        </w:rPr>
        <w:t xml:space="preserve">Alimentarea cu energie electrica- </w:t>
      </w:r>
      <w:r w:rsidRPr="005363F8">
        <w:rPr>
          <w:rFonts w:ascii="Times New Roman" w:hAnsi="Times New Roman"/>
          <w:sz w:val="28"/>
          <w:szCs w:val="28"/>
          <w:lang w:val="ro-RO"/>
        </w:rPr>
        <w:t>In prezent exista retele ce vor asigura racordul imobilului rezultat.</w:t>
      </w:r>
    </w:p>
    <w:p w:rsidR="005363F8" w:rsidRP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b/>
          <w:sz w:val="28"/>
          <w:szCs w:val="28"/>
          <w:lang w:val="ro-RO"/>
        </w:rPr>
        <w:t>Alimentarea cu energie termica</w:t>
      </w:r>
      <w:r w:rsidRPr="005363F8">
        <w:rPr>
          <w:rFonts w:ascii="Times New Roman" w:hAnsi="Times New Roman"/>
          <w:sz w:val="28"/>
          <w:szCs w:val="28"/>
          <w:lang w:val="ro-RO"/>
        </w:rPr>
        <w:t>- Exista retele publice de alimentare cu energie termica.</w:t>
      </w:r>
    </w:p>
    <w:p w:rsidR="005363F8" w:rsidRDefault="005363F8" w:rsidP="005363F8">
      <w:pPr>
        <w:spacing w:after="0" w:line="240" w:lineRule="auto"/>
        <w:jc w:val="both"/>
        <w:rPr>
          <w:rFonts w:ascii="Times New Roman" w:hAnsi="Times New Roman"/>
          <w:sz w:val="28"/>
          <w:szCs w:val="28"/>
          <w:lang w:val="ro-RO"/>
        </w:rPr>
      </w:pPr>
      <w:r w:rsidRPr="005363F8">
        <w:rPr>
          <w:rFonts w:ascii="Times New Roman" w:hAnsi="Times New Roman"/>
          <w:sz w:val="28"/>
          <w:szCs w:val="28"/>
          <w:lang w:val="ro-RO"/>
        </w:rPr>
        <w:t>Se vor respecta conditiile din avizul de amplasament nr. 3706/23.11.2017 e</w:t>
      </w:r>
      <w:r>
        <w:rPr>
          <w:rFonts w:ascii="Times New Roman" w:hAnsi="Times New Roman"/>
          <w:sz w:val="28"/>
          <w:szCs w:val="28"/>
          <w:lang w:val="ro-RO"/>
        </w:rPr>
        <w:t xml:space="preserve">liberat de  </w:t>
      </w:r>
      <w:r w:rsidRPr="005363F8">
        <w:rPr>
          <w:rFonts w:ascii="Times New Roman" w:hAnsi="Times New Roman"/>
          <w:sz w:val="28"/>
          <w:szCs w:val="28"/>
          <w:lang w:val="ro-RO"/>
        </w:rPr>
        <w:t>SC ENERGOTERM SA.</w:t>
      </w:r>
    </w:p>
    <w:p w:rsidR="005363F8" w:rsidRPr="005363F8" w:rsidRDefault="005363F8" w:rsidP="005363F8">
      <w:pPr>
        <w:spacing w:after="0" w:line="240" w:lineRule="auto"/>
        <w:jc w:val="both"/>
        <w:rPr>
          <w:rFonts w:ascii="Times New Roman" w:hAnsi="Times New Roman"/>
          <w:sz w:val="28"/>
          <w:szCs w:val="28"/>
          <w:lang w:val="ro-RO"/>
        </w:rPr>
      </w:pPr>
    </w:p>
    <w:p w:rsidR="00452038" w:rsidRPr="00DF05A4" w:rsidRDefault="00452038" w:rsidP="005363F8">
      <w:pPr>
        <w:jc w:val="both"/>
        <w:rPr>
          <w:rFonts w:ascii="Times New Roman" w:hAnsi="Times New Roman"/>
          <w:sz w:val="28"/>
          <w:szCs w:val="28"/>
          <w:lang w:val="ro-RO"/>
        </w:rPr>
      </w:pPr>
      <w:r w:rsidRPr="00485B3B">
        <w:rPr>
          <w:rFonts w:ascii="Times New Roman" w:hAnsi="Times New Roman"/>
          <w:sz w:val="24"/>
          <w:szCs w:val="24"/>
          <w:lang w:val="ro-RO"/>
        </w:rPr>
        <w:t xml:space="preserve">         </w:t>
      </w:r>
      <w:r w:rsidRPr="00DF05A4">
        <w:rPr>
          <w:rFonts w:ascii="Times New Roman" w:hAnsi="Times New Roman"/>
          <w:sz w:val="28"/>
          <w:szCs w:val="28"/>
          <w:lang w:val="ro-RO"/>
        </w:rPr>
        <w:t>Informaţiile cu privire la planul menţionat pot fi consultate la sediul APM Tulcea, str.14 Noiembrie, nr.5, tel.0240510622, de luni până joi între orele 08,00-16,30 şi vineri între orele 08,00-14,00.</w:t>
      </w:r>
    </w:p>
    <w:p w:rsidR="00452038" w:rsidRDefault="00452038" w:rsidP="005363F8">
      <w:pPr>
        <w:pStyle w:val="BodyText3"/>
        <w:jc w:val="both"/>
        <w:rPr>
          <w:rFonts w:ascii="Times New Roman" w:hAnsi="Times New Roman"/>
          <w:sz w:val="28"/>
          <w:szCs w:val="28"/>
          <w:lang w:val="ro-RO"/>
        </w:rPr>
      </w:pPr>
      <w:r w:rsidRPr="00DF05A4">
        <w:rPr>
          <w:rFonts w:ascii="Times New Roman" w:hAnsi="Times New Roman"/>
          <w:sz w:val="28"/>
          <w:szCs w:val="28"/>
          <w:lang w:val="ro-RO"/>
        </w:rPr>
        <w:t xml:space="preserve">      Observaţiile publicului se vor primi in scris la  APM Tulc</w:t>
      </w:r>
      <w:bookmarkStart w:id="0" w:name="_GoBack"/>
      <w:bookmarkEnd w:id="0"/>
      <w:r w:rsidRPr="00DF05A4">
        <w:rPr>
          <w:rFonts w:ascii="Times New Roman" w:hAnsi="Times New Roman"/>
          <w:sz w:val="28"/>
          <w:szCs w:val="28"/>
          <w:lang w:val="ro-RO"/>
        </w:rPr>
        <w:t xml:space="preserve">ea ,telefon/fax 0240 /510622, 0240/510621, e-mail </w:t>
      </w:r>
      <w:hyperlink r:id="rId8" w:history="1">
        <w:r w:rsidRPr="00DF05A4">
          <w:rPr>
            <w:rStyle w:val="Hyperlink"/>
            <w:rFonts w:ascii="Times New Roman" w:hAnsi="Times New Roman"/>
            <w:sz w:val="28"/>
            <w:szCs w:val="28"/>
            <w:lang w:val="ro-RO"/>
          </w:rPr>
          <w:t>office@apmtl.anpm.ro</w:t>
        </w:r>
      </w:hyperlink>
      <w:r w:rsidRPr="00DF05A4">
        <w:rPr>
          <w:rFonts w:ascii="Times New Roman" w:hAnsi="Times New Roman"/>
          <w:sz w:val="28"/>
          <w:szCs w:val="28"/>
          <w:lang w:val="ro-RO"/>
        </w:rPr>
        <w:t>, în termen de 10 zile calendaristice de la data publicării anunţului.</w:t>
      </w:r>
    </w:p>
    <w:p w:rsidR="00E12219" w:rsidRPr="00485B3B" w:rsidRDefault="00452038" w:rsidP="005363F8">
      <w:pPr>
        <w:jc w:val="both"/>
        <w:rPr>
          <w:rFonts w:ascii="Times New Roman" w:hAnsi="Times New Roman"/>
          <w:sz w:val="24"/>
          <w:szCs w:val="24"/>
          <w:lang w:val="ro-RO"/>
        </w:rPr>
      </w:pPr>
      <w:r w:rsidRPr="00485B3B">
        <w:rPr>
          <w:rStyle w:val="sttpar"/>
          <w:rFonts w:ascii="Times New Roman" w:hAnsi="Times New Roman"/>
          <w:sz w:val="24"/>
          <w:szCs w:val="24"/>
          <w:lang w:val="ro-RO"/>
        </w:rPr>
        <w:t xml:space="preserve">Postat </w:t>
      </w:r>
      <w:r w:rsidR="000D3A82" w:rsidRPr="00485B3B">
        <w:rPr>
          <w:rStyle w:val="sttpar"/>
          <w:rFonts w:ascii="Times New Roman" w:hAnsi="Times New Roman"/>
          <w:sz w:val="24"/>
          <w:szCs w:val="24"/>
          <w:lang w:val="ro-RO"/>
        </w:rPr>
        <w:t xml:space="preserve">la </w:t>
      </w:r>
      <w:r w:rsidRPr="00485B3B">
        <w:rPr>
          <w:rStyle w:val="sttpar"/>
          <w:rFonts w:ascii="Times New Roman" w:hAnsi="Times New Roman"/>
          <w:sz w:val="24"/>
          <w:szCs w:val="24"/>
          <w:lang w:val="ro-RO"/>
        </w:rPr>
        <w:t>APM Tulcea</w:t>
      </w:r>
      <w:r w:rsidR="00485B3B">
        <w:rPr>
          <w:rStyle w:val="sttpar"/>
          <w:rFonts w:ascii="Times New Roman" w:hAnsi="Times New Roman"/>
          <w:sz w:val="24"/>
          <w:szCs w:val="24"/>
          <w:lang w:val="ro-RO"/>
        </w:rPr>
        <w:t xml:space="preserve">:    </w:t>
      </w:r>
      <w:r w:rsidR="00486F33">
        <w:rPr>
          <w:rStyle w:val="sttpar"/>
          <w:rFonts w:ascii="Times New Roman" w:hAnsi="Times New Roman"/>
          <w:sz w:val="24"/>
          <w:szCs w:val="24"/>
          <w:lang w:val="ro-RO"/>
        </w:rPr>
        <w:t>21</w:t>
      </w:r>
      <w:r w:rsidR="004E5377" w:rsidRPr="00505482">
        <w:rPr>
          <w:rStyle w:val="sttpar"/>
          <w:rFonts w:ascii="Times New Roman" w:hAnsi="Times New Roman"/>
          <w:sz w:val="24"/>
          <w:szCs w:val="24"/>
          <w:lang w:val="ro-RO"/>
        </w:rPr>
        <w:t>.02</w:t>
      </w:r>
      <w:r w:rsidR="00360327" w:rsidRPr="00505482">
        <w:rPr>
          <w:rStyle w:val="sttpar"/>
          <w:rFonts w:ascii="Times New Roman" w:hAnsi="Times New Roman"/>
          <w:sz w:val="24"/>
          <w:szCs w:val="24"/>
          <w:lang w:val="ro-RO"/>
        </w:rPr>
        <w:t>.2018</w:t>
      </w:r>
    </w:p>
    <w:p w:rsidR="00452038" w:rsidRDefault="00452038" w:rsidP="005363F8">
      <w:pPr>
        <w:jc w:val="both"/>
        <w:rPr>
          <w:rStyle w:val="sttpar"/>
          <w:rFonts w:ascii="Times New Roman" w:hAnsi="Times New Roman"/>
          <w:sz w:val="28"/>
          <w:szCs w:val="28"/>
          <w:lang w:val="ro-RO"/>
        </w:rPr>
      </w:pPr>
    </w:p>
    <w:p w:rsidR="00E12219" w:rsidRPr="00F86108" w:rsidRDefault="00E12219" w:rsidP="005363F8">
      <w:pPr>
        <w:jc w:val="both"/>
        <w:rPr>
          <w:rStyle w:val="sttpar"/>
          <w:rFonts w:ascii="Times New Roman" w:hAnsi="Times New Roman"/>
          <w:sz w:val="28"/>
          <w:szCs w:val="28"/>
          <w:lang w:val="ro-RO"/>
        </w:rPr>
      </w:pPr>
    </w:p>
    <w:p w:rsidR="007536F9" w:rsidRPr="00F86108" w:rsidRDefault="007536F9" w:rsidP="005363F8">
      <w:pPr>
        <w:jc w:val="both"/>
        <w:rPr>
          <w:rFonts w:ascii="Times New Roman" w:hAnsi="Times New Roman"/>
          <w:sz w:val="28"/>
          <w:szCs w:val="28"/>
          <w:lang w:val="ro-RO"/>
        </w:rPr>
      </w:pPr>
    </w:p>
    <w:sectPr w:rsidR="007536F9" w:rsidRPr="00F86108" w:rsidSect="00AE62D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21" w:rsidRDefault="003A0521" w:rsidP="004E5377">
      <w:pPr>
        <w:spacing w:after="0" w:line="240" w:lineRule="auto"/>
      </w:pPr>
      <w:r>
        <w:separator/>
      </w:r>
    </w:p>
  </w:endnote>
  <w:endnote w:type="continuationSeparator" w:id="0">
    <w:p w:rsidR="003A0521" w:rsidRDefault="003A0521" w:rsidP="004E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21" w:rsidRDefault="003A0521" w:rsidP="004E5377">
      <w:pPr>
        <w:spacing w:after="0" w:line="240" w:lineRule="auto"/>
      </w:pPr>
      <w:r>
        <w:separator/>
      </w:r>
    </w:p>
  </w:footnote>
  <w:footnote w:type="continuationSeparator" w:id="0">
    <w:p w:rsidR="003A0521" w:rsidRDefault="003A0521" w:rsidP="004E5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F8" w:rsidRPr="005363F8" w:rsidRDefault="005363F8" w:rsidP="005363F8">
    <w:pPr>
      <w:tabs>
        <w:tab w:val="left" w:pos="9000"/>
      </w:tabs>
      <w:spacing w:after="0" w:line="240" w:lineRule="auto"/>
      <w:rPr>
        <w:rFonts w:ascii="Times New Roman" w:hAnsi="Times New Roman"/>
        <w:b/>
        <w:color w:val="00214E"/>
        <w:sz w:val="36"/>
        <w:szCs w:val="36"/>
        <w:lang w:val="ro-RO"/>
      </w:rPr>
    </w:pPr>
    <w:r>
      <w:rPr>
        <w:noProof/>
      </w:rPr>
      <w:drawing>
        <wp:anchor distT="0" distB="0" distL="114300" distR="114300" simplePos="0" relativeHeight="251659264" behindDoc="1" locked="0" layoutInCell="1" allowOverlap="1" wp14:anchorId="2A682213" wp14:editId="77EFEB65">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5" name="Picture 5"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8">
      <w:rPr>
        <w:rFonts w:ascii="Times New Roman" w:hAnsi="Times New Roman"/>
        <w:b/>
        <w:color w:val="00214E"/>
        <w:sz w:val="32"/>
        <w:szCs w:val="32"/>
        <w:lang w:val="ro-RO"/>
      </w:rPr>
      <w:t xml:space="preserve">  </w:t>
    </w:r>
    <w:r>
      <w:rPr>
        <w:rFonts w:ascii="Times New Roman" w:hAnsi="Times New Roman"/>
        <w:b/>
        <w:noProof/>
        <w:color w:val="00214E"/>
        <w:sz w:val="32"/>
        <w:szCs w:val="32"/>
      </w:rPr>
      <w:drawing>
        <wp:inline distT="0" distB="0" distL="0" distR="0" wp14:anchorId="4A26803F" wp14:editId="4212C2C9">
          <wp:extent cx="2428875"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Pr="005363F8">
      <w:rPr>
        <w:rFonts w:ascii="Times New Roman" w:hAnsi="Times New Roman"/>
        <w:b/>
        <w:color w:val="00214E"/>
        <w:sz w:val="32"/>
        <w:szCs w:val="32"/>
        <w:lang w:val="ro-RO"/>
      </w:rPr>
      <w:t xml:space="preserve">                     </w:t>
    </w:r>
    <w:r w:rsidRPr="005363F8">
      <w:rPr>
        <w:rFonts w:ascii="Times New Roman" w:hAnsi="Times New Roman"/>
        <w:b/>
        <w:color w:val="00214E"/>
        <w:sz w:val="36"/>
        <w:szCs w:val="36"/>
        <w:lang w:val="ro-RO"/>
      </w:rPr>
      <w:t xml:space="preserve">               </w:t>
    </w:r>
  </w:p>
  <w:p w:rsidR="005363F8" w:rsidRPr="005363F8" w:rsidRDefault="005363F8" w:rsidP="005363F8">
    <w:pPr>
      <w:tabs>
        <w:tab w:val="left" w:pos="9000"/>
      </w:tabs>
      <w:spacing w:after="0" w:line="240" w:lineRule="auto"/>
      <w:jc w:val="center"/>
      <w:rPr>
        <w:rFonts w:ascii="Times New Roman" w:hAnsi="Times New Roman"/>
        <w:sz w:val="36"/>
        <w:szCs w:val="36"/>
        <w:lang w:val="ro-RO"/>
      </w:rPr>
    </w:pPr>
    <w:r w:rsidRPr="005363F8">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5363F8" w:rsidRPr="005363F8" w:rsidTr="00D47A1C">
      <w:trPr>
        <w:trHeight w:val="226"/>
      </w:trPr>
      <w:tc>
        <w:tcPr>
          <w:tcW w:w="10173" w:type="dxa"/>
          <w:shd w:val="clear" w:color="auto" w:fill="auto"/>
        </w:tcPr>
        <w:p w:rsidR="005363F8" w:rsidRPr="005363F8" w:rsidRDefault="005363F8" w:rsidP="00D47A1C">
          <w:pPr>
            <w:spacing w:after="0"/>
            <w:jc w:val="center"/>
            <w:rPr>
              <w:rFonts w:ascii="Garamond" w:hAnsi="Garamond"/>
              <w:b/>
              <w:bCs/>
              <w:color w:val="00214E"/>
              <w:sz w:val="32"/>
              <w:szCs w:val="32"/>
              <w:lang w:val="ro-RO"/>
            </w:rPr>
          </w:pPr>
          <w:r w:rsidRPr="005363F8">
            <w:rPr>
              <w:rFonts w:ascii="Times New Roman" w:hAnsi="Times New Roman"/>
              <w:b/>
              <w:bCs/>
              <w:sz w:val="36"/>
              <w:szCs w:val="36"/>
              <w:lang w:val="ro-RO"/>
            </w:rPr>
            <w:t>Agenţia pentru Protecţia Mediului Tulcea</w:t>
          </w:r>
        </w:p>
      </w:tc>
    </w:tr>
  </w:tbl>
  <w:p w:rsidR="005363F8" w:rsidRDefault="00536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7D7D6EEB"/>
    <w:multiLevelType w:val="hybridMultilevel"/>
    <w:tmpl w:val="C6682C40"/>
    <w:lvl w:ilvl="0" w:tplc="F61668FA">
      <w:start w:val="1"/>
      <w:numFmt w:val="bullet"/>
      <w:lvlText w:val="-"/>
      <w:lvlJc w:val="left"/>
      <w:pPr>
        <w:ind w:left="720" w:hanging="360"/>
      </w:pPr>
      <w:rPr>
        <w:rFonts w:ascii="ISOCPEUR" w:eastAsia="Times New Roman" w:hAnsi="ISOCPEUR"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105D"/>
    <w:rsid w:val="000145C6"/>
    <w:rsid w:val="00067FB1"/>
    <w:rsid w:val="000B6C69"/>
    <w:rsid w:val="000C5555"/>
    <w:rsid w:val="000D0F74"/>
    <w:rsid w:val="000D1A88"/>
    <w:rsid w:val="000D3A82"/>
    <w:rsid w:val="000F3F32"/>
    <w:rsid w:val="001056FE"/>
    <w:rsid w:val="00111F7A"/>
    <w:rsid w:val="00120BEB"/>
    <w:rsid w:val="0014563A"/>
    <w:rsid w:val="00176474"/>
    <w:rsid w:val="001B4E39"/>
    <w:rsid w:val="00207633"/>
    <w:rsid w:val="0021041F"/>
    <w:rsid w:val="00227CF7"/>
    <w:rsid w:val="002449B2"/>
    <w:rsid w:val="0029122D"/>
    <w:rsid w:val="002A336A"/>
    <w:rsid w:val="003327A1"/>
    <w:rsid w:val="00360327"/>
    <w:rsid w:val="00373990"/>
    <w:rsid w:val="00382F4A"/>
    <w:rsid w:val="003A0521"/>
    <w:rsid w:val="003A0CCA"/>
    <w:rsid w:val="003B4D88"/>
    <w:rsid w:val="003F4DDA"/>
    <w:rsid w:val="004024DB"/>
    <w:rsid w:val="00411473"/>
    <w:rsid w:val="00412085"/>
    <w:rsid w:val="00412FF2"/>
    <w:rsid w:val="00452038"/>
    <w:rsid w:val="00471CB2"/>
    <w:rsid w:val="00485B3B"/>
    <w:rsid w:val="00486F33"/>
    <w:rsid w:val="004A77FB"/>
    <w:rsid w:val="004E5377"/>
    <w:rsid w:val="00505482"/>
    <w:rsid w:val="0050579B"/>
    <w:rsid w:val="00511FE2"/>
    <w:rsid w:val="005239E5"/>
    <w:rsid w:val="00527904"/>
    <w:rsid w:val="005363F8"/>
    <w:rsid w:val="00564E4A"/>
    <w:rsid w:val="0057372F"/>
    <w:rsid w:val="005907A4"/>
    <w:rsid w:val="00596558"/>
    <w:rsid w:val="005E2E0A"/>
    <w:rsid w:val="006030CC"/>
    <w:rsid w:val="006205A8"/>
    <w:rsid w:val="00724315"/>
    <w:rsid w:val="007536F9"/>
    <w:rsid w:val="00771E75"/>
    <w:rsid w:val="00811374"/>
    <w:rsid w:val="008765A0"/>
    <w:rsid w:val="00883802"/>
    <w:rsid w:val="00900008"/>
    <w:rsid w:val="00A07969"/>
    <w:rsid w:val="00A16D03"/>
    <w:rsid w:val="00A9474C"/>
    <w:rsid w:val="00AF751D"/>
    <w:rsid w:val="00B428B3"/>
    <w:rsid w:val="00B678CF"/>
    <w:rsid w:val="00B9687D"/>
    <w:rsid w:val="00B9730A"/>
    <w:rsid w:val="00BA47A6"/>
    <w:rsid w:val="00C3402B"/>
    <w:rsid w:val="00C60174"/>
    <w:rsid w:val="00CC105D"/>
    <w:rsid w:val="00D21677"/>
    <w:rsid w:val="00D862B7"/>
    <w:rsid w:val="00DA0B5E"/>
    <w:rsid w:val="00DE0544"/>
    <w:rsid w:val="00DF05A4"/>
    <w:rsid w:val="00DF0870"/>
    <w:rsid w:val="00E12219"/>
    <w:rsid w:val="00E2268A"/>
    <w:rsid w:val="00E22C9B"/>
    <w:rsid w:val="00E56D8D"/>
    <w:rsid w:val="00F670FD"/>
    <w:rsid w:val="00F73B58"/>
    <w:rsid w:val="00F86108"/>
    <w:rsid w:val="00FB19FA"/>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E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77"/>
    <w:rPr>
      <w:rFonts w:ascii="Tahoma" w:eastAsia="Calibri" w:hAnsi="Tahoma" w:cs="Tahoma"/>
      <w:sz w:val="16"/>
      <w:szCs w:val="16"/>
    </w:rPr>
  </w:style>
  <w:style w:type="paragraph" w:styleId="Header">
    <w:name w:val="header"/>
    <w:basedOn w:val="Normal"/>
    <w:link w:val="HeaderChar"/>
    <w:uiPriority w:val="99"/>
    <w:unhideWhenUsed/>
    <w:rsid w:val="004E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tl.anpm.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62</cp:revision>
  <cp:lastPrinted>2018-02-21T08:27:00Z</cp:lastPrinted>
  <dcterms:created xsi:type="dcterms:W3CDTF">2013-03-19T07:23:00Z</dcterms:created>
  <dcterms:modified xsi:type="dcterms:W3CDTF">2018-02-21T08:27:00Z</dcterms:modified>
</cp:coreProperties>
</file>