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ind w:right="-379"/>
        <w:rPr>
          <w:rFonts w:ascii="Arial" w:eastAsia="Arial" w:hAnsi="Arial"/>
          <w:b/>
          <w:sz w:val="24"/>
          <w:szCs w:val="24"/>
          <w:lang w:val="it-IT"/>
        </w:rPr>
      </w:pPr>
      <w:r>
        <w:rPr>
          <w:rFonts w:ascii="Arial" w:eastAsia="Arial" w:hAnsi="Arial"/>
          <w:b/>
          <w:sz w:val="24"/>
          <w:szCs w:val="24"/>
          <w:lang w:val="it-IT"/>
        </w:rPr>
        <w:t>Nr.inregistrare 228/29.02.2024</w:t>
      </w:r>
    </w:p>
    <w:p>
      <w:pPr>
        <w:spacing w:line="276" w:lineRule="auto"/>
        <w:ind w:right="-379"/>
        <w:rPr>
          <w:rFonts w:ascii="Arial" w:eastAsia="Arial" w:hAnsi="Arial"/>
          <w:b/>
          <w:sz w:val="24"/>
          <w:szCs w:val="24"/>
          <w:lang w:val="it-IT"/>
        </w:rPr>
      </w:pPr>
    </w:p>
    <w:p>
      <w:pPr>
        <w:spacing w:line="276" w:lineRule="auto"/>
        <w:ind w:right="-379"/>
        <w:rPr>
          <w:rFonts w:ascii="Arial" w:eastAsia="Arial" w:hAnsi="Arial"/>
          <w:b/>
          <w:sz w:val="24"/>
          <w:szCs w:val="24"/>
          <w:lang w:val="it-IT"/>
        </w:rPr>
      </w:pPr>
    </w:p>
    <w:p>
      <w:pPr>
        <w:spacing w:line="276" w:lineRule="auto"/>
        <w:ind w:right="-379"/>
        <w:jc w:val="center"/>
        <w:rPr>
          <w:rFonts w:ascii="Arial" w:eastAsia="Arial" w:hAnsi="Arial"/>
          <w:b/>
          <w:sz w:val="72"/>
          <w:szCs w:val="72"/>
          <w:lang w:val="it-IT"/>
        </w:rPr>
      </w:pPr>
    </w:p>
    <w:p>
      <w:pPr>
        <w:spacing w:line="276" w:lineRule="auto"/>
        <w:ind w:right="-379"/>
        <w:jc w:val="center"/>
        <w:rPr>
          <w:rFonts w:ascii="Arial" w:eastAsia="Arial" w:hAnsi="Arial"/>
          <w:b/>
          <w:sz w:val="72"/>
          <w:szCs w:val="72"/>
          <w:lang w:val="it-IT"/>
        </w:rPr>
      </w:pPr>
    </w:p>
    <w:p>
      <w:pPr>
        <w:spacing w:line="276" w:lineRule="auto"/>
        <w:ind w:right="-379"/>
        <w:jc w:val="center"/>
        <w:rPr>
          <w:rFonts w:ascii="Arial" w:eastAsia="Arial" w:hAnsi="Arial"/>
          <w:b/>
          <w:sz w:val="72"/>
          <w:szCs w:val="72"/>
          <w:lang w:val="it-IT"/>
        </w:rPr>
      </w:pPr>
    </w:p>
    <w:p>
      <w:pPr>
        <w:spacing w:line="276" w:lineRule="auto"/>
        <w:ind w:right="-379"/>
        <w:jc w:val="center"/>
        <w:rPr>
          <w:rFonts w:ascii="Arial" w:eastAsia="Arial" w:hAnsi="Arial"/>
          <w:b/>
          <w:sz w:val="72"/>
          <w:szCs w:val="72"/>
          <w:lang w:val="it-IT"/>
        </w:rPr>
      </w:pPr>
    </w:p>
    <w:p>
      <w:pPr>
        <w:spacing w:line="276" w:lineRule="auto"/>
        <w:ind w:right="-379"/>
        <w:jc w:val="center"/>
        <w:rPr>
          <w:rFonts w:ascii="Arial" w:eastAsia="Arial" w:hAnsi="Arial"/>
          <w:b/>
          <w:sz w:val="72"/>
          <w:szCs w:val="72"/>
        </w:rPr>
      </w:pPr>
      <w:r>
        <w:rPr>
          <w:rFonts w:ascii="Arial" w:eastAsia="Arial" w:hAnsi="Arial"/>
          <w:b/>
          <w:sz w:val="72"/>
          <w:szCs w:val="72"/>
        </w:rPr>
        <w:t>RAPORT ANUAL DE MEDIU</w:t>
      </w:r>
    </w:p>
    <w:p>
      <w:pPr>
        <w:spacing w:line="276" w:lineRule="auto"/>
        <w:ind w:right="-379"/>
        <w:jc w:val="center"/>
        <w:rPr>
          <w:rFonts w:ascii="Arial" w:eastAsia="Arial" w:hAnsi="Arial"/>
          <w:b/>
          <w:sz w:val="72"/>
          <w:szCs w:val="72"/>
        </w:rPr>
      </w:pPr>
      <w:r>
        <w:rPr>
          <w:rFonts w:ascii="Arial" w:eastAsia="Arial" w:hAnsi="Arial"/>
          <w:b/>
          <w:sz w:val="72"/>
          <w:szCs w:val="72"/>
        </w:rPr>
        <w:t>Anul 2023</w:t>
      </w: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Arial" w:hAnsi="Arial"/>
          <w:sz w:val="24"/>
        </w:rPr>
      </w:pPr>
    </w:p>
    <w:p>
      <w:pPr>
        <w:spacing w:line="276" w:lineRule="auto"/>
        <w:jc w:val="both"/>
        <w:rPr>
          <w:rFonts w:ascii="Arial" w:eastAsia="Arial" w:hAnsi="Arial"/>
          <w:sz w:val="24"/>
        </w:rPr>
      </w:pPr>
    </w:p>
    <w:p>
      <w:pPr>
        <w:spacing w:line="276" w:lineRule="auto"/>
        <w:jc w:val="both"/>
        <w:rPr>
          <w:rFonts w:ascii="Arial" w:eastAsia="Arial" w:hAnsi="Arial"/>
          <w:sz w:val="24"/>
        </w:rPr>
      </w:pPr>
    </w:p>
    <w:p/>
    <w:p/>
    <w:p/>
    <w:p/>
    <w:p/>
    <w:p/>
    <w:p/>
    <w:p>
      <w:pPr>
        <w:jc w:val="center"/>
        <w:rPr>
          <w:rFonts w:ascii="Arial" w:hAnsi="Arial"/>
          <w:sz w:val="32"/>
          <w:szCs w:val="32"/>
        </w:rPr>
      </w:pPr>
    </w:p>
    <w:p>
      <w:pPr>
        <w:jc w:val="center"/>
        <w:rPr>
          <w:rFonts w:ascii="Arial" w:hAnsi="Arial"/>
          <w:sz w:val="32"/>
          <w:szCs w:val="32"/>
        </w:rPr>
      </w:pPr>
    </w:p>
    <w:p>
      <w:pPr>
        <w:jc w:val="center"/>
        <w:rPr>
          <w:rFonts w:ascii="Arial" w:eastAsia="Arial" w:hAnsi="Arial"/>
          <w:b/>
          <w:bCs/>
          <w:i/>
          <w:iCs/>
          <w:sz w:val="36"/>
          <w:szCs w:val="36"/>
          <w:u w:val="single"/>
        </w:rPr>
      </w:pPr>
      <w:bookmarkStart w:id="0" w:name="_Toc53661502"/>
      <w:bookmarkStart w:id="1" w:name="_Toc64466757"/>
      <w:r>
        <w:rPr>
          <w:rFonts w:ascii="Arial" w:eastAsia="Arial" w:hAnsi="Arial"/>
          <w:b/>
          <w:i/>
          <w:iCs/>
          <w:sz w:val="36"/>
          <w:szCs w:val="36"/>
          <w:u w:val="single"/>
        </w:rPr>
        <w:t>1. Date de identifcare a societatii</w:t>
      </w:r>
      <w:bookmarkEnd w:id="0"/>
      <w:bookmarkEnd w:id="1"/>
    </w:p>
    <w:p>
      <w:pPr>
        <w:pStyle w:val="ListParagraph"/>
        <w:spacing w:line="276" w:lineRule="auto"/>
        <w:jc w:val="both"/>
        <w:rPr>
          <w:rFonts w:ascii="Arial" w:eastAsia="Arial" w:hAnsi="Arial"/>
          <w:b/>
          <w:i/>
          <w:sz w:val="24"/>
          <w:szCs w:val="24"/>
        </w:rPr>
      </w:pPr>
    </w:p>
    <w:p>
      <w:pPr>
        <w:pStyle w:val="ListParagraph"/>
        <w:spacing w:line="276" w:lineRule="auto"/>
        <w:jc w:val="center"/>
        <w:rPr>
          <w:rFonts w:ascii="Arial" w:eastAsia="Arial" w:hAnsi="Arial"/>
          <w:b/>
          <w:sz w:val="32"/>
          <w:szCs w:val="32"/>
        </w:rPr>
      </w:pPr>
      <w:r>
        <w:rPr>
          <w:rFonts w:ascii="Arial" w:eastAsia="Arial" w:hAnsi="Arial"/>
          <w:b/>
          <w:i/>
          <w:sz w:val="32"/>
          <w:szCs w:val="32"/>
        </w:rPr>
        <w:t xml:space="preserve">S.C. </w:t>
      </w:r>
      <w:r>
        <w:rPr>
          <w:rFonts w:ascii="Arial" w:eastAsia="Arial" w:hAnsi="Arial"/>
          <w:b/>
          <w:sz w:val="32"/>
          <w:szCs w:val="32"/>
        </w:rPr>
        <w:t>MENNEKES ELECTRIC SRL</w:t>
      </w:r>
    </w:p>
    <w:p>
      <w:pPr>
        <w:pStyle w:val="ListParagraph"/>
        <w:numPr>
          <w:ilvl w:val="0"/>
          <w:numId w:val="5"/>
        </w:numPr>
        <w:spacing w:line="276" w:lineRule="auto"/>
        <w:jc w:val="both"/>
        <w:outlineLvl w:val="2"/>
        <w:rPr>
          <w:rFonts w:ascii="Arial" w:eastAsia="Arial" w:hAnsi="Arial"/>
          <w:b/>
          <w:sz w:val="24"/>
          <w:szCs w:val="24"/>
          <w:lang w:val="it-IT"/>
        </w:rPr>
      </w:pPr>
      <w:bookmarkStart w:id="2" w:name="_Toc64466758"/>
      <w:r>
        <w:rPr>
          <w:rFonts w:ascii="Arial" w:eastAsia="Arial" w:hAnsi="Arial"/>
          <w:b/>
          <w:sz w:val="24"/>
          <w:szCs w:val="24"/>
          <w:u w:val="single"/>
          <w:lang w:val="it-IT"/>
        </w:rPr>
        <w:t>Sediul social</w:t>
      </w:r>
      <w:r>
        <w:rPr>
          <w:rFonts w:ascii="Arial" w:eastAsia="Arial" w:hAnsi="Arial"/>
          <w:b/>
          <w:sz w:val="24"/>
          <w:szCs w:val="24"/>
          <w:lang w:val="it-IT"/>
        </w:rPr>
        <w:t>: Sat Bratuleni, Com Miroslava, strada Constantin Brancusi nr 7, jud Iasi</w:t>
      </w:r>
      <w:bookmarkEnd w:id="2"/>
      <w:r>
        <w:rPr>
          <w:rFonts w:ascii="Arial" w:eastAsia="Arial" w:hAnsi="Arial"/>
          <w:b/>
          <w:sz w:val="24"/>
          <w:szCs w:val="24"/>
          <w:lang w:val="it-IT"/>
        </w:rPr>
        <w:t xml:space="preserve">                                              </w:t>
      </w:r>
    </w:p>
    <w:p>
      <w:pPr>
        <w:pStyle w:val="ListParagraph"/>
        <w:numPr>
          <w:ilvl w:val="0"/>
          <w:numId w:val="1"/>
        </w:numPr>
        <w:spacing w:line="276" w:lineRule="auto"/>
        <w:jc w:val="both"/>
        <w:rPr>
          <w:rFonts w:ascii="Arial" w:eastAsia="Arial" w:hAnsi="Arial"/>
          <w:b/>
          <w:sz w:val="24"/>
          <w:szCs w:val="24"/>
          <w:lang w:val="it-IT"/>
        </w:rPr>
      </w:pPr>
      <w:r>
        <w:rPr>
          <w:rFonts w:ascii="Arial" w:eastAsia="Arial" w:hAnsi="Arial"/>
          <w:sz w:val="24"/>
          <w:szCs w:val="24"/>
          <w:lang w:val="it-IT"/>
        </w:rPr>
        <w:t>Certificat de inregistrare fiscala: J22/322/2021</w:t>
      </w:r>
    </w:p>
    <w:p>
      <w:pPr>
        <w:pStyle w:val="ListParagraph"/>
        <w:numPr>
          <w:ilvl w:val="0"/>
          <w:numId w:val="1"/>
        </w:numPr>
        <w:spacing w:line="276" w:lineRule="auto"/>
        <w:jc w:val="both"/>
        <w:rPr>
          <w:rFonts w:ascii="Arial" w:eastAsia="Arial" w:hAnsi="Arial"/>
          <w:b/>
          <w:sz w:val="24"/>
          <w:szCs w:val="24"/>
        </w:rPr>
      </w:pPr>
      <w:r>
        <w:rPr>
          <w:rFonts w:ascii="Arial" w:eastAsia="Arial" w:hAnsi="Arial"/>
          <w:sz w:val="24"/>
          <w:szCs w:val="24"/>
        </w:rPr>
        <w:t>Cod unic de inregistrare: 40247876</w:t>
      </w:r>
      <w:r>
        <w:rPr>
          <w:rFonts w:ascii="Arial" w:hAnsi="Arial"/>
          <w:sz w:val="24"/>
          <w:szCs w:val="24"/>
        </w:rPr>
        <w:t xml:space="preserve"> atribut fiscal: RO</w:t>
      </w:r>
    </w:p>
    <w:p>
      <w:pPr>
        <w:pStyle w:val="ListParagraph"/>
        <w:numPr>
          <w:ilvl w:val="0"/>
          <w:numId w:val="1"/>
        </w:numPr>
        <w:spacing w:line="276" w:lineRule="auto"/>
        <w:jc w:val="both"/>
        <w:rPr>
          <w:rFonts w:ascii="Arial" w:eastAsia="Arial" w:hAnsi="Arial"/>
          <w:b/>
          <w:sz w:val="24"/>
          <w:szCs w:val="24"/>
        </w:rPr>
      </w:pPr>
      <w:r>
        <w:rPr>
          <w:rFonts w:ascii="Arial" w:hAnsi="Arial"/>
          <w:sz w:val="24"/>
          <w:szCs w:val="24"/>
        </w:rPr>
        <w:t>Banca: Raiffesen BanK</w:t>
      </w:r>
    </w:p>
    <w:p>
      <w:pPr>
        <w:pStyle w:val="ListParagraph"/>
        <w:numPr>
          <w:ilvl w:val="0"/>
          <w:numId w:val="1"/>
        </w:numPr>
        <w:spacing w:line="276" w:lineRule="auto"/>
        <w:jc w:val="both"/>
        <w:rPr>
          <w:rFonts w:ascii="Arial" w:eastAsia="Arial" w:hAnsi="Arial"/>
          <w:b/>
          <w:sz w:val="24"/>
          <w:szCs w:val="24"/>
        </w:rPr>
      </w:pPr>
      <w:r>
        <w:rPr>
          <w:rFonts w:ascii="Arial" w:hAnsi="Arial"/>
          <w:sz w:val="24"/>
          <w:szCs w:val="24"/>
        </w:rPr>
        <w:t xml:space="preserve">Cont : </w:t>
      </w:r>
      <w:r>
        <w:rPr>
          <w:rFonts w:ascii="Arial" w:hAnsi="Arial"/>
          <w:color w:val="000000"/>
          <w:lang w:val="ro-RO"/>
        </w:rPr>
        <w:t>RO64RZBR0000060020653451</w:t>
      </w:r>
    </w:p>
    <w:p>
      <w:pPr>
        <w:pStyle w:val="ListParagraph"/>
        <w:numPr>
          <w:ilvl w:val="0"/>
          <w:numId w:val="1"/>
        </w:numPr>
        <w:spacing w:line="276" w:lineRule="auto"/>
        <w:jc w:val="both"/>
        <w:rPr>
          <w:rFonts w:ascii="Arial" w:eastAsia="Arial" w:hAnsi="Arial"/>
          <w:b/>
          <w:sz w:val="24"/>
          <w:szCs w:val="24"/>
          <w:lang w:val="it-IT"/>
        </w:rPr>
      </w:pPr>
      <w:r>
        <w:rPr>
          <w:rFonts w:ascii="Arial" w:eastAsia="Arial" w:hAnsi="Arial"/>
          <w:sz w:val="24"/>
          <w:szCs w:val="24"/>
          <w:lang w:val="it-IT"/>
        </w:rPr>
        <w:t xml:space="preserve">E-mail : </w:t>
      </w:r>
      <w:hyperlink r:id="rId8" w:history="1">
        <w:r>
          <w:rPr>
            <w:rStyle w:val="Hyperlink"/>
            <w:rFonts w:ascii="Arial" w:eastAsia="Arial" w:hAnsi="Arial"/>
            <w:sz w:val="24"/>
            <w:szCs w:val="24"/>
            <w:lang w:val="it-IT"/>
          </w:rPr>
          <w:t>eugen.anton@mennekes.ro</w:t>
        </w:r>
      </w:hyperlink>
    </w:p>
    <w:p>
      <w:pPr>
        <w:pStyle w:val="ListParagraph"/>
        <w:numPr>
          <w:ilvl w:val="0"/>
          <w:numId w:val="1"/>
        </w:numPr>
        <w:spacing w:line="276" w:lineRule="auto"/>
        <w:jc w:val="both"/>
        <w:rPr>
          <w:rFonts w:ascii="Arial" w:eastAsia="Arial" w:hAnsi="Arial"/>
          <w:b/>
          <w:sz w:val="24"/>
          <w:szCs w:val="24"/>
        </w:rPr>
      </w:pPr>
      <w:r>
        <w:rPr>
          <w:rFonts w:ascii="Arial" w:eastAsia="Arial" w:hAnsi="Arial"/>
          <w:b/>
          <w:sz w:val="24"/>
          <w:szCs w:val="24"/>
        </w:rPr>
        <w:t>Persoana de contanct: Anton Eugen -tel 0744570850</w:t>
      </w:r>
    </w:p>
    <w:p>
      <w:pPr>
        <w:pStyle w:val="ListParagraph"/>
        <w:spacing w:line="276" w:lineRule="auto"/>
        <w:jc w:val="both"/>
        <w:rPr>
          <w:rFonts w:ascii="Arial" w:eastAsia="Arial" w:hAnsi="Arial"/>
          <w:b/>
          <w:sz w:val="24"/>
          <w:szCs w:val="24"/>
        </w:rPr>
      </w:pPr>
    </w:p>
    <w:p>
      <w:pPr>
        <w:pStyle w:val="ListParagraph"/>
        <w:spacing w:line="276" w:lineRule="auto"/>
        <w:jc w:val="both"/>
        <w:rPr>
          <w:rFonts w:ascii="Arial" w:eastAsia="Arial" w:hAnsi="Arial"/>
          <w:b/>
          <w:sz w:val="24"/>
          <w:lang w:val="it-IT"/>
        </w:rPr>
      </w:pPr>
      <w:r>
        <w:rPr>
          <w:rFonts w:ascii="Arial" w:eastAsia="Arial" w:hAnsi="Arial"/>
          <w:b/>
          <w:sz w:val="24"/>
          <w:lang w:val="it-IT"/>
        </w:rPr>
        <w:t>Activitati cod CAEN declarate la punctul de lucru conf certificat constatator Oficiul registrului comertului:</w:t>
      </w:r>
    </w:p>
    <w:p>
      <w:pPr>
        <w:pStyle w:val="ListParagraph"/>
        <w:numPr>
          <w:ilvl w:val="0"/>
          <w:numId w:val="2"/>
        </w:numPr>
        <w:spacing w:line="276" w:lineRule="auto"/>
        <w:ind w:left="709" w:hanging="425"/>
        <w:jc w:val="both"/>
        <w:rPr>
          <w:rFonts w:ascii="Arial" w:eastAsia="Arial" w:hAnsi="Arial"/>
          <w:sz w:val="24"/>
          <w:szCs w:val="24"/>
          <w:lang w:val="it-IT"/>
        </w:rPr>
      </w:pPr>
      <w:r>
        <w:rPr>
          <w:rFonts w:ascii="Arial" w:eastAsia="Arial" w:hAnsi="Arial"/>
          <w:sz w:val="24"/>
          <w:szCs w:val="24"/>
          <w:lang w:val="it-IT"/>
        </w:rPr>
        <w:t>2733 Fabricarea dispozitivelor de conexiune pentru fire si cabluri electrice si electronice</w:t>
      </w:r>
    </w:p>
    <w:p>
      <w:pPr>
        <w:pStyle w:val="ListParagraph"/>
        <w:numPr>
          <w:ilvl w:val="0"/>
          <w:numId w:val="2"/>
        </w:numPr>
        <w:spacing w:line="276" w:lineRule="auto"/>
        <w:ind w:left="709" w:hanging="425"/>
        <w:jc w:val="both"/>
        <w:rPr>
          <w:rFonts w:ascii="Arial" w:eastAsia="Arial" w:hAnsi="Arial"/>
          <w:sz w:val="24"/>
          <w:szCs w:val="24"/>
        </w:rPr>
      </w:pPr>
      <w:r>
        <w:rPr>
          <w:rFonts w:ascii="Arial" w:eastAsia="Arial" w:hAnsi="Arial"/>
          <w:sz w:val="24"/>
          <w:szCs w:val="24"/>
        </w:rPr>
        <w:t>2790 Fabricarea altor echipamente electrice</w:t>
      </w:r>
    </w:p>
    <w:p>
      <w:pPr>
        <w:pStyle w:val="ListParagraph"/>
        <w:numPr>
          <w:ilvl w:val="0"/>
          <w:numId w:val="2"/>
        </w:numPr>
        <w:spacing w:line="276" w:lineRule="auto"/>
        <w:ind w:left="709" w:hanging="425"/>
        <w:jc w:val="both"/>
        <w:rPr>
          <w:rFonts w:ascii="Arial" w:eastAsia="Arial" w:hAnsi="Arial"/>
          <w:sz w:val="24"/>
          <w:szCs w:val="24"/>
          <w:lang w:val="it-IT"/>
        </w:rPr>
      </w:pPr>
      <w:r>
        <w:rPr>
          <w:rFonts w:ascii="Arial" w:eastAsia="Arial" w:hAnsi="Arial"/>
          <w:sz w:val="24"/>
          <w:szCs w:val="24"/>
          <w:lang w:val="it-IT"/>
        </w:rPr>
        <w:t>2931 Fabricarea ade echipamente electrice si electronice pentru autovehicole si pentru motoare de autovehicole</w:t>
      </w:r>
    </w:p>
    <w:p>
      <w:pPr>
        <w:pStyle w:val="ListParagraph"/>
        <w:numPr>
          <w:ilvl w:val="0"/>
          <w:numId w:val="2"/>
        </w:numPr>
        <w:spacing w:line="276" w:lineRule="auto"/>
        <w:ind w:left="709" w:hanging="425"/>
        <w:jc w:val="both"/>
        <w:rPr>
          <w:rFonts w:ascii="Arial" w:eastAsia="Arial" w:hAnsi="Arial"/>
          <w:sz w:val="24"/>
          <w:szCs w:val="24"/>
          <w:lang w:val="it-IT"/>
        </w:rPr>
      </w:pPr>
      <w:r>
        <w:rPr>
          <w:rFonts w:ascii="Arial" w:eastAsia="Arial" w:hAnsi="Arial"/>
          <w:sz w:val="24"/>
          <w:szCs w:val="24"/>
          <w:lang w:val="it-IT"/>
        </w:rPr>
        <w:t>2932 Fabricarea altor piese si accesorii pentru autovehicole si pentru motoare de autovehicole</w:t>
      </w:r>
    </w:p>
    <w:p>
      <w:pPr>
        <w:pStyle w:val="ListParagraph"/>
        <w:numPr>
          <w:ilvl w:val="0"/>
          <w:numId w:val="3"/>
        </w:numPr>
        <w:spacing w:line="276" w:lineRule="auto"/>
        <w:ind w:left="709"/>
        <w:jc w:val="both"/>
        <w:rPr>
          <w:rFonts w:ascii="Arial" w:eastAsia="Arial" w:hAnsi="Arial"/>
          <w:sz w:val="24"/>
          <w:szCs w:val="24"/>
          <w:lang w:val="it-IT"/>
        </w:rPr>
      </w:pPr>
      <w:r>
        <w:rPr>
          <w:rFonts w:ascii="Arial" w:eastAsia="Arial" w:hAnsi="Arial"/>
          <w:sz w:val="24"/>
          <w:szCs w:val="24"/>
          <w:lang w:val="it-IT"/>
        </w:rPr>
        <w:t>4531 Comert cu ridicata de piese si accesorii pentru autovehicole</w:t>
      </w:r>
    </w:p>
    <w:p>
      <w:pPr>
        <w:pStyle w:val="ListParagraph"/>
        <w:numPr>
          <w:ilvl w:val="0"/>
          <w:numId w:val="3"/>
        </w:numPr>
        <w:spacing w:line="276" w:lineRule="auto"/>
        <w:ind w:left="709"/>
        <w:jc w:val="both"/>
        <w:rPr>
          <w:rFonts w:ascii="Arial" w:eastAsia="Arial" w:hAnsi="Arial"/>
          <w:sz w:val="24"/>
          <w:szCs w:val="24"/>
          <w:lang w:val="it-IT"/>
        </w:rPr>
      </w:pPr>
      <w:r>
        <w:rPr>
          <w:rFonts w:ascii="Arial" w:eastAsia="Arial" w:hAnsi="Arial"/>
          <w:sz w:val="24"/>
          <w:szCs w:val="24"/>
          <w:lang w:val="it-IT"/>
        </w:rPr>
        <w:t>4690 Comert cu ridicate nespecializat</w:t>
      </w:r>
    </w:p>
    <w:p>
      <w:pPr>
        <w:pStyle w:val="ListParagraph"/>
        <w:numPr>
          <w:ilvl w:val="0"/>
          <w:numId w:val="3"/>
        </w:numPr>
        <w:spacing w:line="276" w:lineRule="auto"/>
        <w:ind w:left="709"/>
        <w:jc w:val="both"/>
        <w:rPr>
          <w:rFonts w:ascii="Arial" w:eastAsia="Arial" w:hAnsi="Arial"/>
          <w:sz w:val="24"/>
          <w:szCs w:val="24"/>
        </w:rPr>
      </w:pPr>
      <w:r>
        <w:rPr>
          <w:rFonts w:ascii="Arial" w:eastAsia="Arial" w:hAnsi="Arial"/>
          <w:sz w:val="24"/>
          <w:szCs w:val="24"/>
        </w:rPr>
        <w:t>5210 Depozitari</w:t>
      </w:r>
    </w:p>
    <w:p>
      <w:pPr>
        <w:pStyle w:val="ListParagraph"/>
        <w:numPr>
          <w:ilvl w:val="0"/>
          <w:numId w:val="3"/>
        </w:numPr>
        <w:spacing w:line="276" w:lineRule="auto"/>
        <w:ind w:left="709"/>
        <w:jc w:val="both"/>
        <w:rPr>
          <w:rFonts w:ascii="Arial" w:eastAsia="Arial" w:hAnsi="Arial"/>
          <w:sz w:val="24"/>
          <w:szCs w:val="24"/>
          <w:lang w:val="it-IT"/>
        </w:rPr>
      </w:pPr>
      <w:r>
        <w:rPr>
          <w:rFonts w:ascii="Arial" w:eastAsia="Arial" w:hAnsi="Arial"/>
          <w:sz w:val="24"/>
          <w:szCs w:val="24"/>
          <w:lang w:val="it-IT"/>
        </w:rPr>
        <w:t>8292 Activitati de ambalare</w:t>
      </w:r>
    </w:p>
    <w:p>
      <w:pPr>
        <w:pStyle w:val="ListParagraph"/>
        <w:spacing w:line="276" w:lineRule="auto"/>
        <w:jc w:val="both"/>
        <w:rPr>
          <w:rFonts w:ascii="Arial" w:eastAsia="Arial" w:hAnsi="Arial"/>
          <w:b/>
          <w:sz w:val="24"/>
          <w:szCs w:val="24"/>
          <w:lang w:val="it-IT"/>
        </w:rPr>
      </w:pPr>
      <w:r>
        <w:rPr>
          <w:rFonts w:ascii="Arial" w:eastAsia="Arial" w:hAnsi="Arial"/>
          <w:b/>
          <w:sz w:val="24"/>
          <w:szCs w:val="24"/>
          <w:lang w:val="it-IT"/>
        </w:rPr>
        <w:t>Activitati cod CAEN efectiv desfasurate la sediul social :</w:t>
      </w:r>
    </w:p>
    <w:p>
      <w:pPr>
        <w:pStyle w:val="ListParagraph"/>
        <w:spacing w:line="276" w:lineRule="auto"/>
        <w:jc w:val="both"/>
        <w:rPr>
          <w:rFonts w:ascii="Arial" w:eastAsia="Arial" w:hAnsi="Arial"/>
          <w:b/>
          <w:color w:val="FF0000"/>
          <w:sz w:val="24"/>
          <w:lang w:val="it-IT"/>
        </w:rPr>
      </w:pPr>
    </w:p>
    <w:p>
      <w:pPr>
        <w:pStyle w:val="ListParagraph"/>
        <w:numPr>
          <w:ilvl w:val="0"/>
          <w:numId w:val="4"/>
        </w:numPr>
        <w:spacing w:line="276" w:lineRule="auto"/>
        <w:jc w:val="both"/>
        <w:rPr>
          <w:rFonts w:ascii="Arial" w:eastAsia="Arial" w:hAnsi="Arial"/>
          <w:b/>
          <w:color w:val="FF0000"/>
          <w:sz w:val="24"/>
          <w:lang w:val="it-IT"/>
        </w:rPr>
      </w:pPr>
      <w:r>
        <w:rPr>
          <w:rFonts w:ascii="Arial" w:eastAsia="Arial" w:hAnsi="Arial"/>
          <w:sz w:val="24"/>
          <w:szCs w:val="24"/>
          <w:lang w:val="it-IT"/>
        </w:rPr>
        <w:t>2931 Fabricarea de echipamente electrice si electronice pentru autovehicule si pentru motoare de autovehicule</w:t>
      </w:r>
    </w:p>
    <w:p>
      <w:pPr>
        <w:pStyle w:val="ListParagraph"/>
        <w:spacing w:line="276" w:lineRule="auto"/>
        <w:jc w:val="both"/>
        <w:rPr>
          <w:rFonts w:ascii="Arial" w:eastAsia="Arial" w:hAnsi="Arial"/>
          <w:b/>
          <w:color w:val="FF0000"/>
          <w:sz w:val="24"/>
          <w:lang w:val="it-IT"/>
        </w:rPr>
      </w:pPr>
      <w:r>
        <w:rPr>
          <w:rFonts w:ascii="Arial" w:eastAsia="Arial" w:hAnsi="Arial"/>
          <w:b/>
          <w:color w:val="FF0000"/>
          <w:sz w:val="24"/>
          <w:lang w:val="it-IT"/>
        </w:rPr>
        <w:t xml:space="preserve"> </w:t>
      </w:r>
    </w:p>
    <w:p>
      <w:pPr>
        <w:pStyle w:val="Heading3"/>
        <w:numPr>
          <w:ilvl w:val="0"/>
          <w:numId w:val="17"/>
        </w:numPr>
        <w:rPr>
          <w:rFonts w:ascii="Arial" w:eastAsia="Cambria" w:hAnsi="Arial" w:cs="Arial"/>
          <w:b/>
          <w:bCs/>
          <w:i/>
          <w:iCs/>
          <w:color w:val="auto"/>
          <w:u w:val="single"/>
          <w:lang w:val="it-IT"/>
        </w:rPr>
      </w:pPr>
      <w:bookmarkStart w:id="3" w:name="_Toc53661503"/>
      <w:bookmarkStart w:id="4" w:name="_Toc64466759"/>
      <w:r>
        <w:rPr>
          <w:rFonts w:ascii="Arial" w:eastAsia="Cambria" w:hAnsi="Arial" w:cs="Arial"/>
          <w:b/>
          <w:color w:val="auto"/>
          <w:u w:val="single"/>
          <w:lang w:val="it-IT"/>
        </w:rPr>
        <w:t>Amplasamentul</w:t>
      </w:r>
      <w:bookmarkEnd w:id="3"/>
      <w:bookmarkEnd w:id="4"/>
    </w:p>
    <w:p>
      <w:pPr>
        <w:rPr>
          <w:lang w:val="it-IT"/>
        </w:rPr>
      </w:pPr>
    </w:p>
    <w:p>
      <w:pPr>
        <w:pStyle w:val="ListParagraph"/>
        <w:spacing w:line="276" w:lineRule="auto"/>
        <w:jc w:val="both"/>
        <w:rPr>
          <w:rFonts w:ascii="Arial" w:eastAsia="Arial" w:hAnsi="Arial"/>
          <w:sz w:val="24"/>
          <w:lang w:val="it-IT"/>
        </w:rPr>
      </w:pPr>
      <w:r>
        <w:rPr>
          <w:rFonts w:ascii="Arial" w:eastAsia="Arial" w:hAnsi="Arial"/>
          <w:sz w:val="24"/>
          <w:lang w:val="it-IT"/>
        </w:rPr>
        <w:t xml:space="preserve">Unitatea este amplasata in </w:t>
      </w:r>
      <w:bookmarkStart w:id="5" w:name="_Hlk48724313"/>
      <w:r>
        <w:rPr>
          <w:rFonts w:ascii="Arial" w:eastAsia="Arial" w:hAnsi="Arial"/>
          <w:sz w:val="24"/>
          <w:lang w:val="it-IT"/>
        </w:rPr>
        <w:t>Sat Bratuleni, comuna Miroslava, str. Constantin Brancusi nr 7 judeţul Iaşi</w:t>
      </w:r>
      <w:bookmarkEnd w:id="5"/>
    </w:p>
    <w:p>
      <w:pPr>
        <w:pStyle w:val="ListParagraph"/>
        <w:spacing w:line="276" w:lineRule="auto"/>
        <w:jc w:val="both"/>
        <w:rPr>
          <w:rFonts w:ascii="Arial" w:eastAsia="Arial" w:hAnsi="Arial"/>
          <w:sz w:val="24"/>
          <w:lang w:val="it-IT"/>
        </w:rPr>
      </w:pPr>
    </w:p>
    <w:p>
      <w:pPr>
        <w:pStyle w:val="ListParagraph"/>
        <w:numPr>
          <w:ilvl w:val="0"/>
          <w:numId w:val="5"/>
        </w:numPr>
        <w:spacing w:line="276" w:lineRule="auto"/>
        <w:jc w:val="both"/>
        <w:outlineLvl w:val="2"/>
        <w:rPr>
          <w:rFonts w:ascii="Arial" w:eastAsia="Arial" w:hAnsi="Arial"/>
          <w:b/>
          <w:bCs/>
          <w:iCs/>
          <w:sz w:val="24"/>
          <w:u w:val="single"/>
          <w:lang w:val="it-IT"/>
        </w:rPr>
      </w:pPr>
      <w:bookmarkStart w:id="6" w:name="_Toc64466760"/>
      <w:r>
        <w:rPr>
          <w:rFonts w:ascii="Arial" w:eastAsia="Arial" w:hAnsi="Arial"/>
          <w:b/>
          <w:bCs/>
          <w:iCs/>
          <w:sz w:val="24"/>
          <w:u w:val="single"/>
          <w:lang w:val="it-IT"/>
        </w:rPr>
        <w:t>Profil de activitate</w:t>
      </w:r>
      <w:bookmarkEnd w:id="6"/>
    </w:p>
    <w:p>
      <w:pPr>
        <w:pStyle w:val="ListParagraph"/>
        <w:spacing w:line="276" w:lineRule="auto"/>
        <w:jc w:val="both"/>
        <w:rPr>
          <w:rFonts w:ascii="Arial" w:eastAsia="Arial" w:hAnsi="Arial"/>
          <w:sz w:val="24"/>
          <w:lang w:val="it-IT"/>
        </w:rPr>
      </w:pPr>
      <w:r>
        <w:rPr>
          <w:rFonts w:ascii="Arial" w:eastAsia="Arial" w:hAnsi="Arial"/>
          <w:sz w:val="24"/>
          <w:lang w:val="it-IT"/>
        </w:rPr>
        <w:t xml:space="preserve">Obiectul principal de activitate al societatii consta in </w:t>
      </w:r>
      <w:r>
        <w:rPr>
          <w:rFonts w:ascii="Arial" w:eastAsia="Arial" w:hAnsi="Arial"/>
          <w:sz w:val="24"/>
          <w:szCs w:val="24"/>
          <w:lang w:val="it-IT"/>
        </w:rPr>
        <w:t>Fabricarea de echipamente electrice si electronice pentru autovehicule si pentru motoare de autovehicule</w:t>
      </w:r>
      <w:r>
        <w:rPr>
          <w:rFonts w:ascii="Arial" w:eastAsia="Arial" w:hAnsi="Arial"/>
          <w:sz w:val="24"/>
          <w:lang w:val="it-IT"/>
        </w:rPr>
        <w:t xml:space="preserve"> </w:t>
      </w:r>
    </w:p>
    <w:p>
      <w:pPr>
        <w:pStyle w:val="ListParagraph"/>
        <w:spacing w:line="276" w:lineRule="auto"/>
        <w:jc w:val="both"/>
        <w:rPr>
          <w:rFonts w:ascii="Arial" w:eastAsia="Arial" w:hAnsi="Arial"/>
          <w:b/>
          <w:sz w:val="24"/>
          <w:lang w:val="it-IT"/>
        </w:rPr>
      </w:pPr>
      <w:r>
        <w:rPr>
          <w:rFonts w:ascii="Arial" w:eastAsia="Arial" w:hAnsi="Arial"/>
          <w:b/>
          <w:sz w:val="24"/>
          <w:lang w:val="it-IT"/>
        </w:rPr>
        <w:t>Cod CAEN 2931</w:t>
      </w:r>
    </w:p>
    <w:p>
      <w:pPr>
        <w:pStyle w:val="ListParagraph"/>
        <w:spacing w:line="276" w:lineRule="auto"/>
        <w:jc w:val="both"/>
        <w:rPr>
          <w:rFonts w:ascii="Arial" w:eastAsia="Arial" w:hAnsi="Arial"/>
          <w:b/>
          <w:bCs/>
          <w:iCs/>
          <w:sz w:val="24"/>
          <w:u w:val="single"/>
          <w:lang w:val="it-IT"/>
        </w:rPr>
      </w:pPr>
    </w:p>
    <w:p>
      <w:pPr>
        <w:pStyle w:val="ListParagraph"/>
        <w:numPr>
          <w:ilvl w:val="0"/>
          <w:numId w:val="5"/>
        </w:numPr>
        <w:spacing w:line="276" w:lineRule="auto"/>
        <w:jc w:val="both"/>
        <w:outlineLvl w:val="2"/>
        <w:rPr>
          <w:rFonts w:ascii="Arial" w:eastAsia="Arial" w:hAnsi="Arial"/>
          <w:b/>
          <w:bCs/>
          <w:iCs/>
          <w:sz w:val="24"/>
          <w:u w:val="single"/>
          <w:lang w:val="it-IT"/>
        </w:rPr>
      </w:pPr>
      <w:bookmarkStart w:id="7" w:name="_Toc64466761"/>
      <w:r>
        <w:rPr>
          <w:rFonts w:ascii="Arial" w:eastAsia="Arial" w:hAnsi="Arial"/>
          <w:b/>
          <w:bCs/>
          <w:iCs/>
          <w:sz w:val="24"/>
          <w:u w:val="single"/>
          <w:lang w:val="it-IT"/>
        </w:rPr>
        <w:t>Forma de proprietate</w:t>
      </w:r>
      <w:bookmarkEnd w:id="7"/>
    </w:p>
    <w:p>
      <w:pPr>
        <w:spacing w:line="276" w:lineRule="auto"/>
        <w:ind w:left="360" w:firstLine="348"/>
        <w:jc w:val="both"/>
        <w:rPr>
          <w:rFonts w:ascii="Arial" w:eastAsia="Arial" w:hAnsi="Arial"/>
          <w:sz w:val="24"/>
          <w:lang w:val="it-IT"/>
        </w:rPr>
      </w:pPr>
      <w:r>
        <w:rPr>
          <w:rFonts w:ascii="Arial" w:eastAsia="Arial" w:hAnsi="Arial"/>
          <w:sz w:val="24"/>
          <w:lang w:val="it-IT"/>
        </w:rPr>
        <w:t xml:space="preserve">SC MENNEKES ELECTRIC SRL este societate cu capital integral privat  </w:t>
      </w:r>
    </w:p>
    <w:p>
      <w:pPr>
        <w:spacing w:line="276" w:lineRule="auto"/>
        <w:jc w:val="both"/>
        <w:rPr>
          <w:rFonts w:ascii="Arial" w:eastAsia="Times New Roman" w:hAnsi="Arial"/>
          <w:u w:val="single"/>
          <w:lang w:val="it-IT"/>
        </w:rPr>
      </w:pPr>
    </w:p>
    <w:p>
      <w:pPr>
        <w:pStyle w:val="ListParagraph"/>
        <w:numPr>
          <w:ilvl w:val="0"/>
          <w:numId w:val="5"/>
        </w:numPr>
        <w:spacing w:line="276" w:lineRule="auto"/>
        <w:jc w:val="both"/>
        <w:outlineLvl w:val="2"/>
        <w:rPr>
          <w:rFonts w:ascii="Arial" w:eastAsia="Arial" w:hAnsi="Arial"/>
          <w:b/>
          <w:bCs/>
          <w:i/>
          <w:iCs/>
          <w:sz w:val="24"/>
          <w:lang w:val="it-IT"/>
        </w:rPr>
      </w:pPr>
      <w:bookmarkStart w:id="8" w:name="_Toc64466762"/>
      <w:r>
        <w:rPr>
          <w:rFonts w:ascii="Arial" w:eastAsia="Arial" w:hAnsi="Arial"/>
          <w:b/>
          <w:sz w:val="24"/>
          <w:u w:val="single"/>
          <w:lang w:val="it-IT"/>
        </w:rPr>
        <w:t>Program de lucru</w:t>
      </w:r>
      <w:r>
        <w:rPr>
          <w:rFonts w:ascii="Arial" w:eastAsia="Arial" w:hAnsi="Arial"/>
          <w:sz w:val="24"/>
          <w:lang w:val="it-IT"/>
        </w:rPr>
        <w:t>: Regimul de lucru 24ore/zi, 21 zile/luna si 230 zile/an in 3 ture</w:t>
      </w:r>
      <w:bookmarkEnd w:id="8"/>
    </w:p>
    <w:p>
      <w:pPr>
        <w:pStyle w:val="ListParagraph"/>
        <w:spacing w:line="276" w:lineRule="auto"/>
        <w:jc w:val="both"/>
        <w:rPr>
          <w:rFonts w:ascii="Arial" w:eastAsia="Times New Roman" w:hAnsi="Arial"/>
          <w:lang w:val="it-IT"/>
        </w:rPr>
      </w:pPr>
    </w:p>
    <w:p>
      <w:pPr>
        <w:pStyle w:val="Heading3"/>
        <w:numPr>
          <w:ilvl w:val="0"/>
          <w:numId w:val="19"/>
        </w:numPr>
        <w:rPr>
          <w:rFonts w:ascii="Arial" w:eastAsia="Cambria" w:hAnsi="Arial" w:cs="Arial"/>
          <w:b/>
          <w:bCs/>
          <w:i/>
          <w:iCs/>
          <w:color w:val="auto"/>
          <w:u w:val="single"/>
          <w:lang w:val="it-IT"/>
        </w:rPr>
      </w:pPr>
      <w:bookmarkStart w:id="9" w:name="_Toc53661504"/>
      <w:bookmarkStart w:id="10" w:name="_Toc64466763"/>
      <w:r>
        <w:rPr>
          <w:rFonts w:ascii="Arial" w:eastAsia="Cambria" w:hAnsi="Arial" w:cs="Arial"/>
          <w:b/>
          <w:color w:val="auto"/>
          <w:u w:val="single"/>
          <w:lang w:val="it-IT"/>
        </w:rPr>
        <w:t>Localizare</w:t>
      </w:r>
      <w:bookmarkEnd w:id="9"/>
      <w:bookmarkEnd w:id="10"/>
    </w:p>
    <w:p>
      <w:pPr>
        <w:spacing w:line="276" w:lineRule="auto"/>
        <w:jc w:val="both"/>
        <w:rPr>
          <w:rFonts w:ascii="Arial" w:eastAsia="Times New Roman" w:hAnsi="Arial"/>
          <w:lang w:val="it-IT"/>
        </w:rPr>
      </w:pPr>
    </w:p>
    <w:p>
      <w:pPr>
        <w:spacing w:line="276" w:lineRule="auto"/>
        <w:ind w:firstLine="720"/>
        <w:jc w:val="both"/>
        <w:rPr>
          <w:rFonts w:ascii="Arial" w:eastAsia="Arial" w:hAnsi="Arial"/>
          <w:sz w:val="24"/>
          <w:lang w:val="it-IT"/>
        </w:rPr>
      </w:pPr>
      <w:r>
        <w:rPr>
          <w:rFonts w:ascii="Arial" w:eastAsia="Arial" w:hAnsi="Arial"/>
          <w:sz w:val="24"/>
          <w:lang w:val="it-IT"/>
        </w:rPr>
        <w:t xml:space="preserve">S.C. MENNEKES ELECTRIC, SRL isi va desfasura activitatea, intr -o hala construita de SC Mennekes Electric SRL Iasi in intravilanul  satului Bratuleni comuna Miroslava. Proprietarul terenului este Comuna Miroslava – domeniul privat,Terenul este intabulat ca drept de superficie pe o perioada de 49 de ani in favoare lui Mennekes Electric S.R.L Iasi </w:t>
      </w:r>
    </w:p>
    <w:p>
      <w:pPr>
        <w:tabs>
          <w:tab w:val="left" w:pos="1060"/>
        </w:tabs>
        <w:spacing w:line="276" w:lineRule="auto"/>
        <w:ind w:left="1060"/>
        <w:jc w:val="both"/>
        <w:rPr>
          <w:rFonts w:ascii="Arial" w:eastAsia="Symbol" w:hAnsi="Arial"/>
          <w:b/>
          <w:sz w:val="24"/>
        </w:rPr>
      </w:pPr>
      <w:r>
        <w:rPr>
          <w:rFonts w:ascii="Arial" w:eastAsia="Symbol" w:hAnsi="Arial"/>
          <w:b/>
          <w:sz w:val="24"/>
        </w:rPr>
        <w:t>Vecinatati</w:t>
      </w:r>
    </w:p>
    <w:p>
      <w:pPr>
        <w:tabs>
          <w:tab w:val="left" w:pos="1060"/>
        </w:tabs>
        <w:spacing w:line="276" w:lineRule="auto"/>
        <w:ind w:left="1060"/>
        <w:jc w:val="both"/>
        <w:rPr>
          <w:rFonts w:ascii="Arial" w:eastAsia="Symbol" w:hAnsi="Arial"/>
          <w:b/>
          <w:sz w:val="24"/>
        </w:rPr>
      </w:pPr>
    </w:p>
    <w:p>
      <w:pPr>
        <w:numPr>
          <w:ilvl w:val="0"/>
          <w:numId w:val="6"/>
        </w:numPr>
        <w:tabs>
          <w:tab w:val="left" w:pos="1060"/>
        </w:tabs>
        <w:spacing w:line="276" w:lineRule="auto"/>
        <w:ind w:left="1060" w:hanging="338"/>
        <w:jc w:val="both"/>
        <w:rPr>
          <w:rFonts w:ascii="Arial" w:eastAsia="Symbol" w:hAnsi="Arial"/>
          <w:sz w:val="24"/>
          <w:lang w:val="it-IT"/>
        </w:rPr>
      </w:pPr>
      <w:r>
        <w:rPr>
          <w:rFonts w:ascii="Arial" w:eastAsia="Arial" w:hAnsi="Arial"/>
          <w:sz w:val="24"/>
          <w:lang w:val="it-IT"/>
        </w:rPr>
        <w:t>Nord – teren agricol, neconstruit proprietar Primaria Miroslava;</w:t>
      </w:r>
    </w:p>
    <w:p>
      <w:pPr>
        <w:spacing w:line="276" w:lineRule="auto"/>
        <w:jc w:val="both"/>
        <w:rPr>
          <w:rFonts w:ascii="Arial" w:eastAsia="Symbol" w:hAnsi="Arial"/>
          <w:sz w:val="24"/>
          <w:lang w:val="it-IT"/>
        </w:rPr>
      </w:pPr>
    </w:p>
    <w:p>
      <w:pPr>
        <w:numPr>
          <w:ilvl w:val="0"/>
          <w:numId w:val="6"/>
        </w:numPr>
        <w:tabs>
          <w:tab w:val="left" w:pos="1060"/>
        </w:tabs>
        <w:spacing w:line="276" w:lineRule="auto"/>
        <w:ind w:left="1060" w:hanging="338"/>
        <w:jc w:val="both"/>
        <w:rPr>
          <w:rFonts w:ascii="Arial" w:eastAsia="Symbol" w:hAnsi="Arial"/>
          <w:sz w:val="24"/>
          <w:lang w:val="it-IT"/>
        </w:rPr>
      </w:pPr>
      <w:r>
        <w:rPr>
          <w:rFonts w:ascii="Arial" w:eastAsia="Arial" w:hAnsi="Arial"/>
          <w:sz w:val="24"/>
          <w:lang w:val="it-IT"/>
        </w:rPr>
        <w:t>Sud  - teren agricol, neconstruit proprietar Primaria Miroslava;</w:t>
      </w:r>
    </w:p>
    <w:p>
      <w:pPr>
        <w:spacing w:line="276" w:lineRule="auto"/>
        <w:jc w:val="both"/>
        <w:rPr>
          <w:rFonts w:ascii="Arial" w:eastAsia="Symbol" w:hAnsi="Arial"/>
          <w:sz w:val="24"/>
          <w:lang w:val="it-IT"/>
        </w:rPr>
      </w:pPr>
    </w:p>
    <w:p>
      <w:pPr>
        <w:numPr>
          <w:ilvl w:val="0"/>
          <w:numId w:val="6"/>
        </w:numPr>
        <w:tabs>
          <w:tab w:val="left" w:pos="1060"/>
        </w:tabs>
        <w:spacing w:line="276" w:lineRule="auto"/>
        <w:ind w:left="1060" w:hanging="338"/>
        <w:jc w:val="both"/>
        <w:rPr>
          <w:rFonts w:ascii="Arial" w:eastAsia="Symbol" w:hAnsi="Arial"/>
          <w:sz w:val="24"/>
        </w:rPr>
      </w:pPr>
      <w:r>
        <w:rPr>
          <w:rFonts w:ascii="Arial" w:eastAsia="Arial" w:hAnsi="Arial"/>
          <w:sz w:val="24"/>
        </w:rPr>
        <w:t>Est – drum communal – DC 655;</w:t>
      </w:r>
    </w:p>
    <w:p>
      <w:pPr>
        <w:spacing w:line="276" w:lineRule="auto"/>
        <w:jc w:val="both"/>
        <w:rPr>
          <w:rFonts w:ascii="Arial" w:eastAsia="Symbol" w:hAnsi="Arial"/>
          <w:sz w:val="24"/>
        </w:rPr>
      </w:pPr>
    </w:p>
    <w:p>
      <w:pPr>
        <w:numPr>
          <w:ilvl w:val="0"/>
          <w:numId w:val="6"/>
        </w:numPr>
        <w:tabs>
          <w:tab w:val="left" w:pos="1060"/>
        </w:tabs>
        <w:spacing w:line="276" w:lineRule="auto"/>
        <w:ind w:left="1060" w:hanging="338"/>
        <w:jc w:val="both"/>
        <w:rPr>
          <w:rFonts w:ascii="Arial" w:eastAsia="Symbol" w:hAnsi="Arial"/>
          <w:sz w:val="24"/>
          <w:lang w:val="it-IT"/>
        </w:rPr>
      </w:pPr>
      <w:r>
        <w:rPr>
          <w:rFonts w:ascii="Arial" w:eastAsia="Arial" w:hAnsi="Arial"/>
          <w:sz w:val="24"/>
          <w:lang w:val="it-IT"/>
        </w:rPr>
        <w:t>Vest – teren agricol, neconstruit proprietar Primaria Miroslava;</w:t>
      </w:r>
    </w:p>
    <w:p>
      <w:pPr>
        <w:tabs>
          <w:tab w:val="left" w:pos="1060"/>
        </w:tabs>
        <w:spacing w:line="276" w:lineRule="auto"/>
        <w:jc w:val="both"/>
        <w:rPr>
          <w:rFonts w:ascii="Arial" w:eastAsia="Times New Roman" w:hAnsi="Arial"/>
          <w:lang w:val="it-IT"/>
        </w:rPr>
      </w:pPr>
    </w:p>
    <w:p>
      <w:pPr>
        <w:pStyle w:val="Heading1"/>
        <w:spacing w:line="276" w:lineRule="auto"/>
        <w:jc w:val="center"/>
        <w:rPr>
          <w:rFonts w:ascii="Arial" w:eastAsia="Arial" w:hAnsi="Arial" w:cs="Arial"/>
          <w:bCs w:val="0"/>
          <w:i/>
          <w:iCs/>
          <w:sz w:val="36"/>
          <w:szCs w:val="36"/>
          <w:u w:val="single"/>
          <w:lang w:val="it-IT"/>
        </w:rPr>
      </w:pPr>
      <w:bookmarkStart w:id="11" w:name="page6"/>
      <w:bookmarkStart w:id="12" w:name="_Toc53661505"/>
      <w:bookmarkStart w:id="13" w:name="_Toc64466764"/>
      <w:bookmarkEnd w:id="11"/>
      <w:r>
        <w:rPr>
          <w:rFonts w:ascii="Arial" w:eastAsia="Arial" w:hAnsi="Arial" w:cs="Arial"/>
          <w:bCs w:val="0"/>
          <w:i/>
          <w:iCs/>
          <w:sz w:val="36"/>
          <w:szCs w:val="36"/>
          <w:u w:val="single"/>
          <w:lang w:val="it-IT"/>
        </w:rPr>
        <w:t>2.  Date specifice activitatii</w:t>
      </w:r>
      <w:bookmarkEnd w:id="12"/>
      <w:bookmarkEnd w:id="13"/>
    </w:p>
    <w:p>
      <w:pPr>
        <w:spacing w:line="276" w:lineRule="auto"/>
        <w:ind w:left="720"/>
        <w:jc w:val="both"/>
        <w:rPr>
          <w:rFonts w:ascii="Arial" w:eastAsia="Arial" w:hAnsi="Arial"/>
          <w:b/>
          <w:sz w:val="24"/>
          <w:lang w:val="it-IT"/>
        </w:rPr>
      </w:pPr>
    </w:p>
    <w:p>
      <w:pPr>
        <w:spacing w:line="276" w:lineRule="auto"/>
        <w:ind w:firstLine="720"/>
        <w:jc w:val="both"/>
        <w:rPr>
          <w:rFonts w:ascii="Arial" w:eastAsia="Arial" w:hAnsi="Arial"/>
          <w:b/>
          <w:color w:val="FF0000"/>
          <w:sz w:val="24"/>
          <w:lang w:val="it-IT"/>
        </w:rPr>
      </w:pPr>
      <w:r>
        <w:rPr>
          <w:rFonts w:ascii="Arial" w:eastAsia="Arial" w:hAnsi="Arial"/>
          <w:sz w:val="24"/>
          <w:lang w:val="it-IT"/>
        </w:rPr>
        <w:t xml:space="preserve">MENNEKES ELECTRIC, SRL va desfasura activitati industriale de productie pentru </w:t>
      </w:r>
      <w:r>
        <w:rPr>
          <w:rFonts w:ascii="Arial" w:eastAsia="Arial" w:hAnsi="Arial"/>
          <w:sz w:val="24"/>
          <w:szCs w:val="24"/>
          <w:lang w:val="it-IT"/>
        </w:rPr>
        <w:t>fabricarea de echipamente electrice si electronice pentru autovehicule si pentru motoare de autovehicule</w:t>
      </w:r>
    </w:p>
    <w:p>
      <w:pPr>
        <w:spacing w:line="276" w:lineRule="auto"/>
        <w:ind w:firstLine="720"/>
        <w:jc w:val="both"/>
        <w:rPr>
          <w:rFonts w:ascii="Arial" w:eastAsia="Arial" w:hAnsi="Arial"/>
          <w:sz w:val="24"/>
          <w:lang w:val="it-IT"/>
        </w:rPr>
      </w:pPr>
      <w:r>
        <w:rPr>
          <w:rFonts w:ascii="Arial" w:eastAsia="Arial" w:hAnsi="Arial"/>
          <w:sz w:val="24"/>
          <w:lang w:val="it-IT"/>
        </w:rPr>
        <w:t xml:space="preserve">Obiectul principal de activitate al societatii consta in </w:t>
      </w:r>
      <w:r>
        <w:rPr>
          <w:rFonts w:ascii="Arial" w:eastAsia="Arial" w:hAnsi="Arial"/>
          <w:sz w:val="24"/>
          <w:szCs w:val="24"/>
          <w:lang w:val="it-IT"/>
        </w:rPr>
        <w:t>Fabricarea de echipamente electrice si electronice pentru autovehicule si pentru motoare de autovehicule</w:t>
      </w:r>
      <w:r>
        <w:rPr>
          <w:rFonts w:ascii="Arial" w:eastAsia="Arial" w:hAnsi="Arial"/>
          <w:sz w:val="24"/>
          <w:lang w:val="it-IT"/>
        </w:rPr>
        <w:t xml:space="preserve"> </w:t>
      </w:r>
    </w:p>
    <w:p>
      <w:pPr>
        <w:spacing w:line="276" w:lineRule="auto"/>
        <w:ind w:firstLine="720"/>
        <w:jc w:val="both"/>
        <w:rPr>
          <w:rFonts w:ascii="Arial" w:eastAsia="Arial" w:hAnsi="Arial"/>
          <w:b/>
          <w:color w:val="FF0000"/>
          <w:sz w:val="24"/>
          <w:lang w:val="it-IT"/>
        </w:rPr>
      </w:pPr>
      <w:r>
        <w:rPr>
          <w:rFonts w:ascii="Arial" w:eastAsia="Arial" w:hAnsi="Arial"/>
          <w:b/>
          <w:sz w:val="24"/>
          <w:lang w:val="it-IT"/>
        </w:rPr>
        <w:t>Cod CAEN 2931</w:t>
      </w:r>
      <w:r>
        <w:rPr>
          <w:rFonts w:ascii="Arial" w:eastAsia="Arial" w:hAnsi="Arial"/>
          <w:sz w:val="24"/>
          <w:lang w:val="it-IT"/>
        </w:rPr>
        <w:t>.</w:t>
      </w:r>
    </w:p>
    <w:p>
      <w:pPr>
        <w:pStyle w:val="Heading3"/>
        <w:ind w:firstLine="708"/>
        <w:rPr>
          <w:rFonts w:ascii="Arial" w:eastAsia="Arial" w:hAnsi="Arial" w:cs="Arial"/>
          <w:b/>
          <w:bCs/>
          <w:iCs/>
          <w:color w:val="auto"/>
          <w:u w:val="single"/>
          <w:lang w:val="it-IT"/>
        </w:rPr>
      </w:pPr>
      <w:bookmarkStart w:id="14" w:name="_Toc53661506"/>
      <w:bookmarkStart w:id="15" w:name="_Toc64466765"/>
      <w:r>
        <w:rPr>
          <w:rFonts w:ascii="Arial" w:eastAsia="Arial" w:hAnsi="Arial" w:cs="Arial"/>
          <w:b/>
          <w:iCs/>
          <w:color w:val="auto"/>
          <w:u w:val="single"/>
          <w:lang w:val="it-IT"/>
        </w:rPr>
        <w:t>2.1.</w:t>
      </w:r>
      <w:bookmarkEnd w:id="14"/>
      <w:r>
        <w:rPr>
          <w:rFonts w:ascii="Arial" w:eastAsia="Arial" w:hAnsi="Arial" w:cs="Arial"/>
          <w:b/>
          <w:bCs/>
          <w:iCs/>
          <w:color w:val="auto"/>
          <w:u w:val="single"/>
          <w:lang w:val="it-IT"/>
        </w:rPr>
        <w:t>Activitatea desfasurata</w:t>
      </w:r>
      <w:bookmarkEnd w:id="15"/>
    </w:p>
    <w:p>
      <w:pPr>
        <w:spacing w:line="276" w:lineRule="auto"/>
        <w:ind w:firstLine="708"/>
        <w:jc w:val="both"/>
        <w:rPr>
          <w:rFonts w:ascii="Arial" w:eastAsia="Arial" w:hAnsi="Arial"/>
          <w:b/>
          <w:color w:val="FF0000"/>
          <w:sz w:val="24"/>
          <w:lang w:val="it-IT"/>
        </w:rPr>
      </w:pPr>
      <w:r>
        <w:rPr>
          <w:rFonts w:ascii="Arial" w:eastAsia="Arial" w:hAnsi="Arial"/>
          <w:sz w:val="24"/>
          <w:lang w:val="it-IT"/>
        </w:rPr>
        <w:t xml:space="preserve">Activitatea desfasurata: </w:t>
      </w:r>
      <w:r>
        <w:rPr>
          <w:rFonts w:ascii="Arial" w:eastAsia="Arial" w:hAnsi="Arial"/>
          <w:sz w:val="24"/>
          <w:szCs w:val="24"/>
          <w:lang w:val="it-IT"/>
        </w:rPr>
        <w:t>Fabricarea de echipamente electrice si electronice pentru autovehicule si pentru motoare de autovehicule CAEN 2931.</w:t>
      </w:r>
    </w:p>
    <w:p>
      <w:pPr>
        <w:tabs>
          <w:tab w:val="left" w:pos="0"/>
        </w:tabs>
        <w:spacing w:line="276" w:lineRule="auto"/>
        <w:jc w:val="both"/>
        <w:rPr>
          <w:rFonts w:ascii="Arial" w:eastAsia="Arial" w:hAnsi="Arial"/>
          <w:sz w:val="24"/>
          <w:lang w:val="it-IT"/>
        </w:rPr>
      </w:pPr>
      <w:r>
        <w:rPr>
          <w:rFonts w:ascii="Arial" w:eastAsia="Arial" w:hAnsi="Arial"/>
          <w:sz w:val="24"/>
          <w:lang w:val="it-IT"/>
        </w:rPr>
        <w:tab/>
        <w:t>SC Mennekes Electric SRL va produce intr-un regim nepoluant de desfasurarea activitatii, cabluri de incarcare pentru autovehicole electrice. Hala pentru productie cablurilor electrice de alimentare va fi dotata cu 8 linii pentru productia acestora.In prezent sunt amplasate 3 linii de productie</w:t>
      </w:r>
      <w:bookmarkStart w:id="16" w:name="_GoBack"/>
      <w:bookmarkEnd w:id="16"/>
    </w:p>
    <w:p>
      <w:pPr>
        <w:tabs>
          <w:tab w:val="left" w:pos="0"/>
        </w:tabs>
        <w:spacing w:line="276" w:lineRule="auto"/>
        <w:jc w:val="both"/>
        <w:rPr>
          <w:rFonts w:ascii="Arial" w:eastAsia="Arial" w:hAnsi="Arial"/>
          <w:sz w:val="24"/>
          <w:lang w:val="it-IT"/>
        </w:rPr>
      </w:pPr>
      <w:r>
        <w:rPr>
          <w:rFonts w:ascii="Arial" w:eastAsia="Arial" w:hAnsi="Arial"/>
          <w:sz w:val="24"/>
          <w:lang w:val="it-IT"/>
        </w:rPr>
        <w:tab/>
        <w:t>Aprovizionarea si livrarea produselor se face prin intermediul unor rampe de incarcare-descarcare amplasate in latura nordica si vestica a halei. Accesul in hala se face atat din exterior cat si din corpul tehnic administrativ</w:t>
      </w:r>
    </w:p>
    <w:p>
      <w:pPr>
        <w:tabs>
          <w:tab w:val="left" w:pos="0"/>
        </w:tabs>
        <w:spacing w:line="276" w:lineRule="auto"/>
        <w:jc w:val="center"/>
        <w:rPr>
          <w:rFonts w:ascii="Arial" w:eastAsia="Arial" w:hAnsi="Arial"/>
          <w:sz w:val="24"/>
          <w:lang w:val="it-IT"/>
        </w:rPr>
      </w:pPr>
    </w:p>
    <w:p>
      <w:pPr>
        <w:tabs>
          <w:tab w:val="left" w:pos="0"/>
        </w:tabs>
        <w:spacing w:line="276" w:lineRule="auto"/>
        <w:jc w:val="center"/>
        <w:rPr>
          <w:rFonts w:ascii="Arial" w:eastAsia="Arial" w:hAnsi="Arial"/>
          <w:sz w:val="24"/>
          <w:u w:val="single"/>
          <w:lang w:val="it-IT"/>
        </w:rPr>
      </w:pPr>
      <w:r>
        <w:rPr>
          <w:rFonts w:ascii="Arial" w:eastAsia="Arial" w:hAnsi="Arial"/>
          <w:sz w:val="24"/>
          <w:u w:val="single"/>
          <w:lang w:val="it-IT"/>
        </w:rPr>
        <w:t>Hala de productie</w:t>
      </w:r>
    </w:p>
    <w:p>
      <w:pPr>
        <w:tabs>
          <w:tab w:val="left" w:pos="0"/>
        </w:tabs>
        <w:spacing w:line="276" w:lineRule="auto"/>
        <w:jc w:val="center"/>
        <w:rPr>
          <w:rFonts w:ascii="Arial" w:eastAsia="Arial" w:hAnsi="Arial"/>
          <w:sz w:val="24"/>
          <w:u w:val="single"/>
          <w:lang w:val="it-IT"/>
        </w:rPr>
      </w:pPr>
    </w:p>
    <w:p>
      <w:pPr>
        <w:tabs>
          <w:tab w:val="left" w:pos="0"/>
        </w:tabs>
        <w:spacing w:line="276" w:lineRule="auto"/>
        <w:jc w:val="both"/>
        <w:rPr>
          <w:rFonts w:ascii="Arial" w:eastAsia="Arial" w:hAnsi="Arial"/>
          <w:sz w:val="24"/>
          <w:lang w:val="it-IT"/>
        </w:rPr>
      </w:pPr>
      <w:r>
        <w:rPr>
          <w:rFonts w:ascii="Arial" w:eastAsia="Arial" w:hAnsi="Arial"/>
          <w:sz w:val="24"/>
          <w:lang w:val="it-IT"/>
        </w:rPr>
        <w:tab/>
        <w:t xml:space="preserve">Este o constructie industriala cu regimul de inaltime Parter si Parter inalt, avand inaltimea la atic Hmax=+7.70 m in zona de productie – comisionare si Hmax=11.8 in </w:t>
      </w:r>
      <w:r>
        <w:rPr>
          <w:rFonts w:ascii="Arial" w:eastAsia="Arial" w:hAnsi="Arial"/>
          <w:sz w:val="24"/>
          <w:lang w:val="it-IT"/>
        </w:rPr>
        <w:lastRenderedPageBreak/>
        <w:t>zona depozitului automatizat. Hala de productie este impartita in patru mari zone functionare: zona logistica, zona anexa productie incarcare descarcare cabluri, zona atelierelor de productie si zona depozitului automatizat.</w:t>
      </w:r>
    </w:p>
    <w:p>
      <w:pPr>
        <w:tabs>
          <w:tab w:val="left" w:pos="0"/>
        </w:tabs>
        <w:spacing w:line="276" w:lineRule="auto"/>
        <w:jc w:val="both"/>
        <w:rPr>
          <w:rFonts w:ascii="Arial" w:eastAsia="Arial" w:hAnsi="Arial"/>
          <w:sz w:val="24"/>
          <w:lang w:val="it-IT"/>
        </w:rPr>
      </w:pPr>
      <w:r>
        <w:rPr>
          <w:rFonts w:ascii="Arial" w:eastAsia="Arial" w:hAnsi="Arial"/>
          <w:sz w:val="24"/>
          <w:lang w:val="it-IT"/>
        </w:rPr>
        <w:tab/>
        <w:t>Accesul personalului in hala se face direct din corpul tehnico-adminisrativ unde sunt amenajate vestiare si loc de luat masa. Pe latura nordica este amenajata o rampa de andocare laterala pentru manipularea materiei prime. Pe aici se introduc tamburii de cabluri folositi ca materie prima in procesul tehnologic si se depoziteaza in zona logistica tratata  ca zona de depozitare si ambalare.</w:t>
      </w:r>
    </w:p>
    <w:p>
      <w:pPr>
        <w:tabs>
          <w:tab w:val="left" w:pos="0"/>
        </w:tabs>
        <w:spacing w:line="276" w:lineRule="auto"/>
        <w:jc w:val="both"/>
        <w:rPr>
          <w:rFonts w:ascii="Arial" w:eastAsia="Arial" w:hAnsi="Arial"/>
          <w:sz w:val="24"/>
          <w:lang w:val="it-IT"/>
        </w:rPr>
      </w:pPr>
      <w:r>
        <w:rPr>
          <w:rFonts w:ascii="Arial" w:eastAsia="Arial" w:hAnsi="Arial"/>
          <w:sz w:val="24"/>
          <w:lang w:val="it-IT"/>
        </w:rPr>
        <w:tab/>
        <w:t>Zona logistica, are rol de depozitare, spatiu de manipulare materii prime si finite, ambalare.</w:t>
      </w:r>
    </w:p>
    <w:p>
      <w:pPr>
        <w:tabs>
          <w:tab w:val="left" w:pos="0"/>
        </w:tabs>
        <w:spacing w:line="276" w:lineRule="auto"/>
        <w:jc w:val="both"/>
        <w:rPr>
          <w:rFonts w:ascii="Arial" w:eastAsia="Arial" w:hAnsi="Arial"/>
          <w:sz w:val="24"/>
          <w:lang w:val="it-IT"/>
        </w:rPr>
      </w:pPr>
      <w:r>
        <w:rPr>
          <w:rFonts w:ascii="Arial" w:eastAsia="Arial" w:hAnsi="Arial"/>
          <w:sz w:val="24"/>
          <w:lang w:val="it-IT"/>
        </w:rPr>
        <w:tab/>
        <w:t>Zona anexa productie – incarcare are rol de productie fiind un spatiu unde tamburii cu cabluri se incarca pe utilaje.Acest spatiu este despartit de zona de atelier productie, pentru a pastra un mediu cat mai curat si ferit de praf din zona  de ansamblare stekere. Zona anexa este in stransa legatura cu zona de ateliere cu multe legaturi pietonale dar si cu usa sectionala destinata stivuitorului.</w:t>
      </w:r>
    </w:p>
    <w:p>
      <w:pPr>
        <w:tabs>
          <w:tab w:val="left" w:pos="0"/>
        </w:tabs>
        <w:spacing w:line="276" w:lineRule="auto"/>
        <w:jc w:val="both"/>
        <w:rPr>
          <w:rFonts w:ascii="Arial" w:eastAsia="Arial" w:hAnsi="Arial"/>
          <w:sz w:val="24"/>
          <w:lang w:val="it-IT"/>
        </w:rPr>
      </w:pPr>
      <w:r>
        <w:rPr>
          <w:rFonts w:ascii="Arial" w:eastAsia="Arial" w:hAnsi="Arial"/>
          <w:sz w:val="24"/>
          <w:lang w:val="it-IT"/>
        </w:rPr>
        <w:tab/>
        <w:t>Zona atelierelor de productie se afla in mijlocul halei fiind impartita in doua, iar initial va functiona doar una, iar in functie de necesitati  va fi utilizata si al doilea spatiu</w:t>
      </w:r>
    </w:p>
    <w:p>
      <w:pPr>
        <w:tabs>
          <w:tab w:val="left" w:pos="0"/>
        </w:tabs>
        <w:spacing w:line="276" w:lineRule="auto"/>
        <w:jc w:val="both"/>
        <w:rPr>
          <w:rFonts w:ascii="Arial" w:eastAsia="Arial" w:hAnsi="Arial"/>
          <w:sz w:val="24"/>
          <w:lang w:val="it-IT"/>
        </w:rPr>
      </w:pPr>
      <w:r>
        <w:rPr>
          <w:rFonts w:ascii="Arial" w:eastAsia="Arial" w:hAnsi="Arial"/>
          <w:sz w:val="24"/>
          <w:lang w:val="it-IT"/>
        </w:rPr>
        <w:tab/>
        <w:t>Depozitul automat se afla in sudul halei fiind un spatiu unde se depoziteaza pe rafturi inalte atat materii prime cat si finite. Acest spatiu este in legatura cu zona logistica deoarece pe aici se face incarcarea si descarcarea materiei prime cat si cele finite.</w:t>
      </w:r>
    </w:p>
    <w:p>
      <w:pPr>
        <w:pStyle w:val="ListParagraph"/>
        <w:widowControl w:val="0"/>
        <w:numPr>
          <w:ilvl w:val="0"/>
          <w:numId w:val="25"/>
        </w:numPr>
        <w:suppressAutoHyphens/>
        <w:spacing w:line="360" w:lineRule="auto"/>
        <w:contextualSpacing/>
        <w:jc w:val="both"/>
        <w:rPr>
          <w:b/>
          <w:sz w:val="28"/>
          <w:szCs w:val="28"/>
          <w:lang w:val="ro-RO"/>
        </w:rPr>
      </w:pPr>
      <w:r>
        <w:rPr>
          <w:b/>
          <w:sz w:val="28"/>
          <w:szCs w:val="28"/>
          <w:lang w:val="ro-RO"/>
        </w:rPr>
        <w:t>Date privind autorizaţia</w:t>
      </w:r>
    </w:p>
    <w:p>
      <w:pPr>
        <w:pStyle w:val="ListParagraph"/>
        <w:spacing w:line="360" w:lineRule="auto"/>
        <w:jc w:val="both"/>
        <w:rPr>
          <w:rFonts w:ascii="Arial" w:hAnsi="Arial"/>
          <w:sz w:val="24"/>
          <w:szCs w:val="24"/>
          <w:lang w:val="ro-RO"/>
        </w:rPr>
      </w:pPr>
      <w:r>
        <w:rPr>
          <w:rFonts w:ascii="Arial" w:hAnsi="Arial"/>
          <w:sz w:val="24"/>
          <w:szCs w:val="24"/>
          <w:lang w:val="ro-RO"/>
        </w:rPr>
        <w:t>Autorizaţie de mediu nr 05/21.10.2021</w:t>
      </w:r>
    </w:p>
    <w:p>
      <w:pPr>
        <w:pStyle w:val="ListParagraph"/>
        <w:numPr>
          <w:ilvl w:val="0"/>
          <w:numId w:val="25"/>
        </w:numPr>
        <w:spacing w:line="360" w:lineRule="auto"/>
        <w:jc w:val="both"/>
        <w:rPr>
          <w:rFonts w:ascii="Arial" w:hAnsi="Arial"/>
          <w:b/>
          <w:sz w:val="24"/>
          <w:szCs w:val="24"/>
          <w:lang w:val="fr-BE"/>
        </w:rPr>
      </w:pPr>
      <w:r>
        <w:rPr>
          <w:rFonts w:ascii="Arial" w:hAnsi="Arial"/>
          <w:b/>
          <w:sz w:val="24"/>
          <w:szCs w:val="24"/>
          <w:lang w:val="fr-BE"/>
        </w:rPr>
        <w:t>Date productie</w:t>
      </w:r>
    </w:p>
    <w:p>
      <w:pPr>
        <w:pStyle w:val="ListParagraph"/>
        <w:autoSpaceDE w:val="0"/>
        <w:autoSpaceDN w:val="0"/>
        <w:adjustRightInd w:val="0"/>
        <w:rPr>
          <w:rFonts w:ascii="Arial" w:eastAsiaTheme="minorHAnsi" w:hAnsi="Arial"/>
          <w:sz w:val="24"/>
          <w:szCs w:val="24"/>
          <w:lang w:val="de-DE" w:eastAsia="en-US"/>
        </w:rPr>
      </w:pPr>
      <w:r>
        <w:rPr>
          <w:rFonts w:ascii="Arial" w:eastAsiaTheme="minorHAnsi" w:hAnsi="Arial"/>
          <w:sz w:val="24"/>
          <w:szCs w:val="24"/>
          <w:lang w:val="de-DE" w:eastAsia="en-US"/>
        </w:rPr>
        <w:t>Volum productie realizat 600000 bucati</w:t>
      </w:r>
    </w:p>
    <w:p>
      <w:pPr>
        <w:pStyle w:val="ListParagraph"/>
        <w:autoSpaceDE w:val="0"/>
        <w:autoSpaceDN w:val="0"/>
        <w:adjustRightInd w:val="0"/>
        <w:rPr>
          <w:rFonts w:ascii="Arial" w:eastAsiaTheme="minorHAnsi" w:hAnsi="Arial"/>
          <w:sz w:val="24"/>
          <w:szCs w:val="24"/>
          <w:lang w:val="de-DE" w:eastAsia="en-US"/>
        </w:rPr>
      </w:pPr>
      <w:r>
        <w:rPr>
          <w:rFonts w:ascii="Arial" w:eastAsiaTheme="minorHAnsi" w:hAnsi="Arial"/>
          <w:sz w:val="24"/>
          <w:szCs w:val="24"/>
          <w:lang w:val="de-DE" w:eastAsia="en-US"/>
        </w:rPr>
        <w:t>Denumire produs Cabluri electrice pentru auto</w:t>
      </w:r>
    </w:p>
    <w:p>
      <w:pPr>
        <w:pStyle w:val="ListParagraph"/>
        <w:spacing w:line="360" w:lineRule="auto"/>
        <w:jc w:val="both"/>
        <w:rPr>
          <w:rFonts w:ascii="Arial" w:hAnsi="Arial"/>
          <w:b/>
          <w:sz w:val="24"/>
          <w:szCs w:val="24"/>
          <w:lang w:val="fr-BE"/>
        </w:rPr>
      </w:pPr>
      <w:r>
        <w:rPr>
          <w:rFonts w:ascii="Arial" w:eastAsiaTheme="minorHAnsi" w:hAnsi="Arial"/>
          <w:sz w:val="24"/>
          <w:szCs w:val="24"/>
          <w:lang w:val="de-DE" w:eastAsia="en-US"/>
        </w:rPr>
        <w:t>Observatii cabluri electrice bucati produse finite</w:t>
      </w:r>
    </w:p>
    <w:p>
      <w:pPr>
        <w:tabs>
          <w:tab w:val="left" w:pos="0"/>
        </w:tabs>
        <w:spacing w:line="276" w:lineRule="auto"/>
        <w:jc w:val="both"/>
        <w:rPr>
          <w:rFonts w:ascii="Arial" w:eastAsia="Arial" w:hAnsi="Arial"/>
          <w:sz w:val="24"/>
          <w:lang w:val="it-IT"/>
        </w:rPr>
      </w:pPr>
    </w:p>
    <w:p>
      <w:pPr>
        <w:pStyle w:val="ListParagraph"/>
        <w:widowControl w:val="0"/>
        <w:numPr>
          <w:ilvl w:val="0"/>
          <w:numId w:val="25"/>
        </w:numPr>
        <w:suppressAutoHyphens/>
        <w:spacing w:line="360" w:lineRule="auto"/>
        <w:contextualSpacing/>
        <w:jc w:val="both"/>
        <w:rPr>
          <w:b/>
          <w:sz w:val="28"/>
          <w:szCs w:val="28"/>
          <w:lang w:val="fr-BE"/>
        </w:rPr>
      </w:pPr>
      <w:r>
        <w:rPr>
          <w:b/>
          <w:sz w:val="28"/>
          <w:szCs w:val="28"/>
          <w:lang w:val="fr-BE"/>
        </w:rPr>
        <w:t>Utilitati</w:t>
      </w:r>
    </w:p>
    <w:p>
      <w:pPr>
        <w:pStyle w:val="ListParagraph"/>
        <w:spacing w:line="276" w:lineRule="auto"/>
        <w:jc w:val="both"/>
        <w:rPr>
          <w:rFonts w:ascii="Arial" w:eastAsia="Arial" w:hAnsi="Arial"/>
          <w:b/>
          <w:sz w:val="24"/>
          <w:lang w:val="it-IT"/>
        </w:rPr>
      </w:pPr>
      <w:r>
        <w:rPr>
          <w:rFonts w:ascii="Arial" w:eastAsia="Arial" w:hAnsi="Arial"/>
          <w:b/>
          <w:sz w:val="24"/>
          <w:lang w:val="it-IT"/>
        </w:rPr>
        <w:t>Alimentarea cu apa, canalizare si ape pluviale.</w:t>
      </w:r>
    </w:p>
    <w:p>
      <w:pPr>
        <w:spacing w:line="276" w:lineRule="auto"/>
        <w:ind w:left="360" w:right="20" w:firstLine="721"/>
        <w:jc w:val="both"/>
        <w:rPr>
          <w:rFonts w:ascii="Arial" w:eastAsia="Arial" w:hAnsi="Arial"/>
          <w:sz w:val="24"/>
          <w:lang w:val="it-IT"/>
        </w:rPr>
      </w:pPr>
      <w:r>
        <w:rPr>
          <w:rFonts w:ascii="Arial" w:eastAsia="Arial" w:hAnsi="Arial"/>
          <w:sz w:val="24"/>
          <w:lang w:val="it-IT"/>
        </w:rPr>
        <w:t>Alimentarea cu apa potabila se face de la reteaua de apa Apa Vital . Apa calda se prepara local cu ajutorul unui boiler montat in centrala termica.</w:t>
      </w:r>
    </w:p>
    <w:p>
      <w:pPr>
        <w:spacing w:line="276" w:lineRule="auto"/>
        <w:ind w:left="360" w:right="20" w:firstLine="721"/>
        <w:jc w:val="both"/>
        <w:rPr>
          <w:rFonts w:ascii="Arial" w:eastAsia="Arial" w:hAnsi="Arial"/>
          <w:sz w:val="24"/>
          <w:lang w:val="it-IT"/>
        </w:rPr>
      </w:pPr>
      <w:r>
        <w:rPr>
          <w:rFonts w:ascii="Arial" w:eastAsia="Arial" w:hAnsi="Arial"/>
          <w:sz w:val="24"/>
          <w:lang w:val="it-IT"/>
        </w:rPr>
        <w:t>Sistemul de canalizare de pe amplasament este racordat la sistemul centralizat de canalizare a Apa Vital.si se descarca in statia de epurare a municipiului Iasi.</w:t>
      </w:r>
    </w:p>
    <w:p>
      <w:pPr>
        <w:spacing w:line="276" w:lineRule="auto"/>
        <w:ind w:left="360" w:right="20" w:firstLine="721"/>
        <w:jc w:val="both"/>
        <w:rPr>
          <w:rFonts w:ascii="Arial" w:eastAsia="Arial" w:hAnsi="Arial"/>
          <w:sz w:val="24"/>
          <w:lang w:val="it-IT"/>
        </w:rPr>
      </w:pPr>
      <w:r>
        <w:rPr>
          <w:rFonts w:ascii="Arial" w:eastAsia="Arial" w:hAnsi="Arial"/>
          <w:sz w:val="24"/>
          <w:lang w:val="it-IT"/>
        </w:rPr>
        <w:t>Apele pluviale de suprafata amplasamentului s-a realizat printr-un sistem vacuumatic de drenaj al apelor pluviale Valsir sau similar in stricta concordanta cu indicatiile furnizorului de system si sunt preluate de sistemul de canalizare de incinta. Apele fluviale de pe suprafata parcarilor  vor fi colectate cu ajutorul gurelor de scurgere si a rigolelor metalice din fonta pentru trafic auto si conduse spre separatorul de hidrocarburi pentru o tratare de posibile hidrocarburi inainte de descarcarea acestor ape la canalizarea din incinta si evacuate in rigola stradala apartinand Primariei Miroslava</w:t>
      </w:r>
    </w:p>
    <w:p>
      <w:pPr>
        <w:spacing w:line="276" w:lineRule="auto"/>
        <w:ind w:right="20"/>
        <w:jc w:val="both"/>
        <w:rPr>
          <w:rFonts w:ascii="Arial" w:eastAsia="Arial" w:hAnsi="Arial"/>
          <w:sz w:val="24"/>
          <w:lang w:val="it-IT"/>
        </w:rPr>
      </w:pPr>
    </w:p>
    <w:p>
      <w:pPr>
        <w:pStyle w:val="ListParagraph"/>
        <w:numPr>
          <w:ilvl w:val="0"/>
          <w:numId w:val="25"/>
        </w:numPr>
        <w:spacing w:line="276" w:lineRule="auto"/>
        <w:jc w:val="both"/>
        <w:rPr>
          <w:rFonts w:ascii="Arial" w:eastAsia="Arial" w:hAnsi="Arial"/>
          <w:b/>
          <w:sz w:val="24"/>
          <w:lang w:val="it-IT"/>
        </w:rPr>
      </w:pPr>
      <w:r>
        <w:rPr>
          <w:rFonts w:ascii="Arial" w:eastAsia="Arial" w:hAnsi="Arial"/>
          <w:b/>
          <w:sz w:val="24"/>
          <w:lang w:val="it-IT"/>
        </w:rPr>
        <w:t>Alimentarea cu energie si gaze naturale</w:t>
      </w:r>
    </w:p>
    <w:p>
      <w:pPr>
        <w:spacing w:line="276" w:lineRule="auto"/>
        <w:ind w:firstLine="708"/>
        <w:jc w:val="both"/>
        <w:rPr>
          <w:rFonts w:ascii="Arial" w:eastAsia="Arial" w:hAnsi="Arial"/>
          <w:sz w:val="24"/>
          <w:lang w:val="it-IT"/>
        </w:rPr>
      </w:pPr>
      <w:r>
        <w:rPr>
          <w:rFonts w:ascii="Arial" w:eastAsia="Arial" w:hAnsi="Arial"/>
          <w:sz w:val="24"/>
          <w:lang w:val="it-IT"/>
        </w:rPr>
        <w:t>Alimentarea cu energie se face din reateaua furnizorului  a Parcului  industrial Miroslava</w:t>
      </w:r>
    </w:p>
    <w:p>
      <w:pPr>
        <w:spacing w:line="276" w:lineRule="auto"/>
        <w:ind w:firstLine="708"/>
        <w:jc w:val="both"/>
        <w:rPr>
          <w:rFonts w:ascii="Arial" w:eastAsia="Arial" w:hAnsi="Arial"/>
          <w:sz w:val="24"/>
          <w:lang w:val="it-IT"/>
        </w:rPr>
      </w:pPr>
      <w:r>
        <w:rPr>
          <w:rFonts w:ascii="Arial" w:eastAsia="Arial" w:hAnsi="Arial"/>
          <w:sz w:val="24"/>
          <w:lang w:val="it-IT"/>
        </w:rPr>
        <w:t>Alimentarea cu gaze naturale se face din reteua de gaze naturale a Gazmir Iasi SRL al carui furnizor este.</w:t>
      </w:r>
    </w:p>
    <w:p>
      <w:pPr>
        <w:spacing w:line="276" w:lineRule="auto"/>
        <w:jc w:val="both"/>
        <w:rPr>
          <w:rFonts w:ascii="Arial" w:eastAsia="Times New Roman" w:hAnsi="Arial"/>
          <w:lang w:val="it-IT"/>
        </w:rPr>
      </w:pPr>
    </w:p>
    <w:p>
      <w:pPr>
        <w:pStyle w:val="ListParagraph"/>
        <w:numPr>
          <w:ilvl w:val="0"/>
          <w:numId w:val="25"/>
        </w:numPr>
        <w:spacing w:line="276" w:lineRule="auto"/>
        <w:jc w:val="both"/>
        <w:rPr>
          <w:rFonts w:ascii="Arial" w:eastAsia="Arial" w:hAnsi="Arial"/>
          <w:b/>
          <w:sz w:val="24"/>
          <w:lang w:val="it-IT"/>
        </w:rPr>
      </w:pPr>
      <w:r>
        <w:rPr>
          <w:rFonts w:ascii="Arial" w:eastAsia="Arial" w:hAnsi="Arial"/>
          <w:b/>
          <w:sz w:val="24"/>
          <w:lang w:val="it-IT"/>
        </w:rPr>
        <w:t>Iluminatul</w:t>
      </w:r>
    </w:p>
    <w:p>
      <w:pPr>
        <w:spacing w:line="276" w:lineRule="auto"/>
        <w:ind w:firstLine="708"/>
        <w:jc w:val="both"/>
        <w:rPr>
          <w:rFonts w:ascii="Arial" w:eastAsia="Arial" w:hAnsi="Arial"/>
          <w:sz w:val="24"/>
          <w:lang w:val="it-IT"/>
        </w:rPr>
      </w:pPr>
      <w:r>
        <w:rPr>
          <w:rFonts w:ascii="Arial" w:eastAsia="Arial" w:hAnsi="Arial"/>
          <w:sz w:val="24"/>
          <w:lang w:val="it-IT"/>
        </w:rPr>
        <w:t>Se rezolva atat in mod natural, prin luminatoare cat si artificial prin becuri electrice si neoane. Obiectivul este racordat la postul trafo existent in zona prin bransament la reteaua Parcului  industrial Miroslava</w:t>
      </w:r>
    </w:p>
    <w:p>
      <w:pPr>
        <w:spacing w:line="276" w:lineRule="auto"/>
        <w:ind w:firstLine="708"/>
        <w:jc w:val="both"/>
        <w:rPr>
          <w:rFonts w:ascii="Arial" w:eastAsia="Arial" w:hAnsi="Arial"/>
          <w:sz w:val="24"/>
          <w:lang w:val="it-IT"/>
        </w:rPr>
      </w:pPr>
    </w:p>
    <w:p>
      <w:pPr>
        <w:pStyle w:val="ListParagraph"/>
        <w:numPr>
          <w:ilvl w:val="0"/>
          <w:numId w:val="25"/>
        </w:numPr>
        <w:spacing w:line="276" w:lineRule="auto"/>
        <w:jc w:val="both"/>
        <w:rPr>
          <w:rFonts w:ascii="Arial" w:eastAsia="Arial" w:hAnsi="Arial"/>
          <w:b/>
          <w:sz w:val="24"/>
          <w:lang w:val="it-IT"/>
        </w:rPr>
      </w:pPr>
      <w:r>
        <w:rPr>
          <w:rFonts w:ascii="Arial" w:eastAsia="Arial" w:hAnsi="Arial"/>
          <w:b/>
          <w:sz w:val="24"/>
          <w:lang w:val="it-IT"/>
        </w:rPr>
        <w:t>Instalatii de incalzire, racire si ventilare</w:t>
      </w:r>
    </w:p>
    <w:p>
      <w:pPr>
        <w:spacing w:line="276" w:lineRule="auto"/>
        <w:ind w:firstLine="708"/>
        <w:jc w:val="both"/>
        <w:rPr>
          <w:rFonts w:ascii="Arial" w:eastAsia="Arial" w:hAnsi="Arial"/>
          <w:sz w:val="24"/>
          <w:lang w:val="it-IT"/>
        </w:rPr>
      </w:pPr>
      <w:r>
        <w:rPr>
          <w:rFonts w:ascii="Arial" w:eastAsia="Arial" w:hAnsi="Arial"/>
          <w:sz w:val="24"/>
          <w:lang w:val="it-IT"/>
        </w:rPr>
        <w:t>Pentru incalzire si racirea zonei de productie s-au utilizat unitati de climatizare tip rooftop cu arzator de gaz cu aport de aer proaspat calculat in functie de numarul de persoane. Echipamentele sunt amplasate pe invelitoare, iar in interiorul halei aerul va fi refulat, respectiv aspirat prin  intermediul unor retele de tubulaturi si grile.</w:t>
      </w:r>
    </w:p>
    <w:p>
      <w:pPr>
        <w:spacing w:line="276" w:lineRule="auto"/>
        <w:ind w:firstLine="708"/>
        <w:jc w:val="both"/>
        <w:rPr>
          <w:rFonts w:ascii="Arial" w:eastAsia="Arial" w:hAnsi="Arial"/>
          <w:sz w:val="24"/>
          <w:lang w:val="it-IT"/>
        </w:rPr>
      </w:pPr>
      <w:r>
        <w:rPr>
          <w:rFonts w:ascii="Arial" w:eastAsia="Arial" w:hAnsi="Arial"/>
          <w:sz w:val="24"/>
          <w:lang w:val="it-IT"/>
        </w:rPr>
        <w:t>Pentru incalzirea anexei de productie s-au utilizat aeroterme pe gaz cu montaj in exterior. In interior vor fi tubulaturi si grile prin care aerul va fi refulat, respectiv aspirat</w:t>
      </w:r>
    </w:p>
    <w:p>
      <w:pPr>
        <w:spacing w:line="276" w:lineRule="auto"/>
        <w:ind w:firstLine="708"/>
        <w:jc w:val="both"/>
        <w:rPr>
          <w:rFonts w:ascii="Arial" w:eastAsia="Arial" w:hAnsi="Arial"/>
          <w:sz w:val="24"/>
          <w:lang w:val="it-IT"/>
        </w:rPr>
      </w:pPr>
      <w:r>
        <w:rPr>
          <w:rFonts w:ascii="Arial" w:eastAsia="Arial" w:hAnsi="Arial"/>
          <w:sz w:val="24"/>
          <w:lang w:val="it-IT"/>
        </w:rPr>
        <w:t>Incalzirea zonei administrative s-a realizat prin radiatoare din tabla de otel. Cazanele sunt amplasate intr-o zona speciala la parter. Incaperea centralei este dotata cu detector de gaz care comanda electrovalva de gaz montata pe conducta inainte de intrare in cladire</w:t>
      </w:r>
    </w:p>
    <w:p>
      <w:pPr>
        <w:spacing w:line="276" w:lineRule="auto"/>
        <w:ind w:firstLine="708"/>
        <w:jc w:val="both"/>
        <w:rPr>
          <w:rFonts w:ascii="Arial" w:eastAsia="Arial" w:hAnsi="Arial"/>
          <w:sz w:val="24"/>
          <w:lang w:val="it-IT"/>
        </w:rPr>
      </w:pPr>
      <w:r>
        <w:rPr>
          <w:rFonts w:ascii="Arial" w:eastAsia="Arial" w:hAnsi="Arial"/>
          <w:sz w:val="24"/>
          <w:lang w:val="it-IT"/>
        </w:rPr>
        <w:t>Racirea se va asigura cu multisplituri. Birourile vor fi cu ventilare naturala prin deschirea manuala a ferestrelor. Birourile care sunt amplasate spre zona de productie si nu au ferestre exterioare vor fi ventilate mecanic.</w:t>
      </w:r>
    </w:p>
    <w:p>
      <w:pPr>
        <w:pStyle w:val="ListParagraph"/>
        <w:widowControl w:val="0"/>
        <w:suppressAutoHyphens/>
        <w:spacing w:line="360" w:lineRule="auto"/>
        <w:contextualSpacing/>
        <w:jc w:val="both"/>
        <w:rPr>
          <w:b/>
          <w:sz w:val="28"/>
          <w:szCs w:val="28"/>
          <w:lang w:val="it-IT"/>
        </w:rPr>
      </w:pPr>
    </w:p>
    <w:p>
      <w:pPr>
        <w:pStyle w:val="ListParagraph"/>
        <w:spacing w:line="360" w:lineRule="auto"/>
        <w:ind w:left="142"/>
        <w:jc w:val="both"/>
        <w:rPr>
          <w:b/>
          <w:lang w:val="it-IT"/>
        </w:rPr>
      </w:pPr>
      <w:r>
        <w:rPr>
          <w:b/>
          <w:bCs/>
          <w:iCs/>
          <w:lang w:val="it-IT"/>
        </w:rPr>
        <w:t xml:space="preserve"> </w:t>
      </w:r>
    </w:p>
    <w:tbl>
      <w:tblPr>
        <w:tblStyle w:val="TableGrid"/>
        <w:tblW w:w="9747" w:type="dxa"/>
        <w:tblInd w:w="142" w:type="dxa"/>
        <w:tblLook w:val="04A0" w:firstRow="1" w:lastRow="0" w:firstColumn="1" w:lastColumn="0" w:noHBand="0" w:noVBand="1"/>
      </w:tblPr>
      <w:tblGrid>
        <w:gridCol w:w="4716"/>
        <w:gridCol w:w="5031"/>
      </w:tblGrid>
      <w:tr>
        <w:tc>
          <w:tcPr>
            <w:tcW w:w="4716" w:type="dxa"/>
          </w:tcPr>
          <w:p>
            <w:pPr>
              <w:pStyle w:val="ListParagraph"/>
              <w:spacing w:line="360" w:lineRule="auto"/>
              <w:ind w:left="0"/>
              <w:jc w:val="both"/>
              <w:rPr>
                <w:sz w:val="24"/>
                <w:szCs w:val="24"/>
              </w:rPr>
            </w:pPr>
            <w:r>
              <w:rPr>
                <w:sz w:val="24"/>
                <w:szCs w:val="24"/>
              </w:rPr>
              <w:t>Utilitati</w:t>
            </w:r>
          </w:p>
        </w:tc>
        <w:tc>
          <w:tcPr>
            <w:tcW w:w="5031" w:type="dxa"/>
          </w:tcPr>
          <w:p>
            <w:pPr>
              <w:pStyle w:val="ListParagraph"/>
              <w:spacing w:line="360" w:lineRule="auto"/>
              <w:ind w:left="0"/>
              <w:jc w:val="both"/>
              <w:rPr>
                <w:sz w:val="24"/>
                <w:szCs w:val="24"/>
              </w:rPr>
            </w:pPr>
            <w:r>
              <w:rPr>
                <w:sz w:val="24"/>
                <w:szCs w:val="24"/>
              </w:rPr>
              <w:t>Anul 2022</w:t>
            </w:r>
          </w:p>
        </w:tc>
      </w:tr>
      <w:tr>
        <w:tc>
          <w:tcPr>
            <w:tcW w:w="4716" w:type="dxa"/>
          </w:tcPr>
          <w:p>
            <w:pPr>
              <w:pStyle w:val="ListParagraph"/>
              <w:spacing w:line="360" w:lineRule="auto"/>
              <w:ind w:left="0"/>
              <w:jc w:val="both"/>
              <w:rPr>
                <w:sz w:val="24"/>
                <w:szCs w:val="24"/>
              </w:rPr>
            </w:pPr>
            <w:r>
              <w:rPr>
                <w:sz w:val="24"/>
                <w:szCs w:val="24"/>
              </w:rPr>
              <w:t>Apa</w:t>
            </w:r>
          </w:p>
        </w:tc>
        <w:tc>
          <w:tcPr>
            <w:tcW w:w="5031" w:type="dxa"/>
          </w:tcPr>
          <w:p>
            <w:pPr>
              <w:pStyle w:val="ListParagraph"/>
              <w:spacing w:line="360" w:lineRule="auto"/>
              <w:ind w:left="0"/>
              <w:jc w:val="both"/>
              <w:rPr>
                <w:sz w:val="24"/>
                <w:szCs w:val="24"/>
                <w:vertAlign w:val="superscript"/>
              </w:rPr>
            </w:pPr>
            <w:r>
              <w:rPr>
                <w:sz w:val="24"/>
                <w:szCs w:val="24"/>
              </w:rPr>
              <w:t>3242 m</w:t>
            </w:r>
            <w:r>
              <w:rPr>
                <w:sz w:val="24"/>
                <w:szCs w:val="24"/>
                <w:vertAlign w:val="superscript"/>
              </w:rPr>
              <w:t>3</w:t>
            </w:r>
          </w:p>
        </w:tc>
      </w:tr>
      <w:tr>
        <w:tc>
          <w:tcPr>
            <w:tcW w:w="4716" w:type="dxa"/>
          </w:tcPr>
          <w:p>
            <w:pPr>
              <w:pStyle w:val="ListParagraph"/>
              <w:spacing w:line="360" w:lineRule="auto"/>
              <w:ind w:left="0"/>
              <w:jc w:val="both"/>
              <w:rPr>
                <w:sz w:val="24"/>
                <w:szCs w:val="24"/>
              </w:rPr>
            </w:pPr>
            <w:r>
              <w:rPr>
                <w:sz w:val="24"/>
                <w:szCs w:val="24"/>
              </w:rPr>
              <w:t xml:space="preserve">Energie </w:t>
            </w:r>
          </w:p>
        </w:tc>
        <w:tc>
          <w:tcPr>
            <w:tcW w:w="5031" w:type="dxa"/>
          </w:tcPr>
          <w:p>
            <w:pPr>
              <w:pStyle w:val="ListParagraph"/>
              <w:spacing w:line="360" w:lineRule="auto"/>
              <w:ind w:left="0"/>
              <w:jc w:val="both"/>
              <w:rPr>
                <w:sz w:val="24"/>
                <w:szCs w:val="24"/>
              </w:rPr>
            </w:pPr>
            <w:r>
              <w:rPr>
                <w:sz w:val="24"/>
                <w:szCs w:val="24"/>
              </w:rPr>
              <w:t>683148 KWH</w:t>
            </w:r>
          </w:p>
        </w:tc>
      </w:tr>
      <w:tr>
        <w:tc>
          <w:tcPr>
            <w:tcW w:w="4716" w:type="dxa"/>
          </w:tcPr>
          <w:p>
            <w:pPr>
              <w:pStyle w:val="ListParagraph"/>
              <w:spacing w:line="360" w:lineRule="auto"/>
              <w:ind w:left="0"/>
              <w:jc w:val="both"/>
              <w:rPr>
                <w:sz w:val="24"/>
                <w:szCs w:val="24"/>
              </w:rPr>
            </w:pPr>
            <w:r>
              <w:rPr>
                <w:sz w:val="24"/>
                <w:szCs w:val="24"/>
              </w:rPr>
              <w:t>GAZ</w:t>
            </w:r>
          </w:p>
        </w:tc>
        <w:tc>
          <w:tcPr>
            <w:tcW w:w="5031" w:type="dxa"/>
          </w:tcPr>
          <w:p>
            <w:pPr>
              <w:pStyle w:val="ListParagraph"/>
              <w:spacing w:line="360" w:lineRule="auto"/>
              <w:ind w:left="0"/>
              <w:jc w:val="both"/>
              <w:rPr>
                <w:sz w:val="24"/>
                <w:szCs w:val="24"/>
              </w:rPr>
            </w:pPr>
            <w:r>
              <w:rPr>
                <w:sz w:val="24"/>
                <w:szCs w:val="24"/>
              </w:rPr>
              <w:t>6856 m</w:t>
            </w:r>
            <w:r>
              <w:rPr>
                <w:sz w:val="24"/>
                <w:szCs w:val="24"/>
                <w:vertAlign w:val="superscript"/>
              </w:rPr>
              <w:t>3</w:t>
            </w:r>
            <w:r>
              <w:rPr>
                <w:sz w:val="24"/>
                <w:szCs w:val="24"/>
              </w:rPr>
              <w:t xml:space="preserve"> gaz</w:t>
            </w:r>
          </w:p>
        </w:tc>
      </w:tr>
    </w:tbl>
    <w:p>
      <w:pPr>
        <w:pStyle w:val="ListParagraph"/>
        <w:spacing w:line="360" w:lineRule="auto"/>
        <w:ind w:left="142"/>
        <w:jc w:val="both"/>
      </w:pPr>
    </w:p>
    <w:p>
      <w:pPr>
        <w:pStyle w:val="Heading1"/>
        <w:spacing w:line="276" w:lineRule="auto"/>
        <w:jc w:val="center"/>
        <w:rPr>
          <w:rFonts w:ascii="Arial" w:eastAsia="Arial" w:hAnsi="Arial" w:cs="Arial"/>
          <w:bCs w:val="0"/>
          <w:i/>
          <w:iCs/>
          <w:sz w:val="36"/>
          <w:szCs w:val="36"/>
          <w:u w:val="single"/>
          <w:lang w:val="it-IT"/>
        </w:rPr>
      </w:pPr>
      <w:r>
        <w:rPr>
          <w:rFonts w:ascii="Arial" w:eastAsia="Arial" w:hAnsi="Arial" w:cs="Arial"/>
          <w:bCs w:val="0"/>
          <w:i/>
          <w:iCs/>
          <w:sz w:val="36"/>
          <w:szCs w:val="36"/>
          <w:u w:val="single"/>
          <w:lang w:val="it-IT"/>
        </w:rPr>
        <w:t>Surse de poluanti si protectia factorilor de mediu</w:t>
      </w:r>
    </w:p>
    <w:p>
      <w:pPr>
        <w:spacing w:line="276" w:lineRule="auto"/>
        <w:jc w:val="both"/>
        <w:rPr>
          <w:rFonts w:ascii="Arial" w:eastAsia="Times New Roman" w:hAnsi="Arial"/>
          <w:lang w:val="it-IT"/>
        </w:rPr>
      </w:pPr>
    </w:p>
    <w:p>
      <w:pPr>
        <w:pStyle w:val="Heading3"/>
        <w:ind w:firstLine="708"/>
        <w:rPr>
          <w:rFonts w:ascii="Arial" w:eastAsia="Arial" w:hAnsi="Arial" w:cs="Arial"/>
          <w:b/>
          <w:bCs/>
          <w:iCs/>
          <w:color w:val="auto"/>
          <w:u w:val="single"/>
          <w:lang w:val="it-IT"/>
        </w:rPr>
      </w:pPr>
      <w:bookmarkStart w:id="17" w:name="_Toc53661514"/>
      <w:bookmarkStart w:id="18" w:name="_Toc64466769"/>
      <w:r>
        <w:rPr>
          <w:rFonts w:ascii="Arial" w:eastAsia="Arial" w:hAnsi="Arial" w:cs="Arial"/>
          <w:b/>
          <w:iCs/>
          <w:color w:val="auto"/>
          <w:u w:val="single"/>
          <w:lang w:val="it-IT"/>
        </w:rPr>
        <w:t>3.1 Protectia calitatii apelor</w:t>
      </w:r>
      <w:bookmarkEnd w:id="17"/>
      <w:bookmarkEnd w:id="18"/>
    </w:p>
    <w:p>
      <w:pPr>
        <w:spacing w:line="276" w:lineRule="auto"/>
        <w:ind w:right="20" w:firstLine="708"/>
        <w:jc w:val="both"/>
        <w:rPr>
          <w:rFonts w:ascii="Arial" w:eastAsia="Arial" w:hAnsi="Arial"/>
          <w:sz w:val="24"/>
          <w:lang w:val="it-IT"/>
        </w:rPr>
      </w:pPr>
      <w:r>
        <w:rPr>
          <w:rFonts w:ascii="Arial" w:eastAsia="Arial" w:hAnsi="Arial"/>
          <w:sz w:val="24"/>
          <w:lang w:val="it-IT"/>
        </w:rPr>
        <w:t>Pe suprafata construita a obiectivului nu exista corpuri de apa de suprafata si nici izvoare arteziene.Sursa de apa potabila este asigurata prin reteaua de distributie a societatii APA VITAL SA .Apele menajere sunt evacuate in reteaua de canalizare a ietatii APA VITAL SA.si se descarca in statia de epurare a Municipiului Iasi.</w:t>
      </w:r>
    </w:p>
    <w:p>
      <w:pPr>
        <w:spacing w:line="276" w:lineRule="auto"/>
        <w:ind w:right="40" w:firstLine="720"/>
        <w:jc w:val="both"/>
        <w:rPr>
          <w:rFonts w:ascii="Arial" w:hAnsi="Arial"/>
          <w:sz w:val="24"/>
          <w:szCs w:val="24"/>
          <w:lang w:val="it-IT"/>
        </w:rPr>
      </w:pPr>
      <w:r>
        <w:rPr>
          <w:rFonts w:ascii="Arial" w:eastAsia="Arial" w:hAnsi="Arial"/>
          <w:sz w:val="24"/>
          <w:szCs w:val="24"/>
          <w:lang w:val="it-IT"/>
        </w:rPr>
        <w:lastRenderedPageBreak/>
        <w:t>SC MENNEKES ELECTRIC, SRL nu constituie o sursa de poluare pentru apele din zona.</w:t>
      </w:r>
      <w:r>
        <w:rPr>
          <w:rFonts w:ascii="Arial" w:hAnsi="Arial"/>
          <w:sz w:val="24"/>
          <w:szCs w:val="24"/>
          <w:lang w:val="it-IT"/>
        </w:rPr>
        <w:t xml:space="preserve"> Indicatorii de calitate ai apelor uzate evacuate in canalizarea municipala se incadreaza in prevederile HG nr.188/2002 pentru aprobarea unor norme privind conditiile de descarcare in mediul acvatic a apelor uzate, cu modificarile ulterioare: pH 6,5 —8,5; materii in suspensie —350 mg/dmc; CBO5—300 mgO2/dmc; CCOCr —500 mgO2,/dmc; substante extractibile cu solventi organici —30 mg/dmc; detergenti sintetici biodegradabili —25 mg/dmc</w:t>
      </w:r>
    </w:p>
    <w:p>
      <w:pPr>
        <w:pStyle w:val="Heading3"/>
        <w:ind w:firstLine="708"/>
        <w:rPr>
          <w:rFonts w:ascii="Arial" w:eastAsia="Arial" w:hAnsi="Arial" w:cs="Arial"/>
          <w:b/>
          <w:bCs/>
          <w:iCs/>
          <w:color w:val="auto"/>
          <w:u w:val="single"/>
          <w:lang w:val="it-IT"/>
        </w:rPr>
      </w:pPr>
      <w:bookmarkStart w:id="19" w:name="_Toc53661515"/>
      <w:bookmarkStart w:id="20" w:name="_Toc64466770"/>
      <w:r>
        <w:rPr>
          <w:rFonts w:ascii="Arial" w:eastAsia="Arial" w:hAnsi="Arial" w:cs="Arial"/>
          <w:b/>
          <w:iCs/>
          <w:color w:val="auto"/>
          <w:u w:val="single"/>
          <w:lang w:val="it-IT"/>
        </w:rPr>
        <w:t>3.2 Protectia atmosferei</w:t>
      </w:r>
      <w:bookmarkEnd w:id="19"/>
      <w:bookmarkEnd w:id="20"/>
    </w:p>
    <w:p>
      <w:pPr>
        <w:spacing w:line="276" w:lineRule="auto"/>
        <w:ind w:left="708"/>
        <w:jc w:val="both"/>
        <w:rPr>
          <w:rFonts w:ascii="Arial" w:eastAsia="Arial" w:hAnsi="Arial"/>
          <w:sz w:val="24"/>
          <w:szCs w:val="24"/>
          <w:lang w:val="it-IT"/>
        </w:rPr>
      </w:pPr>
      <w:r>
        <w:rPr>
          <w:rFonts w:ascii="Arial" w:eastAsia="Times New Roman" w:hAnsi="Arial"/>
          <w:b/>
          <w:sz w:val="24"/>
          <w:szCs w:val="24"/>
          <w:lang w:val="it-IT"/>
        </w:rPr>
        <w:t>Surse:</w:t>
      </w:r>
      <w:r>
        <w:rPr>
          <w:rFonts w:ascii="Arial" w:eastAsia="Times New Roman" w:hAnsi="Arial"/>
          <w:sz w:val="24"/>
          <w:szCs w:val="24"/>
          <w:lang w:val="it-IT"/>
        </w:rPr>
        <w:t xml:space="preserve"> </w:t>
      </w:r>
    </w:p>
    <w:p>
      <w:pPr>
        <w:pStyle w:val="ListParagraph"/>
        <w:numPr>
          <w:ilvl w:val="0"/>
          <w:numId w:val="12"/>
        </w:numPr>
        <w:spacing w:line="276" w:lineRule="auto"/>
        <w:jc w:val="both"/>
        <w:rPr>
          <w:rFonts w:ascii="Arial" w:eastAsia="Arial" w:hAnsi="Arial"/>
          <w:sz w:val="24"/>
          <w:szCs w:val="24"/>
          <w:lang w:val="it-IT"/>
        </w:rPr>
      </w:pPr>
      <w:r>
        <w:rPr>
          <w:rFonts w:ascii="Arial" w:eastAsia="Arial" w:hAnsi="Arial"/>
          <w:sz w:val="24"/>
          <w:szCs w:val="24"/>
          <w:lang w:val="it-IT"/>
        </w:rPr>
        <w:t>2 centrale termice in condensare alimentate cu gaze natural cu urmatoarele caracteristici :</w:t>
      </w:r>
    </w:p>
    <w:p>
      <w:pPr>
        <w:spacing w:line="276" w:lineRule="auto"/>
        <w:jc w:val="both"/>
        <w:rPr>
          <w:rFonts w:ascii="Arial" w:eastAsia="Arial" w:hAnsi="Arial"/>
          <w:sz w:val="24"/>
          <w:szCs w:val="24"/>
          <w:lang w:val="it-IT"/>
        </w:rPr>
      </w:pPr>
      <w:r>
        <w:rPr>
          <w:rFonts w:ascii="Arial" w:eastAsia="Arial" w:hAnsi="Arial"/>
          <w:sz w:val="24"/>
          <w:szCs w:val="24"/>
          <w:lang w:val="it-IT"/>
        </w:rPr>
        <w:t xml:space="preserve">- putere instalata 100 KW,, </w:t>
      </w:r>
    </w:p>
    <w:p>
      <w:pPr>
        <w:spacing w:line="276" w:lineRule="auto"/>
        <w:jc w:val="both"/>
        <w:rPr>
          <w:rFonts w:ascii="Arial" w:eastAsia="Arial" w:hAnsi="Arial"/>
          <w:sz w:val="24"/>
          <w:szCs w:val="24"/>
          <w:lang w:val="it-IT"/>
        </w:rPr>
      </w:pPr>
      <w:r>
        <w:rPr>
          <w:rFonts w:ascii="Arial" w:eastAsia="Arial" w:hAnsi="Arial"/>
          <w:sz w:val="24"/>
          <w:szCs w:val="24"/>
          <w:lang w:val="it-IT"/>
        </w:rPr>
        <w:t xml:space="preserve">-consum de gaz metan 9.32mc/h, </w:t>
      </w:r>
    </w:p>
    <w:p>
      <w:pPr>
        <w:spacing w:line="276" w:lineRule="auto"/>
        <w:jc w:val="both"/>
        <w:rPr>
          <w:rFonts w:ascii="Arial" w:eastAsia="Arial" w:hAnsi="Arial"/>
          <w:sz w:val="24"/>
          <w:szCs w:val="24"/>
          <w:lang w:val="it-IT"/>
        </w:rPr>
      </w:pPr>
      <w:r>
        <w:rPr>
          <w:rFonts w:ascii="Arial" w:eastAsia="Arial" w:hAnsi="Arial"/>
          <w:sz w:val="24"/>
          <w:szCs w:val="24"/>
          <w:lang w:val="it-IT"/>
        </w:rPr>
        <w:t xml:space="preserve">-cos dispersie gaze arse cu diametru  125 mm, 6 metri  </w:t>
      </w:r>
    </w:p>
    <w:p>
      <w:pPr>
        <w:spacing w:line="276" w:lineRule="auto"/>
        <w:ind w:firstLine="708"/>
        <w:jc w:val="both"/>
        <w:rPr>
          <w:rFonts w:ascii="Arial" w:eastAsia="Arial" w:hAnsi="Arial"/>
          <w:sz w:val="24"/>
          <w:szCs w:val="24"/>
          <w:lang w:val="it-IT"/>
        </w:rPr>
      </w:pPr>
      <w:r>
        <w:rPr>
          <w:rFonts w:ascii="Arial" w:eastAsia="Arial" w:hAnsi="Arial"/>
          <w:sz w:val="24"/>
          <w:szCs w:val="24"/>
          <w:lang w:val="it-IT"/>
        </w:rPr>
        <w:t>Poluantii evacuati in atmosfera sunt: CO, NOx, SOx.</w:t>
      </w:r>
    </w:p>
    <w:p>
      <w:pPr>
        <w:spacing w:line="276" w:lineRule="auto"/>
        <w:ind w:right="40" w:firstLine="720"/>
        <w:jc w:val="both"/>
        <w:rPr>
          <w:rFonts w:ascii="Arial" w:eastAsia="Arial" w:hAnsi="Arial"/>
          <w:sz w:val="24"/>
          <w:lang w:val="it-IT"/>
        </w:rPr>
      </w:pPr>
      <w:r>
        <w:rPr>
          <w:rFonts w:ascii="Arial" w:eastAsia="Arial" w:hAnsi="Arial"/>
          <w:sz w:val="24"/>
          <w:lang w:val="it-IT"/>
        </w:rPr>
        <w:t>Emisiile provenite de la arderea gazului metan sunt dispersate în atmosfera prin intermediul unui cos de fum de lungime de 6 m..</w:t>
      </w:r>
      <w:r>
        <w:rPr>
          <w:rFonts w:ascii="Arial" w:hAnsi="Arial"/>
          <w:sz w:val="35"/>
          <w:szCs w:val="35"/>
          <w:lang w:val="it-IT"/>
        </w:rPr>
        <w:t xml:space="preserve"> </w:t>
      </w:r>
    </w:p>
    <w:p>
      <w:pPr>
        <w:spacing w:line="276" w:lineRule="auto"/>
        <w:ind w:firstLine="708"/>
        <w:jc w:val="both"/>
        <w:rPr>
          <w:rFonts w:ascii="Arial" w:eastAsia="Arial" w:hAnsi="Arial"/>
          <w:sz w:val="24"/>
          <w:szCs w:val="24"/>
          <w:lang w:val="it-IT"/>
        </w:rPr>
      </w:pPr>
      <w:r>
        <w:rPr>
          <w:rFonts w:ascii="Arial" w:hAnsi="Arial"/>
          <w:sz w:val="24"/>
          <w:szCs w:val="24"/>
          <w:lang w:val="it-IT"/>
        </w:rPr>
        <w:t>Indicatorii de calitate se incadreaza in limitele stabilite prin Ordinul MAPPM nr.462/1993, pentru aprobarea Conditiilor tehnice privind protectia atmosferei si Normei metodologice privind determinarea emisiilor de poluanti atmosferici produsi de surse stationare,cu modificarile ulterioare —conditii de calitate privind protectia atmosferei pentru:, CO –100 mg/mcN, SOx -35 mg/ mcN, NOx -350 mg/mcN (marime dereferinta: valorile limita se raporteaza la un continut in oxigen al efluentilor gazosi de 3 % vol.)</w:t>
      </w:r>
    </w:p>
    <w:p>
      <w:pPr>
        <w:pStyle w:val="ListParagraph"/>
        <w:numPr>
          <w:ilvl w:val="0"/>
          <w:numId w:val="12"/>
        </w:numPr>
        <w:spacing w:line="276" w:lineRule="auto"/>
        <w:jc w:val="both"/>
        <w:rPr>
          <w:rFonts w:ascii="Arial" w:eastAsia="Arial" w:hAnsi="Arial"/>
          <w:sz w:val="24"/>
          <w:szCs w:val="24"/>
          <w:lang w:val="it-IT"/>
        </w:rPr>
      </w:pPr>
      <w:r>
        <w:rPr>
          <w:rFonts w:ascii="Arial" w:eastAsia="Arial" w:hAnsi="Arial"/>
          <w:sz w:val="24"/>
          <w:szCs w:val="24"/>
          <w:lang w:val="it-IT"/>
        </w:rPr>
        <w:t>2  generatoare de are cald Mark Geo seria “GR” echipate cu arzatoare automate cu tiraj fortat pe gaz</w:t>
      </w:r>
    </w:p>
    <w:p>
      <w:pPr>
        <w:pStyle w:val="ListParagraph"/>
        <w:numPr>
          <w:ilvl w:val="0"/>
          <w:numId w:val="12"/>
        </w:numPr>
        <w:spacing w:line="276" w:lineRule="auto"/>
        <w:jc w:val="both"/>
        <w:rPr>
          <w:rFonts w:ascii="Arial" w:eastAsia="Arial" w:hAnsi="Arial"/>
          <w:sz w:val="24"/>
          <w:szCs w:val="24"/>
          <w:lang w:val="it-IT"/>
        </w:rPr>
      </w:pPr>
      <w:r>
        <w:rPr>
          <w:rFonts w:ascii="Arial" w:eastAsia="Arial" w:hAnsi="Arial"/>
          <w:sz w:val="24"/>
          <w:szCs w:val="24"/>
          <w:lang w:val="it-IT"/>
        </w:rPr>
        <w:t>1 generator cu putera instalata de 80KW MarkGEO80</w:t>
      </w:r>
    </w:p>
    <w:p>
      <w:pPr>
        <w:spacing w:line="276" w:lineRule="auto"/>
        <w:ind w:left="12" w:firstLine="708"/>
        <w:jc w:val="both"/>
        <w:rPr>
          <w:rFonts w:ascii="Arial" w:eastAsia="Arial" w:hAnsi="Arial"/>
          <w:sz w:val="24"/>
          <w:szCs w:val="24"/>
          <w:lang w:val="it-IT"/>
        </w:rPr>
      </w:pPr>
      <w:r>
        <w:rPr>
          <w:rFonts w:ascii="Arial" w:eastAsia="Arial" w:hAnsi="Arial"/>
          <w:sz w:val="24"/>
          <w:szCs w:val="24"/>
          <w:lang w:val="it-IT"/>
        </w:rPr>
        <w:t>- Consum gaz 11,10 mc/h</w:t>
      </w:r>
    </w:p>
    <w:p>
      <w:pPr>
        <w:pStyle w:val="ListParagraph"/>
        <w:numPr>
          <w:ilvl w:val="0"/>
          <w:numId w:val="13"/>
        </w:numPr>
        <w:spacing w:line="276" w:lineRule="auto"/>
        <w:jc w:val="both"/>
        <w:rPr>
          <w:rFonts w:ascii="Arial" w:eastAsia="Arial" w:hAnsi="Arial"/>
          <w:sz w:val="24"/>
          <w:szCs w:val="24"/>
          <w:lang w:val="nl-NL"/>
        </w:rPr>
      </w:pPr>
      <w:r>
        <w:rPr>
          <w:rFonts w:ascii="Arial" w:eastAsia="Arial" w:hAnsi="Arial"/>
          <w:sz w:val="24"/>
          <w:szCs w:val="24"/>
          <w:lang w:val="nl-NL"/>
        </w:rPr>
        <w:t>1 generator cu puterea instalata de 175 KW, MarkGEO175</w:t>
      </w:r>
    </w:p>
    <w:p>
      <w:pPr>
        <w:spacing w:line="276" w:lineRule="auto"/>
        <w:ind w:firstLine="708"/>
        <w:jc w:val="both"/>
        <w:rPr>
          <w:rFonts w:ascii="Arial" w:eastAsia="Arial" w:hAnsi="Arial"/>
          <w:sz w:val="24"/>
          <w:szCs w:val="24"/>
          <w:lang w:val="it-IT"/>
        </w:rPr>
      </w:pPr>
      <w:r>
        <w:rPr>
          <w:rFonts w:ascii="Arial" w:eastAsia="Arial" w:hAnsi="Arial"/>
          <w:sz w:val="24"/>
          <w:szCs w:val="24"/>
          <w:lang w:val="it-IT"/>
        </w:rPr>
        <w:t>- Consum gaz 23.6 mc/h</w:t>
      </w:r>
    </w:p>
    <w:p>
      <w:pPr>
        <w:spacing w:line="276" w:lineRule="auto"/>
        <w:ind w:firstLine="360"/>
        <w:jc w:val="both"/>
        <w:rPr>
          <w:rFonts w:ascii="Arial" w:eastAsia="Arial" w:hAnsi="Arial"/>
          <w:sz w:val="24"/>
          <w:szCs w:val="24"/>
          <w:lang w:val="it-IT"/>
        </w:rPr>
      </w:pPr>
      <w:r>
        <w:rPr>
          <w:rFonts w:ascii="Arial" w:eastAsia="Arial" w:hAnsi="Arial"/>
          <w:sz w:val="24"/>
          <w:szCs w:val="24"/>
          <w:lang w:val="it-IT"/>
        </w:rPr>
        <w:t>Ambele generatoare de aer cald sunt montate pe invelitoarea cladirii. Poluantii evacuate in atmosfera sunt: CO, NOx, SOx.</w:t>
      </w:r>
    </w:p>
    <w:p>
      <w:pPr>
        <w:pStyle w:val="ListParagraph"/>
        <w:numPr>
          <w:ilvl w:val="0"/>
          <w:numId w:val="13"/>
        </w:numPr>
        <w:spacing w:line="276" w:lineRule="auto"/>
        <w:jc w:val="both"/>
        <w:rPr>
          <w:rFonts w:ascii="Arial" w:eastAsia="Arial" w:hAnsi="Arial"/>
          <w:sz w:val="24"/>
          <w:szCs w:val="24"/>
          <w:lang w:val="it-IT"/>
        </w:rPr>
      </w:pPr>
      <w:r>
        <w:rPr>
          <w:rFonts w:ascii="Arial" w:hAnsi="Arial"/>
          <w:sz w:val="24"/>
          <w:szCs w:val="24"/>
          <w:lang w:val="it-IT"/>
        </w:rPr>
        <w:t>2 instalatii Rooftop Trane IC140SE (unitate de incalzire PCH130) . - consum nominal 13,76mc/h pentru fiecare rooftop</w:t>
      </w:r>
      <w:r>
        <w:rPr>
          <w:rFonts w:ascii="Arial" w:eastAsia="Arial" w:hAnsi="Arial"/>
          <w:sz w:val="24"/>
          <w:szCs w:val="24"/>
          <w:lang w:val="it-IT"/>
        </w:rPr>
        <w:t>. Ambele echipamente sunt montate pe invelitoarea cladirii. Poluantii evacuate in atmosfera sunt: CO, NOx, SOx.</w:t>
      </w:r>
    </w:p>
    <w:p>
      <w:pPr>
        <w:pStyle w:val="ListParagraph"/>
        <w:spacing w:line="276" w:lineRule="auto"/>
        <w:ind w:right="40"/>
        <w:jc w:val="both"/>
        <w:rPr>
          <w:rFonts w:ascii="Arial" w:eastAsia="Arial" w:hAnsi="Arial"/>
          <w:sz w:val="24"/>
          <w:lang w:val="it-IT"/>
        </w:rPr>
      </w:pPr>
    </w:p>
    <w:p>
      <w:pPr>
        <w:pStyle w:val="ListParagraph"/>
        <w:numPr>
          <w:ilvl w:val="0"/>
          <w:numId w:val="13"/>
        </w:numPr>
        <w:spacing w:line="276" w:lineRule="auto"/>
        <w:jc w:val="both"/>
        <w:rPr>
          <w:rFonts w:ascii="Arial" w:hAnsi="Arial"/>
          <w:sz w:val="24"/>
          <w:szCs w:val="24"/>
          <w:lang w:val="it-IT"/>
        </w:rPr>
      </w:pPr>
      <w:r>
        <w:rPr>
          <w:rFonts w:ascii="Arial" w:hAnsi="Arial"/>
          <w:sz w:val="24"/>
          <w:szCs w:val="24"/>
          <w:lang w:val="it-IT"/>
        </w:rPr>
        <w:t>Indicatorii de calitate se incadreaza in limitele stabilite prin Ordinul MAPPM nr.462/1993, pentru aprobarea Conditiilor tehnice privind protectia atmosferei si Normei metodologice privind determinarea emisiilor de poluanti atmosferici produsi de surse stationare,cu modificarile ulterioare —conditii de calitate privind protectia atmosferei pentru:, CO –100 mg/mcN, SOx -35 mg/ mcN, NOx -350 mg/mcN (marime dereferinta: valorile limita se raporteaza la un continut in oxigen al efluentilor gazosi de 3 % vol.)</w:t>
      </w:r>
    </w:p>
    <w:p>
      <w:pPr>
        <w:pStyle w:val="Heading3"/>
        <w:ind w:firstLine="708"/>
        <w:rPr>
          <w:rFonts w:ascii="Arial" w:eastAsia="Arial" w:hAnsi="Arial" w:cs="Arial"/>
          <w:b/>
          <w:bCs/>
          <w:iCs/>
          <w:color w:val="auto"/>
          <w:u w:val="single"/>
          <w:lang w:val="it-IT"/>
        </w:rPr>
      </w:pPr>
      <w:bookmarkStart w:id="21" w:name="_Toc53661516"/>
      <w:bookmarkStart w:id="22" w:name="_Toc64466771"/>
      <w:r>
        <w:rPr>
          <w:rFonts w:ascii="Arial" w:eastAsia="Arial" w:hAnsi="Arial" w:cs="Arial"/>
          <w:b/>
          <w:iCs/>
          <w:color w:val="auto"/>
          <w:u w:val="single"/>
          <w:lang w:val="it-IT"/>
        </w:rPr>
        <w:lastRenderedPageBreak/>
        <w:t>3.3 Protectia impotriva zgomotului si a vibratiilor</w:t>
      </w:r>
      <w:bookmarkEnd w:id="21"/>
      <w:bookmarkEnd w:id="22"/>
    </w:p>
    <w:p>
      <w:pPr>
        <w:spacing w:line="276" w:lineRule="auto"/>
        <w:ind w:firstLine="708"/>
        <w:jc w:val="both"/>
        <w:rPr>
          <w:rFonts w:ascii="Arial" w:hAnsi="Arial"/>
          <w:sz w:val="24"/>
          <w:szCs w:val="24"/>
          <w:lang w:val="nl-NL"/>
        </w:rPr>
      </w:pPr>
      <w:r>
        <w:rPr>
          <w:rFonts w:ascii="Arial" w:hAnsi="Arial"/>
          <w:sz w:val="24"/>
          <w:szCs w:val="24"/>
          <w:lang w:val="nl-NL"/>
        </w:rPr>
        <w:t>-Surse:,utilajele de productie,,,</w:t>
      </w:r>
    </w:p>
    <w:p>
      <w:pPr>
        <w:spacing w:line="276" w:lineRule="auto"/>
        <w:ind w:firstLine="708"/>
        <w:jc w:val="both"/>
        <w:rPr>
          <w:rFonts w:ascii="Arial" w:hAnsi="Arial"/>
          <w:sz w:val="24"/>
          <w:szCs w:val="24"/>
          <w:lang w:val="nl-NL"/>
        </w:rPr>
      </w:pPr>
      <w:r>
        <w:rPr>
          <w:rFonts w:ascii="Arial" w:hAnsi="Arial"/>
          <w:sz w:val="24"/>
          <w:szCs w:val="24"/>
          <w:lang w:val="nl-NL"/>
        </w:rPr>
        <w:t>-Nivelul maxim de zgomot , conform STAS 10.009/2017, corespunzator zonei de amplasament: este de 70 DB</w:t>
      </w:r>
    </w:p>
    <w:p>
      <w:pPr>
        <w:pStyle w:val="Heading3"/>
        <w:ind w:firstLine="708"/>
        <w:rPr>
          <w:rFonts w:ascii="Arial" w:eastAsia="Arial" w:hAnsi="Arial" w:cs="Arial"/>
          <w:b/>
          <w:bCs/>
          <w:iCs/>
          <w:color w:val="auto"/>
          <w:u w:val="single"/>
          <w:lang w:val="it-IT"/>
        </w:rPr>
      </w:pPr>
      <w:bookmarkStart w:id="23" w:name="_Toc53661518"/>
      <w:bookmarkStart w:id="24" w:name="_Toc64466772"/>
      <w:r>
        <w:rPr>
          <w:rFonts w:ascii="Arial" w:eastAsia="Arial" w:hAnsi="Arial" w:cs="Arial"/>
          <w:b/>
          <w:iCs/>
          <w:color w:val="auto"/>
          <w:u w:val="single"/>
          <w:lang w:val="it-IT"/>
        </w:rPr>
        <w:t>3.4 Protectia solului si a subsolului</w:t>
      </w:r>
      <w:bookmarkEnd w:id="23"/>
      <w:bookmarkEnd w:id="24"/>
    </w:p>
    <w:p>
      <w:pPr>
        <w:spacing w:line="276" w:lineRule="auto"/>
        <w:ind w:right="20" w:firstLine="720"/>
        <w:jc w:val="both"/>
        <w:rPr>
          <w:rFonts w:ascii="Arial" w:eastAsia="Arial" w:hAnsi="Arial"/>
          <w:sz w:val="24"/>
          <w:lang w:val="it-IT"/>
        </w:rPr>
      </w:pPr>
      <w:r>
        <w:rPr>
          <w:rFonts w:ascii="Arial" w:eastAsia="Arial" w:hAnsi="Arial"/>
          <w:sz w:val="24"/>
          <w:lang w:val="it-IT"/>
        </w:rPr>
        <w:t>Sursele de poluanti de pe suprafata amplasamentului sunt reprezentate de deseurile nepericuloase rezultate din procesul de fabricatie, ambalaje si deseurile menajere. Nu se pune problema unor accidente in timpul depozitarii sau manipularii acestor deseuri, care ar putea polua factorii de mediu ( aer, apa sau sol)</w:t>
      </w:r>
    </w:p>
    <w:p>
      <w:pPr>
        <w:tabs>
          <w:tab w:val="left" w:pos="0"/>
        </w:tabs>
        <w:spacing w:line="276" w:lineRule="auto"/>
        <w:jc w:val="both"/>
        <w:rPr>
          <w:rFonts w:ascii="Arial" w:eastAsia="Arial" w:hAnsi="Arial"/>
          <w:sz w:val="24"/>
          <w:lang w:val="it-IT"/>
        </w:rPr>
      </w:pPr>
    </w:p>
    <w:p>
      <w:pPr>
        <w:pStyle w:val="Heading3"/>
        <w:rPr>
          <w:rFonts w:ascii="Arial" w:eastAsia="Arial" w:hAnsi="Arial"/>
          <w:b/>
          <w:sz w:val="48"/>
          <w:szCs w:val="48"/>
          <w:lang w:val="it-IT"/>
        </w:rPr>
      </w:pPr>
      <w:r>
        <w:rPr>
          <w:rFonts w:ascii="Arial" w:eastAsia="Arial" w:hAnsi="Arial"/>
          <w:b/>
          <w:lang w:val="it-IT"/>
        </w:rPr>
        <w:tab/>
      </w:r>
    </w:p>
    <w:p>
      <w:pPr>
        <w:pStyle w:val="Heading1"/>
        <w:jc w:val="center"/>
        <w:rPr>
          <w:rFonts w:ascii="Arial" w:hAnsi="Arial"/>
          <w:b w:val="0"/>
          <w:bCs w:val="0"/>
          <w:i/>
          <w:iCs/>
          <w:sz w:val="36"/>
          <w:szCs w:val="36"/>
          <w:u w:val="single"/>
          <w:lang w:val="it-IT"/>
        </w:rPr>
      </w:pPr>
      <w:bookmarkStart w:id="25" w:name="_Toc64466777"/>
      <w:r>
        <w:rPr>
          <w:rFonts w:ascii="Arial" w:hAnsi="Arial"/>
          <w:i/>
          <w:iCs/>
          <w:u w:val="single"/>
          <w:lang w:val="it-IT"/>
        </w:rPr>
        <w:t>4</w:t>
      </w:r>
      <w:r>
        <w:rPr>
          <w:rFonts w:ascii="Arial" w:hAnsi="Arial"/>
          <w:i/>
          <w:iCs/>
          <w:sz w:val="36"/>
          <w:szCs w:val="36"/>
          <w:u w:val="single"/>
          <w:lang w:val="it-IT"/>
        </w:rPr>
        <w:t>. Gestiunea deseurilor</w:t>
      </w:r>
      <w:bookmarkEnd w:id="25"/>
    </w:p>
    <w:p>
      <w:pPr>
        <w:spacing w:line="276" w:lineRule="auto"/>
        <w:jc w:val="center"/>
        <w:rPr>
          <w:rFonts w:ascii="Arial" w:hAnsi="Arial"/>
          <w:b/>
          <w:bCs/>
          <w:i/>
          <w:iCs/>
          <w:sz w:val="32"/>
          <w:szCs w:val="32"/>
          <w:lang w:val="it-IT"/>
        </w:rPr>
      </w:pPr>
    </w:p>
    <w:p>
      <w:pPr>
        <w:pStyle w:val="Heading3"/>
        <w:ind w:firstLine="708"/>
        <w:rPr>
          <w:rFonts w:ascii="Arial" w:hAnsi="Arial"/>
          <w:b/>
          <w:u w:val="single"/>
          <w:lang w:val="it-IT"/>
        </w:rPr>
      </w:pPr>
      <w:bookmarkStart w:id="26" w:name="_Toc64466778"/>
      <w:r>
        <w:rPr>
          <w:rFonts w:ascii="Arial" w:hAnsi="Arial"/>
          <w:b/>
          <w:color w:val="auto"/>
          <w:u w:val="single"/>
          <w:lang w:val="it-IT"/>
        </w:rPr>
        <w:t>4.1 Surse de deseuri, tipuri, compozitie si cantitati de deseuri rezultate</w:t>
      </w:r>
      <w:bookmarkEnd w:id="26"/>
    </w:p>
    <w:p>
      <w:pPr>
        <w:spacing w:line="276" w:lineRule="auto"/>
        <w:ind w:firstLine="708"/>
        <w:jc w:val="both"/>
        <w:rPr>
          <w:rFonts w:ascii="Arial" w:hAnsi="Arial"/>
          <w:b/>
          <w:sz w:val="24"/>
          <w:szCs w:val="24"/>
          <w:lang w:val="it-IT"/>
        </w:rPr>
      </w:pPr>
    </w:p>
    <w:p>
      <w:pPr>
        <w:spacing w:line="276" w:lineRule="auto"/>
        <w:ind w:firstLine="708"/>
        <w:jc w:val="both"/>
        <w:rPr>
          <w:rFonts w:ascii="Arial" w:hAnsi="Arial"/>
          <w:sz w:val="24"/>
          <w:szCs w:val="24"/>
          <w:lang w:val="it-IT"/>
        </w:rPr>
      </w:pPr>
      <w:r>
        <w:rPr>
          <w:rFonts w:ascii="Arial" w:hAnsi="Arial"/>
          <w:b/>
          <w:sz w:val="24"/>
          <w:szCs w:val="24"/>
          <w:lang w:val="it-IT"/>
        </w:rPr>
        <w:t>Deseurile produse</w:t>
      </w:r>
      <w:r>
        <w:rPr>
          <w:rFonts w:ascii="Arial" w:hAnsi="Arial"/>
          <w:sz w:val="24"/>
          <w:szCs w:val="24"/>
          <w:lang w:val="it-IT"/>
        </w:rPr>
        <w:t xml:space="preserve"> (tipuri, compozitie, cantitati):</w:t>
      </w:r>
    </w:p>
    <w:p>
      <w:pPr>
        <w:spacing w:line="276" w:lineRule="auto"/>
        <w:ind w:firstLine="708"/>
        <w:jc w:val="both"/>
        <w:rPr>
          <w:rFonts w:ascii="Arial" w:hAnsi="Arial"/>
          <w:sz w:val="24"/>
          <w:szCs w:val="24"/>
          <w:lang w:val="it-IT"/>
        </w:rPr>
      </w:pPr>
    </w:p>
    <w:p>
      <w:pPr>
        <w:pStyle w:val="ListParagraph"/>
        <w:widowControl w:val="0"/>
        <w:numPr>
          <w:ilvl w:val="0"/>
          <w:numId w:val="24"/>
        </w:numPr>
        <w:suppressAutoHyphens/>
        <w:contextualSpacing/>
        <w:jc w:val="both"/>
        <w:rPr>
          <w:b/>
          <w:sz w:val="28"/>
          <w:szCs w:val="28"/>
          <w:lang w:val="ro-RO"/>
        </w:rPr>
      </w:pPr>
      <w:r>
        <w:rPr>
          <w:b/>
          <w:sz w:val="28"/>
          <w:szCs w:val="28"/>
          <w:lang w:val="ro-RO"/>
        </w:rPr>
        <w:t>Clasa deseurilor</w:t>
      </w:r>
    </w:p>
    <w:p>
      <w:pPr>
        <w:pStyle w:val="ListParagraph"/>
        <w:ind w:left="780"/>
        <w:rPr>
          <w:b/>
          <w:bCs/>
          <w:i/>
          <w:iCs/>
          <w:sz w:val="28"/>
          <w:szCs w:val="28"/>
        </w:rPr>
      </w:pPr>
      <w:r>
        <w:rPr>
          <w:b/>
          <w:bCs/>
          <w:i/>
          <w:iCs/>
          <w:sz w:val="28"/>
          <w:szCs w:val="28"/>
        </w:rPr>
        <w:t xml:space="preserve">Deseuri nepericuloase </w:t>
      </w:r>
    </w:p>
    <w:p>
      <w:pPr>
        <w:pStyle w:val="ListParagraph"/>
        <w:ind w:left="780"/>
        <w:rPr>
          <w:b/>
          <w:bCs/>
          <w:i/>
          <w:iCs/>
          <w:sz w:val="28"/>
          <w:szCs w:val="28"/>
        </w:rPr>
      </w:pPr>
    </w:p>
    <w:tbl>
      <w:tblPr>
        <w:tblStyle w:val="TableGrid"/>
        <w:tblW w:w="10604" w:type="dxa"/>
        <w:tblInd w:w="-431" w:type="dxa"/>
        <w:tblLayout w:type="fixed"/>
        <w:tblLook w:val="04A0" w:firstRow="1" w:lastRow="0" w:firstColumn="1" w:lastColumn="0" w:noHBand="0" w:noVBand="1"/>
      </w:tblPr>
      <w:tblGrid>
        <w:gridCol w:w="1702"/>
        <w:gridCol w:w="1418"/>
        <w:gridCol w:w="850"/>
        <w:gridCol w:w="1247"/>
        <w:gridCol w:w="1730"/>
        <w:gridCol w:w="1247"/>
        <w:gridCol w:w="1304"/>
        <w:gridCol w:w="1106"/>
      </w:tblGrid>
      <w:tr>
        <w:trPr>
          <w:trHeight w:val="862"/>
        </w:trPr>
        <w:tc>
          <w:tcPr>
            <w:tcW w:w="1702"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Denumirea deseului </w:t>
            </w:r>
          </w:p>
          <w:p>
            <w:pPr>
              <w:pStyle w:val="ListParagraph"/>
              <w:ind w:left="0"/>
              <w:rPr>
                <w:b/>
                <w:lang w:val="ro-RO"/>
              </w:rPr>
            </w:pPr>
          </w:p>
        </w:tc>
        <w:tc>
          <w:tcPr>
            <w:tcW w:w="1418"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Periculozitate conform Anexei IE din OUG 78/2000 </w:t>
            </w:r>
          </w:p>
        </w:tc>
        <w:tc>
          <w:tcPr>
            <w:tcW w:w="850"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Starea fizica </w:t>
            </w:r>
          </w:p>
        </w:tc>
        <w:tc>
          <w:tcPr>
            <w:tcW w:w="1247" w:type="dxa"/>
          </w:tcPr>
          <w:p>
            <w:pPr>
              <w:pStyle w:val="Default"/>
              <w:rPr>
                <w:rFonts w:ascii="Times New Roman" w:hAnsi="Times New Roman" w:cs="Times New Roman"/>
                <w:sz w:val="18"/>
                <w:szCs w:val="18"/>
              </w:rPr>
            </w:pPr>
            <w:r>
              <w:rPr>
                <w:rFonts w:ascii="Times New Roman" w:hAnsi="Times New Roman" w:cs="Times New Roman"/>
                <w:b/>
                <w:bCs/>
                <w:sz w:val="18"/>
                <w:szCs w:val="18"/>
              </w:rPr>
              <w:t xml:space="preserve">Codul deseului conform HG 856/2002 </w:t>
            </w:r>
          </w:p>
        </w:tc>
        <w:tc>
          <w:tcPr>
            <w:tcW w:w="1730"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Sursa de provenienta </w:t>
            </w:r>
          </w:p>
        </w:tc>
        <w:tc>
          <w:tcPr>
            <w:tcW w:w="1247"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Depozitare temporara </w:t>
            </w:r>
          </w:p>
        </w:tc>
        <w:tc>
          <w:tcPr>
            <w:tcW w:w="1304"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Valorificare </w:t>
            </w:r>
          </w:p>
        </w:tc>
        <w:tc>
          <w:tcPr>
            <w:tcW w:w="1106"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Eliminare </w:t>
            </w:r>
          </w:p>
        </w:tc>
      </w:tr>
      <w:tr>
        <w:tc>
          <w:tcPr>
            <w:tcW w:w="1702"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Ambalaj hirtie/ carton </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15 01 01 </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Ambalaj si activitati birou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Europubela </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transporta la centre de colectare </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Reciclare </w:t>
            </w:r>
          </w:p>
        </w:tc>
      </w:tr>
      <w:tr>
        <w:tc>
          <w:tcPr>
            <w:tcW w:w="1702"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Ambalaj material plastic </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15 01 02 </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Ambalaje de materiale plastice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Europubela </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transporta la centre de colectare </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Reciclare </w:t>
            </w:r>
          </w:p>
        </w:tc>
      </w:tr>
      <w:tr>
        <w:tc>
          <w:tcPr>
            <w:tcW w:w="1702"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Ambalaj lemn </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15 01 03 </w:t>
            </w:r>
          </w:p>
        </w:tc>
        <w:tc>
          <w:tcPr>
            <w:tcW w:w="1730"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Ambalaje de lemn </w:t>
            </w:r>
          </w:p>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de la materia </w:t>
            </w:r>
          </w:p>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prima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In hala pentru deseuri </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 Reciclare</w:t>
            </w:r>
          </w:p>
        </w:tc>
      </w:tr>
      <w:tr>
        <w:tc>
          <w:tcPr>
            <w:tcW w:w="1702"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Deseuri menajere </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20 03 01 </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Activitati menajere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Europubela </w:t>
            </w:r>
          </w:p>
        </w:tc>
        <w:tc>
          <w:tcPr>
            <w:tcW w:w="1304"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Reciclare</w:t>
            </w:r>
          </w:p>
        </w:tc>
      </w:tr>
      <w:tr>
        <w:tc>
          <w:tcPr>
            <w:tcW w:w="1702"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Materiale Plastice </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20 01 39 </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Activitatea de prelucrare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Europubela </w:t>
            </w:r>
          </w:p>
        </w:tc>
        <w:tc>
          <w:tcPr>
            <w:tcW w:w="1304"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Reciclare</w:t>
            </w:r>
          </w:p>
        </w:tc>
      </w:tr>
      <w:tr>
        <w:tc>
          <w:tcPr>
            <w:tcW w:w="1702" w:type="dxa"/>
          </w:tcPr>
          <w:p>
            <w:pPr>
              <w:pStyle w:val="Default"/>
              <w:rPr>
                <w:rFonts w:ascii="Times New Roman" w:hAnsi="Times New Roman" w:cs="Times New Roman"/>
                <w:sz w:val="20"/>
                <w:szCs w:val="20"/>
              </w:rPr>
            </w:pPr>
            <w:r>
              <w:rPr>
                <w:rFonts w:ascii="Times New Roman" w:hAnsi="Times New Roman" w:cs="Times New Roman"/>
                <w:sz w:val="20"/>
                <w:szCs w:val="20"/>
                <w:lang w:val="fr-BE"/>
              </w:rPr>
              <w:t>Materiale Plastice</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16.01.39 </w:t>
            </w:r>
          </w:p>
        </w:tc>
        <w:tc>
          <w:tcPr>
            <w:tcW w:w="1730"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Activitatea de prelucrare </w:t>
            </w:r>
          </w:p>
        </w:tc>
        <w:tc>
          <w:tcPr>
            <w:tcW w:w="1247"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Container metalic </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Reciclare </w:t>
            </w:r>
          </w:p>
        </w:tc>
      </w:tr>
      <w:tr>
        <w:tc>
          <w:tcPr>
            <w:tcW w:w="1702" w:type="dxa"/>
          </w:tcPr>
          <w:p>
            <w:pPr>
              <w:autoSpaceDE w:val="0"/>
              <w:autoSpaceDN w:val="0"/>
              <w:adjustRightInd w:val="0"/>
              <w:rPr>
                <w:rFonts w:ascii="FreeSans" w:eastAsiaTheme="minorHAnsi" w:hAnsi="FreeSans" w:cs="FreeSans"/>
                <w:lang w:val="it-IT"/>
              </w:rPr>
            </w:pPr>
            <w:r>
              <w:rPr>
                <w:rFonts w:ascii="FreeSans" w:eastAsiaTheme="minorHAnsi" w:hAnsi="FreeSans" w:cs="FreeSans"/>
                <w:lang w:val="it-IT"/>
              </w:rPr>
              <w:t>cabluri, altele decât cele</w:t>
            </w:r>
          </w:p>
          <w:p>
            <w:pPr>
              <w:pStyle w:val="Default"/>
              <w:rPr>
                <w:rFonts w:ascii="Times New Roman" w:hAnsi="Times New Roman" w:cs="Times New Roman"/>
                <w:sz w:val="20"/>
                <w:szCs w:val="20"/>
                <w:lang w:val="it-IT"/>
              </w:rPr>
            </w:pPr>
            <w:r>
              <w:rPr>
                <w:rFonts w:ascii="FreeSans" w:hAnsi="FreeSans" w:cs="FreeSans"/>
                <w:color w:val="auto"/>
                <w:lang w:val="it-IT"/>
              </w:rPr>
              <w:t xml:space="preserve">specificate la </w:t>
            </w:r>
          </w:p>
        </w:tc>
        <w:tc>
          <w:tcPr>
            <w:tcW w:w="1418"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Nepericulos </w:t>
            </w:r>
          </w:p>
        </w:tc>
        <w:tc>
          <w:tcPr>
            <w:tcW w:w="850"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17 04 11 </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Activitatea de prelucrare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Container metalic </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Reciclare </w:t>
            </w:r>
          </w:p>
        </w:tc>
      </w:tr>
      <w:tr>
        <w:tc>
          <w:tcPr>
            <w:tcW w:w="1702" w:type="dxa"/>
          </w:tcPr>
          <w:p>
            <w:pPr>
              <w:autoSpaceDE w:val="0"/>
              <w:autoSpaceDN w:val="0"/>
              <w:adjustRightInd w:val="0"/>
              <w:rPr>
                <w:rFonts w:ascii="FreeSans" w:eastAsiaTheme="minorHAnsi" w:hAnsi="FreeSans" w:cs="FreeSans"/>
                <w:lang w:val="de-DE"/>
              </w:rPr>
            </w:pPr>
            <w:r>
              <w:rPr>
                <w:rFonts w:ascii="FreeSans" w:eastAsiaTheme="minorHAnsi" w:hAnsi="FreeSans" w:cs="FreeSans"/>
                <w:lang w:val="de-DE"/>
              </w:rPr>
              <w:t>cupru, bronz, alama</w:t>
            </w:r>
          </w:p>
        </w:tc>
        <w:tc>
          <w:tcPr>
            <w:tcW w:w="1418"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Nepericulos</w:t>
            </w:r>
          </w:p>
        </w:tc>
        <w:tc>
          <w:tcPr>
            <w:tcW w:w="850"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S</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17.04.01</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Activitatea de prelucrare</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Container metalic</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lang w:val="it-IT"/>
              </w:rPr>
            </w:pPr>
            <w:r>
              <w:rPr>
                <w:rFonts w:ascii="Times New Roman" w:hAnsi="Times New Roman" w:cs="Times New Roman"/>
                <w:sz w:val="20"/>
                <w:szCs w:val="20"/>
              </w:rPr>
              <w:t>Reciclare</w:t>
            </w:r>
          </w:p>
        </w:tc>
      </w:tr>
      <w:tr>
        <w:tc>
          <w:tcPr>
            <w:tcW w:w="1702" w:type="dxa"/>
          </w:tcPr>
          <w:p>
            <w:pPr>
              <w:autoSpaceDE w:val="0"/>
              <w:autoSpaceDN w:val="0"/>
              <w:adjustRightInd w:val="0"/>
              <w:rPr>
                <w:rFonts w:ascii="FreeSans" w:eastAsiaTheme="minorHAnsi" w:hAnsi="FreeSans" w:cs="FreeSans"/>
                <w:lang w:val="de-DE"/>
              </w:rPr>
            </w:pPr>
            <w:r>
              <w:rPr>
                <w:rFonts w:ascii="FreeSans" w:eastAsiaTheme="minorHAnsi" w:hAnsi="FreeSans" w:cs="FreeSans"/>
                <w:lang w:val="de-DE"/>
              </w:rPr>
              <w:lastRenderedPageBreak/>
              <w:t>hârtie si carton</w:t>
            </w:r>
          </w:p>
        </w:tc>
        <w:tc>
          <w:tcPr>
            <w:tcW w:w="1418"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Nepericulos</w:t>
            </w:r>
          </w:p>
        </w:tc>
        <w:tc>
          <w:tcPr>
            <w:tcW w:w="850"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S</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20.01.01</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Activitatea de prelucrare</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Container metalic</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lang w:val="it-IT"/>
              </w:rPr>
            </w:pPr>
            <w:r>
              <w:rPr>
                <w:rFonts w:ascii="Times New Roman" w:hAnsi="Times New Roman" w:cs="Times New Roman"/>
                <w:sz w:val="20"/>
                <w:szCs w:val="20"/>
              </w:rPr>
              <w:t>Reciclare</w:t>
            </w:r>
          </w:p>
        </w:tc>
      </w:tr>
    </w:tbl>
    <w:p>
      <w:pPr>
        <w:pStyle w:val="ListParagraph"/>
        <w:ind w:left="780"/>
        <w:rPr>
          <w:b/>
          <w:sz w:val="28"/>
          <w:szCs w:val="28"/>
          <w:lang w:val="ro-RO"/>
        </w:rPr>
      </w:pPr>
      <w:r>
        <w:rPr>
          <w:b/>
          <w:sz w:val="28"/>
          <w:szCs w:val="28"/>
          <w:lang w:val="ro-RO"/>
        </w:rPr>
        <w:t>Deseuri Periculoase</w:t>
      </w:r>
    </w:p>
    <w:p>
      <w:pPr>
        <w:pStyle w:val="ListParagraph"/>
        <w:ind w:left="780"/>
        <w:rPr>
          <w:b/>
          <w:sz w:val="28"/>
          <w:szCs w:val="28"/>
          <w:lang w:val="ro-RO"/>
        </w:rPr>
      </w:pPr>
    </w:p>
    <w:tbl>
      <w:tblPr>
        <w:tblStyle w:val="TableGrid"/>
        <w:tblW w:w="10349" w:type="dxa"/>
        <w:tblInd w:w="-176" w:type="dxa"/>
        <w:tblLayout w:type="fixed"/>
        <w:tblLook w:val="04A0" w:firstRow="1" w:lastRow="0" w:firstColumn="1" w:lastColumn="0" w:noHBand="0" w:noVBand="1"/>
      </w:tblPr>
      <w:tblGrid>
        <w:gridCol w:w="1560"/>
        <w:gridCol w:w="1418"/>
        <w:gridCol w:w="850"/>
        <w:gridCol w:w="1134"/>
        <w:gridCol w:w="1276"/>
        <w:gridCol w:w="1701"/>
        <w:gridCol w:w="1276"/>
        <w:gridCol w:w="1134"/>
      </w:tblGrid>
      <w:tr>
        <w:trPr>
          <w:trHeight w:val="1029"/>
        </w:trPr>
        <w:tc>
          <w:tcPr>
            <w:tcW w:w="1560"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Denumirea deseului </w:t>
            </w:r>
          </w:p>
          <w:p>
            <w:pPr>
              <w:pStyle w:val="ListParagraph"/>
              <w:ind w:left="0"/>
              <w:rPr>
                <w:b/>
                <w:lang w:val="ro-RO"/>
              </w:rPr>
            </w:pPr>
          </w:p>
        </w:tc>
        <w:tc>
          <w:tcPr>
            <w:tcW w:w="1418"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Periculozitate conform Anexei IE din OUG 78/2000 </w:t>
            </w:r>
          </w:p>
        </w:tc>
        <w:tc>
          <w:tcPr>
            <w:tcW w:w="850"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Starea fizica </w:t>
            </w:r>
          </w:p>
        </w:tc>
        <w:tc>
          <w:tcPr>
            <w:tcW w:w="1134"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Codul deseului conform HG 856/2002 </w:t>
            </w:r>
          </w:p>
        </w:tc>
        <w:tc>
          <w:tcPr>
            <w:tcW w:w="1276"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Sursa de provenienta </w:t>
            </w:r>
          </w:p>
        </w:tc>
        <w:tc>
          <w:tcPr>
            <w:tcW w:w="1701"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Depozitare temporara </w:t>
            </w:r>
          </w:p>
        </w:tc>
        <w:tc>
          <w:tcPr>
            <w:tcW w:w="1276"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Valorificare </w:t>
            </w:r>
          </w:p>
        </w:tc>
        <w:tc>
          <w:tcPr>
            <w:tcW w:w="1134"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Eliminare </w:t>
            </w:r>
          </w:p>
        </w:tc>
      </w:tr>
      <w:tr>
        <w:tc>
          <w:tcPr>
            <w:tcW w:w="1560" w:type="dxa"/>
          </w:tcPr>
          <w:p>
            <w:pPr>
              <w:pStyle w:val="Default"/>
              <w:rPr>
                <w:rFonts w:ascii="Times New Roman" w:hAnsi="Times New Roman" w:cs="Times New Roman"/>
                <w:sz w:val="20"/>
                <w:szCs w:val="20"/>
                <w:lang w:val="fr-BE"/>
              </w:rPr>
            </w:pPr>
            <w:r>
              <w:rPr>
                <w:rFonts w:ascii="FreeSans" w:hAnsi="FreeSans" w:cs="FreeSans"/>
                <w:lang w:val="de-DE"/>
              </w:rPr>
              <w:t>alte reziduuri din blazul coloanelor de reactie</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S</w:t>
            </w:r>
          </w:p>
        </w:tc>
        <w:tc>
          <w:tcPr>
            <w:tcW w:w="1134"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07.02.08* </w:t>
            </w:r>
          </w:p>
        </w:tc>
        <w:tc>
          <w:tcPr>
            <w:tcW w:w="1276"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Activitatea de prelucrare de prelucrare </w:t>
            </w:r>
          </w:p>
        </w:tc>
        <w:tc>
          <w:tcPr>
            <w:tcW w:w="1701"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depoziteaza in butoaie de tabla pe europaleti de lemn asezati pe pardoseala betonata si vopsita </w:t>
            </w:r>
          </w:p>
        </w:tc>
        <w:tc>
          <w:tcPr>
            <w:tcW w:w="1276"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ridica si se valorifica de catre firme specializate </w:t>
            </w:r>
          </w:p>
        </w:tc>
        <w:tc>
          <w:tcPr>
            <w:tcW w:w="1134" w:type="dxa"/>
          </w:tcPr>
          <w:p>
            <w:pPr>
              <w:pStyle w:val="Default"/>
              <w:rPr>
                <w:rFonts w:ascii="Times New Roman" w:hAnsi="Times New Roman" w:cs="Times New Roman"/>
                <w:sz w:val="20"/>
                <w:szCs w:val="20"/>
              </w:rPr>
            </w:pPr>
            <w:r>
              <w:rPr>
                <w:rFonts w:ascii="Times New Roman" w:hAnsi="Times New Roman" w:cs="Times New Roman"/>
                <w:sz w:val="20"/>
                <w:szCs w:val="20"/>
              </w:rPr>
              <w:t>Reciclare</w:t>
            </w:r>
          </w:p>
          <w:p>
            <w:pPr>
              <w:pStyle w:val="Default"/>
              <w:rPr>
                <w:rFonts w:ascii="Times New Roman" w:hAnsi="Times New Roman" w:cs="Times New Roman"/>
                <w:sz w:val="20"/>
                <w:szCs w:val="20"/>
              </w:rPr>
            </w:pPr>
          </w:p>
        </w:tc>
      </w:tr>
      <w:tr>
        <w:tc>
          <w:tcPr>
            <w:tcW w:w="1560" w:type="dxa"/>
          </w:tcPr>
          <w:p>
            <w:pPr>
              <w:autoSpaceDE w:val="0"/>
              <w:autoSpaceDN w:val="0"/>
              <w:adjustRightInd w:val="0"/>
              <w:rPr>
                <w:rFonts w:ascii="FreeSans" w:eastAsiaTheme="minorHAnsi" w:hAnsi="FreeSans" w:cs="FreeSans"/>
                <w:sz w:val="24"/>
                <w:szCs w:val="24"/>
                <w:lang w:eastAsia="en-US"/>
              </w:rPr>
            </w:pPr>
            <w:r>
              <w:rPr>
                <w:rFonts w:ascii="FreeSans" w:eastAsiaTheme="minorHAnsi" w:hAnsi="FreeSans" w:cs="FreeSans"/>
                <w:sz w:val="24"/>
                <w:szCs w:val="24"/>
                <w:lang w:eastAsia="en-US"/>
              </w:rPr>
              <w:t>ambalaje care contin</w:t>
            </w:r>
          </w:p>
          <w:p>
            <w:pPr>
              <w:autoSpaceDE w:val="0"/>
              <w:autoSpaceDN w:val="0"/>
              <w:adjustRightInd w:val="0"/>
              <w:rPr>
                <w:rFonts w:ascii="FreeSans" w:eastAsiaTheme="minorHAnsi" w:hAnsi="FreeSans" w:cs="FreeSans"/>
                <w:sz w:val="24"/>
                <w:szCs w:val="24"/>
                <w:lang w:eastAsia="en-US"/>
              </w:rPr>
            </w:pPr>
            <w:r>
              <w:rPr>
                <w:rFonts w:ascii="FreeSans" w:eastAsiaTheme="minorHAnsi" w:hAnsi="FreeSans" w:cs="FreeSans"/>
                <w:sz w:val="24"/>
                <w:szCs w:val="24"/>
                <w:lang w:eastAsia="en-US"/>
              </w:rPr>
              <w:t>reziduuri sau sunt</w:t>
            </w:r>
          </w:p>
          <w:p>
            <w:pPr>
              <w:autoSpaceDE w:val="0"/>
              <w:autoSpaceDN w:val="0"/>
              <w:adjustRightInd w:val="0"/>
              <w:rPr>
                <w:rFonts w:ascii="FreeSans" w:eastAsiaTheme="minorHAnsi" w:hAnsi="FreeSans" w:cs="FreeSans"/>
                <w:sz w:val="24"/>
                <w:szCs w:val="24"/>
                <w:lang w:val="de-DE" w:eastAsia="en-US"/>
              </w:rPr>
            </w:pPr>
            <w:r>
              <w:rPr>
                <w:rFonts w:ascii="FreeSans" w:eastAsiaTheme="minorHAnsi" w:hAnsi="FreeSans" w:cs="FreeSans"/>
                <w:sz w:val="24"/>
                <w:szCs w:val="24"/>
                <w:lang w:val="de-DE" w:eastAsia="en-US"/>
              </w:rPr>
              <w:t>contaminate cu substante</w:t>
            </w:r>
          </w:p>
          <w:p>
            <w:pPr>
              <w:pStyle w:val="Default"/>
              <w:rPr>
                <w:rFonts w:ascii="Times New Roman" w:hAnsi="Times New Roman" w:cs="Times New Roman"/>
                <w:sz w:val="20"/>
                <w:szCs w:val="20"/>
                <w:lang w:val="fr-BE"/>
              </w:rPr>
            </w:pPr>
            <w:r>
              <w:rPr>
                <w:rFonts w:ascii="FreeSans" w:hAnsi="FreeSans" w:cs="FreeSans"/>
                <w:lang w:val="de-DE"/>
              </w:rPr>
              <w:t>periculoase</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S</w:t>
            </w:r>
          </w:p>
        </w:tc>
        <w:tc>
          <w:tcPr>
            <w:tcW w:w="1134"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15.01.10* </w:t>
            </w:r>
          </w:p>
        </w:tc>
        <w:tc>
          <w:tcPr>
            <w:tcW w:w="1276"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Activitatea de prelucrare </w:t>
            </w:r>
          </w:p>
        </w:tc>
        <w:tc>
          <w:tcPr>
            <w:tcW w:w="1701"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depoziteaza in butoaie de tabla pe europaleti de lemn asezati pe pardoseala betonata si vopsita </w:t>
            </w:r>
          </w:p>
        </w:tc>
        <w:tc>
          <w:tcPr>
            <w:tcW w:w="1276"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ridica si se valorifica de catre firme specializate </w:t>
            </w:r>
          </w:p>
        </w:tc>
        <w:tc>
          <w:tcPr>
            <w:tcW w:w="1134"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Reciclare </w:t>
            </w:r>
          </w:p>
        </w:tc>
      </w:tr>
    </w:tbl>
    <w:p>
      <w:pPr>
        <w:pStyle w:val="ListParagraph"/>
        <w:spacing w:line="276" w:lineRule="auto"/>
        <w:ind w:left="1134"/>
        <w:jc w:val="both"/>
        <w:rPr>
          <w:rFonts w:ascii="Arial" w:hAnsi="Arial"/>
          <w:sz w:val="24"/>
          <w:szCs w:val="24"/>
          <w:lang w:val="it-IT"/>
        </w:rPr>
      </w:pPr>
    </w:p>
    <w:p>
      <w:pPr>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Cantitati de deseuri nepericuloase</w:t>
      </w:r>
    </w:p>
    <w:p>
      <w:pPr>
        <w:jc w:val="both"/>
        <w:rPr>
          <w:rFonts w:ascii="Times New Roman" w:eastAsia="Times New Roman" w:hAnsi="Times New Roman" w:cs="Times New Roman"/>
          <w:sz w:val="24"/>
          <w:szCs w:val="24"/>
          <w:lang w:val="de-DE" w:eastAsia="de-DE"/>
        </w:rPr>
      </w:pPr>
    </w:p>
    <w:tbl>
      <w:tblPr>
        <w:tblW w:w="9730" w:type="dxa"/>
        <w:tblCellMar>
          <w:left w:w="70" w:type="dxa"/>
          <w:right w:w="70" w:type="dxa"/>
        </w:tblCellMar>
        <w:tblLook w:val="04A0" w:firstRow="1" w:lastRow="0" w:firstColumn="1" w:lastColumn="0" w:noHBand="0" w:noVBand="1"/>
      </w:tblPr>
      <w:tblGrid>
        <w:gridCol w:w="5240"/>
        <w:gridCol w:w="1276"/>
        <w:gridCol w:w="2073"/>
        <w:gridCol w:w="1141"/>
      </w:tblGrid>
      <w:tr>
        <w:trPr>
          <w:trHeight w:val="357"/>
        </w:trPr>
        <w:tc>
          <w:tcPr>
            <w:tcW w:w="5240" w:type="dxa"/>
            <w:tcBorders>
              <w:top w:val="single" w:sz="4" w:space="0" w:color="auto"/>
              <w:left w:val="single" w:sz="4" w:space="0" w:color="auto"/>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cs="Calibri"/>
                <w:color w:val="000000"/>
                <w:sz w:val="22"/>
                <w:szCs w:val="22"/>
              </w:rPr>
              <w:t xml:space="preserve">Denumire </w:t>
            </w:r>
            <w:r>
              <w:rPr>
                <w:rFonts w:cs="Calibri"/>
                <w:color w:val="000000"/>
                <w:sz w:val="22"/>
                <w:szCs w:val="22"/>
              </w:rPr>
              <w:br/>
              <w:t>deşeu</w:t>
            </w:r>
          </w:p>
        </w:tc>
        <w:tc>
          <w:tcPr>
            <w:tcW w:w="1276"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 xml:space="preserve">Cod </w:t>
            </w:r>
            <w:r>
              <w:rPr>
                <w:rFonts w:cs="Calibri"/>
                <w:color w:val="000000"/>
                <w:sz w:val="22"/>
                <w:szCs w:val="22"/>
              </w:rPr>
              <w:br/>
              <w:t>deşeu</w:t>
            </w:r>
          </w:p>
        </w:tc>
        <w:tc>
          <w:tcPr>
            <w:tcW w:w="2073"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Cantitate valorificată</w:t>
            </w:r>
            <w:r>
              <w:rPr>
                <w:rFonts w:cs="Calibri"/>
                <w:color w:val="000000"/>
                <w:sz w:val="22"/>
                <w:szCs w:val="22"/>
              </w:rPr>
              <w:br/>
              <w:t>(tone)</w:t>
            </w:r>
          </w:p>
        </w:tc>
        <w:tc>
          <w:tcPr>
            <w:tcW w:w="1141"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 xml:space="preserve">Cod </w:t>
            </w:r>
            <w:r>
              <w:rPr>
                <w:rFonts w:cs="Calibri"/>
                <w:color w:val="000000"/>
                <w:sz w:val="22"/>
                <w:szCs w:val="22"/>
              </w:rPr>
              <w:br/>
              <w:t>valorificare</w:t>
            </w:r>
          </w:p>
        </w:tc>
      </w:tr>
      <w:tr>
        <w:trPr>
          <w:trHeight w:val="300"/>
        </w:trPr>
        <w:tc>
          <w:tcPr>
            <w:tcW w:w="5240" w:type="dxa"/>
            <w:tcBorders>
              <w:top w:val="nil"/>
              <w:left w:val="single" w:sz="4" w:space="0" w:color="auto"/>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A</w:t>
            </w:r>
          </w:p>
        </w:tc>
        <w:tc>
          <w:tcPr>
            <w:tcW w:w="1276" w:type="dxa"/>
            <w:tcBorders>
              <w:top w:val="nil"/>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1</w:t>
            </w:r>
          </w:p>
        </w:tc>
        <w:tc>
          <w:tcPr>
            <w:tcW w:w="2073" w:type="dxa"/>
            <w:tcBorders>
              <w:top w:val="nil"/>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2</w:t>
            </w:r>
          </w:p>
        </w:tc>
        <w:tc>
          <w:tcPr>
            <w:tcW w:w="1141" w:type="dxa"/>
            <w:tcBorders>
              <w:top w:val="nil"/>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3</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materiale plastice</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20 01 39</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13,46</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ambalaje de hartie si carton</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15 01 01</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8,605</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ambalaje de lemn</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15 01 03</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2,28</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lang w:val="it-IT"/>
              </w:rPr>
            </w:pPr>
            <w:r>
              <w:rPr>
                <w:rFonts w:cs="Calibri"/>
                <w:color w:val="000000"/>
                <w:sz w:val="22"/>
                <w:szCs w:val="22"/>
                <w:lang w:val="it-IT"/>
              </w:rPr>
              <w:t>cabluri, altele decat cele specificate la 17 04 10</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17 04 11</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8,543</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materiale plastice</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16 01 19</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1,235</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cupru, bronz, alama</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17 04 01</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0,807</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ambalaje de materiale plastice</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15 01 02</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1,535</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bl>
    <w:p>
      <w:pPr>
        <w:jc w:val="both"/>
        <w:rPr>
          <w:rFonts w:ascii="Times New Roman" w:eastAsia="Times New Roman" w:hAnsi="Times New Roman" w:cs="Times New Roman"/>
          <w:sz w:val="24"/>
          <w:szCs w:val="24"/>
          <w:lang w:val="de-DE" w:eastAsia="de-DE"/>
        </w:rPr>
      </w:pPr>
    </w:p>
    <w:p>
      <w:pPr>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Cantitati deseuri periculoase </w:t>
      </w:r>
    </w:p>
    <w:tbl>
      <w:tblPr>
        <w:tblW w:w="9730" w:type="dxa"/>
        <w:tblCellMar>
          <w:left w:w="70" w:type="dxa"/>
          <w:right w:w="70" w:type="dxa"/>
        </w:tblCellMar>
        <w:tblLook w:val="04A0" w:firstRow="1" w:lastRow="0" w:firstColumn="1" w:lastColumn="0" w:noHBand="0" w:noVBand="1"/>
      </w:tblPr>
      <w:tblGrid>
        <w:gridCol w:w="4957"/>
        <w:gridCol w:w="1559"/>
        <w:gridCol w:w="2073"/>
        <w:gridCol w:w="1141"/>
      </w:tblGrid>
      <w:tr>
        <w:trPr>
          <w:trHeight w:val="750"/>
        </w:trPr>
        <w:tc>
          <w:tcPr>
            <w:tcW w:w="4957" w:type="dxa"/>
            <w:tcBorders>
              <w:top w:val="single" w:sz="4" w:space="0" w:color="auto"/>
              <w:left w:val="single" w:sz="4" w:space="0" w:color="auto"/>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 xml:space="preserve">Denumire </w:t>
            </w:r>
            <w:r>
              <w:rPr>
                <w:rFonts w:eastAsia="Times New Roman" w:cs="Calibri"/>
                <w:color w:val="000000"/>
                <w:sz w:val="22"/>
                <w:szCs w:val="22"/>
                <w:lang w:val="de-DE" w:eastAsia="de-DE"/>
              </w:rPr>
              <w:br/>
              <w:t>deşeu</w:t>
            </w:r>
          </w:p>
        </w:tc>
        <w:tc>
          <w:tcPr>
            <w:tcW w:w="1559"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 xml:space="preserve">Cod </w:t>
            </w:r>
            <w:r>
              <w:rPr>
                <w:rFonts w:eastAsia="Times New Roman" w:cs="Calibri"/>
                <w:color w:val="000000"/>
                <w:sz w:val="22"/>
                <w:szCs w:val="22"/>
                <w:lang w:val="de-DE" w:eastAsia="de-DE"/>
              </w:rPr>
              <w:br/>
              <w:t>deşeu</w:t>
            </w:r>
          </w:p>
        </w:tc>
        <w:tc>
          <w:tcPr>
            <w:tcW w:w="2073"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Cantitate valorificată</w:t>
            </w:r>
            <w:r>
              <w:rPr>
                <w:rFonts w:eastAsia="Times New Roman" w:cs="Calibri"/>
                <w:color w:val="000000"/>
                <w:sz w:val="22"/>
                <w:szCs w:val="22"/>
                <w:lang w:val="de-DE" w:eastAsia="de-DE"/>
              </w:rPr>
              <w:br/>
              <w:t>(tone)</w:t>
            </w:r>
          </w:p>
        </w:tc>
        <w:tc>
          <w:tcPr>
            <w:tcW w:w="1141"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 xml:space="preserve">Cod </w:t>
            </w:r>
            <w:r>
              <w:rPr>
                <w:rFonts w:eastAsia="Times New Roman" w:cs="Calibri"/>
                <w:color w:val="000000"/>
                <w:sz w:val="22"/>
                <w:szCs w:val="22"/>
                <w:lang w:val="de-DE" w:eastAsia="de-DE"/>
              </w:rPr>
              <w:br/>
              <w:t>valorificare</w:t>
            </w:r>
          </w:p>
        </w:tc>
      </w:tr>
      <w:tr>
        <w:trPr>
          <w:trHeight w:val="300"/>
        </w:trPr>
        <w:tc>
          <w:tcPr>
            <w:tcW w:w="4957" w:type="dxa"/>
            <w:tcBorders>
              <w:top w:val="nil"/>
              <w:left w:val="single" w:sz="4" w:space="0" w:color="auto"/>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A</w:t>
            </w:r>
          </w:p>
        </w:tc>
        <w:tc>
          <w:tcPr>
            <w:tcW w:w="1559" w:type="dxa"/>
            <w:tcBorders>
              <w:top w:val="nil"/>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1</w:t>
            </w:r>
          </w:p>
        </w:tc>
        <w:tc>
          <w:tcPr>
            <w:tcW w:w="2073" w:type="dxa"/>
            <w:tcBorders>
              <w:top w:val="nil"/>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2</w:t>
            </w:r>
          </w:p>
        </w:tc>
        <w:tc>
          <w:tcPr>
            <w:tcW w:w="1141" w:type="dxa"/>
            <w:tcBorders>
              <w:top w:val="nil"/>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3</w:t>
            </w:r>
          </w:p>
        </w:tc>
      </w:tr>
      <w:tr>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Calibri"/>
                <w:color w:val="000000"/>
                <w:sz w:val="22"/>
                <w:szCs w:val="22"/>
                <w:lang w:val="de-DE" w:eastAsia="de-DE"/>
              </w:rPr>
            </w:pPr>
            <w:r>
              <w:rPr>
                <w:rFonts w:eastAsia="Times New Roman" w:cs="Calibri"/>
                <w:color w:val="000000"/>
                <w:sz w:val="22"/>
                <w:szCs w:val="22"/>
                <w:lang w:val="de-DE" w:eastAsia="de-DE"/>
              </w:rPr>
              <w:t>ambalaje care contin reziduuri sau sunt contaminate cu substante periculoase</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15 01 10*</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Calibri"/>
                <w:color w:val="000000"/>
                <w:sz w:val="22"/>
                <w:szCs w:val="22"/>
                <w:lang w:val="de-DE" w:eastAsia="de-DE"/>
              </w:rPr>
            </w:pPr>
            <w:r>
              <w:rPr>
                <w:rFonts w:cs="Calibri"/>
                <w:color w:val="000000"/>
                <w:sz w:val="22"/>
                <w:szCs w:val="22"/>
              </w:rPr>
              <w:t>8,224</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R 12</w:t>
            </w:r>
          </w:p>
        </w:tc>
      </w:tr>
      <w:tr>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Calibri"/>
                <w:color w:val="000000"/>
                <w:sz w:val="22"/>
                <w:szCs w:val="22"/>
                <w:lang w:val="de-DE" w:eastAsia="de-DE"/>
              </w:rPr>
            </w:pPr>
            <w:r>
              <w:rPr>
                <w:rFonts w:eastAsia="Times New Roman" w:cs="Calibri"/>
                <w:color w:val="000000"/>
                <w:sz w:val="22"/>
                <w:szCs w:val="22"/>
                <w:lang w:val="de-DE" w:eastAsia="de-DE"/>
              </w:rPr>
              <w:t>alte reziduuri din blazul coloanelor de reactie</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07 02 08*</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Calibri"/>
                <w:color w:val="000000"/>
                <w:sz w:val="22"/>
                <w:szCs w:val="22"/>
                <w:lang w:val="de-DE" w:eastAsia="de-DE"/>
              </w:rPr>
            </w:pPr>
            <w:r>
              <w:rPr>
                <w:rFonts w:cs="Calibri"/>
                <w:color w:val="000000"/>
                <w:sz w:val="22"/>
                <w:szCs w:val="22"/>
              </w:rPr>
              <w:t>9,64</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R 12</w:t>
            </w:r>
          </w:p>
        </w:tc>
      </w:tr>
      <w:tr>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eastAsia="Times New Roman" w:cs="Calibri"/>
                <w:b/>
                <w:bCs/>
                <w:color w:val="000000"/>
                <w:sz w:val="22"/>
                <w:szCs w:val="22"/>
                <w:lang w:val="de-DE" w:eastAsia="de-DE"/>
              </w:rPr>
            </w:pPr>
            <w:r>
              <w:rPr>
                <w:rFonts w:eastAsia="Times New Roman" w:cs="Calibri"/>
                <w:b/>
                <w:bCs/>
                <w:color w:val="000000"/>
                <w:sz w:val="22"/>
                <w:szCs w:val="22"/>
                <w:lang w:val="de-DE" w:eastAsia="de-DE"/>
              </w:rPr>
              <w:t>Total:</w:t>
            </w:r>
          </w:p>
        </w:tc>
        <w:tc>
          <w:tcPr>
            <w:tcW w:w="1559" w:type="dxa"/>
            <w:tcBorders>
              <w:top w:val="nil"/>
              <w:left w:val="nil"/>
              <w:bottom w:val="single" w:sz="4" w:space="0" w:color="auto"/>
              <w:right w:val="single" w:sz="4" w:space="0" w:color="auto"/>
            </w:tcBorders>
            <w:shd w:val="clear" w:color="000000" w:fill="FFEB9C"/>
            <w:noWrap/>
            <w:vAlign w:val="bottom"/>
            <w:hideMark/>
          </w:tcPr>
          <w:p>
            <w:pPr>
              <w:jc w:val="right"/>
              <w:rPr>
                <w:rFonts w:eastAsia="Times New Roman" w:cs="Calibri"/>
                <w:b/>
                <w:bCs/>
                <w:color w:val="9C6500"/>
                <w:sz w:val="22"/>
                <w:szCs w:val="22"/>
                <w:lang w:val="de-DE" w:eastAsia="de-DE"/>
              </w:rPr>
            </w:pPr>
            <w:r>
              <w:rPr>
                <w:rFonts w:eastAsia="Times New Roman" w:cs="Calibri"/>
                <w:b/>
                <w:bCs/>
                <w:color w:val="9C6500"/>
                <w:sz w:val="22"/>
                <w:szCs w:val="22"/>
                <w:lang w:val="de-DE" w:eastAsia="de-DE"/>
              </w:rPr>
              <w:t> </w:t>
            </w:r>
          </w:p>
        </w:tc>
        <w:tc>
          <w:tcPr>
            <w:tcW w:w="2073" w:type="dxa"/>
            <w:tcBorders>
              <w:top w:val="nil"/>
              <w:left w:val="nil"/>
              <w:bottom w:val="single" w:sz="4" w:space="0" w:color="auto"/>
              <w:right w:val="single" w:sz="4" w:space="0" w:color="auto"/>
            </w:tcBorders>
            <w:shd w:val="clear" w:color="000000" w:fill="FFEB9C"/>
            <w:noWrap/>
            <w:vAlign w:val="bottom"/>
            <w:hideMark/>
          </w:tcPr>
          <w:p>
            <w:pPr>
              <w:jc w:val="right"/>
              <w:rPr>
                <w:rFonts w:eastAsia="Times New Roman" w:cs="Calibri"/>
                <w:b/>
                <w:bCs/>
                <w:color w:val="9C6500"/>
                <w:sz w:val="22"/>
                <w:szCs w:val="22"/>
                <w:lang w:val="de-DE" w:eastAsia="de-DE"/>
              </w:rPr>
            </w:pPr>
            <w:r>
              <w:rPr>
                <w:rFonts w:eastAsia="Times New Roman" w:cs="Calibri"/>
                <w:b/>
                <w:bCs/>
                <w:color w:val="9C6500"/>
                <w:sz w:val="22"/>
                <w:szCs w:val="22"/>
                <w:lang w:val="de-DE" w:eastAsia="de-DE"/>
              </w:rPr>
              <w:t>15,054</w:t>
            </w:r>
          </w:p>
        </w:tc>
        <w:tc>
          <w:tcPr>
            <w:tcW w:w="1141" w:type="dxa"/>
            <w:tcBorders>
              <w:top w:val="nil"/>
              <w:left w:val="nil"/>
              <w:bottom w:val="single" w:sz="4" w:space="0" w:color="auto"/>
              <w:right w:val="single" w:sz="4" w:space="0" w:color="auto"/>
            </w:tcBorders>
            <w:shd w:val="clear" w:color="000000" w:fill="FFEB9C"/>
            <w:noWrap/>
            <w:vAlign w:val="bottom"/>
            <w:hideMark/>
          </w:tcPr>
          <w:p>
            <w:pPr>
              <w:jc w:val="right"/>
              <w:rPr>
                <w:rFonts w:eastAsia="Times New Roman" w:cs="Calibri"/>
                <w:b/>
                <w:bCs/>
                <w:color w:val="9C6500"/>
                <w:sz w:val="22"/>
                <w:szCs w:val="22"/>
                <w:lang w:val="de-DE" w:eastAsia="de-DE"/>
              </w:rPr>
            </w:pPr>
            <w:r>
              <w:rPr>
                <w:rFonts w:eastAsia="Times New Roman" w:cs="Calibri"/>
                <w:b/>
                <w:bCs/>
                <w:color w:val="9C6500"/>
                <w:sz w:val="22"/>
                <w:szCs w:val="22"/>
                <w:lang w:val="de-DE" w:eastAsia="de-DE"/>
              </w:rPr>
              <w:t> </w:t>
            </w:r>
          </w:p>
        </w:tc>
      </w:tr>
    </w:tbl>
    <w:p>
      <w:pPr>
        <w:spacing w:line="276" w:lineRule="auto"/>
        <w:ind w:firstLine="708"/>
        <w:jc w:val="both"/>
        <w:rPr>
          <w:rFonts w:ascii="Arial" w:hAnsi="Arial"/>
          <w:sz w:val="24"/>
          <w:szCs w:val="24"/>
        </w:rPr>
      </w:pPr>
      <w:r>
        <w:rPr>
          <w:rFonts w:ascii="Arial" w:hAnsi="Arial"/>
          <w:sz w:val="24"/>
          <w:szCs w:val="24"/>
        </w:rPr>
        <w:t>Deseurile generate din activitatea proprie sunt transportate cu mijloace de transport autorizate, cu respectarea conditiilor prevazute de HG nr.1061/2008 privind transportul deseurilor periculoase si nepericuloase pe teritoriul Romaniei.</w:t>
      </w:r>
    </w:p>
    <w:p>
      <w:pPr>
        <w:spacing w:line="276" w:lineRule="auto"/>
        <w:ind w:firstLine="708"/>
        <w:jc w:val="both"/>
        <w:rPr>
          <w:rFonts w:ascii="Arial" w:hAnsi="Arial"/>
          <w:sz w:val="24"/>
          <w:szCs w:val="24"/>
          <w:lang w:val="it-IT"/>
        </w:rPr>
      </w:pPr>
      <w:r>
        <w:rPr>
          <w:rFonts w:ascii="Arial" w:hAnsi="Arial"/>
          <w:sz w:val="24"/>
          <w:szCs w:val="24"/>
          <w:lang w:val="it-IT"/>
        </w:rPr>
        <w:lastRenderedPageBreak/>
        <w:t>Mod de eliminare (depozitare definitiva, incinerare): deseurile municipale amestecate si deseurile biodegradabile de la bucatarie sunt preluate de societatea de salubritate, pe baza de contract, in vederea eliminarii prin depozitare.</w:t>
      </w:r>
    </w:p>
    <w:p>
      <w:pPr>
        <w:spacing w:line="276" w:lineRule="auto"/>
        <w:ind w:firstLine="708"/>
        <w:jc w:val="both"/>
        <w:rPr>
          <w:rFonts w:ascii="Arial" w:hAnsi="Arial"/>
          <w:sz w:val="24"/>
          <w:szCs w:val="24"/>
          <w:lang w:val="it-IT"/>
        </w:rPr>
      </w:pPr>
      <w:r>
        <w:rPr>
          <w:rFonts w:ascii="Arial" w:hAnsi="Arial"/>
          <w:sz w:val="24"/>
          <w:szCs w:val="24"/>
          <w:lang w:val="it-IT"/>
        </w:rPr>
        <w:t>Monitorizarea gestiunii deseurilor: se tine evidenta tuturor tipurilor de deseuri generate din activitatea proprie, a modului de gestionare a acestora, in conformitate cu HG nr. 856/2002, privind evidenta gestiunii deseurilor si pentru aprobarea listei cuprinzand deseurile, inclusiv deseurile periculoase, cu modificarile ulterioare -raportare annuala APM Iasi.</w:t>
      </w:r>
    </w:p>
    <w:p>
      <w:pPr>
        <w:pStyle w:val="Default"/>
        <w:spacing w:line="360" w:lineRule="auto"/>
        <w:jc w:val="both"/>
        <w:rPr>
          <w:rFonts w:ascii="Times New Roman" w:hAnsi="Times New Roman" w:cs="Times New Roman"/>
          <w:lang w:val="fr-BE"/>
        </w:rPr>
      </w:pPr>
      <w:r>
        <w:rPr>
          <w:rFonts w:ascii="Times New Roman" w:hAnsi="Times New Roman" w:cs="Times New Roman"/>
          <w:lang w:val="fr-BE"/>
        </w:rPr>
        <w:t xml:space="preserve">Deseurile de ambalaj – hartie, carton, plastic si butoaile metalice contaminate, lemn, rasini etc, vor fi colectate separat, pe fractii si ridicate de firma </w:t>
      </w:r>
      <w:r>
        <w:rPr>
          <w:rFonts w:ascii="Times New Roman" w:hAnsi="Times New Roman" w:cs="Times New Roman"/>
          <w:b/>
          <w:bCs/>
          <w:lang w:val="fr-BE"/>
        </w:rPr>
        <w:t xml:space="preserve">SC Inciner Wast Iasi </w:t>
      </w:r>
      <w:r>
        <w:rPr>
          <w:rFonts w:ascii="Times New Roman" w:hAnsi="Times New Roman" w:cs="Times New Roman"/>
          <w:lang w:val="fr-BE"/>
        </w:rPr>
        <w:t xml:space="preserve">cu care societatea are incheiat contract. </w:t>
      </w:r>
    </w:p>
    <w:p>
      <w:pPr>
        <w:spacing w:line="276" w:lineRule="auto"/>
        <w:ind w:firstLine="708"/>
        <w:jc w:val="both"/>
        <w:rPr>
          <w:rFonts w:ascii="Arial" w:hAnsi="Arial"/>
          <w:sz w:val="24"/>
          <w:szCs w:val="24"/>
          <w:lang w:val="fr-BE"/>
        </w:rPr>
      </w:pPr>
    </w:p>
    <w:p>
      <w:pPr>
        <w:rPr>
          <w:lang w:val="it-IT"/>
        </w:rPr>
      </w:pPr>
    </w:p>
    <w:p>
      <w:pPr>
        <w:rPr>
          <w:lang w:val="it-IT"/>
        </w:rPr>
      </w:pPr>
    </w:p>
    <w:p>
      <w:pPr>
        <w:pStyle w:val="Heading1"/>
        <w:numPr>
          <w:ilvl w:val="1"/>
          <w:numId w:val="15"/>
        </w:numPr>
        <w:spacing w:line="276" w:lineRule="auto"/>
        <w:jc w:val="center"/>
        <w:rPr>
          <w:rFonts w:ascii="Arial" w:eastAsia="Arial" w:hAnsi="Arial" w:cs="Arial"/>
          <w:bCs w:val="0"/>
          <w:i/>
          <w:iCs/>
          <w:u w:val="single"/>
          <w:lang w:val="it-IT"/>
        </w:rPr>
      </w:pPr>
      <w:bookmarkStart w:id="27" w:name="_Toc53661527"/>
      <w:bookmarkStart w:id="28" w:name="_Toc64466782"/>
      <w:r>
        <w:rPr>
          <w:rFonts w:ascii="Arial" w:eastAsia="Arial" w:hAnsi="Arial" w:cs="Arial"/>
          <w:bCs w:val="0"/>
          <w:i/>
          <w:iCs/>
          <w:u w:val="single"/>
          <w:lang w:val="it-IT"/>
        </w:rPr>
        <w:t>Numar de angajati</w:t>
      </w:r>
      <w:bookmarkEnd w:id="27"/>
      <w:bookmarkEnd w:id="28"/>
    </w:p>
    <w:p>
      <w:pPr>
        <w:pStyle w:val="ListParagraph"/>
        <w:rPr>
          <w:lang w:val="it-IT"/>
        </w:rPr>
      </w:pPr>
    </w:p>
    <w:p>
      <w:pPr>
        <w:spacing w:line="276" w:lineRule="auto"/>
        <w:ind w:right="280" w:firstLine="720"/>
        <w:jc w:val="both"/>
        <w:rPr>
          <w:rFonts w:ascii="Arial" w:eastAsia="Arial" w:hAnsi="Arial"/>
          <w:sz w:val="24"/>
          <w:lang w:val="it-IT"/>
        </w:rPr>
      </w:pPr>
      <w:r>
        <w:rPr>
          <w:rFonts w:ascii="Arial" w:eastAsia="Arial" w:hAnsi="Arial"/>
          <w:sz w:val="24"/>
          <w:lang w:val="it-IT"/>
        </w:rPr>
        <w:t>Obiectivul va deservi ca loc de activitati industriale pentru un numar de 110 de angajati</w:t>
      </w:r>
    </w:p>
    <w:p>
      <w:pPr>
        <w:pStyle w:val="Heading3"/>
        <w:ind w:firstLine="708"/>
        <w:rPr>
          <w:rFonts w:ascii="Arial" w:eastAsia="Arial" w:hAnsi="Arial" w:cs="Arial"/>
          <w:b/>
          <w:iCs/>
          <w:color w:val="auto"/>
          <w:u w:val="single"/>
          <w:lang w:val="it-IT"/>
        </w:rPr>
      </w:pPr>
      <w:bookmarkStart w:id="29" w:name="_Toc53661528"/>
      <w:bookmarkStart w:id="30" w:name="_Toc64466783"/>
      <w:r>
        <w:rPr>
          <w:rFonts w:ascii="Arial" w:eastAsia="Arial" w:hAnsi="Arial" w:cs="Arial"/>
          <w:b/>
          <w:iCs/>
          <w:color w:val="auto"/>
          <w:u w:val="single"/>
          <w:lang w:val="it-IT"/>
        </w:rPr>
        <w:t>5.1 Suprafata ocupata</w:t>
      </w:r>
      <w:bookmarkEnd w:id="29"/>
      <w:bookmarkEnd w:id="30"/>
    </w:p>
    <w:p>
      <w:pPr>
        <w:rPr>
          <w:lang w:val="it-IT"/>
        </w:rPr>
      </w:pPr>
    </w:p>
    <w:p>
      <w:pPr>
        <w:spacing w:line="276" w:lineRule="auto"/>
        <w:jc w:val="both"/>
        <w:rPr>
          <w:rFonts w:ascii="Arial" w:eastAsia="Arial" w:hAnsi="Arial"/>
          <w:sz w:val="24"/>
          <w:lang w:val="it-IT"/>
        </w:rPr>
      </w:pPr>
      <w:r>
        <w:rPr>
          <w:rFonts w:ascii="Arial" w:eastAsia="Arial" w:hAnsi="Arial"/>
          <w:sz w:val="24"/>
          <w:lang w:val="it-IT"/>
        </w:rPr>
        <w:tab/>
        <w:t>Din  suprafata  de  30000  mp  intabulat ca drept de superficie pe o perioada de 49 de ani, s-a ocupat  8269,40 mp</w:t>
      </w:r>
    </w:p>
    <w:p>
      <w:pPr>
        <w:spacing w:line="276" w:lineRule="auto"/>
        <w:jc w:val="both"/>
        <w:rPr>
          <w:rFonts w:ascii="Arial" w:eastAsia="Arial" w:hAnsi="Arial"/>
          <w:sz w:val="24"/>
          <w:lang w:val="it-IT"/>
        </w:rPr>
      </w:pPr>
    </w:p>
    <w:p>
      <w:pPr>
        <w:pStyle w:val="Heading3"/>
        <w:ind w:firstLine="708"/>
        <w:rPr>
          <w:rFonts w:ascii="Arial" w:eastAsia="Arial" w:hAnsi="Arial" w:cs="Arial"/>
          <w:b/>
          <w:iCs/>
          <w:color w:val="auto"/>
          <w:u w:val="single"/>
          <w:lang w:val="it-IT"/>
        </w:rPr>
      </w:pPr>
      <w:bookmarkStart w:id="31" w:name="_Toc53661529"/>
      <w:bookmarkStart w:id="32" w:name="_Toc64466784"/>
      <w:r>
        <w:rPr>
          <w:rFonts w:ascii="Arial" w:eastAsia="Arial" w:hAnsi="Arial" w:cs="Arial"/>
          <w:b/>
          <w:iCs/>
          <w:color w:val="auto"/>
          <w:u w:val="single"/>
          <w:lang w:val="it-IT"/>
        </w:rPr>
        <w:t>5.2 Durata de functionare estimata</w:t>
      </w:r>
      <w:bookmarkEnd w:id="31"/>
      <w:bookmarkEnd w:id="32"/>
    </w:p>
    <w:p>
      <w:pPr>
        <w:rPr>
          <w:lang w:val="it-IT"/>
        </w:rPr>
      </w:pPr>
    </w:p>
    <w:p>
      <w:pPr>
        <w:spacing w:line="276" w:lineRule="auto"/>
        <w:ind w:firstLine="720"/>
        <w:jc w:val="both"/>
        <w:rPr>
          <w:rFonts w:ascii="Arial" w:eastAsia="Arial" w:hAnsi="Arial"/>
          <w:sz w:val="24"/>
          <w:lang w:val="it-IT"/>
        </w:rPr>
      </w:pPr>
      <w:r>
        <w:rPr>
          <w:rFonts w:ascii="Arial" w:eastAsia="Arial" w:hAnsi="Arial"/>
          <w:sz w:val="24"/>
          <w:lang w:val="it-IT"/>
        </w:rPr>
        <w:t>Durata de functionare este nedeterminata.</w:t>
      </w:r>
    </w:p>
    <w:p>
      <w:pPr>
        <w:spacing w:line="276" w:lineRule="auto"/>
        <w:jc w:val="both"/>
        <w:rPr>
          <w:rFonts w:ascii="Arial" w:hAnsi="Arial"/>
          <w:sz w:val="24"/>
          <w:szCs w:val="24"/>
          <w:lang w:val="it-IT"/>
        </w:rPr>
      </w:pPr>
      <w:r>
        <w:rPr>
          <w:rFonts w:ascii="Arial" w:hAnsi="Arial"/>
          <w:sz w:val="24"/>
          <w:szCs w:val="24"/>
          <w:lang w:val="it-IT"/>
        </w:rPr>
        <w:t>Regim de functionare: 24ore/zi, 5 zile/saptamana, 230 zile/an</w:t>
      </w:r>
    </w:p>
    <w:p>
      <w:pPr>
        <w:spacing w:line="276" w:lineRule="auto"/>
        <w:jc w:val="both"/>
        <w:rPr>
          <w:rFonts w:ascii="Arial" w:hAnsi="Arial"/>
          <w:sz w:val="24"/>
          <w:szCs w:val="24"/>
          <w:lang w:val="it-IT"/>
        </w:rPr>
      </w:pPr>
    </w:p>
    <w:sectPr>
      <w:headerReference w:type="default" r:id="rId9"/>
      <w:footerReference w:type="default" r:id="rId1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Sans">
    <w:altName w:val="Times New Roman"/>
    <w:panose1 w:val="00000000000000000000"/>
    <w:charset w:val="EE"/>
    <w:family w:val="auto"/>
    <w:notTrueType/>
    <w:pitch w:val="default"/>
    <w:sig w:usb0="00000005" w:usb1="00000000" w:usb2="00000000" w:usb3="00000000" w:csb0="00000002" w:csb1="00000000"/>
  </w:font>
  <w:font w:name="P.¶ ˛">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29382"/>
      <w:docPartObj>
        <w:docPartGallery w:val="Page Numbers (Bottom of Page)"/>
        <w:docPartUnique/>
      </w:docPartObj>
    </w:sdtPr>
    <w:sdtContent>
      <w:p>
        <w:pPr>
          <w:pStyle w:val="Footer"/>
          <w:jc w:val="right"/>
        </w:pPr>
        <w:r>
          <w:fldChar w:fldCharType="begin"/>
        </w:r>
        <w:r>
          <w:instrText>PAGE   \* MERGEFORMAT</w:instrText>
        </w:r>
        <w:r>
          <w:fldChar w:fldCharType="separate"/>
        </w:r>
        <w:r>
          <w:rPr>
            <w:noProof/>
            <w:lang w:val="de-DE"/>
          </w:rPr>
          <w:t>4</w:t>
        </w:r>
        <w: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P.¶ ˛" w:hAnsi="P.¶ ˛" w:cs="P.¶ ˛"/>
        <w:noProof/>
        <w:sz w:val="28"/>
        <w:szCs w:val="28"/>
        <w:lang w:val="de-DE" w:eastAsia="de-DE"/>
      </w:rPr>
      <w:drawing>
        <wp:anchor distT="0" distB="0" distL="114300" distR="114300" simplePos="0" relativeHeight="251659264" behindDoc="0" locked="0" layoutInCell="1" allowOverlap="1">
          <wp:simplePos x="0" y="0"/>
          <wp:positionH relativeFrom="column">
            <wp:posOffset>-833755</wp:posOffset>
          </wp:positionH>
          <wp:positionV relativeFrom="paragraph">
            <wp:posOffset>-354965</wp:posOffset>
          </wp:positionV>
          <wp:extent cx="2486025" cy="628650"/>
          <wp:effectExtent l="0" t="0" r="9525" b="0"/>
          <wp:wrapSquare wrapText="bothSides"/>
          <wp:docPr id="3" name="Imagine 2" descr="Electric Vehicle Charging Solutions | Drivenergy"/>
          <wp:cNvGraphicFramePr/>
          <a:graphic xmlns:a="http://schemas.openxmlformats.org/drawingml/2006/main">
            <a:graphicData uri="http://schemas.openxmlformats.org/drawingml/2006/picture">
              <pic:pic xmlns:pic="http://schemas.openxmlformats.org/drawingml/2006/picture">
                <pic:nvPicPr>
                  <pic:cNvPr id="16" name="Imagine 15" descr="Electric Vehicle Charging Solutions | Drivenergy"/>
                  <pic:cNvPicPr/>
                </pic:nvPicPr>
                <pic:blipFill>
                  <a:blip r:embed="rId1" cstate="print"/>
                  <a:srcRect/>
                  <a:stretch>
                    <a:fillRect/>
                  </a:stretch>
                </pic:blipFill>
                <pic:spPr bwMode="auto">
                  <a:xfrm>
                    <a:off x="0" y="0"/>
                    <a:ext cx="2486025" cy="62865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75A2A8D4"/>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3E4BD5"/>
    <w:multiLevelType w:val="hybridMultilevel"/>
    <w:tmpl w:val="D1F65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E71678"/>
    <w:multiLevelType w:val="hybridMultilevel"/>
    <w:tmpl w:val="69EE43F4"/>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0CC47319"/>
    <w:multiLevelType w:val="hybridMultilevel"/>
    <w:tmpl w:val="AB42991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4DB417E"/>
    <w:multiLevelType w:val="hybridMultilevel"/>
    <w:tmpl w:val="10B8C250"/>
    <w:lvl w:ilvl="0" w:tplc="FB4092CA">
      <w:start w:val="1"/>
      <w:numFmt w:val="lowerLetter"/>
      <w:lvlText w:val="%1)"/>
      <w:lvlJc w:val="left"/>
      <w:pPr>
        <w:ind w:left="786"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8983C32"/>
    <w:multiLevelType w:val="hybridMultilevel"/>
    <w:tmpl w:val="26F03F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FD7023"/>
    <w:multiLevelType w:val="hybridMultilevel"/>
    <w:tmpl w:val="6C7A10BC"/>
    <w:lvl w:ilvl="0" w:tplc="0809000B">
      <w:start w:val="1"/>
      <w:numFmt w:val="bullet"/>
      <w:lvlText w:val=""/>
      <w:lvlJc w:val="left"/>
      <w:pPr>
        <w:ind w:left="2136" w:hanging="360"/>
      </w:pPr>
      <w:rPr>
        <w:rFonts w:ascii="Wingdings" w:hAnsi="Wingdings"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1" w15:restartNumberingAfterBreak="0">
    <w:nsid w:val="22C529AF"/>
    <w:multiLevelType w:val="multilevel"/>
    <w:tmpl w:val="A21CA552"/>
    <w:lvl w:ilvl="0">
      <w:start w:val="4"/>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9DB60D0"/>
    <w:multiLevelType w:val="hybridMultilevel"/>
    <w:tmpl w:val="9986500A"/>
    <w:lvl w:ilvl="0" w:tplc="AD7E3F52">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3B5B82"/>
    <w:multiLevelType w:val="hybridMultilevel"/>
    <w:tmpl w:val="9850A294"/>
    <w:lvl w:ilvl="0" w:tplc="B28C52E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052EF"/>
    <w:multiLevelType w:val="hybridMultilevel"/>
    <w:tmpl w:val="7162585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D6445F"/>
    <w:multiLevelType w:val="hybridMultilevel"/>
    <w:tmpl w:val="C1685FFE"/>
    <w:lvl w:ilvl="0" w:tplc="10E45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E723B"/>
    <w:multiLevelType w:val="hybridMultilevel"/>
    <w:tmpl w:val="1BB0975A"/>
    <w:lvl w:ilvl="0" w:tplc="9492456C">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0A242E"/>
    <w:multiLevelType w:val="hybridMultilevel"/>
    <w:tmpl w:val="A60EF388"/>
    <w:lvl w:ilvl="0" w:tplc="6868BB1C">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137002"/>
    <w:multiLevelType w:val="hybridMultilevel"/>
    <w:tmpl w:val="A656E1A8"/>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40625CF"/>
    <w:multiLevelType w:val="hybridMultilevel"/>
    <w:tmpl w:val="6B56525C"/>
    <w:lvl w:ilvl="0" w:tplc="AD7E3F52">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5A2D8B"/>
    <w:multiLevelType w:val="hybridMultilevel"/>
    <w:tmpl w:val="1E6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64806"/>
    <w:multiLevelType w:val="hybridMultilevel"/>
    <w:tmpl w:val="B3147F2C"/>
    <w:lvl w:ilvl="0" w:tplc="9A649B2E">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467CE3"/>
    <w:multiLevelType w:val="hybridMultilevel"/>
    <w:tmpl w:val="C130EC0A"/>
    <w:lvl w:ilvl="0" w:tplc="AD7E3F52">
      <w:start w:val="1"/>
      <w:numFmt w:val="bullet"/>
      <w:lvlText w:val="-"/>
      <w:lvlJc w:val="left"/>
      <w:pPr>
        <w:ind w:left="1571" w:hanging="360"/>
      </w:pPr>
      <w:rPr>
        <w:rFonts w:ascii="Times New Roman"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666A3D2B"/>
    <w:multiLevelType w:val="hybridMultilevel"/>
    <w:tmpl w:val="C810B7DE"/>
    <w:lvl w:ilvl="0" w:tplc="AD7E3F5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97868"/>
    <w:multiLevelType w:val="hybridMultilevel"/>
    <w:tmpl w:val="F9A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D52E9"/>
    <w:multiLevelType w:val="hybridMultilevel"/>
    <w:tmpl w:val="E3B8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9"/>
  </w:num>
  <w:num w:numId="4">
    <w:abstractNumId w:val="23"/>
  </w:num>
  <w:num w:numId="5">
    <w:abstractNumId w:val="5"/>
  </w:num>
  <w:num w:numId="6">
    <w:abstractNumId w:val="0"/>
  </w:num>
  <w:num w:numId="7">
    <w:abstractNumId w:val="1"/>
  </w:num>
  <w:num w:numId="8">
    <w:abstractNumId w:val="2"/>
  </w:num>
  <w:num w:numId="9">
    <w:abstractNumId w:val="22"/>
  </w:num>
  <w:num w:numId="10">
    <w:abstractNumId w:val="13"/>
  </w:num>
  <w:num w:numId="11">
    <w:abstractNumId w:val="18"/>
  </w:num>
  <w:num w:numId="12">
    <w:abstractNumId w:val="24"/>
  </w:num>
  <w:num w:numId="13">
    <w:abstractNumId w:val="20"/>
  </w:num>
  <w:num w:numId="14">
    <w:abstractNumId w:val="6"/>
  </w:num>
  <w:num w:numId="15">
    <w:abstractNumId w:val="3"/>
  </w:num>
  <w:num w:numId="16">
    <w:abstractNumId w:val="4"/>
  </w:num>
  <w:num w:numId="17">
    <w:abstractNumId w:val="14"/>
  </w:num>
  <w:num w:numId="18">
    <w:abstractNumId w:val="9"/>
  </w:num>
  <w:num w:numId="19">
    <w:abstractNumId w:val="16"/>
  </w:num>
  <w:num w:numId="20">
    <w:abstractNumId w:val="7"/>
  </w:num>
  <w:num w:numId="21">
    <w:abstractNumId w:val="21"/>
  </w:num>
  <w:num w:numId="22">
    <w:abstractNumId w:val="11"/>
  </w:num>
  <w:num w:numId="23">
    <w:abstractNumId w:val="25"/>
  </w:num>
  <w:num w:numId="24">
    <w:abstractNumId w:val="15"/>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6365B-29FE-421C-8B0B-240FDEB9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cs="Arial"/>
      <w:sz w:val="20"/>
      <w:szCs w:val="20"/>
      <w:lang w:val="en-GB" w:eastAsia="en-GB"/>
    </w:rPr>
  </w:style>
  <w:style w:type="paragraph" w:styleId="Heading1">
    <w:name w:val="heading 1"/>
    <w:basedOn w:val="Normal"/>
    <w:next w:val="Normal"/>
    <w:link w:val="Heading1Char"/>
    <w:uiPriority w:val="9"/>
    <w:qFormat/>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Times New Roman" w:hAnsi="Calibri Light" w:cs="Times New Roman"/>
      <w:b/>
      <w:bCs/>
      <w:kern w:val="32"/>
      <w:sz w:val="32"/>
      <w:szCs w:val="32"/>
      <w:lang w:val="en-GB" w:eastAsia="en-GB"/>
    </w:rPr>
  </w:style>
  <w:style w:type="character" w:customStyle="1" w:styleId="Heading2Char">
    <w:name w:val="Heading 2 Char"/>
    <w:basedOn w:val="DefaultParagraphFont"/>
    <w:link w:val="Heading2"/>
    <w:uiPriority w:val="9"/>
    <w:rPr>
      <w:rFonts w:ascii="Calibri Light" w:eastAsia="Times New Roman" w:hAnsi="Calibri Light" w:cs="Times New Roman"/>
      <w:b/>
      <w:bCs/>
      <w:i/>
      <w:iCs/>
      <w:sz w:val="28"/>
      <w:szCs w:val="28"/>
      <w:lang w:val="en-GB" w:eastAsia="en-GB"/>
    </w:rPr>
  </w:style>
  <w:style w:type="paragraph" w:styleId="ListParagraph">
    <w:name w:val="List Paragraph"/>
    <w:basedOn w:val="Normal"/>
    <w:uiPriority w:val="34"/>
    <w:qFormat/>
    <w:pPr>
      <w:ind w:left="720"/>
    </w:pPr>
  </w:style>
  <w:style w:type="character" w:styleId="Hyperlink">
    <w:name w:val="Hyperlink"/>
    <w:uiPriority w:val="99"/>
    <w:unhideWhenUsed/>
    <w:rPr>
      <w:color w:val="0563C1"/>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Arial"/>
      <w:sz w:val="20"/>
      <w:szCs w:val="20"/>
      <w:lang w:val="en-GB"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Arial"/>
      <w:sz w:val="20"/>
      <w:szCs w:val="20"/>
      <w:lang w:val="en-GB"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eastAsia="en-GB"/>
    </w:rPr>
  </w:style>
  <w:style w:type="paragraph" w:styleId="TOCHeading">
    <w:name w:val="TOC Heading"/>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2">
    <w:name w:val="toc 2"/>
    <w:basedOn w:val="Normal"/>
    <w:next w:val="Normal"/>
    <w:autoRedefine/>
    <w:uiPriority w:val="39"/>
    <w:unhideWhenUsed/>
    <w:pPr>
      <w:spacing w:after="100" w:line="259" w:lineRule="auto"/>
      <w:ind w:left="220"/>
    </w:pPr>
    <w:rPr>
      <w:rFonts w:asciiTheme="minorHAnsi" w:eastAsiaTheme="minorEastAsia" w:hAnsiTheme="minorHAnsi" w:cs="Times New Roman"/>
      <w:sz w:val="22"/>
      <w:szCs w:val="22"/>
      <w:lang w:val="en-US" w:eastAsia="en-US"/>
    </w:rPr>
  </w:style>
  <w:style w:type="paragraph" w:styleId="TOC1">
    <w:name w:val="toc 1"/>
    <w:basedOn w:val="Normal"/>
    <w:next w:val="Normal"/>
    <w:autoRedefine/>
    <w:uiPriority w:val="39"/>
    <w:unhideWhenUsed/>
    <w:pPr>
      <w:spacing w:after="100" w:line="259" w:lineRule="auto"/>
    </w:pPr>
    <w:rPr>
      <w:rFonts w:asciiTheme="minorHAnsi" w:eastAsiaTheme="minorEastAsia" w:hAnsiTheme="minorHAnsi" w:cs="Times New Roman"/>
      <w:sz w:val="22"/>
      <w:szCs w:val="22"/>
      <w:lang w:val="en-US" w:eastAsia="en-US"/>
    </w:rPr>
  </w:style>
  <w:style w:type="paragraph" w:styleId="TOC3">
    <w:name w:val="toc 3"/>
    <w:basedOn w:val="Normal"/>
    <w:next w:val="Normal"/>
    <w:autoRedefine/>
    <w:uiPriority w:val="39"/>
    <w:unhideWhenUsed/>
    <w:pPr>
      <w:spacing w:after="100" w:line="259" w:lineRule="auto"/>
      <w:ind w:left="440"/>
    </w:pPr>
    <w:rPr>
      <w:rFonts w:asciiTheme="minorHAnsi" w:eastAsiaTheme="minorEastAsia" w:hAnsiTheme="minorHAnsi" w:cs="Times New Roman"/>
      <w:sz w:val="22"/>
      <w:szCs w:val="22"/>
      <w:lang w:val="en-US" w:eastAsia="en-U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420">
      <w:bodyDiv w:val="1"/>
      <w:marLeft w:val="0"/>
      <w:marRight w:val="0"/>
      <w:marTop w:val="0"/>
      <w:marBottom w:val="0"/>
      <w:divBdr>
        <w:top w:val="none" w:sz="0" w:space="0" w:color="auto"/>
        <w:left w:val="none" w:sz="0" w:space="0" w:color="auto"/>
        <w:bottom w:val="none" w:sz="0" w:space="0" w:color="auto"/>
        <w:right w:val="none" w:sz="0" w:space="0" w:color="auto"/>
      </w:divBdr>
    </w:div>
    <w:div w:id="384110124">
      <w:bodyDiv w:val="1"/>
      <w:marLeft w:val="0"/>
      <w:marRight w:val="0"/>
      <w:marTop w:val="0"/>
      <w:marBottom w:val="0"/>
      <w:divBdr>
        <w:top w:val="none" w:sz="0" w:space="0" w:color="auto"/>
        <w:left w:val="none" w:sz="0" w:space="0" w:color="auto"/>
        <w:bottom w:val="none" w:sz="0" w:space="0" w:color="auto"/>
        <w:right w:val="none" w:sz="0" w:space="0" w:color="auto"/>
      </w:divBdr>
    </w:div>
    <w:div w:id="626283404">
      <w:bodyDiv w:val="1"/>
      <w:marLeft w:val="0"/>
      <w:marRight w:val="0"/>
      <w:marTop w:val="0"/>
      <w:marBottom w:val="0"/>
      <w:divBdr>
        <w:top w:val="none" w:sz="0" w:space="0" w:color="auto"/>
        <w:left w:val="none" w:sz="0" w:space="0" w:color="auto"/>
        <w:bottom w:val="none" w:sz="0" w:space="0" w:color="auto"/>
        <w:right w:val="none" w:sz="0" w:space="0" w:color="auto"/>
      </w:divBdr>
    </w:div>
    <w:div w:id="1020593542">
      <w:bodyDiv w:val="1"/>
      <w:marLeft w:val="0"/>
      <w:marRight w:val="0"/>
      <w:marTop w:val="0"/>
      <w:marBottom w:val="0"/>
      <w:divBdr>
        <w:top w:val="none" w:sz="0" w:space="0" w:color="auto"/>
        <w:left w:val="none" w:sz="0" w:space="0" w:color="auto"/>
        <w:bottom w:val="none" w:sz="0" w:space="0" w:color="auto"/>
        <w:right w:val="none" w:sz="0" w:space="0" w:color="auto"/>
      </w:divBdr>
    </w:div>
    <w:div w:id="1114135095">
      <w:bodyDiv w:val="1"/>
      <w:marLeft w:val="0"/>
      <w:marRight w:val="0"/>
      <w:marTop w:val="0"/>
      <w:marBottom w:val="0"/>
      <w:divBdr>
        <w:top w:val="none" w:sz="0" w:space="0" w:color="auto"/>
        <w:left w:val="none" w:sz="0" w:space="0" w:color="auto"/>
        <w:bottom w:val="none" w:sz="0" w:space="0" w:color="auto"/>
        <w:right w:val="none" w:sz="0" w:space="0" w:color="auto"/>
      </w:divBdr>
    </w:div>
    <w:div w:id="17243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anton@menneke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291E2-E17C-4A27-9466-AC63BDAF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2226</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Eugen</dc:creator>
  <cp:keywords/>
  <dc:description/>
  <cp:lastModifiedBy>Anton, Eugen</cp:lastModifiedBy>
  <cp:revision>2</cp:revision>
  <cp:lastPrinted>2021-04-27T12:01:00Z</cp:lastPrinted>
  <dcterms:created xsi:type="dcterms:W3CDTF">2024-02-29T08:16:00Z</dcterms:created>
  <dcterms:modified xsi:type="dcterms:W3CDTF">2024-02-29T08:16:00Z</dcterms:modified>
</cp:coreProperties>
</file>