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47" w:rsidRDefault="00A61647" w:rsidP="00820419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</w:pPr>
      <w:bookmarkStart w:id="0" w:name="_GoBack"/>
      <w:bookmarkEnd w:id="0"/>
      <w:r w:rsidRPr="00A61647"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  <w:t xml:space="preserve">S.C. WOOD &amp; FISH S.R.L. Vânători Neamț                                                                                                            </w:t>
      </w:r>
    </w:p>
    <w:p w:rsidR="00A61647" w:rsidRDefault="00A61647" w:rsidP="00820419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</w:pPr>
      <w:r w:rsidRPr="00A61647"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  <w:t xml:space="preserve">str. Ștefan cel Mare, nr.14, Sat Vânatori Neamț, com. Vânători Neamț,  județul Neamţ </w:t>
      </w:r>
    </w:p>
    <w:p w:rsidR="009F0839" w:rsidRDefault="00A64064" w:rsidP="00820419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</w:pPr>
      <w:r w:rsidRPr="00D952BE"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  <w:t xml:space="preserve">Nr </w:t>
      </w:r>
      <w:r w:rsidR="00A61647" w:rsidRPr="00A61647"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  <w:t>J27/435/2015</w:t>
      </w:r>
    </w:p>
    <w:p w:rsidR="00A61647" w:rsidRDefault="00A64064" w:rsidP="00A61647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</w:pPr>
      <w:r w:rsidRPr="00D952BE"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  <w:t xml:space="preserve">Cod  de inregistrare fiscala:  </w:t>
      </w:r>
      <w:r w:rsidR="00A61647" w:rsidRPr="00A61647"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  <w:t>RO 34768977</w:t>
      </w:r>
    </w:p>
    <w:p w:rsidR="00A64064" w:rsidRPr="00D952BE" w:rsidRDefault="00A64064" w:rsidP="00A61647">
      <w:pPr>
        <w:pBdr>
          <w:bottom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</w:pPr>
      <w:r w:rsidRPr="00D952BE"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  <w:t>Telefon:</w:t>
      </w:r>
      <w:r w:rsidR="009F0839"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  <w:t xml:space="preserve"> </w:t>
      </w:r>
      <w:r w:rsidR="00A61647" w:rsidRPr="00A61647">
        <w:rPr>
          <w:rFonts w:ascii="Times New Roman" w:eastAsia="Times New Roman" w:hAnsi="Times New Roman" w:cs="Times New Roman"/>
          <w:b/>
          <w:i/>
          <w:sz w:val="16"/>
          <w:szCs w:val="16"/>
          <w:lang w:val="ro-RO"/>
        </w:rPr>
        <w:t>0761619546</w:t>
      </w:r>
    </w:p>
    <w:p w:rsidR="00AA42DC" w:rsidRPr="00D952BE" w:rsidRDefault="00AA42DC" w:rsidP="0082041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41831" w:rsidRDefault="000C3275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52BE">
        <w:rPr>
          <w:rFonts w:ascii="Times New Roman" w:hAnsi="Times New Roman" w:cs="Times New Roman"/>
          <w:b/>
          <w:sz w:val="24"/>
          <w:szCs w:val="24"/>
          <w:lang w:val="ro-RO"/>
        </w:rPr>
        <w:t>CĂ</w:t>
      </w:r>
      <w:r w:rsidR="007273E7" w:rsidRPr="00D952BE">
        <w:rPr>
          <w:rFonts w:ascii="Times New Roman" w:hAnsi="Times New Roman" w:cs="Times New Roman"/>
          <w:b/>
          <w:sz w:val="24"/>
          <w:szCs w:val="24"/>
          <w:lang w:val="ro-RO"/>
        </w:rPr>
        <w:t>TRE,</w:t>
      </w:r>
    </w:p>
    <w:p w:rsidR="00820419" w:rsidRPr="00D952BE" w:rsidRDefault="00820419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C3275" w:rsidRDefault="000C3275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52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AGENȚA PENTRU PROTECȚA MEDIULUI </w:t>
      </w:r>
      <w:r w:rsidR="00820419">
        <w:rPr>
          <w:rFonts w:ascii="Times New Roman" w:hAnsi="Times New Roman" w:cs="Times New Roman"/>
          <w:b/>
          <w:sz w:val="24"/>
          <w:szCs w:val="24"/>
          <w:lang w:val="ro-RO"/>
        </w:rPr>
        <w:t>NEAMȚ</w:t>
      </w:r>
    </w:p>
    <w:p w:rsidR="00820419" w:rsidRPr="00D952BE" w:rsidRDefault="00820419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20419" w:rsidRPr="00A61647" w:rsidRDefault="00820419" w:rsidP="00A61647">
      <w:pPr>
        <w:pStyle w:val="NoSpacing"/>
        <w:spacing w:line="276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Vă transmitem prin prezenta </w:t>
      </w:r>
      <w:r w:rsidRPr="00A61647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propunerile privind aspectele relevante pentru protecția mediului care trebuie dezvoltate în raportul privind impactul asupra mediului și studiu de evaluare adecvată, în funcție de natura, dimensiunea și localizarea </w:t>
      </w:r>
      <w:r w:rsidRPr="00A6164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 xml:space="preserve">proiectului </w:t>
      </w:r>
      <w:r w:rsidR="00BB1AD3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 xml:space="preserve">EXTINDERE IAZ AGREMENT </w:t>
      </w:r>
      <w:r w:rsidR="00A61647" w:rsidRPr="00A6164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 xml:space="preserve"> CU VALORIFICAREA MATERIALULUI EXCAVAT</w:t>
      </w:r>
      <w:r w:rsidR="00857B04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 xml:space="preserve"> propus a fi amplasat în</w:t>
      </w:r>
      <w:r w:rsidR="00A61647" w:rsidRPr="00A6164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 xml:space="preserve"> </w:t>
      </w:r>
      <w:r w:rsidR="00857B04" w:rsidRPr="00A61647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>Comuna Drăgănești, Județul Neamț</w:t>
      </w:r>
      <w:r w:rsidRPr="00A616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titular </w:t>
      </w:r>
      <w:r w:rsidR="00A61647" w:rsidRPr="00A616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S.C. WOOD &amp; FISH S.R.L. Vânători Neamț.    </w:t>
      </w:r>
    </w:p>
    <w:p w:rsidR="00820419" w:rsidRPr="00820419" w:rsidRDefault="00820419" w:rsidP="00820419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82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Raportul privind impactul asupra mediului va analiza şi descrie în detaliu următoarele aspecte, pentru fiecare etapă de realizare:</w:t>
      </w:r>
    </w:p>
    <w:p w:rsidR="00820419" w:rsidRPr="00DD460E" w:rsidRDefault="00820419" w:rsidP="00820419">
      <w:pPr>
        <w:numPr>
          <w:ilvl w:val="0"/>
          <w:numId w:val="6"/>
        </w:numPr>
        <w:tabs>
          <w:tab w:val="left" w:pos="739"/>
        </w:tabs>
        <w:autoSpaceDE w:val="0"/>
        <w:autoSpaceDN w:val="0"/>
        <w:adjustRightInd w:val="0"/>
        <w:spacing w:before="120" w:after="0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Modul de încadrare a</w:t>
      </w:r>
      <w:r w:rsidR="003C7EB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proiectului în planul de amenajare a teritoriului: suprafeţe, folosinţa actuală şi planificată a terenului aferent proiectului, folosinţa actuală a terenurilor învecinate, distanţele faţă de zonele locuite, relaţia proiectului cu alte proiecte/activităţi existente,</w:t>
      </w:r>
      <w:r w:rsidRPr="00DD46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o-RO"/>
        </w:rPr>
        <w:t xml:space="preserve">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sau propuse în zonă; alte activităţi sau proiecte care pot apărea ca urmare a implementării proiectului propus; identificarea arealelor posibil afectate de proiect având în vedere folosinţa actuală a terenului;  rute noi dacă este cazul (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căi noi de  acces sau schimbări ale celor existente)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s.a.;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Descrierea proiectului: date referitoare la amplasament, mărimea proiectului, etc.;</w:t>
      </w:r>
      <w:r w:rsidRPr="00DD4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estimarea pe tipuri şi cantităţi a deşeurilor rezultate din realizarea proiectului şi a emisiilor rezultate (poluare în apă, aer  şi sol, zgomot şi vibraţii etc.);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Prezentarea impactului proiectului asupra factorilor de mediu pentru </w:t>
      </w:r>
      <w:r w:rsidR="003C7EB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perioadele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de </w:t>
      </w:r>
      <w:r w:rsidR="003C7EB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construcție, funcționare 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și </w:t>
      </w:r>
      <w:r w:rsidR="003C7EB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refacere a amplasamentului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se va face prin identificarea şi caracterizarea surselor de poluanţi pentru fiecare factor de mediu cu stabilirea măsurilor de evitare, reducere sau ameliorare a impactului produs pentru realizarea/funcţionarea proiectului pe componente de mediu:</w:t>
      </w:r>
    </w:p>
    <w:p w:rsidR="00820419" w:rsidRPr="00DD460E" w:rsidRDefault="00820419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apă: se vor preciza  măsurile şi dotările de protecţie pentru a nu afecta calitatea apelor de suprafaţă şi nici pe cele subterane; </w:t>
      </w:r>
    </w:p>
    <w:p w:rsidR="00820419" w:rsidRPr="00DD460E" w:rsidRDefault="00820419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sol: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lucrările şi dotările pentru protecţia solului şi a subsolului, etc.;  </w:t>
      </w:r>
    </w:p>
    <w:p w:rsidR="00820419" w:rsidRPr="00DD460E" w:rsidRDefault="00820419" w:rsidP="00820419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asupra factorului de mediu aer: nivelul de poluare a</w:t>
      </w:r>
      <w:r w:rsidR="009F0839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aerului </w:t>
      </w:r>
      <w:r w:rsidR="00F76963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ambiental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în zona de construire/funcţionare a proiectului; impactul datorat intensificării traficului în timpul lucrărilor de </w:t>
      </w:r>
      <w:r w:rsidR="004C3D1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extindere</w:t>
      </w:r>
      <w:r w:rsidR="00A6164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 cuvetei iazului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; calitatea aerului la nivel local inclusiv schimbări climatice şi diminuarea stratului de ozon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</w:p>
    <w:p w:rsidR="00820419" w:rsidRPr="00DD460E" w:rsidRDefault="00820419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asupra factorului de mediu zgomot şi vibraţii: sursele de zgomot şi vibraţii; amenajările şi dotările pentru protecţia împotriva  zgomotului şi vibraţiilor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la instalaţii utilizate, cât şi datorită intensificării traficului;</w:t>
      </w:r>
    </w:p>
    <w:p w:rsidR="00820419" w:rsidRPr="00DD460E" w:rsidRDefault="00A61647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modul în care </w:t>
      </w:r>
      <w:r w:rsidR="00820419" w:rsidRPr="00DD460E">
        <w:rPr>
          <w:rFonts w:ascii="Times New Roman" w:hAnsi="Times New Roman" w:cs="Times New Roman"/>
          <w:color w:val="000000"/>
          <w:sz w:val="24"/>
          <w:szCs w:val="24"/>
          <w:lang w:val="ro-RO"/>
        </w:rPr>
        <w:t>proiectul ar putea să afecteze resursele  la nivel local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</w:p>
    <w:p w:rsidR="00820419" w:rsidRPr="00DD460E" w:rsidRDefault="00820419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impactul proiectului asupra biodiversității: tipuri de impact, perioadele de manifest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rea a impactului, durata, e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timarea intensității impactului asupra obiectivelor de conservare ale ariei naturale protejate ROSCI036</w:t>
      </w:r>
      <w:r w:rsidR="00A61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3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Râul Moldova între </w:t>
      </w:r>
      <w:r w:rsidR="00A61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Oniceni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și </w:t>
      </w:r>
      <w:r w:rsidR="00A61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Mitești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măsuri de reducere a impactului; 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lastRenderedPageBreak/>
        <w:t>Gestionarea deşeurilor generate: prezentarea tuturor tipurilor şi cantităţilor de deşeuri generate pe amplasament şi modul de gospodărire a acestora;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Descrierea măsurilor/dotărilor de prevenire şi combatere a poluărilor accidentale şi de prevenire şi stingerea incendiilor;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Evaluarea situaţiilor de risc (catastrofe naturale, accidente tehnice majore, etc.) şi măsurile ce vor fi adoptate pentru prevenirea si reducerea consecinţelor acestor situații;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Condiţii care trebuie respectate în timpul realizării proiectului, în timpul exploatării şi în timpul închiderii, dezafectării, refacerii mediului şi postînchidere.</w:t>
      </w:r>
    </w:p>
    <w:p w:rsidR="00DB0B10" w:rsidRDefault="00DB0B10" w:rsidP="0082041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0C3275" w:rsidRPr="00DB0B10" w:rsidRDefault="00D952BE" w:rsidP="0082041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DB0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Studiul de Evaluare Adecvată</w:t>
      </w:r>
      <w:r w:rsidR="000C3275" w:rsidRPr="00DB0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va analiza şi descrie în detaliu următoarele aspecte:</w:t>
      </w:r>
    </w:p>
    <w:p w:rsidR="000C3275" w:rsidRPr="00D952BE" w:rsidRDefault="00D952BE" w:rsidP="00820419">
      <w:pPr>
        <w:numPr>
          <w:ilvl w:val="0"/>
          <w:numId w:val="10"/>
        </w:numPr>
        <w:tabs>
          <w:tab w:val="left" w:pos="739"/>
        </w:tabs>
        <w:autoSpaceDE w:val="0"/>
        <w:autoSpaceDN w:val="0"/>
        <w:adjustRightInd w:val="0"/>
        <w:spacing w:before="120" w:after="0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Amplasamentul proiectului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: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suprafețe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,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folosința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actuală şi planificată a terenului aferent proiectului, folosinţa actuală a terenurilor învecinate,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relația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proiectului cu alte proiecte/activităţi existente,</w:t>
      </w:r>
      <w:r w:rsidR="000C3275" w:rsidRPr="00D952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o-RO"/>
        </w:rPr>
        <w:t xml:space="preserve"> 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sau propuse în zonă; alte activităţi sau proiecte care pot apărea ca urmare a implementării proiectului propus; identificarea arealelor posibil afectate de proiect având în vedere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folosința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actuală a terenului;  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căi noi de  acces sau schimbări ale celor existente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;</w:t>
      </w:r>
    </w:p>
    <w:p w:rsidR="000C3275" w:rsidRPr="00D952BE" w:rsidRDefault="000C3275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Descrierea proiectului: date referitoare la mărimea proiectului, 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flux tehnologic;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servicii suplimentare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generate de implementarea proiectului;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durata etapelor proiectului; modificări fizice care rezultă din implementarea proiectului; resurse naturale care vor fi utilizate; justificarea implementării proiectului;</w:t>
      </w:r>
    </w:p>
    <w:p w:rsidR="000C3275" w:rsidRPr="00D952BE" w:rsidRDefault="000C3275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Prezentarea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misii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lor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şi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deșeurilor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generate de proiect şi modalitatea de eliminare a acestora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pentru perioada de </w:t>
      </w:r>
      <w:r w:rsidR="004C3D1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extindere</w:t>
      </w:r>
      <w:r w:rsid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 cuvetei iazului și în timpul funcționării amenajării piscicole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se va face prin identificarea şi caracterizarea surselor de poluanţi pentru fiecare factor de mediu cu stabilirea măsurilor de evitare, reducere sau ameliorare a impactului produs pentru realizarea/funcţionarea proiectului pe componente de mediu:</w:t>
      </w:r>
    </w:p>
    <w:p w:rsidR="000C3275" w:rsidRPr="00D952BE" w:rsidRDefault="000C3275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apă: se vor preciza  măsurile şi dotările de protecţie pentru a nu afecta calitatea apelor de suprafaţă şi subterane; </w:t>
      </w:r>
    </w:p>
    <w:p w:rsidR="000C3275" w:rsidRPr="00D952BE" w:rsidRDefault="000C3275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sol: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lucrările şi dotările pentru protecţia solului şi a subsolului, etc.;  </w:t>
      </w:r>
    </w:p>
    <w:p w:rsidR="000C3275" w:rsidRPr="00D952BE" w:rsidRDefault="000C3275" w:rsidP="00820419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asupra factorului de mediu aer: nivelul de poluare a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aerului </w:t>
      </w:r>
      <w:r w:rsidR="009F0839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ambiental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în zona de construire/funcţionare a proiectului; impactul datorat intensificării traficului în timpul lucrărilor de </w:t>
      </w:r>
      <w:r w:rsid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realizare a cuvtei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; calitatea aerului la nivel local inclusiv schimbări climatice şi diminuarea stratului de ozon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</w:p>
    <w:p w:rsidR="000C3275" w:rsidRDefault="000C3275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asupra factorului de mediu zgomot şi vibraţii: sursele de zgomot şi vibraţii; amenajările şi dotările pentru protecţia împotriva zgomotului şi vibraţiilor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la instalaţii utilizate, cât şi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din cauza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intensificării traficului;</w:t>
      </w:r>
    </w:p>
    <w:p w:rsidR="00D952BE" w:rsidRPr="00D952BE" w:rsidRDefault="00D952BE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estionarea deşeurilor generate: prezentarea tuturor tipurilor şi cantităţilor de deşeuri generate pe amplasament şi </w:t>
      </w:r>
      <w:r w:rsid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modul de gospodărire a acestora.</w:t>
      </w:r>
    </w:p>
    <w:p w:rsidR="00D952BE" w:rsidRPr="00E123E9" w:rsidRDefault="00E123E9" w:rsidP="0011106B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>Informaţii privind aria naturală protejată de interes comunitar afectată de implementarea proiectului propus:</w:t>
      </w:r>
      <w:r w:rsidRPr="00E123E9">
        <w:rPr>
          <w:rStyle w:val="Hyperlink"/>
          <w:rFonts w:ascii="Times New Roman" w:hAnsi="Times New Roman"/>
          <w:noProof/>
          <w:sz w:val="24"/>
          <w:szCs w:val="24"/>
          <w:u w:val="none"/>
          <w:lang w:val="ro-RO" w:eastAsia="zh-CN"/>
        </w:rPr>
        <w:t xml:space="preserve"> 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 w:eastAsia="zh-CN"/>
        </w:rPr>
        <w:t xml:space="preserve">descrierea 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</w:t>
      </w:r>
      <w:r w:rsid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3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Râul Moldova între </w:t>
      </w:r>
      <w:r w:rsid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Oniceni</w:t>
      </w:r>
      <w:r w:rsidR="00820419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și </w:t>
      </w:r>
      <w:r w:rsid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Mitești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 w:eastAsia="zh-CN"/>
        </w:rPr>
        <w:t>, obiectivele, statutul de conservare al speciilor de interes comunitar, structura şi dinamica populaţiilor de specii posibil a fi afectate de implementarea proiectului;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 date despre prezenţa, localizarea, populaţia şi ecologia speciilor prezente pe suprafaţa şi în imediata vecinătate a proiectului, menţionate în formularul standard al Sitului Natura 2000 </w:t>
      </w:r>
      <w:r w:rsidR="0011106B" w:rsidRP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ROSCI0363 Râul Moldova între Oniceni și Mitești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; relațiile structurale și funcționale care creează și mențin integritatea </w:t>
      </w:r>
      <w:r w:rsidR="0011106B" w:rsidRP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ROSCI0363 Râul Moldova între Oniceni și Mitești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; 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lastRenderedPageBreak/>
        <w:t xml:space="preserve">descrierea stării de conservare a </w:t>
      </w:r>
      <w:r w:rsidR="0011106B" w:rsidRP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ROSCI0363 Râul Moldova între Oniceni și Mitești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; relația cu </w:t>
      </w:r>
      <w:r w:rsidR="0011106B" w:rsidRP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ROSCI0363 Râul Moldova între Oniceni și Mitești</w:t>
      </w:r>
      <w:r w:rsidR="0011106B" w:rsidRPr="0011106B"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ro-RO"/>
        </w:rPr>
        <w:t xml:space="preserve"> 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>cu ariile nturale învecinate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lang w:val="ro-RO"/>
        </w:rPr>
        <w:t>.</w:t>
      </w:r>
    </w:p>
    <w:p w:rsidR="00E123E9" w:rsidRDefault="00E123E9" w:rsidP="0011106B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123E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Evaluarea categoriilor de impact estimate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 care</w:t>
      </w:r>
      <w:r w:rsidRPr="00E123E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proiectul analizat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îl are asupra obiectivelor de conservare a </w:t>
      </w:r>
      <w:r w:rsidR="0011106B" w:rsidRPr="001110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ROSCI0363 Râul Moldova între Oniceni și Mitești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respectiv impactul direct, indirect, pe termen scurt, pe termen lung, a impactului cumulativ, pentru faza de construcție, operare și dezafectare; evaluarea impactului fără a lua în considerare măsurile de reducere a impactului, evaluarea impactului rezidual;</w:t>
      </w:r>
    </w:p>
    <w:p w:rsid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Măsurile de reducere a impactului.</w:t>
      </w:r>
    </w:p>
    <w:p w:rsid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Prezentarea alternativelor analizate. </w:t>
      </w:r>
    </w:p>
    <w:p w:rsidR="008F52C2" w:rsidRDefault="008F52C2" w:rsidP="00820419">
      <w:pPr>
        <w:widowControl w:val="0"/>
        <w:spacing w:after="0"/>
        <w:ind w:right="1190" w:firstLine="720"/>
        <w:jc w:val="center"/>
        <w:rPr>
          <w:rFonts w:ascii="Times New Roman" w:hAnsi="Times New Roman" w:cs="Times New Roman"/>
          <w:lang w:val="ro-RO"/>
        </w:rPr>
      </w:pPr>
    </w:p>
    <w:p w:rsidR="008F52C2" w:rsidRDefault="008F52C2" w:rsidP="00820419">
      <w:pPr>
        <w:widowControl w:val="0"/>
        <w:spacing w:after="0"/>
        <w:ind w:right="1190" w:firstLine="720"/>
        <w:jc w:val="center"/>
        <w:rPr>
          <w:rFonts w:ascii="Times New Roman" w:hAnsi="Times New Roman" w:cs="Times New Roman"/>
          <w:lang w:val="ro-RO"/>
        </w:rPr>
      </w:pPr>
    </w:p>
    <w:p w:rsidR="008F52C2" w:rsidRDefault="008F52C2" w:rsidP="00820419">
      <w:pPr>
        <w:widowControl w:val="0"/>
        <w:spacing w:after="0"/>
        <w:ind w:right="1190" w:firstLine="720"/>
        <w:jc w:val="center"/>
        <w:rPr>
          <w:rFonts w:ascii="Times New Roman" w:hAnsi="Times New Roman" w:cs="Times New Roman"/>
          <w:lang w:val="ro-RO"/>
        </w:rPr>
      </w:pPr>
    </w:p>
    <w:p w:rsidR="00820419" w:rsidRPr="00820419" w:rsidRDefault="00820419" w:rsidP="008F52C2">
      <w:pPr>
        <w:pStyle w:val="Header"/>
        <w:tabs>
          <w:tab w:val="left" w:pos="1134"/>
        </w:tabs>
        <w:spacing w:line="276" w:lineRule="auto"/>
        <w:ind w:left="426" w:firstLine="1275"/>
        <w:rPr>
          <w:rFonts w:ascii="Times New Roman" w:hAnsi="Times New Roman" w:cs="Times New Roman"/>
          <w:b/>
          <w:sz w:val="24"/>
          <w:szCs w:val="24"/>
        </w:rPr>
      </w:pPr>
    </w:p>
    <w:p w:rsidR="008F52C2" w:rsidRDefault="008F52C2" w:rsidP="008F52C2">
      <w:pPr>
        <w:widowControl w:val="0"/>
        <w:tabs>
          <w:tab w:val="left" w:pos="1134"/>
        </w:tabs>
        <w:spacing w:after="0"/>
        <w:ind w:right="1190" w:firstLine="127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1505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Cu deosebită considerație,</w:t>
      </w:r>
    </w:p>
    <w:p w:rsidR="008F52C2" w:rsidRDefault="009F0839" w:rsidP="008F52C2">
      <w:pPr>
        <w:widowControl w:val="0"/>
        <w:tabs>
          <w:tab w:val="left" w:pos="1134"/>
        </w:tabs>
        <w:spacing w:after="0"/>
        <w:ind w:right="1190" w:firstLine="127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Zaharia Lăcrămioara Gabriela</w:t>
      </w:r>
    </w:p>
    <w:p w:rsidR="009F0839" w:rsidRDefault="009F0839" w:rsidP="008F52C2">
      <w:pPr>
        <w:widowControl w:val="0"/>
        <w:tabs>
          <w:tab w:val="left" w:pos="1134"/>
        </w:tabs>
        <w:spacing w:after="0"/>
        <w:ind w:right="1190" w:firstLine="127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Elaborator studii protecția mediului</w:t>
      </w:r>
    </w:p>
    <w:p w:rsidR="008F52C2" w:rsidRPr="00D1505F" w:rsidRDefault="008F52C2" w:rsidP="008F52C2">
      <w:pPr>
        <w:widowControl w:val="0"/>
        <w:tabs>
          <w:tab w:val="left" w:pos="1134"/>
        </w:tabs>
        <w:spacing w:after="0"/>
        <w:ind w:right="1190" w:firstLine="127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92CB0" w:rsidRPr="00D952BE" w:rsidRDefault="00A92CB0" w:rsidP="008F52C2">
      <w:pPr>
        <w:tabs>
          <w:tab w:val="left" w:pos="1134"/>
        </w:tabs>
        <w:ind w:firstLine="127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sectPr w:rsidR="00A92CB0" w:rsidRPr="00D952BE" w:rsidSect="00CD55B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C80"/>
    <w:multiLevelType w:val="hybridMultilevel"/>
    <w:tmpl w:val="EA8A45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1F26"/>
    <w:multiLevelType w:val="hybridMultilevel"/>
    <w:tmpl w:val="3B8CB9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1C67A12"/>
    <w:multiLevelType w:val="hybridMultilevel"/>
    <w:tmpl w:val="7F8E009A"/>
    <w:lvl w:ilvl="0" w:tplc="D352B2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24E8F"/>
    <w:multiLevelType w:val="hybridMultilevel"/>
    <w:tmpl w:val="2EFCC502"/>
    <w:lvl w:ilvl="0" w:tplc="BE4AA5A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802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0CA7F3B"/>
    <w:multiLevelType w:val="hybridMultilevel"/>
    <w:tmpl w:val="B4745054"/>
    <w:lvl w:ilvl="0" w:tplc="BE4AA5A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264A49"/>
    <w:multiLevelType w:val="hybridMultilevel"/>
    <w:tmpl w:val="1FD0DBC6"/>
    <w:lvl w:ilvl="0" w:tplc="BE4AA5A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A1D40"/>
    <w:multiLevelType w:val="hybridMultilevel"/>
    <w:tmpl w:val="2AE0263C"/>
    <w:lvl w:ilvl="0" w:tplc="93EE8A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8E09AA"/>
    <w:multiLevelType w:val="hybridMultilevel"/>
    <w:tmpl w:val="EA8A45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D05AF"/>
    <w:multiLevelType w:val="hybridMultilevel"/>
    <w:tmpl w:val="521ED220"/>
    <w:lvl w:ilvl="0" w:tplc="BE4AA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D"/>
    <w:rsid w:val="00020614"/>
    <w:rsid w:val="00023C6A"/>
    <w:rsid w:val="0005728B"/>
    <w:rsid w:val="00063E29"/>
    <w:rsid w:val="00066157"/>
    <w:rsid w:val="000B1139"/>
    <w:rsid w:val="000C279A"/>
    <w:rsid w:val="000C3275"/>
    <w:rsid w:val="0010056E"/>
    <w:rsid w:val="00107C3D"/>
    <w:rsid w:val="0011106B"/>
    <w:rsid w:val="0016240D"/>
    <w:rsid w:val="0018444D"/>
    <w:rsid w:val="001C6DE3"/>
    <w:rsid w:val="00231745"/>
    <w:rsid w:val="00263263"/>
    <w:rsid w:val="00264396"/>
    <w:rsid w:val="00280E28"/>
    <w:rsid w:val="002907AD"/>
    <w:rsid w:val="002B4914"/>
    <w:rsid w:val="002B4E61"/>
    <w:rsid w:val="002F7CEC"/>
    <w:rsid w:val="003043B4"/>
    <w:rsid w:val="00334FC3"/>
    <w:rsid w:val="003A3616"/>
    <w:rsid w:val="003A4A4A"/>
    <w:rsid w:val="003C7EBB"/>
    <w:rsid w:val="003D01C4"/>
    <w:rsid w:val="004155CC"/>
    <w:rsid w:val="004218C6"/>
    <w:rsid w:val="00431E94"/>
    <w:rsid w:val="0044556D"/>
    <w:rsid w:val="00495C09"/>
    <w:rsid w:val="004C1C81"/>
    <w:rsid w:val="004C3D1C"/>
    <w:rsid w:val="004F1F29"/>
    <w:rsid w:val="004F2E34"/>
    <w:rsid w:val="004F4C29"/>
    <w:rsid w:val="005017A5"/>
    <w:rsid w:val="0052733E"/>
    <w:rsid w:val="00532A28"/>
    <w:rsid w:val="00534FED"/>
    <w:rsid w:val="00564EE8"/>
    <w:rsid w:val="00591185"/>
    <w:rsid w:val="005B0E2B"/>
    <w:rsid w:val="005B16A1"/>
    <w:rsid w:val="005B3DF5"/>
    <w:rsid w:val="005C3F73"/>
    <w:rsid w:val="005E0A1A"/>
    <w:rsid w:val="006075FD"/>
    <w:rsid w:val="0063652C"/>
    <w:rsid w:val="0065588E"/>
    <w:rsid w:val="006571A1"/>
    <w:rsid w:val="006E1B93"/>
    <w:rsid w:val="006F4CE4"/>
    <w:rsid w:val="00703460"/>
    <w:rsid w:val="00722754"/>
    <w:rsid w:val="007273E7"/>
    <w:rsid w:val="00784310"/>
    <w:rsid w:val="007B02BA"/>
    <w:rsid w:val="007B185A"/>
    <w:rsid w:val="007C03C8"/>
    <w:rsid w:val="007C3F80"/>
    <w:rsid w:val="007D5BEE"/>
    <w:rsid w:val="007E2090"/>
    <w:rsid w:val="00816910"/>
    <w:rsid w:val="00820419"/>
    <w:rsid w:val="00842681"/>
    <w:rsid w:val="00857B04"/>
    <w:rsid w:val="00857D3C"/>
    <w:rsid w:val="008926E7"/>
    <w:rsid w:val="008D6366"/>
    <w:rsid w:val="008E46B9"/>
    <w:rsid w:val="008F0995"/>
    <w:rsid w:val="008F52C2"/>
    <w:rsid w:val="009132F0"/>
    <w:rsid w:val="009238D9"/>
    <w:rsid w:val="00950078"/>
    <w:rsid w:val="00954DFD"/>
    <w:rsid w:val="009B4175"/>
    <w:rsid w:val="009D7B03"/>
    <w:rsid w:val="009F0839"/>
    <w:rsid w:val="009F20A2"/>
    <w:rsid w:val="00A00A4A"/>
    <w:rsid w:val="00A30D3E"/>
    <w:rsid w:val="00A45FC3"/>
    <w:rsid w:val="00A50076"/>
    <w:rsid w:val="00A609FE"/>
    <w:rsid w:val="00A61647"/>
    <w:rsid w:val="00A64064"/>
    <w:rsid w:val="00A70C68"/>
    <w:rsid w:val="00A71914"/>
    <w:rsid w:val="00A84ABB"/>
    <w:rsid w:val="00A92CB0"/>
    <w:rsid w:val="00AA42DC"/>
    <w:rsid w:val="00AB24DD"/>
    <w:rsid w:val="00AE40B2"/>
    <w:rsid w:val="00AF445F"/>
    <w:rsid w:val="00B317CA"/>
    <w:rsid w:val="00B41831"/>
    <w:rsid w:val="00B723A1"/>
    <w:rsid w:val="00B91796"/>
    <w:rsid w:val="00BA3043"/>
    <w:rsid w:val="00BB1AD3"/>
    <w:rsid w:val="00BD6308"/>
    <w:rsid w:val="00BE3E42"/>
    <w:rsid w:val="00C12066"/>
    <w:rsid w:val="00C423A5"/>
    <w:rsid w:val="00C43DE1"/>
    <w:rsid w:val="00C81694"/>
    <w:rsid w:val="00C87573"/>
    <w:rsid w:val="00C92103"/>
    <w:rsid w:val="00C96AFE"/>
    <w:rsid w:val="00CD55B7"/>
    <w:rsid w:val="00CF4C2E"/>
    <w:rsid w:val="00CF4E46"/>
    <w:rsid w:val="00D06B56"/>
    <w:rsid w:val="00D3091D"/>
    <w:rsid w:val="00D355D3"/>
    <w:rsid w:val="00D6157D"/>
    <w:rsid w:val="00D7067E"/>
    <w:rsid w:val="00D80438"/>
    <w:rsid w:val="00D9403B"/>
    <w:rsid w:val="00D952BE"/>
    <w:rsid w:val="00DA26A2"/>
    <w:rsid w:val="00DB0B10"/>
    <w:rsid w:val="00DB22B3"/>
    <w:rsid w:val="00DD0A55"/>
    <w:rsid w:val="00E10DD3"/>
    <w:rsid w:val="00E123E9"/>
    <w:rsid w:val="00E22670"/>
    <w:rsid w:val="00E47E88"/>
    <w:rsid w:val="00E51EDD"/>
    <w:rsid w:val="00E63180"/>
    <w:rsid w:val="00E651DB"/>
    <w:rsid w:val="00EA326B"/>
    <w:rsid w:val="00EB4F66"/>
    <w:rsid w:val="00F166C0"/>
    <w:rsid w:val="00F30056"/>
    <w:rsid w:val="00F76963"/>
    <w:rsid w:val="00F77698"/>
    <w:rsid w:val="00FB6094"/>
    <w:rsid w:val="00FC55F5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DB790-CBA7-4B67-AF52-73AF6F25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E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E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EDD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431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831"/>
    <w:rPr>
      <w:color w:val="0000FF" w:themeColor="hyperlink"/>
      <w:u w:val="single"/>
    </w:rPr>
  </w:style>
  <w:style w:type="character" w:styleId="SubtleEmphasis">
    <w:name w:val="Subtle Emphasis"/>
    <w:uiPriority w:val="19"/>
    <w:qFormat/>
    <w:rsid w:val="003D01C4"/>
    <w:rPr>
      <w:i/>
      <w:iCs/>
      <w:color w:val="404040"/>
    </w:rPr>
  </w:style>
  <w:style w:type="paragraph" w:styleId="TOC1">
    <w:name w:val="toc 1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0"/>
    </w:pPr>
    <w:rPr>
      <w:rFonts w:ascii="Calibri" w:eastAsia="Times New Roman" w:hAnsi="Calibri" w:cs="Times New Roman"/>
    </w:rPr>
  </w:style>
  <w:style w:type="paragraph" w:styleId="TOC2">
    <w:name w:val="toc 2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100"/>
      <w:ind w:left="220"/>
      <w:jc w:val="both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rsid w:val="00E123E9"/>
    <w:pPr>
      <w:spacing w:after="100"/>
      <w:ind w:left="440"/>
    </w:pPr>
    <w:rPr>
      <w:rFonts w:ascii="Calibri" w:eastAsia="Times New Roman" w:hAnsi="Calibri" w:cs="Times New Roman"/>
    </w:rPr>
  </w:style>
  <w:style w:type="paragraph" w:styleId="Header">
    <w:name w:val="header"/>
    <w:aliases w:val=" Char Char, Caracter Caracter, Char"/>
    <w:basedOn w:val="Normal"/>
    <w:link w:val="HeaderChar"/>
    <w:unhideWhenUsed/>
    <w:rsid w:val="0082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aracter Caracter Char, Char Char1"/>
    <w:basedOn w:val="DefaultParagraphFont"/>
    <w:link w:val="Header"/>
    <w:rsid w:val="00820419"/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8F52C2"/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8F52C2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5CCD-87D3-480A-A7E4-704F6BD6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</dc:creator>
  <cp:lastModifiedBy>Radu Stanciu</cp:lastModifiedBy>
  <cp:revision>2</cp:revision>
  <cp:lastPrinted>2023-06-16T10:05:00Z</cp:lastPrinted>
  <dcterms:created xsi:type="dcterms:W3CDTF">2023-06-16T10:06:00Z</dcterms:created>
  <dcterms:modified xsi:type="dcterms:W3CDTF">2023-06-16T10:06:00Z</dcterms:modified>
</cp:coreProperties>
</file>